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198.xml" ContentType="application/vnd.openxmlformats-officedocument.wordprocessingml.footer+xml"/>
  <Override PartName="/word/footer19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00.xml" ContentType="application/vnd.openxmlformats-officedocument.wordprocessingml.footer+xml"/>
  <Override PartName="/word/footer201.xml" ContentType="application/vnd.openxmlformats-officedocument.wordprocessingml.footer+xml"/>
  <Override PartName="/word/footer202.xml" ContentType="application/vnd.openxmlformats-officedocument.wordprocessingml.footer+xml"/>
  <Override PartName="/word/footer203.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0094C1">
      <w:pPr>
        <w:pStyle w:val="3"/>
        <w:spacing w:line="257" w:lineRule="auto"/>
      </w:pPr>
    </w:p>
    <w:p w14:paraId="6DDA2AA1">
      <w:pPr>
        <w:pStyle w:val="3"/>
        <w:spacing w:line="257" w:lineRule="auto"/>
      </w:pPr>
    </w:p>
    <w:p w14:paraId="712F2713">
      <w:pPr>
        <w:pStyle w:val="3"/>
        <w:spacing w:line="257" w:lineRule="auto"/>
      </w:pPr>
    </w:p>
    <w:p w14:paraId="08944624">
      <w:pPr>
        <w:pStyle w:val="3"/>
        <w:spacing w:line="258" w:lineRule="auto"/>
      </w:pPr>
    </w:p>
    <w:p w14:paraId="7F871F40">
      <w:pPr>
        <w:pStyle w:val="3"/>
        <w:spacing w:line="258" w:lineRule="auto"/>
      </w:pPr>
    </w:p>
    <w:p w14:paraId="2C8DB747">
      <w:pPr>
        <w:pStyle w:val="3"/>
        <w:spacing w:line="258" w:lineRule="auto"/>
      </w:pPr>
    </w:p>
    <w:p w14:paraId="00C9DAC2">
      <w:pPr>
        <w:spacing w:before="223" w:line="183" w:lineRule="auto"/>
        <w:ind w:left="1034"/>
        <w:outlineLvl w:val="0"/>
        <w:rPr>
          <w:rFonts w:ascii="微软雅黑" w:hAnsi="微软雅黑" w:eastAsia="微软雅黑" w:cs="微软雅黑"/>
          <w:sz w:val="52"/>
          <w:szCs w:val="52"/>
        </w:rPr>
      </w:pPr>
      <w:r>
        <w:rPr>
          <w:rFonts w:ascii="微软雅黑" w:hAnsi="微软雅黑" w:eastAsia="微软雅黑" w:cs="微软雅黑"/>
          <w:spacing w:val="-1"/>
          <w:sz w:val="52"/>
          <w:szCs w:val="52"/>
        </w:rPr>
        <w:t>建设项目生态环境影响报告表</w:t>
      </w:r>
    </w:p>
    <w:p w14:paraId="657974B2">
      <w:pPr>
        <w:pStyle w:val="3"/>
        <w:spacing w:line="251" w:lineRule="auto"/>
      </w:pPr>
    </w:p>
    <w:p w14:paraId="531CB883">
      <w:pPr>
        <w:pStyle w:val="3"/>
        <w:spacing w:line="251" w:lineRule="auto"/>
      </w:pPr>
    </w:p>
    <w:p w14:paraId="630F975B">
      <w:pPr>
        <w:pStyle w:val="3"/>
        <w:spacing w:line="251" w:lineRule="auto"/>
      </w:pPr>
    </w:p>
    <w:p w14:paraId="1EF04AF4">
      <w:pPr>
        <w:pStyle w:val="3"/>
        <w:spacing w:line="251" w:lineRule="auto"/>
      </w:pPr>
    </w:p>
    <w:p w14:paraId="25890745">
      <w:pPr>
        <w:pStyle w:val="3"/>
        <w:spacing w:line="251" w:lineRule="auto"/>
      </w:pPr>
    </w:p>
    <w:p w14:paraId="7167BFF6">
      <w:pPr>
        <w:pStyle w:val="3"/>
        <w:spacing w:line="251" w:lineRule="auto"/>
      </w:pPr>
    </w:p>
    <w:p w14:paraId="77391995">
      <w:pPr>
        <w:pStyle w:val="3"/>
        <w:spacing w:line="251" w:lineRule="auto"/>
      </w:pPr>
    </w:p>
    <w:p w14:paraId="29D03F91">
      <w:pPr>
        <w:pStyle w:val="3"/>
        <w:spacing w:line="251" w:lineRule="auto"/>
      </w:pPr>
    </w:p>
    <w:p w14:paraId="67CA7BBE">
      <w:pPr>
        <w:pStyle w:val="3"/>
        <w:spacing w:line="251" w:lineRule="auto"/>
      </w:pPr>
    </w:p>
    <w:p w14:paraId="2322FE0B">
      <w:pPr>
        <w:pStyle w:val="3"/>
        <w:spacing w:line="251" w:lineRule="auto"/>
      </w:pPr>
    </w:p>
    <w:p w14:paraId="5ABE876E">
      <w:pPr>
        <w:pStyle w:val="3"/>
        <w:spacing w:line="251" w:lineRule="auto"/>
      </w:pPr>
    </w:p>
    <w:p w14:paraId="3D753EBE">
      <w:pPr>
        <w:pStyle w:val="3"/>
        <w:spacing w:line="251" w:lineRule="auto"/>
      </w:pPr>
    </w:p>
    <w:p w14:paraId="4DE8E6B7">
      <w:pPr>
        <w:pStyle w:val="3"/>
        <w:spacing w:line="251" w:lineRule="auto"/>
      </w:pPr>
    </w:p>
    <w:p w14:paraId="0A26CDD6">
      <w:pPr>
        <w:pStyle w:val="3"/>
        <w:spacing w:line="252" w:lineRule="auto"/>
      </w:pPr>
    </w:p>
    <w:p w14:paraId="747BB08E">
      <w:pPr>
        <w:pStyle w:val="3"/>
        <w:spacing w:line="252" w:lineRule="auto"/>
      </w:pPr>
    </w:p>
    <w:p w14:paraId="3E5ACE52">
      <w:pPr>
        <w:pStyle w:val="3"/>
        <w:spacing w:line="252" w:lineRule="auto"/>
      </w:pPr>
    </w:p>
    <w:p w14:paraId="38AA256A">
      <w:pPr>
        <w:pStyle w:val="3"/>
        <w:spacing w:line="252" w:lineRule="auto"/>
      </w:pPr>
    </w:p>
    <w:p w14:paraId="46A002E0">
      <w:pPr>
        <w:spacing w:before="101" w:line="374" w:lineRule="auto"/>
        <w:ind w:firstLine="643"/>
        <w:rPr>
          <w:rFonts w:ascii="宋体" w:hAnsi="宋体" w:eastAsia="宋体" w:cs="宋体"/>
          <w:sz w:val="31"/>
          <w:szCs w:val="31"/>
        </w:rPr>
      </w:pPr>
      <w:r>
        <w:rPr>
          <w:rFonts w:ascii="宋体" w:hAnsi="宋体" w:eastAsia="宋体" w:cs="宋体"/>
          <w:spacing w:val="4"/>
          <w:sz w:val="31"/>
          <w:szCs w:val="31"/>
        </w:rPr>
        <w:t>项目名称：</w:t>
      </w:r>
      <w:r>
        <w:rPr>
          <w:rFonts w:ascii="宋体" w:hAnsi="宋体" w:eastAsia="宋体" w:cs="宋体"/>
          <w:spacing w:val="4"/>
          <w:sz w:val="31"/>
          <w:szCs w:val="31"/>
          <w:u w:val="single" w:color="auto"/>
        </w:rPr>
        <w:t>内蒙古霍煤鸿骏铝电有限责任公司夏营地</w:t>
      </w:r>
      <w:r>
        <w:rPr>
          <w:rFonts w:ascii="宋体" w:hAnsi="宋体" w:eastAsia="宋体" w:cs="宋体"/>
          <w:spacing w:val="-51"/>
          <w:sz w:val="31"/>
          <w:szCs w:val="31"/>
          <w:u w:val="single" w:color="auto"/>
        </w:rPr>
        <w:t xml:space="preserve"> </w:t>
      </w:r>
      <w:r>
        <w:rPr>
          <w:rFonts w:ascii="Times New Roman" w:hAnsi="Times New Roman" w:eastAsia="Times New Roman" w:cs="Times New Roman"/>
          <w:spacing w:val="4"/>
          <w:sz w:val="31"/>
          <w:szCs w:val="31"/>
          <w:u w:val="single" w:color="auto"/>
        </w:rPr>
        <w:t>220</w:t>
      </w:r>
      <w:r>
        <w:rPr>
          <w:rFonts w:ascii="Times New Roman" w:hAnsi="Times New Roman" w:eastAsia="Times New Roman" w:cs="Times New Roman"/>
          <w:sz w:val="31"/>
          <w:szCs w:val="31"/>
          <w:u w:val="single" w:color="auto"/>
        </w:rPr>
        <w:t>kV</w:t>
      </w:r>
      <w:r>
        <w:rPr>
          <w:rFonts w:ascii="宋体" w:hAnsi="宋体" w:eastAsia="宋体" w:cs="宋体"/>
          <w:spacing w:val="6"/>
          <w:sz w:val="31"/>
          <w:szCs w:val="31"/>
          <w:u w:val="single" w:color="auto"/>
        </w:rPr>
        <w:t>升压站工程</w:t>
      </w:r>
    </w:p>
    <w:p w14:paraId="7F253AC7">
      <w:pPr>
        <w:pStyle w:val="3"/>
        <w:spacing w:line="439" w:lineRule="auto"/>
      </w:pPr>
    </w:p>
    <w:p w14:paraId="74927128">
      <w:pPr>
        <w:spacing w:before="101" w:line="224" w:lineRule="auto"/>
        <w:ind w:left="642"/>
        <w:rPr>
          <w:rFonts w:ascii="宋体" w:hAnsi="宋体" w:eastAsia="宋体" w:cs="宋体"/>
          <w:sz w:val="31"/>
          <w:szCs w:val="31"/>
        </w:rPr>
      </w:pPr>
      <w:r>
        <w:rPr>
          <w:rFonts w:ascii="宋体" w:hAnsi="宋体" w:eastAsia="宋体" w:cs="宋体"/>
          <w:spacing w:val="6"/>
          <w:sz w:val="31"/>
          <w:szCs w:val="31"/>
        </w:rPr>
        <w:t>建设单位（盖章</w:t>
      </w:r>
      <w:r>
        <w:rPr>
          <w:rFonts w:ascii="宋体" w:hAnsi="宋体" w:eastAsia="宋体" w:cs="宋体"/>
          <w:spacing w:val="45"/>
          <w:sz w:val="31"/>
          <w:szCs w:val="31"/>
        </w:rPr>
        <w:t>）：</w:t>
      </w:r>
      <w:r>
        <w:rPr>
          <w:rFonts w:ascii="宋体" w:hAnsi="宋体" w:eastAsia="宋体" w:cs="宋体"/>
          <w:spacing w:val="6"/>
          <w:sz w:val="31"/>
          <w:szCs w:val="31"/>
          <w:u w:val="single" w:color="auto"/>
        </w:rPr>
        <w:t>内蒙古霍煤鸿骏铝电有限责任公司</w:t>
      </w:r>
    </w:p>
    <w:p w14:paraId="7A2FA35C">
      <w:pPr>
        <w:pStyle w:val="3"/>
        <w:spacing w:line="253" w:lineRule="auto"/>
      </w:pPr>
    </w:p>
    <w:p w14:paraId="4FE7B288">
      <w:pPr>
        <w:pStyle w:val="3"/>
        <w:spacing w:line="254" w:lineRule="auto"/>
      </w:pPr>
    </w:p>
    <w:p w14:paraId="49200B0B">
      <w:pPr>
        <w:pStyle w:val="3"/>
        <w:spacing w:line="254" w:lineRule="auto"/>
      </w:pPr>
    </w:p>
    <w:p w14:paraId="52EA7DF3">
      <w:pPr>
        <w:pStyle w:val="3"/>
        <w:spacing w:line="254" w:lineRule="auto"/>
      </w:pPr>
    </w:p>
    <w:p w14:paraId="1EA4F19F">
      <w:pPr>
        <w:pStyle w:val="3"/>
        <w:spacing w:line="254" w:lineRule="auto"/>
      </w:pPr>
    </w:p>
    <w:p w14:paraId="27CC7A69">
      <w:pPr>
        <w:pStyle w:val="3"/>
        <w:spacing w:line="254" w:lineRule="auto"/>
      </w:pPr>
    </w:p>
    <w:p w14:paraId="16865B24">
      <w:pPr>
        <w:pStyle w:val="3"/>
        <w:spacing w:line="254" w:lineRule="auto"/>
      </w:pPr>
    </w:p>
    <w:p w14:paraId="4C8D265D">
      <w:pPr>
        <w:pStyle w:val="3"/>
        <w:spacing w:line="254" w:lineRule="auto"/>
      </w:pPr>
    </w:p>
    <w:p w14:paraId="58BFB85E">
      <w:pPr>
        <w:pStyle w:val="3"/>
        <w:spacing w:line="254" w:lineRule="auto"/>
      </w:pPr>
    </w:p>
    <w:p w14:paraId="28ED6A04">
      <w:pPr>
        <w:spacing w:before="101" w:line="225" w:lineRule="auto"/>
        <w:ind w:left="1862"/>
        <w:rPr>
          <w:rFonts w:ascii="宋体" w:hAnsi="宋体" w:eastAsia="宋体" w:cs="宋体"/>
          <w:sz w:val="31"/>
          <w:szCs w:val="31"/>
        </w:rPr>
      </w:pPr>
      <w:r>
        <w:rPr>
          <w:rFonts w:ascii="宋体" w:hAnsi="宋体" w:eastAsia="宋体" w:cs="宋体"/>
          <w:spacing w:val="5"/>
          <w:sz w:val="31"/>
          <w:szCs w:val="31"/>
        </w:rPr>
        <w:t>编制单位：</w:t>
      </w:r>
      <w:r>
        <w:rPr>
          <w:rFonts w:ascii="宋体" w:hAnsi="宋体" w:eastAsia="宋体" w:cs="宋体"/>
          <w:spacing w:val="-82"/>
          <w:sz w:val="31"/>
          <w:szCs w:val="31"/>
        </w:rPr>
        <w:t xml:space="preserve"> </w:t>
      </w:r>
      <w:r>
        <w:rPr>
          <w:rFonts w:ascii="宋体" w:hAnsi="宋体" w:eastAsia="宋体" w:cs="宋体"/>
          <w:spacing w:val="5"/>
          <w:sz w:val="31"/>
          <w:szCs w:val="31"/>
        </w:rPr>
        <w:t>内蒙古环亚环保咨询有限公司</w:t>
      </w:r>
    </w:p>
    <w:p w14:paraId="70F65662">
      <w:pPr>
        <w:pStyle w:val="3"/>
        <w:spacing w:line="457" w:lineRule="auto"/>
      </w:pPr>
    </w:p>
    <w:p w14:paraId="2794B029">
      <w:pPr>
        <w:spacing w:before="100" w:line="225" w:lineRule="auto"/>
        <w:ind w:left="3100"/>
        <w:rPr>
          <w:rFonts w:ascii="宋体" w:hAnsi="宋体" w:eastAsia="宋体" w:cs="宋体"/>
          <w:sz w:val="31"/>
          <w:szCs w:val="31"/>
        </w:rPr>
      </w:pPr>
      <w:r>
        <w:rPr>
          <w:rFonts w:ascii="宋体" w:hAnsi="宋体" w:eastAsia="宋体" w:cs="宋体"/>
          <w:spacing w:val="4"/>
          <w:sz w:val="31"/>
          <w:szCs w:val="31"/>
        </w:rPr>
        <w:t>编制日期：</w:t>
      </w:r>
      <w:r>
        <w:rPr>
          <w:rFonts w:ascii="Times New Roman" w:hAnsi="Times New Roman" w:eastAsia="Times New Roman" w:cs="Times New Roman"/>
          <w:spacing w:val="4"/>
          <w:sz w:val="31"/>
          <w:szCs w:val="31"/>
        </w:rPr>
        <w:t xml:space="preserve">2026 </w:t>
      </w:r>
      <w:r>
        <w:rPr>
          <w:rFonts w:ascii="宋体" w:hAnsi="宋体" w:eastAsia="宋体" w:cs="宋体"/>
          <w:spacing w:val="4"/>
          <w:sz w:val="31"/>
          <w:szCs w:val="31"/>
        </w:rPr>
        <w:t>年</w:t>
      </w:r>
      <w:r>
        <w:rPr>
          <w:rFonts w:ascii="宋体" w:hAnsi="宋体" w:eastAsia="宋体" w:cs="宋体"/>
          <w:spacing w:val="-55"/>
          <w:sz w:val="31"/>
          <w:szCs w:val="31"/>
        </w:rPr>
        <w:t xml:space="preserve"> </w:t>
      </w:r>
      <w:r>
        <w:rPr>
          <w:rFonts w:ascii="Times New Roman" w:hAnsi="Times New Roman" w:eastAsia="Times New Roman" w:cs="Times New Roman"/>
          <w:spacing w:val="4"/>
          <w:sz w:val="31"/>
          <w:szCs w:val="31"/>
        </w:rPr>
        <w:t>9</w:t>
      </w:r>
      <w:r>
        <w:rPr>
          <w:rFonts w:ascii="Times New Roman" w:hAnsi="Times New Roman" w:eastAsia="Times New Roman" w:cs="Times New Roman"/>
          <w:spacing w:val="23"/>
          <w:sz w:val="31"/>
          <w:szCs w:val="31"/>
        </w:rPr>
        <w:t xml:space="preserve"> </w:t>
      </w:r>
      <w:r>
        <w:rPr>
          <w:rFonts w:ascii="宋体" w:hAnsi="宋体" w:eastAsia="宋体" w:cs="宋体"/>
          <w:spacing w:val="4"/>
          <w:sz w:val="31"/>
          <w:szCs w:val="31"/>
        </w:rPr>
        <w:t>月</w:t>
      </w:r>
    </w:p>
    <w:p w14:paraId="74584B0D">
      <w:pPr>
        <w:spacing w:line="225" w:lineRule="auto"/>
        <w:rPr>
          <w:rFonts w:ascii="宋体" w:hAnsi="宋体" w:eastAsia="宋体" w:cs="宋体"/>
          <w:sz w:val="31"/>
          <w:szCs w:val="31"/>
        </w:rPr>
        <w:sectPr>
          <w:pgSz w:w="11906" w:h="16838"/>
          <w:pgMar w:top="1431" w:right="1533" w:bottom="0" w:left="1546" w:header="0" w:footer="0" w:gutter="0"/>
          <w:cols w:space="720" w:num="1"/>
        </w:sectPr>
      </w:pPr>
    </w:p>
    <w:p w14:paraId="1F0F1B75">
      <w:pPr>
        <w:pStyle w:val="3"/>
        <w:spacing w:line="268" w:lineRule="auto"/>
      </w:pPr>
    </w:p>
    <w:p w14:paraId="428DE6D2">
      <w:pPr>
        <w:spacing w:line="12461" w:lineRule="exact"/>
      </w:pPr>
      <w:r>
        <w:rPr>
          <w:position w:val="-249"/>
        </w:rPr>
        <w:drawing>
          <wp:inline distT="0" distB="0" distL="0" distR="0">
            <wp:extent cx="5594350" cy="79121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213"/>
                    <a:stretch>
                      <a:fillRect/>
                    </a:stretch>
                  </pic:blipFill>
                  <pic:spPr>
                    <a:xfrm>
                      <a:off x="0" y="0"/>
                      <a:ext cx="5594603" cy="7912607"/>
                    </a:xfrm>
                    <a:prstGeom prst="rect">
                      <a:avLst/>
                    </a:prstGeom>
                  </pic:spPr>
                </pic:pic>
              </a:graphicData>
            </a:graphic>
          </wp:inline>
        </w:drawing>
      </w:r>
    </w:p>
    <w:p w14:paraId="0E477EAE">
      <w:pPr>
        <w:spacing w:line="12461" w:lineRule="exact"/>
        <w:sectPr>
          <w:pgSz w:w="11906" w:h="16838"/>
          <w:pgMar w:top="1431" w:right="1564" w:bottom="0" w:left="1531" w:header="0" w:footer="0" w:gutter="0"/>
          <w:cols w:space="720" w:num="1"/>
        </w:sectPr>
      </w:pPr>
    </w:p>
    <w:p w14:paraId="62A8DCF3">
      <w:pPr>
        <w:pStyle w:val="3"/>
        <w:spacing w:line="268" w:lineRule="auto"/>
      </w:pPr>
    </w:p>
    <w:p w14:paraId="61A17F9E">
      <w:pPr>
        <w:spacing w:line="12456" w:lineRule="exact"/>
      </w:pPr>
      <w:r>
        <w:rPr>
          <w:position w:val="-249"/>
        </w:rPr>
        <w:drawing>
          <wp:inline distT="0" distB="0" distL="0" distR="0">
            <wp:extent cx="5592445" cy="790956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214"/>
                    <a:stretch>
                      <a:fillRect/>
                    </a:stretch>
                  </pic:blipFill>
                  <pic:spPr>
                    <a:xfrm>
                      <a:off x="0" y="0"/>
                      <a:ext cx="5593079" cy="7909560"/>
                    </a:xfrm>
                    <a:prstGeom prst="rect">
                      <a:avLst/>
                    </a:prstGeom>
                  </pic:spPr>
                </pic:pic>
              </a:graphicData>
            </a:graphic>
          </wp:inline>
        </w:drawing>
      </w:r>
    </w:p>
    <w:p w14:paraId="349861BE">
      <w:pPr>
        <w:spacing w:line="12456" w:lineRule="exact"/>
        <w:sectPr>
          <w:pgSz w:w="11906" w:h="16838"/>
          <w:pgMar w:top="1431" w:right="1566" w:bottom="0" w:left="1531" w:header="0" w:footer="0" w:gutter="0"/>
          <w:cols w:space="720" w:num="1"/>
        </w:sectPr>
      </w:pPr>
    </w:p>
    <w:p w14:paraId="564C1077">
      <w:pPr>
        <w:spacing w:line="12324" w:lineRule="exact"/>
      </w:pPr>
      <w:r>
        <w:rPr>
          <w:position w:val="-246"/>
        </w:rPr>
        <w:drawing>
          <wp:inline distT="0" distB="0" distL="0" distR="0">
            <wp:extent cx="5533390" cy="782574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215"/>
                    <a:stretch>
                      <a:fillRect/>
                    </a:stretch>
                  </pic:blipFill>
                  <pic:spPr>
                    <a:xfrm>
                      <a:off x="0" y="0"/>
                      <a:ext cx="5533643" cy="7825740"/>
                    </a:xfrm>
                    <a:prstGeom prst="rect">
                      <a:avLst/>
                    </a:prstGeom>
                  </pic:spPr>
                </pic:pic>
              </a:graphicData>
            </a:graphic>
          </wp:inline>
        </w:drawing>
      </w:r>
    </w:p>
    <w:p w14:paraId="7C352625">
      <w:pPr>
        <w:spacing w:line="12324" w:lineRule="exact"/>
        <w:sectPr>
          <w:pgSz w:w="11905" w:h="16838"/>
          <w:pgMar w:top="1415" w:right="1604" w:bottom="0" w:left="1586" w:header="0" w:footer="0" w:gutter="0"/>
          <w:cols w:space="720" w:num="1"/>
        </w:sectPr>
      </w:pPr>
    </w:p>
    <w:p w14:paraId="6333303F">
      <w:pPr>
        <w:spacing w:line="12319" w:lineRule="exact"/>
      </w:pPr>
      <w:r>
        <w:rPr>
          <w:position w:val="-246"/>
        </w:rPr>
        <w:drawing>
          <wp:inline distT="0" distB="0" distL="0" distR="0">
            <wp:extent cx="5530215" cy="782256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216"/>
                    <a:stretch>
                      <a:fillRect/>
                    </a:stretch>
                  </pic:blipFill>
                  <pic:spPr>
                    <a:xfrm>
                      <a:off x="0" y="0"/>
                      <a:ext cx="5530596" cy="7822692"/>
                    </a:xfrm>
                    <a:prstGeom prst="rect">
                      <a:avLst/>
                    </a:prstGeom>
                  </pic:spPr>
                </pic:pic>
              </a:graphicData>
            </a:graphic>
          </wp:inline>
        </w:drawing>
      </w:r>
    </w:p>
    <w:p w14:paraId="70241C9D">
      <w:pPr>
        <w:spacing w:line="12319" w:lineRule="exact"/>
        <w:sectPr>
          <w:pgSz w:w="11905" w:h="16838"/>
          <w:pgMar w:top="1415" w:right="1609" w:bottom="0" w:left="1586" w:header="0" w:footer="0" w:gutter="0"/>
          <w:cols w:space="720" w:num="1"/>
        </w:sectPr>
      </w:pPr>
    </w:p>
    <w:p w14:paraId="04B84137">
      <w:pPr>
        <w:spacing w:line="12319" w:lineRule="exact"/>
      </w:pPr>
      <w:r>
        <w:rPr>
          <w:position w:val="-246"/>
        </w:rPr>
        <w:drawing>
          <wp:inline distT="0" distB="0" distL="0" distR="0">
            <wp:extent cx="5530215" cy="782256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217"/>
                    <a:stretch>
                      <a:fillRect/>
                    </a:stretch>
                  </pic:blipFill>
                  <pic:spPr>
                    <a:xfrm>
                      <a:off x="0" y="0"/>
                      <a:ext cx="5530596" cy="7822692"/>
                    </a:xfrm>
                    <a:prstGeom prst="rect">
                      <a:avLst/>
                    </a:prstGeom>
                  </pic:spPr>
                </pic:pic>
              </a:graphicData>
            </a:graphic>
          </wp:inline>
        </w:drawing>
      </w:r>
    </w:p>
    <w:p w14:paraId="7CE62958">
      <w:pPr>
        <w:spacing w:line="12319" w:lineRule="exact"/>
        <w:sectPr>
          <w:pgSz w:w="11905" w:h="16838"/>
          <w:pgMar w:top="1415" w:right="1609" w:bottom="0" w:left="1586" w:header="0" w:footer="0" w:gutter="0"/>
          <w:cols w:space="720" w:num="1"/>
        </w:sectPr>
      </w:pPr>
    </w:p>
    <w:p w14:paraId="5B183CE8">
      <w:pPr>
        <w:spacing w:line="12328" w:lineRule="exact"/>
      </w:pPr>
      <w:r>
        <w:rPr>
          <w:position w:val="-246"/>
        </w:rPr>
        <w:drawing>
          <wp:inline distT="0" distB="0" distL="0" distR="0">
            <wp:extent cx="5530215" cy="782828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218"/>
                    <a:stretch>
                      <a:fillRect/>
                    </a:stretch>
                  </pic:blipFill>
                  <pic:spPr>
                    <a:xfrm>
                      <a:off x="0" y="0"/>
                      <a:ext cx="5530596" cy="7828788"/>
                    </a:xfrm>
                    <a:prstGeom prst="rect">
                      <a:avLst/>
                    </a:prstGeom>
                  </pic:spPr>
                </pic:pic>
              </a:graphicData>
            </a:graphic>
          </wp:inline>
        </w:drawing>
      </w:r>
    </w:p>
    <w:p w14:paraId="197FEB82">
      <w:pPr>
        <w:spacing w:line="12328" w:lineRule="exact"/>
        <w:sectPr>
          <w:pgSz w:w="11905" w:h="16838"/>
          <w:pgMar w:top="1415" w:right="1608" w:bottom="0" w:left="1586" w:header="0" w:footer="0" w:gutter="0"/>
          <w:cols w:space="720" w:num="1"/>
        </w:sectPr>
      </w:pPr>
    </w:p>
    <w:p w14:paraId="106C1703">
      <w:pPr>
        <w:spacing w:line="12321" w:lineRule="exact"/>
      </w:pPr>
      <w:r>
        <w:rPr>
          <w:position w:val="-246"/>
        </w:rPr>
        <w:drawing>
          <wp:inline distT="0" distB="0" distL="0" distR="0">
            <wp:extent cx="5531485" cy="782383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219"/>
                    <a:stretch>
                      <a:fillRect/>
                    </a:stretch>
                  </pic:blipFill>
                  <pic:spPr>
                    <a:xfrm>
                      <a:off x="0" y="0"/>
                      <a:ext cx="5532119" cy="7824216"/>
                    </a:xfrm>
                    <a:prstGeom prst="rect">
                      <a:avLst/>
                    </a:prstGeom>
                  </pic:spPr>
                </pic:pic>
              </a:graphicData>
            </a:graphic>
          </wp:inline>
        </w:drawing>
      </w:r>
    </w:p>
    <w:p w14:paraId="20B5C5AE">
      <w:pPr>
        <w:spacing w:line="12321" w:lineRule="exact"/>
        <w:sectPr>
          <w:pgSz w:w="11905" w:h="16838"/>
          <w:pgMar w:top="1415" w:right="1606" w:bottom="0" w:left="1586" w:header="0" w:footer="0" w:gutter="0"/>
          <w:cols w:space="720" w:num="1"/>
        </w:sectPr>
      </w:pPr>
    </w:p>
    <w:p w14:paraId="32F2B55B">
      <w:pPr>
        <w:spacing w:before="59" w:line="219" w:lineRule="auto"/>
        <w:ind w:left="3220"/>
        <w:outlineLvl w:val="0"/>
        <w:rPr>
          <w:rFonts w:ascii="宋体" w:hAnsi="宋体" w:eastAsia="宋体" w:cs="宋体"/>
          <w:sz w:val="30"/>
          <w:szCs w:val="30"/>
        </w:rPr>
      </w:pPr>
      <w:r>
        <w:rPr>
          <w:rFonts w:ascii="宋体" w:hAnsi="宋体" w:eastAsia="宋体" w:cs="宋体"/>
          <w:b/>
          <w:bCs/>
          <w:spacing w:val="-4"/>
          <w:sz w:val="30"/>
          <w:szCs w:val="30"/>
        </w:rPr>
        <w:t>一、建设项目基本情况</w:t>
      </w:r>
    </w:p>
    <w:p w14:paraId="3AE4A63F">
      <w:pPr>
        <w:spacing w:line="184" w:lineRule="exact"/>
      </w:pPr>
    </w:p>
    <w:tbl>
      <w:tblPr>
        <w:tblStyle w:val="8"/>
        <w:tblW w:w="9270"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24"/>
        <w:gridCol w:w="2321"/>
        <w:gridCol w:w="2014"/>
        <w:gridCol w:w="3111"/>
      </w:tblGrid>
      <w:tr w14:paraId="7AC308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1824" w:type="dxa"/>
            <w:tcBorders>
              <w:top w:val="single" w:color="000000" w:sz="6" w:space="0"/>
              <w:left w:val="single" w:color="000000" w:sz="6" w:space="0"/>
            </w:tcBorders>
            <w:vAlign w:val="top"/>
          </w:tcPr>
          <w:p w14:paraId="4E297879">
            <w:pPr>
              <w:pStyle w:val="9"/>
              <w:spacing w:before="190" w:line="220" w:lineRule="auto"/>
              <w:ind w:left="193"/>
              <w:outlineLvl w:val="1"/>
            </w:pPr>
            <w:r>
              <w:rPr>
                <w:spacing w:val="-3"/>
              </w:rPr>
              <w:t>建设项目名称</w:t>
            </w:r>
          </w:p>
        </w:tc>
        <w:tc>
          <w:tcPr>
            <w:tcW w:w="7446" w:type="dxa"/>
            <w:gridSpan w:val="3"/>
            <w:tcBorders>
              <w:top w:val="single" w:color="000000" w:sz="6" w:space="0"/>
              <w:right w:val="single" w:color="000000" w:sz="6" w:space="0"/>
            </w:tcBorders>
            <w:vAlign w:val="top"/>
          </w:tcPr>
          <w:p w14:paraId="19F394C4">
            <w:pPr>
              <w:pStyle w:val="9"/>
              <w:spacing w:before="157" w:line="219" w:lineRule="auto"/>
              <w:ind w:left="606"/>
              <w:outlineLvl w:val="1"/>
            </w:pPr>
            <w:r>
              <w:rPr>
                <w:spacing w:val="-2"/>
              </w:rPr>
              <w:t>内蒙古霍煤鸿骏铝电有限责任公司夏营地</w:t>
            </w:r>
            <w:r>
              <w:rPr>
                <w:spacing w:val="-42"/>
              </w:rPr>
              <w:t xml:space="preserve"> </w:t>
            </w:r>
            <w:r>
              <w:rPr>
                <w:rFonts w:ascii="Times New Roman" w:hAnsi="Times New Roman" w:eastAsia="Times New Roman" w:cs="Times New Roman"/>
                <w:spacing w:val="-2"/>
              </w:rPr>
              <w:t xml:space="preserve">220kV </w:t>
            </w:r>
            <w:r>
              <w:rPr>
                <w:spacing w:val="-2"/>
              </w:rPr>
              <w:t>升压站工程</w:t>
            </w:r>
          </w:p>
        </w:tc>
      </w:tr>
      <w:tr w14:paraId="5EB859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 w:hRule="atLeast"/>
        </w:trPr>
        <w:tc>
          <w:tcPr>
            <w:tcW w:w="1824" w:type="dxa"/>
            <w:tcBorders>
              <w:left w:val="single" w:color="000000" w:sz="6" w:space="0"/>
            </w:tcBorders>
            <w:vAlign w:val="top"/>
          </w:tcPr>
          <w:p w14:paraId="2952EE44">
            <w:pPr>
              <w:pStyle w:val="9"/>
              <w:spacing w:before="185" w:line="219" w:lineRule="auto"/>
              <w:ind w:left="434"/>
              <w:outlineLvl w:val="1"/>
            </w:pPr>
            <w:r>
              <w:rPr>
                <w:spacing w:val="-4"/>
              </w:rPr>
              <w:t>项目代码</w:t>
            </w:r>
          </w:p>
        </w:tc>
        <w:tc>
          <w:tcPr>
            <w:tcW w:w="7446" w:type="dxa"/>
            <w:gridSpan w:val="3"/>
            <w:tcBorders>
              <w:right w:val="single" w:color="000000" w:sz="6" w:space="0"/>
            </w:tcBorders>
            <w:vAlign w:val="top"/>
          </w:tcPr>
          <w:p w14:paraId="68AA8E53">
            <w:pPr>
              <w:spacing w:before="219" w:line="192" w:lineRule="auto"/>
              <w:ind w:left="3681"/>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071424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 w:hRule="atLeast"/>
        </w:trPr>
        <w:tc>
          <w:tcPr>
            <w:tcW w:w="1824" w:type="dxa"/>
            <w:tcBorders>
              <w:left w:val="single" w:color="000000" w:sz="6" w:space="0"/>
            </w:tcBorders>
            <w:vAlign w:val="top"/>
          </w:tcPr>
          <w:p w14:paraId="0DDCCBF0">
            <w:pPr>
              <w:pStyle w:val="9"/>
              <w:spacing w:before="181" w:line="220" w:lineRule="auto"/>
              <w:ind w:left="73"/>
              <w:outlineLvl w:val="1"/>
            </w:pPr>
            <w:r>
              <w:rPr>
                <w:spacing w:val="-2"/>
              </w:rPr>
              <w:t>建设单位联系人</w:t>
            </w:r>
          </w:p>
        </w:tc>
        <w:tc>
          <w:tcPr>
            <w:tcW w:w="2321" w:type="dxa"/>
            <w:vAlign w:val="top"/>
          </w:tcPr>
          <w:p w14:paraId="779EEF2F">
            <w:pPr>
              <w:pStyle w:val="9"/>
              <w:spacing w:before="181" w:line="219" w:lineRule="auto"/>
              <w:ind w:left="802"/>
              <w:outlineLvl w:val="1"/>
            </w:pPr>
            <w:r>
              <w:rPr>
                <w:spacing w:val="-3"/>
              </w:rPr>
              <w:t>黄鑫宇</w:t>
            </w:r>
          </w:p>
        </w:tc>
        <w:tc>
          <w:tcPr>
            <w:tcW w:w="2014" w:type="dxa"/>
            <w:vAlign w:val="top"/>
          </w:tcPr>
          <w:p w14:paraId="1D5B5C38">
            <w:pPr>
              <w:pStyle w:val="9"/>
              <w:spacing w:before="180" w:line="221" w:lineRule="auto"/>
              <w:ind w:left="539"/>
              <w:outlineLvl w:val="1"/>
            </w:pPr>
            <w:r>
              <w:rPr>
                <w:spacing w:val="-3"/>
              </w:rPr>
              <w:t>联系方式</w:t>
            </w:r>
          </w:p>
        </w:tc>
        <w:tc>
          <w:tcPr>
            <w:tcW w:w="3111" w:type="dxa"/>
            <w:tcBorders>
              <w:right w:val="single" w:color="000000" w:sz="6" w:space="0"/>
            </w:tcBorders>
            <w:vAlign w:val="top"/>
          </w:tcPr>
          <w:p w14:paraId="3D37184D">
            <w:pPr>
              <w:spacing w:before="222" w:line="188" w:lineRule="auto"/>
              <w:ind w:left="924"/>
              <w:outlineLvl w:val="1"/>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15204846969</w:t>
            </w:r>
          </w:p>
        </w:tc>
      </w:tr>
      <w:tr w14:paraId="787882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 w:hRule="atLeast"/>
        </w:trPr>
        <w:tc>
          <w:tcPr>
            <w:tcW w:w="1824" w:type="dxa"/>
            <w:tcBorders>
              <w:left w:val="single" w:color="000000" w:sz="6" w:space="0"/>
            </w:tcBorders>
            <w:vAlign w:val="top"/>
          </w:tcPr>
          <w:p w14:paraId="0A32796F">
            <w:pPr>
              <w:pStyle w:val="9"/>
              <w:spacing w:before="179" w:line="221" w:lineRule="auto"/>
              <w:ind w:left="433"/>
              <w:outlineLvl w:val="1"/>
            </w:pPr>
            <w:r>
              <w:rPr>
                <w:spacing w:val="-4"/>
              </w:rPr>
              <w:t>建设地点</w:t>
            </w:r>
          </w:p>
        </w:tc>
        <w:tc>
          <w:tcPr>
            <w:tcW w:w="7446" w:type="dxa"/>
            <w:gridSpan w:val="3"/>
            <w:tcBorders>
              <w:right w:val="single" w:color="000000" w:sz="6" w:space="0"/>
            </w:tcBorders>
            <w:vAlign w:val="top"/>
          </w:tcPr>
          <w:p w14:paraId="59E966E8">
            <w:pPr>
              <w:pStyle w:val="9"/>
              <w:spacing w:before="180" w:line="219" w:lineRule="auto"/>
              <w:ind w:left="1233"/>
              <w:outlineLvl w:val="1"/>
            </w:pPr>
            <w:r>
              <w:rPr>
                <w:spacing w:val="-2"/>
              </w:rPr>
              <w:t>内蒙古自治区通辽市扎鲁特旗格日朝鲁苏木境内</w:t>
            </w:r>
          </w:p>
        </w:tc>
      </w:tr>
      <w:tr w14:paraId="52B41C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 w:hRule="atLeast"/>
        </w:trPr>
        <w:tc>
          <w:tcPr>
            <w:tcW w:w="1824" w:type="dxa"/>
            <w:tcBorders>
              <w:left w:val="single" w:color="000000" w:sz="6" w:space="0"/>
            </w:tcBorders>
            <w:vAlign w:val="top"/>
          </w:tcPr>
          <w:p w14:paraId="345B662E">
            <w:pPr>
              <w:pStyle w:val="9"/>
              <w:spacing w:before="178" w:line="220" w:lineRule="auto"/>
              <w:ind w:left="430"/>
              <w:outlineLvl w:val="1"/>
            </w:pPr>
            <w:r>
              <w:rPr>
                <w:spacing w:val="-3"/>
              </w:rPr>
              <w:t>地理坐标</w:t>
            </w:r>
          </w:p>
        </w:tc>
        <w:tc>
          <w:tcPr>
            <w:tcW w:w="7446" w:type="dxa"/>
            <w:gridSpan w:val="3"/>
            <w:tcBorders>
              <w:right w:val="single" w:color="000000" w:sz="6" w:space="0"/>
            </w:tcBorders>
            <w:vAlign w:val="top"/>
          </w:tcPr>
          <w:p w14:paraId="65B6504E">
            <w:pPr>
              <w:pStyle w:val="9"/>
              <w:spacing w:before="178" w:line="220" w:lineRule="auto"/>
              <w:ind w:left="1040"/>
              <w:outlineLvl w:val="1"/>
            </w:pPr>
            <w:r>
              <w:rPr>
                <w:spacing w:val="-5"/>
              </w:rPr>
              <w:t>（</w:t>
            </w:r>
            <w:r>
              <w:rPr>
                <w:spacing w:val="28"/>
              </w:rPr>
              <w:t xml:space="preserve"> </w:t>
            </w:r>
            <w:r>
              <w:rPr>
                <w:rFonts w:ascii="Times New Roman" w:hAnsi="Times New Roman" w:eastAsia="Times New Roman" w:cs="Times New Roman"/>
                <w:spacing w:val="-5"/>
              </w:rPr>
              <w:t xml:space="preserve">119 </w:t>
            </w:r>
            <w:r>
              <w:rPr>
                <w:spacing w:val="-5"/>
              </w:rPr>
              <w:t>度</w:t>
            </w:r>
            <w:r>
              <w:rPr>
                <w:spacing w:val="-55"/>
              </w:rPr>
              <w:t xml:space="preserve"> </w:t>
            </w:r>
            <w:r>
              <w:rPr>
                <w:rFonts w:ascii="Times New Roman" w:hAnsi="Times New Roman" w:eastAsia="Times New Roman" w:cs="Times New Roman"/>
                <w:spacing w:val="-5"/>
              </w:rPr>
              <w:t>26</w:t>
            </w:r>
            <w:r>
              <w:rPr>
                <w:rFonts w:ascii="Times New Roman" w:hAnsi="Times New Roman" w:eastAsia="Times New Roman" w:cs="Times New Roman"/>
                <w:spacing w:val="12"/>
              </w:rPr>
              <w:t xml:space="preserve"> </w:t>
            </w:r>
            <w:r>
              <w:rPr>
                <w:spacing w:val="-5"/>
              </w:rPr>
              <w:t>分</w:t>
            </w:r>
            <w:r>
              <w:rPr>
                <w:spacing w:val="-32"/>
              </w:rPr>
              <w:t xml:space="preserve"> </w:t>
            </w:r>
            <w:r>
              <w:rPr>
                <w:rFonts w:ascii="Times New Roman" w:hAnsi="Times New Roman" w:eastAsia="Times New Roman" w:cs="Times New Roman"/>
                <w:spacing w:val="-5"/>
              </w:rPr>
              <w:t xml:space="preserve">16.242 </w:t>
            </w:r>
            <w:r>
              <w:rPr>
                <w:spacing w:val="-5"/>
              </w:rPr>
              <w:t xml:space="preserve">秒， </w:t>
            </w:r>
            <w:r>
              <w:rPr>
                <w:rFonts w:ascii="Times New Roman" w:hAnsi="Times New Roman" w:eastAsia="Times New Roman" w:cs="Times New Roman"/>
                <w:spacing w:val="-5"/>
              </w:rPr>
              <w:t xml:space="preserve">45 </w:t>
            </w:r>
            <w:r>
              <w:rPr>
                <w:spacing w:val="-6"/>
              </w:rPr>
              <w:t>度</w:t>
            </w:r>
            <w:r>
              <w:rPr>
                <w:spacing w:val="-32"/>
              </w:rPr>
              <w:t xml:space="preserve"> </w:t>
            </w:r>
            <w:r>
              <w:rPr>
                <w:rFonts w:ascii="Times New Roman" w:hAnsi="Times New Roman" w:eastAsia="Times New Roman" w:cs="Times New Roman"/>
                <w:spacing w:val="-6"/>
              </w:rPr>
              <w:t>18</w:t>
            </w:r>
            <w:r>
              <w:rPr>
                <w:rFonts w:ascii="Times New Roman" w:hAnsi="Times New Roman" w:eastAsia="Times New Roman" w:cs="Times New Roman"/>
                <w:spacing w:val="13"/>
              </w:rPr>
              <w:t xml:space="preserve"> </w:t>
            </w:r>
            <w:r>
              <w:rPr>
                <w:spacing w:val="-6"/>
              </w:rPr>
              <w:t>分</w:t>
            </w:r>
            <w:r>
              <w:rPr>
                <w:spacing w:val="-32"/>
              </w:rPr>
              <w:t xml:space="preserve"> </w:t>
            </w:r>
            <w:r>
              <w:rPr>
                <w:rFonts w:ascii="Times New Roman" w:hAnsi="Times New Roman" w:eastAsia="Times New Roman" w:cs="Times New Roman"/>
                <w:spacing w:val="-6"/>
              </w:rPr>
              <w:t>12.071</w:t>
            </w:r>
            <w:r>
              <w:rPr>
                <w:rFonts w:ascii="Times New Roman" w:hAnsi="Times New Roman" w:eastAsia="Times New Roman" w:cs="Times New Roman"/>
                <w:spacing w:val="8"/>
              </w:rPr>
              <w:t xml:space="preserve"> </w:t>
            </w:r>
            <w:r>
              <w:rPr>
                <w:spacing w:val="-6"/>
              </w:rPr>
              <w:t>秒）</w:t>
            </w:r>
          </w:p>
        </w:tc>
      </w:tr>
      <w:tr w14:paraId="4FE798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7" w:hRule="atLeast"/>
        </w:trPr>
        <w:tc>
          <w:tcPr>
            <w:tcW w:w="1824" w:type="dxa"/>
            <w:tcBorders>
              <w:left w:val="single" w:color="000000" w:sz="6" w:space="0"/>
            </w:tcBorders>
            <w:vAlign w:val="top"/>
          </w:tcPr>
          <w:p w14:paraId="7DD63CEB">
            <w:pPr>
              <w:pStyle w:val="9"/>
              <w:spacing w:before="194" w:line="220" w:lineRule="auto"/>
              <w:ind w:left="433"/>
              <w:outlineLvl w:val="1"/>
            </w:pPr>
            <w:r>
              <w:rPr>
                <w:spacing w:val="-4"/>
              </w:rPr>
              <w:t>建设项目</w:t>
            </w:r>
          </w:p>
          <w:p w14:paraId="5D093CFF">
            <w:pPr>
              <w:pStyle w:val="9"/>
              <w:spacing w:before="74" w:line="219" w:lineRule="auto"/>
              <w:ind w:left="434"/>
              <w:outlineLvl w:val="1"/>
            </w:pPr>
            <w:r>
              <w:rPr>
                <w:spacing w:val="-4"/>
              </w:rPr>
              <w:t>行业类别</w:t>
            </w:r>
          </w:p>
        </w:tc>
        <w:tc>
          <w:tcPr>
            <w:tcW w:w="2321" w:type="dxa"/>
            <w:vAlign w:val="top"/>
          </w:tcPr>
          <w:p w14:paraId="4702C265">
            <w:pPr>
              <w:pStyle w:val="9"/>
              <w:spacing w:before="39" w:line="349" w:lineRule="auto"/>
              <w:ind w:left="283" w:right="5" w:hanging="273"/>
              <w:outlineLvl w:val="1"/>
            </w:pPr>
            <w:r>
              <w:rPr>
                <w:spacing w:val="-5"/>
              </w:rPr>
              <w:t>五十五、核与辐射</w:t>
            </w:r>
            <w:r>
              <w:rPr>
                <w:rFonts w:ascii="Times New Roman" w:hAnsi="Times New Roman" w:eastAsia="Times New Roman" w:cs="Times New Roman"/>
                <w:spacing w:val="-5"/>
              </w:rPr>
              <w:t>-161</w:t>
            </w:r>
            <w:r>
              <w:rPr>
                <w:spacing w:val="-2"/>
              </w:rPr>
              <w:t>输变电工程</w:t>
            </w:r>
            <w:r>
              <w:rPr>
                <w:rFonts w:ascii="Times New Roman" w:hAnsi="Times New Roman" w:eastAsia="Times New Roman" w:cs="Times New Roman"/>
                <w:spacing w:val="-2"/>
              </w:rPr>
              <w:t>-</w:t>
            </w:r>
            <w:r>
              <w:rPr>
                <w:spacing w:val="-2"/>
              </w:rPr>
              <w:t>其他</w:t>
            </w:r>
          </w:p>
        </w:tc>
        <w:tc>
          <w:tcPr>
            <w:tcW w:w="2014" w:type="dxa"/>
            <w:vAlign w:val="top"/>
          </w:tcPr>
          <w:p w14:paraId="520B25ED">
            <w:pPr>
              <w:pStyle w:val="9"/>
              <w:spacing w:before="195" w:line="237" w:lineRule="auto"/>
              <w:ind w:left="22" w:firstLine="32"/>
              <w:outlineLvl w:val="1"/>
            </w:pPr>
            <w:r>
              <w:rPr>
                <w:spacing w:val="-8"/>
              </w:rPr>
              <w:t>用地（用海）面积</w:t>
            </w:r>
            <w:r>
              <w:rPr>
                <w:spacing w:val="-16"/>
              </w:rPr>
              <w:t>（</w:t>
            </w:r>
            <w:r>
              <w:rPr>
                <w:rFonts w:ascii="Times New Roman" w:hAnsi="Times New Roman" w:eastAsia="Times New Roman" w:cs="Times New Roman"/>
                <w:spacing w:val="-16"/>
              </w:rPr>
              <w:t>m</w:t>
            </w:r>
            <w:r>
              <w:rPr>
                <w:rFonts w:ascii="Times New Roman" w:hAnsi="Times New Roman" w:eastAsia="Times New Roman" w:cs="Times New Roman"/>
                <w:spacing w:val="-2"/>
                <w:position w:val="1"/>
                <w:sz w:val="15"/>
                <w:szCs w:val="15"/>
              </w:rPr>
              <w:t>2</w:t>
            </w:r>
            <w:r>
              <w:rPr>
                <w:spacing w:val="-2"/>
                <w:position w:val="1"/>
              </w:rPr>
              <w:t>）</w:t>
            </w:r>
            <w:r>
              <w:rPr>
                <w:rFonts w:ascii="Times New Roman" w:hAnsi="Times New Roman" w:eastAsia="Times New Roman" w:cs="Times New Roman"/>
                <w:spacing w:val="-2"/>
              </w:rPr>
              <w:t>/</w:t>
            </w:r>
            <w:r>
              <w:rPr>
                <w:spacing w:val="-9"/>
              </w:rPr>
              <w:t>长度（</w:t>
            </w:r>
            <w:r>
              <w:rPr>
                <w:rFonts w:ascii="Times New Roman" w:hAnsi="Times New Roman" w:eastAsia="Times New Roman" w:cs="Times New Roman"/>
                <w:spacing w:val="-9"/>
              </w:rPr>
              <w:t>km</w:t>
            </w:r>
            <w:r>
              <w:rPr>
                <w:spacing w:val="-9"/>
              </w:rPr>
              <w:t>）</w:t>
            </w:r>
          </w:p>
        </w:tc>
        <w:tc>
          <w:tcPr>
            <w:tcW w:w="3111" w:type="dxa"/>
            <w:tcBorders>
              <w:right w:val="single" w:color="000000" w:sz="6" w:space="0"/>
            </w:tcBorders>
            <w:vAlign w:val="top"/>
          </w:tcPr>
          <w:p w14:paraId="0BC7E4BB">
            <w:pPr>
              <w:pStyle w:val="9"/>
              <w:spacing w:before="42" w:line="232" w:lineRule="auto"/>
              <w:ind w:left="7" w:right="3" w:firstLine="489"/>
              <w:outlineLvl w:val="1"/>
              <w:rPr>
                <w:rFonts w:ascii="Times New Roman" w:hAnsi="Times New Roman" w:eastAsia="Times New Roman" w:cs="Times New Roman"/>
                <w:sz w:val="15"/>
                <w:szCs w:val="15"/>
              </w:rPr>
            </w:pPr>
            <w:r>
              <w:rPr>
                <w:spacing w:val="-25"/>
              </w:rPr>
              <w:t>项</w:t>
            </w:r>
            <w:r>
              <w:rPr>
                <w:spacing w:val="96"/>
              </w:rPr>
              <w:t xml:space="preserve"> </w:t>
            </w:r>
            <w:r>
              <w:rPr>
                <w:spacing w:val="-25"/>
              </w:rPr>
              <w:t>目</w:t>
            </w:r>
            <w:r>
              <w:rPr>
                <w:spacing w:val="52"/>
              </w:rPr>
              <w:t xml:space="preserve"> </w:t>
            </w:r>
            <w:r>
              <w:rPr>
                <w:spacing w:val="-25"/>
              </w:rPr>
              <w:t>总</w:t>
            </w:r>
            <w:r>
              <w:rPr>
                <w:spacing w:val="84"/>
              </w:rPr>
              <w:t xml:space="preserve"> </w:t>
            </w:r>
            <w:r>
              <w:rPr>
                <w:spacing w:val="-25"/>
              </w:rPr>
              <w:t>占</w:t>
            </w:r>
            <w:r>
              <w:rPr>
                <w:spacing w:val="46"/>
              </w:rPr>
              <w:t xml:space="preserve"> </w:t>
            </w:r>
            <w:r>
              <w:rPr>
                <w:spacing w:val="-24"/>
              </w:rPr>
              <w:t>地</w:t>
            </w:r>
            <w:r>
              <w:rPr>
                <w:spacing w:val="44"/>
              </w:rPr>
              <w:t xml:space="preserve"> </w:t>
            </w:r>
            <w:r>
              <w:rPr>
                <w:spacing w:val="-24"/>
              </w:rPr>
              <w:t>面</w:t>
            </w:r>
            <w:r>
              <w:rPr>
                <w:spacing w:val="45"/>
              </w:rPr>
              <w:t xml:space="preserve"> </w:t>
            </w:r>
            <w:r>
              <w:rPr>
                <w:spacing w:val="-20"/>
              </w:rPr>
              <w:t>积</w:t>
            </w:r>
            <w:r>
              <w:rPr>
                <w:rFonts w:ascii="Times New Roman" w:hAnsi="Times New Roman" w:eastAsia="Times New Roman" w:cs="Times New Roman"/>
                <w:spacing w:val="6"/>
              </w:rPr>
              <w:t>4.66</w:t>
            </w:r>
            <w:r>
              <w:rPr>
                <w:rFonts w:ascii="Times New Roman" w:hAnsi="Times New Roman" w:eastAsia="Times New Roman" w:cs="Times New Roman"/>
              </w:rPr>
              <w:t>hm</w:t>
            </w:r>
            <w:r>
              <w:rPr>
                <w:rFonts w:ascii="Times New Roman" w:hAnsi="Times New Roman" w:eastAsia="Times New Roman" w:cs="Times New Roman"/>
                <w:spacing w:val="6"/>
                <w:position w:val="7"/>
                <w:sz w:val="15"/>
                <w:szCs w:val="15"/>
              </w:rPr>
              <w:t xml:space="preserve">2 </w:t>
            </w:r>
            <w:r>
              <w:rPr>
                <w:spacing w:val="6"/>
              </w:rPr>
              <w:t>，其中临时占地面积</w:t>
            </w:r>
            <w:r>
              <w:rPr>
                <w:rFonts w:ascii="Times New Roman" w:hAnsi="Times New Roman" w:eastAsia="Times New Roman" w:cs="Times New Roman"/>
                <w:spacing w:val="-6"/>
              </w:rPr>
              <w:t>0.5hm</w:t>
            </w:r>
            <w:r>
              <w:rPr>
                <w:rFonts w:ascii="Times New Roman" w:hAnsi="Times New Roman" w:eastAsia="Times New Roman" w:cs="Times New Roman"/>
                <w:spacing w:val="-6"/>
                <w:position w:val="7"/>
                <w:sz w:val="15"/>
                <w:szCs w:val="15"/>
              </w:rPr>
              <w:t>2</w:t>
            </w:r>
            <w:r>
              <w:rPr>
                <w:spacing w:val="-6"/>
              </w:rPr>
              <w:t>，永久占地面积</w:t>
            </w:r>
            <w:r>
              <w:rPr>
                <w:rFonts w:ascii="Times New Roman" w:hAnsi="Times New Roman" w:eastAsia="Times New Roman" w:cs="Times New Roman"/>
                <w:spacing w:val="-6"/>
              </w:rPr>
              <w:t>4.</w:t>
            </w:r>
            <w:r>
              <w:rPr>
                <w:rFonts w:ascii="Times New Roman" w:hAnsi="Times New Roman" w:eastAsia="Times New Roman" w:cs="Times New Roman"/>
                <w:spacing w:val="-16"/>
              </w:rPr>
              <w:t xml:space="preserve"> </w:t>
            </w:r>
            <w:r>
              <w:rPr>
                <w:rFonts w:ascii="Times New Roman" w:hAnsi="Times New Roman" w:eastAsia="Times New Roman" w:cs="Times New Roman"/>
                <w:spacing w:val="-6"/>
              </w:rPr>
              <w:t>16hm</w:t>
            </w:r>
            <w:r>
              <w:rPr>
                <w:rFonts w:ascii="Times New Roman" w:hAnsi="Times New Roman" w:eastAsia="Times New Roman" w:cs="Times New Roman"/>
                <w:spacing w:val="-6"/>
                <w:position w:val="7"/>
                <w:sz w:val="15"/>
                <w:szCs w:val="15"/>
              </w:rPr>
              <w:t>2</w:t>
            </w:r>
          </w:p>
        </w:tc>
      </w:tr>
      <w:tr w14:paraId="154EDC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1" w:hRule="atLeast"/>
        </w:trPr>
        <w:tc>
          <w:tcPr>
            <w:tcW w:w="1824" w:type="dxa"/>
            <w:tcBorders>
              <w:left w:val="single" w:color="000000" w:sz="6" w:space="0"/>
            </w:tcBorders>
            <w:vAlign w:val="top"/>
          </w:tcPr>
          <w:p w14:paraId="51D6B859">
            <w:pPr>
              <w:spacing w:line="423" w:lineRule="auto"/>
              <w:rPr>
                <w:rFonts w:ascii="Arial"/>
                <w:sz w:val="21"/>
              </w:rPr>
            </w:pPr>
          </w:p>
          <w:p w14:paraId="088003F5">
            <w:pPr>
              <w:pStyle w:val="9"/>
              <w:spacing w:before="78" w:line="220" w:lineRule="auto"/>
              <w:ind w:left="433"/>
              <w:outlineLvl w:val="1"/>
            </w:pPr>
            <w:r>
              <w:rPr>
                <w:spacing w:val="-4"/>
              </w:rPr>
              <w:t>建设性质</w:t>
            </w:r>
          </w:p>
        </w:tc>
        <w:tc>
          <w:tcPr>
            <w:tcW w:w="2321" w:type="dxa"/>
            <w:vAlign w:val="top"/>
          </w:tcPr>
          <w:p w14:paraId="4F3E22B6">
            <w:pPr>
              <w:pStyle w:val="9"/>
              <w:spacing w:before="38" w:line="220" w:lineRule="auto"/>
              <w:ind w:left="15"/>
              <w:outlineLvl w:val="1"/>
            </w:pPr>
            <w:r>
              <w:rPr>
                <w:rFonts w:hint="eastAsia" w:ascii="MS UI Gothic" w:hAnsi="MS UI Gothic" w:cs="MS UI Gothic"/>
                <w:spacing w:val="-3"/>
                <w:lang w:eastAsia="zh-CN"/>
              </w:rPr>
              <w:t>□</w:t>
            </w:r>
            <w:r>
              <w:rPr>
                <w:spacing w:val="-3"/>
              </w:rPr>
              <w:t>新建（迁建）</w:t>
            </w:r>
          </w:p>
          <w:p w14:paraId="18AE1580">
            <w:pPr>
              <w:pStyle w:val="9"/>
              <w:spacing w:before="26" w:line="219" w:lineRule="auto"/>
              <w:ind w:left="14"/>
              <w:outlineLvl w:val="1"/>
            </w:pPr>
            <w:r>
              <w:rPr>
                <w:rFonts w:hint="eastAsia" w:ascii="Times New Roman" w:hAnsi="Times New Roman" w:cs="Times New Roman"/>
                <w:spacing w:val="-12"/>
                <w:lang w:eastAsia="zh-CN"/>
              </w:rPr>
              <w:t>□</w:t>
            </w:r>
            <w:r>
              <w:rPr>
                <w:rFonts w:ascii="Times New Roman" w:hAnsi="Times New Roman" w:eastAsia="Times New Roman" w:cs="Times New Roman"/>
                <w:spacing w:val="-44"/>
              </w:rPr>
              <w:t xml:space="preserve"> </w:t>
            </w:r>
            <w:r>
              <w:rPr>
                <w:spacing w:val="-12"/>
              </w:rPr>
              <w:t>改建</w:t>
            </w:r>
          </w:p>
          <w:p w14:paraId="10002002">
            <w:pPr>
              <w:pStyle w:val="9"/>
              <w:spacing w:before="24" w:line="220" w:lineRule="auto"/>
              <w:ind w:left="14"/>
              <w:outlineLvl w:val="1"/>
              <w:rPr>
                <w:color w:val="auto"/>
              </w:rPr>
            </w:pPr>
            <w:r>
              <w:rPr>
                <w:rFonts w:hint="eastAsia" w:ascii="Times New Roman" w:hAnsi="Times New Roman" w:cs="Times New Roman"/>
                <w:color w:val="auto"/>
                <w:spacing w:val="-7"/>
                <w:lang w:eastAsia="zh-CN"/>
              </w:rPr>
              <w:t>□</w:t>
            </w:r>
            <w:r>
              <w:rPr>
                <w:color w:val="auto"/>
                <w:spacing w:val="-7"/>
              </w:rPr>
              <w:t>扩建</w:t>
            </w:r>
          </w:p>
          <w:p w14:paraId="7A4D4B7B">
            <w:pPr>
              <w:pStyle w:val="9"/>
              <w:spacing w:before="26" w:line="219" w:lineRule="auto"/>
              <w:ind w:left="14"/>
              <w:outlineLvl w:val="1"/>
            </w:pPr>
            <w:r>
              <w:rPr>
                <w:rFonts w:hint="eastAsia" w:ascii="Times New Roman" w:hAnsi="Times New Roman" w:cs="Times New Roman"/>
                <w:spacing w:val="-4"/>
                <w:lang w:eastAsia="zh-CN"/>
              </w:rPr>
              <w:t>□</w:t>
            </w:r>
            <w:r>
              <w:rPr>
                <w:spacing w:val="-4"/>
              </w:rPr>
              <w:t>技术改造</w:t>
            </w:r>
          </w:p>
        </w:tc>
        <w:tc>
          <w:tcPr>
            <w:tcW w:w="2014" w:type="dxa"/>
            <w:vAlign w:val="top"/>
          </w:tcPr>
          <w:p w14:paraId="685D78AD">
            <w:pPr>
              <w:spacing w:line="271" w:lineRule="auto"/>
              <w:rPr>
                <w:rFonts w:ascii="Arial"/>
                <w:sz w:val="21"/>
              </w:rPr>
            </w:pPr>
          </w:p>
          <w:p w14:paraId="4C701A04">
            <w:pPr>
              <w:pStyle w:val="9"/>
              <w:spacing w:before="78" w:line="220" w:lineRule="auto"/>
              <w:ind w:left="537"/>
              <w:outlineLvl w:val="1"/>
            </w:pPr>
            <w:r>
              <w:rPr>
                <w:spacing w:val="-4"/>
              </w:rPr>
              <w:t>建设项目</w:t>
            </w:r>
          </w:p>
          <w:p w14:paraId="346EDF85">
            <w:pPr>
              <w:pStyle w:val="9"/>
              <w:spacing w:before="23" w:line="219" w:lineRule="auto"/>
              <w:ind w:left="565"/>
              <w:outlineLvl w:val="1"/>
            </w:pPr>
            <w:r>
              <w:rPr>
                <w:spacing w:val="-11"/>
              </w:rPr>
              <w:t>申报情形</w:t>
            </w:r>
          </w:p>
        </w:tc>
        <w:tc>
          <w:tcPr>
            <w:tcW w:w="3111" w:type="dxa"/>
            <w:tcBorders>
              <w:right w:val="single" w:color="000000" w:sz="6" w:space="0"/>
            </w:tcBorders>
            <w:vAlign w:val="top"/>
          </w:tcPr>
          <w:p w14:paraId="53231548">
            <w:pPr>
              <w:pStyle w:val="9"/>
              <w:spacing w:before="39" w:line="230" w:lineRule="auto"/>
              <w:ind w:left="23"/>
              <w:outlineLvl w:val="1"/>
            </w:pPr>
            <w:r>
              <w:rPr>
                <w:rFonts w:ascii="MS UI Gothic" w:hAnsi="MS UI Gothic" w:eastAsia="MS UI Gothic" w:cs="MS UI Gothic"/>
                <w:spacing w:val="-7"/>
              </w:rPr>
              <w:t>☑</w:t>
            </w:r>
            <w:r>
              <w:rPr>
                <w:spacing w:val="-7"/>
              </w:rPr>
              <w:t>首次申报项目</w:t>
            </w:r>
          </w:p>
          <w:p w14:paraId="3B707F2C">
            <w:pPr>
              <w:pStyle w:val="9"/>
              <w:spacing w:before="12" w:line="219" w:lineRule="auto"/>
              <w:ind w:left="20"/>
              <w:outlineLvl w:val="1"/>
            </w:pPr>
            <w:r>
              <w:rPr>
                <w:rFonts w:ascii="Times New Roman" w:hAnsi="Times New Roman" w:eastAsia="Times New Roman" w:cs="Times New Roman"/>
                <w:spacing w:val="-2"/>
              </w:rPr>
              <w:t>□</w:t>
            </w:r>
            <w:r>
              <w:rPr>
                <w:spacing w:val="-2"/>
              </w:rPr>
              <w:t>不予批准后再次申报项目</w:t>
            </w:r>
          </w:p>
          <w:p w14:paraId="54D7F0C3">
            <w:pPr>
              <w:pStyle w:val="9"/>
              <w:spacing w:before="24" w:line="219" w:lineRule="auto"/>
              <w:ind w:left="20"/>
              <w:outlineLvl w:val="1"/>
            </w:pPr>
            <w:r>
              <w:rPr>
                <w:rFonts w:ascii="Times New Roman" w:hAnsi="Times New Roman" w:eastAsia="Times New Roman" w:cs="Times New Roman"/>
                <w:spacing w:val="-2"/>
              </w:rPr>
              <w:t>□</w:t>
            </w:r>
            <w:r>
              <w:rPr>
                <w:spacing w:val="-2"/>
              </w:rPr>
              <w:t>超五年重新审核项目</w:t>
            </w:r>
          </w:p>
          <w:p w14:paraId="5D3ABD12">
            <w:pPr>
              <w:pStyle w:val="9"/>
              <w:spacing w:before="27" w:line="219" w:lineRule="auto"/>
              <w:ind w:left="20"/>
              <w:outlineLvl w:val="1"/>
            </w:pPr>
            <w:r>
              <w:rPr>
                <w:rFonts w:ascii="Times New Roman" w:hAnsi="Times New Roman" w:eastAsia="Times New Roman" w:cs="Times New Roman"/>
                <w:spacing w:val="-2"/>
              </w:rPr>
              <w:t>□</w:t>
            </w:r>
            <w:r>
              <w:rPr>
                <w:spacing w:val="-2"/>
              </w:rPr>
              <w:t>重大变动重新报批项目</w:t>
            </w:r>
          </w:p>
        </w:tc>
      </w:tr>
      <w:tr w14:paraId="3BFB80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9" w:hRule="atLeast"/>
        </w:trPr>
        <w:tc>
          <w:tcPr>
            <w:tcW w:w="1824" w:type="dxa"/>
            <w:tcBorders>
              <w:left w:val="single" w:color="000000" w:sz="6" w:space="0"/>
            </w:tcBorders>
            <w:vAlign w:val="top"/>
          </w:tcPr>
          <w:p w14:paraId="46781108">
            <w:pPr>
              <w:pStyle w:val="9"/>
              <w:spacing w:before="34" w:line="220" w:lineRule="auto"/>
              <w:ind w:left="43"/>
              <w:outlineLvl w:val="1"/>
              <w:rPr>
                <w:rFonts w:ascii="Times New Roman" w:hAnsi="Times New Roman" w:eastAsia="Times New Roman" w:cs="Times New Roman"/>
              </w:rPr>
            </w:pPr>
            <w:r>
              <w:rPr>
                <w:spacing w:val="-2"/>
              </w:rPr>
              <w:t>项目审批（核准</w:t>
            </w:r>
            <w:r>
              <w:rPr>
                <w:rFonts w:ascii="Times New Roman" w:hAnsi="Times New Roman" w:eastAsia="Times New Roman" w:cs="Times New Roman"/>
                <w:spacing w:val="-2"/>
              </w:rPr>
              <w:t>/</w:t>
            </w:r>
          </w:p>
          <w:p w14:paraId="3020B433">
            <w:pPr>
              <w:pStyle w:val="9"/>
              <w:spacing w:before="22" w:line="233" w:lineRule="auto"/>
              <w:ind w:left="672" w:right="72" w:hanging="599"/>
              <w:outlineLvl w:val="1"/>
            </w:pPr>
            <w:r>
              <w:rPr>
                <w:spacing w:val="-2"/>
              </w:rPr>
              <w:t>备案）部门（选</w:t>
            </w:r>
            <w:r>
              <w:rPr>
                <w:spacing w:val="-6"/>
              </w:rPr>
              <w:t>填）</w:t>
            </w:r>
          </w:p>
        </w:tc>
        <w:tc>
          <w:tcPr>
            <w:tcW w:w="2321" w:type="dxa"/>
            <w:vAlign w:val="top"/>
          </w:tcPr>
          <w:p w14:paraId="3DA14DA9">
            <w:pPr>
              <w:pStyle w:val="9"/>
              <w:spacing w:before="187" w:line="242" w:lineRule="auto"/>
              <w:ind w:left="932" w:right="82" w:hanging="849"/>
              <w:outlineLvl w:val="1"/>
            </w:pPr>
            <w:r>
              <w:rPr>
                <w:spacing w:val="-2"/>
              </w:rPr>
              <w:t>通辽市发展和改革委</w:t>
            </w:r>
            <w:r>
              <w:rPr>
                <w:spacing w:val="-10"/>
              </w:rPr>
              <w:t>员会</w:t>
            </w:r>
          </w:p>
        </w:tc>
        <w:tc>
          <w:tcPr>
            <w:tcW w:w="2014" w:type="dxa"/>
            <w:vAlign w:val="top"/>
          </w:tcPr>
          <w:p w14:paraId="45D445A0">
            <w:pPr>
              <w:pStyle w:val="9"/>
              <w:spacing w:before="188" w:line="220" w:lineRule="auto"/>
              <w:ind w:left="144"/>
              <w:outlineLvl w:val="1"/>
              <w:rPr>
                <w:rFonts w:ascii="Times New Roman" w:hAnsi="Times New Roman" w:eastAsia="Times New Roman" w:cs="Times New Roman"/>
              </w:rPr>
            </w:pPr>
            <w:r>
              <w:rPr>
                <w:spacing w:val="-2"/>
              </w:rPr>
              <w:t>项目审批（核准</w:t>
            </w:r>
            <w:r>
              <w:rPr>
                <w:rFonts w:ascii="Times New Roman" w:hAnsi="Times New Roman" w:eastAsia="Times New Roman" w:cs="Times New Roman"/>
                <w:spacing w:val="-2"/>
              </w:rPr>
              <w:t>/</w:t>
            </w:r>
          </w:p>
          <w:p w14:paraId="4CB67556">
            <w:pPr>
              <w:pStyle w:val="9"/>
              <w:spacing w:before="26" w:line="220" w:lineRule="auto"/>
              <w:jc w:val="right"/>
              <w:outlineLvl w:val="1"/>
            </w:pPr>
            <w:r>
              <w:rPr>
                <w:spacing w:val="-19"/>
              </w:rPr>
              <w:t>备案）文号（选填）</w:t>
            </w:r>
          </w:p>
        </w:tc>
        <w:tc>
          <w:tcPr>
            <w:tcW w:w="3111" w:type="dxa"/>
            <w:tcBorders>
              <w:right w:val="single" w:color="000000" w:sz="6" w:space="0"/>
            </w:tcBorders>
            <w:vAlign w:val="top"/>
          </w:tcPr>
          <w:p w14:paraId="51C5F8EC">
            <w:pPr>
              <w:spacing w:line="264" w:lineRule="auto"/>
              <w:rPr>
                <w:rFonts w:ascii="Arial"/>
                <w:sz w:val="21"/>
              </w:rPr>
            </w:pPr>
          </w:p>
          <w:p w14:paraId="3C6FB767">
            <w:pPr>
              <w:pStyle w:val="9"/>
              <w:spacing w:before="78" w:line="210" w:lineRule="auto"/>
              <w:ind w:left="188"/>
              <w:outlineLvl w:val="1"/>
            </w:pPr>
            <w:r>
              <w:t>通发改能源字</w:t>
            </w:r>
            <w:r>
              <w:rPr>
                <w:rFonts w:ascii="Times New Roman" w:hAnsi="Times New Roman" w:eastAsia="Times New Roman" w:cs="Times New Roman"/>
              </w:rPr>
              <w:t>[</w:t>
            </w:r>
            <w:r>
              <w:fldChar w:fldCharType="begin"/>
            </w:r>
            <w:r>
              <w:instrText xml:space="preserve"> HYPERLINK \l "bookmark1" </w:instrText>
            </w:r>
            <w:r>
              <w:fldChar w:fldCharType="separate"/>
            </w:r>
            <w:r>
              <w:rPr>
                <w:rFonts w:ascii="Times New Roman" w:hAnsi="Times New Roman" w:eastAsia="Times New Roman" w:cs="Times New Roman"/>
              </w:rPr>
              <w:t>2013</w:t>
            </w:r>
            <w:r>
              <w:rPr>
                <w:rFonts w:ascii="Times New Roman" w:hAnsi="Times New Roman" w:eastAsia="Times New Roman" w:cs="Times New Roman"/>
              </w:rPr>
              <w:fldChar w:fldCharType="end"/>
            </w:r>
            <w:r>
              <w:rPr>
                <w:rFonts w:ascii="Times New Roman" w:hAnsi="Times New Roman" w:eastAsia="Times New Roman" w:cs="Times New Roman"/>
              </w:rPr>
              <w:t xml:space="preserve">]727 </w:t>
            </w:r>
            <w:r>
              <w:t>号</w:t>
            </w:r>
          </w:p>
        </w:tc>
      </w:tr>
      <w:tr w14:paraId="3705BC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3" w:hRule="atLeast"/>
        </w:trPr>
        <w:tc>
          <w:tcPr>
            <w:tcW w:w="1824" w:type="dxa"/>
            <w:tcBorders>
              <w:left w:val="single" w:color="000000" w:sz="6" w:space="0"/>
            </w:tcBorders>
            <w:vAlign w:val="top"/>
          </w:tcPr>
          <w:p w14:paraId="47E9A487">
            <w:pPr>
              <w:pStyle w:val="9"/>
              <w:spacing w:before="165" w:line="220" w:lineRule="auto"/>
              <w:ind w:left="77"/>
              <w:outlineLvl w:val="1"/>
            </w:pPr>
            <w:r>
              <w:rPr>
                <w:spacing w:val="-3"/>
              </w:rPr>
              <w:t>总投资（万元）</w:t>
            </w:r>
          </w:p>
        </w:tc>
        <w:tc>
          <w:tcPr>
            <w:tcW w:w="2321" w:type="dxa"/>
            <w:vAlign w:val="top"/>
          </w:tcPr>
          <w:p w14:paraId="3B0A4FE2">
            <w:pPr>
              <w:spacing w:before="204" w:line="188" w:lineRule="auto"/>
              <w:ind w:left="924"/>
              <w:outlineLvl w:val="1"/>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6145</w:t>
            </w:r>
          </w:p>
        </w:tc>
        <w:tc>
          <w:tcPr>
            <w:tcW w:w="2014" w:type="dxa"/>
            <w:vAlign w:val="top"/>
          </w:tcPr>
          <w:p w14:paraId="2DAA65B8">
            <w:pPr>
              <w:pStyle w:val="9"/>
              <w:spacing w:before="165" w:line="220" w:lineRule="auto"/>
              <w:ind w:left="54"/>
              <w:outlineLvl w:val="1"/>
            </w:pPr>
            <w:r>
              <w:rPr>
                <w:spacing w:val="-2"/>
              </w:rPr>
              <w:t>环保投资（万元）</w:t>
            </w:r>
          </w:p>
        </w:tc>
        <w:tc>
          <w:tcPr>
            <w:tcW w:w="3111" w:type="dxa"/>
            <w:tcBorders>
              <w:right w:val="single" w:color="000000" w:sz="6" w:space="0"/>
            </w:tcBorders>
            <w:vAlign w:val="top"/>
          </w:tcPr>
          <w:p w14:paraId="65D9D2AF">
            <w:pPr>
              <w:spacing w:before="204" w:line="188" w:lineRule="auto"/>
              <w:ind w:left="1350"/>
              <w:outlineLvl w:val="1"/>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99.1</w:t>
            </w:r>
          </w:p>
        </w:tc>
      </w:tr>
      <w:tr w14:paraId="45EDEF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5" w:hRule="atLeast"/>
        </w:trPr>
        <w:tc>
          <w:tcPr>
            <w:tcW w:w="1824" w:type="dxa"/>
            <w:tcBorders>
              <w:left w:val="single" w:color="000000" w:sz="6" w:space="0"/>
            </w:tcBorders>
            <w:vAlign w:val="top"/>
          </w:tcPr>
          <w:p w14:paraId="49954B84">
            <w:pPr>
              <w:pStyle w:val="9"/>
              <w:spacing w:before="164" w:line="304" w:lineRule="auto"/>
              <w:ind w:left="583" w:right="192" w:hanging="393"/>
              <w:outlineLvl w:val="1"/>
            </w:pPr>
            <w:r>
              <w:rPr>
                <w:spacing w:val="-2"/>
              </w:rPr>
              <w:t>环保投资占比</w:t>
            </w:r>
            <w:r>
              <w:rPr>
                <w:spacing w:val="-7"/>
              </w:rPr>
              <w:t>（</w:t>
            </w:r>
            <w:r>
              <w:rPr>
                <w:rFonts w:ascii="Times New Roman" w:hAnsi="Times New Roman" w:eastAsia="Times New Roman" w:cs="Times New Roman"/>
                <w:spacing w:val="-7"/>
              </w:rPr>
              <w:t>%</w:t>
            </w:r>
            <w:r>
              <w:rPr>
                <w:spacing w:val="-7"/>
              </w:rPr>
              <w:t>）</w:t>
            </w:r>
          </w:p>
        </w:tc>
        <w:tc>
          <w:tcPr>
            <w:tcW w:w="2321" w:type="dxa"/>
            <w:vAlign w:val="top"/>
          </w:tcPr>
          <w:p w14:paraId="187D7358">
            <w:pPr>
              <w:spacing w:line="366" w:lineRule="auto"/>
              <w:rPr>
                <w:rFonts w:ascii="Arial"/>
                <w:sz w:val="21"/>
              </w:rPr>
            </w:pPr>
          </w:p>
          <w:p w14:paraId="6943CDBF">
            <w:pPr>
              <w:spacing w:before="69" w:line="188" w:lineRule="auto"/>
              <w:ind w:left="872"/>
              <w:outlineLvl w:val="1"/>
              <w:rPr>
                <w:rFonts w:ascii="Times New Roman" w:hAnsi="Times New Roman" w:eastAsia="Times New Roman" w:cs="Times New Roman"/>
                <w:sz w:val="24"/>
                <w:szCs w:val="24"/>
              </w:rPr>
            </w:pPr>
            <w:r>
              <w:rPr>
                <w:rFonts w:ascii="Times New Roman" w:hAnsi="Times New Roman" w:eastAsia="Times New Roman" w:cs="Times New Roman"/>
                <w:spacing w:val="-6"/>
                <w:sz w:val="24"/>
                <w:szCs w:val="24"/>
              </w:rPr>
              <w:t>1.61%</w:t>
            </w:r>
          </w:p>
        </w:tc>
        <w:tc>
          <w:tcPr>
            <w:tcW w:w="2014" w:type="dxa"/>
            <w:vAlign w:val="top"/>
          </w:tcPr>
          <w:p w14:paraId="450C0B23">
            <w:pPr>
              <w:spacing w:line="316" w:lineRule="auto"/>
              <w:rPr>
                <w:rFonts w:ascii="Arial"/>
                <w:sz w:val="21"/>
              </w:rPr>
            </w:pPr>
          </w:p>
          <w:p w14:paraId="0C6D3E08">
            <w:pPr>
              <w:pStyle w:val="9"/>
              <w:spacing w:before="78" w:line="220" w:lineRule="auto"/>
              <w:ind w:left="533"/>
              <w:outlineLvl w:val="1"/>
            </w:pPr>
            <w:r>
              <w:rPr>
                <w:spacing w:val="-3"/>
              </w:rPr>
              <w:t>施工工期</w:t>
            </w:r>
          </w:p>
        </w:tc>
        <w:tc>
          <w:tcPr>
            <w:tcW w:w="3111" w:type="dxa"/>
            <w:tcBorders>
              <w:right w:val="single" w:color="000000" w:sz="6" w:space="0"/>
            </w:tcBorders>
            <w:vAlign w:val="top"/>
          </w:tcPr>
          <w:p w14:paraId="4F58B3D4">
            <w:pPr>
              <w:spacing w:line="317" w:lineRule="auto"/>
              <w:rPr>
                <w:rFonts w:ascii="Arial"/>
                <w:sz w:val="21"/>
              </w:rPr>
            </w:pPr>
          </w:p>
          <w:p w14:paraId="7B68A610">
            <w:pPr>
              <w:pStyle w:val="9"/>
              <w:spacing w:before="78" w:line="219" w:lineRule="auto"/>
              <w:ind w:left="1188"/>
              <w:outlineLvl w:val="1"/>
            </w:pPr>
            <w:r>
              <w:rPr>
                <w:rFonts w:ascii="Times New Roman" w:hAnsi="Times New Roman" w:eastAsia="Times New Roman" w:cs="Times New Roman"/>
                <w:spacing w:val="-10"/>
              </w:rPr>
              <w:t>12</w:t>
            </w:r>
            <w:r>
              <w:rPr>
                <w:rFonts w:ascii="Times New Roman" w:hAnsi="Times New Roman" w:eastAsia="Times New Roman" w:cs="Times New Roman"/>
                <w:spacing w:val="10"/>
              </w:rPr>
              <w:t xml:space="preserve"> </w:t>
            </w:r>
            <w:r>
              <w:rPr>
                <w:spacing w:val="-10"/>
              </w:rPr>
              <w:t>个月</w:t>
            </w:r>
          </w:p>
        </w:tc>
      </w:tr>
      <w:tr w14:paraId="4F26D6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8" w:hRule="atLeast"/>
        </w:trPr>
        <w:tc>
          <w:tcPr>
            <w:tcW w:w="1824" w:type="dxa"/>
            <w:vMerge w:val="restart"/>
            <w:tcBorders>
              <w:left w:val="single" w:color="000000" w:sz="6" w:space="0"/>
              <w:bottom w:val="nil"/>
            </w:tcBorders>
            <w:vAlign w:val="top"/>
          </w:tcPr>
          <w:p w14:paraId="34D68BB4">
            <w:pPr>
              <w:spacing w:line="243" w:lineRule="auto"/>
              <w:rPr>
                <w:rFonts w:ascii="Arial"/>
                <w:sz w:val="21"/>
              </w:rPr>
            </w:pPr>
          </w:p>
          <w:p w14:paraId="0951E566">
            <w:pPr>
              <w:spacing w:line="243" w:lineRule="auto"/>
              <w:rPr>
                <w:rFonts w:ascii="Arial"/>
                <w:sz w:val="21"/>
              </w:rPr>
            </w:pPr>
          </w:p>
          <w:p w14:paraId="4D9E5F0C">
            <w:pPr>
              <w:spacing w:line="243" w:lineRule="auto"/>
              <w:rPr>
                <w:rFonts w:ascii="Arial"/>
                <w:sz w:val="21"/>
              </w:rPr>
            </w:pPr>
          </w:p>
          <w:p w14:paraId="4CE1E60F">
            <w:pPr>
              <w:spacing w:line="243" w:lineRule="auto"/>
              <w:rPr>
                <w:rFonts w:ascii="Arial"/>
                <w:sz w:val="21"/>
              </w:rPr>
            </w:pPr>
          </w:p>
          <w:p w14:paraId="520E4CFA">
            <w:pPr>
              <w:spacing w:line="243" w:lineRule="auto"/>
              <w:rPr>
                <w:rFonts w:ascii="Arial"/>
                <w:sz w:val="21"/>
              </w:rPr>
            </w:pPr>
          </w:p>
          <w:p w14:paraId="41ACD9D0">
            <w:pPr>
              <w:spacing w:line="244" w:lineRule="auto"/>
              <w:rPr>
                <w:rFonts w:ascii="Arial"/>
                <w:sz w:val="21"/>
              </w:rPr>
            </w:pPr>
          </w:p>
          <w:p w14:paraId="4E2BBE83">
            <w:pPr>
              <w:spacing w:line="244" w:lineRule="auto"/>
              <w:rPr>
                <w:rFonts w:ascii="Arial"/>
                <w:sz w:val="21"/>
              </w:rPr>
            </w:pPr>
          </w:p>
          <w:p w14:paraId="0BA0F448">
            <w:pPr>
              <w:spacing w:line="244" w:lineRule="auto"/>
              <w:rPr>
                <w:rFonts w:ascii="Arial"/>
                <w:sz w:val="21"/>
              </w:rPr>
            </w:pPr>
          </w:p>
          <w:p w14:paraId="6895F0D6">
            <w:pPr>
              <w:pStyle w:val="9"/>
              <w:spacing w:before="78" w:line="220" w:lineRule="auto"/>
              <w:ind w:left="194"/>
              <w:outlineLvl w:val="1"/>
            </w:pPr>
            <w:r>
              <w:rPr>
                <w:spacing w:val="-3"/>
              </w:rPr>
              <w:t>是否开工建设</w:t>
            </w:r>
          </w:p>
        </w:tc>
        <w:tc>
          <w:tcPr>
            <w:tcW w:w="7446" w:type="dxa"/>
            <w:gridSpan w:val="3"/>
            <w:tcBorders>
              <w:bottom w:val="single" w:color="000000" w:sz="4" w:space="0"/>
              <w:right w:val="single" w:color="000000" w:sz="6" w:space="0"/>
            </w:tcBorders>
            <w:vAlign w:val="top"/>
          </w:tcPr>
          <w:p w14:paraId="583833F3">
            <w:pPr>
              <w:pStyle w:val="9"/>
              <w:spacing w:before="158" w:line="220" w:lineRule="auto"/>
              <w:ind w:left="30"/>
              <w:outlineLvl w:val="1"/>
            </w:pPr>
            <w:r>
              <w:rPr>
                <w:spacing w:val="-17"/>
              </w:rPr>
              <w:t>□否</w:t>
            </w:r>
          </w:p>
          <w:p w14:paraId="546C5672">
            <w:pPr>
              <w:pStyle w:val="9"/>
              <w:spacing w:before="183" w:line="219" w:lineRule="auto"/>
              <w:ind w:left="15"/>
              <w:outlineLvl w:val="1"/>
              <w:rPr>
                <w:rFonts w:ascii="Times New Roman" w:hAnsi="Times New Roman" w:eastAsia="Times New Roman" w:cs="Times New Roman"/>
              </w:rPr>
            </w:pPr>
            <w:r>
              <w:rPr>
                <w:rFonts w:ascii="MS Gothic" w:hAnsi="MS Gothic" w:eastAsia="MS Gothic" w:cs="MS Gothic"/>
                <w:spacing w:val="-2"/>
              </w:rPr>
              <w:t>☑</w:t>
            </w:r>
            <w:r>
              <w:rPr>
                <w:spacing w:val="-2"/>
              </w:rPr>
              <w:t>是：</w:t>
            </w:r>
            <w:r>
              <w:rPr>
                <w:spacing w:val="-2"/>
                <w:u w:val="single" w:color="auto"/>
              </w:rPr>
              <w:t>本项目实际已建成，升压站于</w:t>
            </w:r>
            <w:r>
              <w:rPr>
                <w:spacing w:val="-55"/>
                <w:u w:val="single" w:color="auto"/>
              </w:rPr>
              <w:t xml:space="preserve"> </w:t>
            </w:r>
            <w:r>
              <w:rPr>
                <w:rFonts w:ascii="Times New Roman" w:hAnsi="Times New Roman" w:eastAsia="Times New Roman" w:cs="Times New Roman"/>
                <w:spacing w:val="-2"/>
                <w:u w:val="single" w:color="auto"/>
              </w:rPr>
              <w:t xml:space="preserve">2012 </w:t>
            </w:r>
            <w:r>
              <w:rPr>
                <w:spacing w:val="-2"/>
                <w:u w:val="single" w:color="auto"/>
              </w:rPr>
              <w:t>年</w:t>
            </w:r>
            <w:r>
              <w:rPr>
                <w:spacing w:val="-50"/>
                <w:u w:val="single" w:color="auto"/>
              </w:rPr>
              <w:t xml:space="preserve"> </w:t>
            </w:r>
            <w:r>
              <w:rPr>
                <w:rFonts w:ascii="Times New Roman" w:hAnsi="Times New Roman" w:eastAsia="Times New Roman" w:cs="Times New Roman"/>
                <w:spacing w:val="-2"/>
                <w:u w:val="single" w:color="auto"/>
              </w:rPr>
              <w:t>9</w:t>
            </w:r>
            <w:r>
              <w:rPr>
                <w:rFonts w:ascii="Times New Roman" w:hAnsi="Times New Roman" w:eastAsia="Times New Roman" w:cs="Times New Roman"/>
                <w:spacing w:val="15"/>
                <w:u w:val="single" w:color="auto"/>
              </w:rPr>
              <w:t xml:space="preserve"> </w:t>
            </w:r>
            <w:r>
              <w:rPr>
                <w:spacing w:val="-2"/>
                <w:u w:val="single" w:color="auto"/>
              </w:rPr>
              <w:t>月开工建设</w:t>
            </w:r>
            <w:r>
              <w:rPr>
                <w:spacing w:val="-3"/>
                <w:u w:val="single" w:color="auto"/>
              </w:rPr>
              <w:t>，</w:t>
            </w:r>
            <w:r>
              <w:rPr>
                <w:rFonts w:ascii="Times New Roman" w:hAnsi="Times New Roman" w:eastAsia="Times New Roman" w:cs="Times New Roman"/>
                <w:spacing w:val="-3"/>
                <w:u w:val="single" w:color="auto"/>
              </w:rPr>
              <w:t xml:space="preserve">2014 </w:t>
            </w:r>
            <w:r>
              <w:rPr>
                <w:spacing w:val="-3"/>
                <w:u w:val="single" w:color="auto"/>
              </w:rPr>
              <w:t>年</w:t>
            </w:r>
            <w:r>
              <w:rPr>
                <w:spacing w:val="-32"/>
                <w:u w:val="single" w:color="auto"/>
              </w:rPr>
              <w:t xml:space="preserve"> </w:t>
            </w:r>
            <w:r>
              <w:rPr>
                <w:rFonts w:ascii="Times New Roman" w:hAnsi="Times New Roman" w:eastAsia="Times New Roman" w:cs="Times New Roman"/>
                <w:spacing w:val="-3"/>
                <w:u w:val="single" w:color="auto"/>
              </w:rPr>
              <w:t>12</w:t>
            </w:r>
          </w:p>
          <w:p w14:paraId="6DCEA5C1">
            <w:pPr>
              <w:pStyle w:val="9"/>
              <w:spacing w:before="186" w:line="199" w:lineRule="auto"/>
              <w:ind w:left="12"/>
              <w:rPr>
                <w:rFonts w:ascii="Times New Roman" w:hAnsi="Times New Roman" w:eastAsia="Times New Roman" w:cs="Times New Roman"/>
              </w:rPr>
            </w:pPr>
            <w:r>
              <w:rPr>
                <w:spacing w:val="-1"/>
              </w:rPr>
              <w:t>月调试运行，后期于</w:t>
            </w:r>
            <w:r>
              <w:rPr>
                <w:spacing w:val="-47"/>
              </w:rPr>
              <w:t xml:space="preserve"> </w:t>
            </w:r>
            <w:r>
              <w:rPr>
                <w:rFonts w:ascii="Times New Roman" w:hAnsi="Times New Roman" w:eastAsia="Times New Roman" w:cs="Times New Roman"/>
                <w:spacing w:val="-1"/>
              </w:rPr>
              <w:t>2019</w:t>
            </w:r>
            <w:r>
              <w:rPr>
                <w:rFonts w:ascii="Times New Roman" w:hAnsi="Times New Roman" w:eastAsia="Times New Roman" w:cs="Times New Roman"/>
                <w:spacing w:val="15"/>
                <w:w w:val="101"/>
              </w:rPr>
              <w:t xml:space="preserve"> </w:t>
            </w:r>
            <w:r>
              <w:rPr>
                <w:spacing w:val="-1"/>
              </w:rPr>
              <w:t>年</w:t>
            </w:r>
            <w:r>
              <w:rPr>
                <w:spacing w:val="-52"/>
              </w:rPr>
              <w:t xml:space="preserve"> </w:t>
            </w:r>
            <w:r>
              <w:rPr>
                <w:rFonts w:ascii="Times New Roman" w:hAnsi="Times New Roman" w:eastAsia="Times New Roman" w:cs="Times New Roman"/>
                <w:spacing w:val="-1"/>
              </w:rPr>
              <w:t>4</w:t>
            </w:r>
            <w:r>
              <w:rPr>
                <w:rFonts w:ascii="Times New Roman" w:hAnsi="Times New Roman" w:eastAsia="Times New Roman" w:cs="Times New Roman"/>
                <w:spacing w:val="20"/>
                <w:w w:val="101"/>
              </w:rPr>
              <w:t xml:space="preserve"> </w:t>
            </w:r>
            <w:r>
              <w:rPr>
                <w:spacing w:val="-1"/>
              </w:rPr>
              <w:t>月及</w:t>
            </w:r>
            <w:r>
              <w:rPr>
                <w:spacing w:val="-53"/>
              </w:rPr>
              <w:t xml:space="preserve"> </w:t>
            </w:r>
            <w:r>
              <w:rPr>
                <w:rFonts w:ascii="Times New Roman" w:hAnsi="Times New Roman" w:eastAsia="Times New Roman" w:cs="Times New Roman"/>
                <w:spacing w:val="-1"/>
              </w:rPr>
              <w:t>2021</w:t>
            </w:r>
            <w:r>
              <w:rPr>
                <w:rFonts w:ascii="Times New Roman" w:hAnsi="Times New Roman" w:eastAsia="Times New Roman" w:cs="Times New Roman"/>
                <w:spacing w:val="18"/>
              </w:rPr>
              <w:t xml:space="preserve"> </w:t>
            </w:r>
            <w:r>
              <w:rPr>
                <w:spacing w:val="-1"/>
              </w:rPr>
              <w:t>年</w:t>
            </w:r>
            <w:r>
              <w:rPr>
                <w:spacing w:val="-30"/>
              </w:rPr>
              <w:t xml:space="preserve"> </w:t>
            </w:r>
            <w:r>
              <w:rPr>
                <w:rFonts w:ascii="Times New Roman" w:hAnsi="Times New Roman" w:eastAsia="Times New Roman" w:cs="Times New Roman"/>
                <w:spacing w:val="-1"/>
              </w:rPr>
              <w:t>10</w:t>
            </w:r>
            <w:r>
              <w:rPr>
                <w:rFonts w:ascii="Times New Roman" w:hAnsi="Times New Roman" w:eastAsia="Times New Roman" w:cs="Times New Roman"/>
                <w:spacing w:val="20"/>
              </w:rPr>
              <w:t xml:space="preserve"> </w:t>
            </w:r>
            <w:r>
              <w:rPr>
                <w:spacing w:val="-1"/>
              </w:rPr>
              <w:t>月进行两次扩建，</w:t>
            </w:r>
            <w:r>
              <w:rPr>
                <w:rFonts w:ascii="Times New Roman" w:hAnsi="Times New Roman" w:eastAsia="Times New Roman" w:cs="Times New Roman"/>
                <w:spacing w:val="-1"/>
              </w:rPr>
              <w:t>2023</w:t>
            </w:r>
          </w:p>
        </w:tc>
      </w:tr>
      <w:tr w14:paraId="1DAB05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824" w:type="dxa"/>
            <w:vMerge w:val="continue"/>
            <w:tcBorders>
              <w:top w:val="nil"/>
              <w:left w:val="single" w:color="000000" w:sz="6" w:space="0"/>
              <w:bottom w:val="nil"/>
            </w:tcBorders>
            <w:vAlign w:val="top"/>
          </w:tcPr>
          <w:p w14:paraId="345A05CB">
            <w:pPr>
              <w:rPr>
                <w:rFonts w:ascii="Arial"/>
                <w:sz w:val="21"/>
              </w:rPr>
            </w:pPr>
          </w:p>
        </w:tc>
        <w:tc>
          <w:tcPr>
            <w:tcW w:w="7446" w:type="dxa"/>
            <w:gridSpan w:val="3"/>
            <w:tcBorders>
              <w:top w:val="single" w:color="000000" w:sz="4" w:space="0"/>
              <w:bottom w:val="single" w:color="000000" w:sz="4" w:space="0"/>
              <w:right w:val="single" w:color="000000" w:sz="6" w:space="0"/>
            </w:tcBorders>
            <w:vAlign w:val="top"/>
          </w:tcPr>
          <w:p w14:paraId="19D8ABA7">
            <w:pPr>
              <w:pStyle w:val="9"/>
              <w:spacing w:before="191" w:line="199" w:lineRule="auto"/>
              <w:ind w:left="7"/>
            </w:pPr>
            <w:r>
              <w:rPr>
                <w:spacing w:val="-6"/>
              </w:rPr>
              <w:t>年</w:t>
            </w:r>
            <w:r>
              <w:rPr>
                <w:spacing w:val="-31"/>
              </w:rPr>
              <w:t xml:space="preserve"> </w:t>
            </w:r>
            <w:r>
              <w:rPr>
                <w:rFonts w:ascii="Times New Roman" w:hAnsi="Times New Roman" w:eastAsia="Times New Roman" w:cs="Times New Roman"/>
                <w:spacing w:val="-6"/>
              </w:rPr>
              <w:t xml:space="preserve">11 </w:t>
            </w:r>
            <w:r>
              <w:rPr>
                <w:spacing w:val="-6"/>
              </w:rPr>
              <w:t>月整体正式投入运行，根据《关于建设项目“未批先建</w:t>
            </w:r>
            <w:r>
              <w:rPr>
                <w:spacing w:val="-88"/>
              </w:rPr>
              <w:t xml:space="preserve"> </w:t>
            </w:r>
            <w:r>
              <w:rPr>
                <w:spacing w:val="-6"/>
              </w:rPr>
              <w:t>”违法行为</w:t>
            </w:r>
          </w:p>
        </w:tc>
      </w:tr>
      <w:tr w14:paraId="12844A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1824" w:type="dxa"/>
            <w:vMerge w:val="continue"/>
            <w:tcBorders>
              <w:top w:val="nil"/>
              <w:left w:val="single" w:color="000000" w:sz="6" w:space="0"/>
              <w:bottom w:val="nil"/>
            </w:tcBorders>
            <w:vAlign w:val="top"/>
          </w:tcPr>
          <w:p w14:paraId="57AF0B00">
            <w:pPr>
              <w:rPr>
                <w:rFonts w:ascii="Arial"/>
                <w:sz w:val="21"/>
              </w:rPr>
            </w:pPr>
          </w:p>
        </w:tc>
        <w:tc>
          <w:tcPr>
            <w:tcW w:w="7446" w:type="dxa"/>
            <w:gridSpan w:val="3"/>
            <w:tcBorders>
              <w:top w:val="single" w:color="000000" w:sz="4" w:space="0"/>
              <w:bottom w:val="single" w:color="000000" w:sz="4" w:space="0"/>
              <w:right w:val="single" w:color="000000" w:sz="6" w:space="0"/>
            </w:tcBorders>
            <w:vAlign w:val="top"/>
          </w:tcPr>
          <w:p w14:paraId="04A812BE">
            <w:pPr>
              <w:pStyle w:val="9"/>
              <w:spacing w:before="190" w:line="202" w:lineRule="auto"/>
              <w:ind w:left="7"/>
            </w:pPr>
            <w:r>
              <w:rPr>
                <w:spacing w:val="-2"/>
              </w:rPr>
              <w:t>法律适用问题的意见》环政法函</w:t>
            </w:r>
            <w:r>
              <w:rPr>
                <w:rFonts w:ascii="Times New Roman" w:hAnsi="Times New Roman" w:eastAsia="Times New Roman" w:cs="Times New Roman"/>
                <w:spacing w:val="-2"/>
              </w:rPr>
              <w:t>[</w:t>
            </w:r>
            <w:r>
              <w:fldChar w:fldCharType="begin"/>
            </w:r>
            <w:r>
              <w:instrText xml:space="preserve"> HYPERLINK \l "bookmark2" </w:instrText>
            </w:r>
            <w:r>
              <w:fldChar w:fldCharType="separate"/>
            </w:r>
            <w:r>
              <w:rPr>
                <w:rFonts w:ascii="Times New Roman" w:hAnsi="Times New Roman" w:eastAsia="Times New Roman" w:cs="Times New Roman"/>
                <w:spacing w:val="-2"/>
              </w:rPr>
              <w:t>2018</w:t>
            </w:r>
            <w:r>
              <w:rPr>
                <w:rFonts w:ascii="Times New Roman" w:hAnsi="Times New Roman" w:eastAsia="Times New Roman" w:cs="Times New Roman"/>
                <w:spacing w:val="-2"/>
              </w:rPr>
              <w:fldChar w:fldCharType="end"/>
            </w:r>
            <w:r>
              <w:rPr>
                <w:rFonts w:ascii="Times New Roman" w:hAnsi="Times New Roman" w:eastAsia="Times New Roman" w:cs="Times New Roman"/>
                <w:spacing w:val="-2"/>
              </w:rPr>
              <w:t xml:space="preserve">]31  </w:t>
            </w:r>
            <w:r>
              <w:rPr>
                <w:spacing w:val="-2"/>
              </w:rPr>
              <w:t>号，违法行为在二年内未被发</w:t>
            </w:r>
          </w:p>
        </w:tc>
      </w:tr>
      <w:tr w14:paraId="41792F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824" w:type="dxa"/>
            <w:vMerge w:val="continue"/>
            <w:tcBorders>
              <w:top w:val="nil"/>
              <w:left w:val="single" w:color="000000" w:sz="6" w:space="0"/>
              <w:bottom w:val="nil"/>
            </w:tcBorders>
            <w:vAlign w:val="top"/>
          </w:tcPr>
          <w:p w14:paraId="369D7827">
            <w:pPr>
              <w:rPr>
                <w:rFonts w:ascii="Arial"/>
                <w:sz w:val="21"/>
              </w:rPr>
            </w:pPr>
          </w:p>
        </w:tc>
        <w:tc>
          <w:tcPr>
            <w:tcW w:w="7446" w:type="dxa"/>
            <w:gridSpan w:val="3"/>
            <w:tcBorders>
              <w:top w:val="single" w:color="000000" w:sz="4" w:space="0"/>
              <w:bottom w:val="single" w:color="000000" w:sz="4" w:space="0"/>
              <w:right w:val="single" w:color="000000" w:sz="6" w:space="0"/>
            </w:tcBorders>
            <w:vAlign w:val="top"/>
          </w:tcPr>
          <w:p w14:paraId="3449F89D">
            <w:pPr>
              <w:pStyle w:val="9"/>
              <w:spacing w:before="187" w:line="202" w:lineRule="auto"/>
              <w:ind w:left="8"/>
            </w:pPr>
            <w:r>
              <w:rPr>
                <w:spacing w:val="-1"/>
              </w:rPr>
              <w:t>现的，不再给予行政处罚。本项目已超过二年，未给予行政处罚，同时</w:t>
            </w:r>
          </w:p>
        </w:tc>
      </w:tr>
      <w:tr w14:paraId="4B1257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trPr>
        <w:tc>
          <w:tcPr>
            <w:tcW w:w="1824" w:type="dxa"/>
            <w:vMerge w:val="continue"/>
            <w:tcBorders>
              <w:top w:val="nil"/>
              <w:left w:val="single" w:color="000000" w:sz="6" w:space="0"/>
              <w:bottom w:val="nil"/>
            </w:tcBorders>
            <w:vAlign w:val="top"/>
          </w:tcPr>
          <w:p w14:paraId="56350BC0">
            <w:pPr>
              <w:rPr>
                <w:rFonts w:ascii="Arial"/>
                <w:sz w:val="21"/>
              </w:rPr>
            </w:pPr>
          </w:p>
        </w:tc>
        <w:tc>
          <w:tcPr>
            <w:tcW w:w="7446" w:type="dxa"/>
            <w:gridSpan w:val="3"/>
            <w:tcBorders>
              <w:top w:val="single" w:color="000000" w:sz="4" w:space="0"/>
              <w:bottom w:val="single" w:color="000000" w:sz="4" w:space="0"/>
              <w:right w:val="single" w:color="000000" w:sz="6" w:space="0"/>
            </w:tcBorders>
            <w:vAlign w:val="top"/>
          </w:tcPr>
          <w:p w14:paraId="5A41E104">
            <w:pPr>
              <w:pStyle w:val="9"/>
              <w:spacing w:before="187" w:line="206" w:lineRule="auto"/>
              <w:ind w:left="7"/>
            </w:pPr>
            <w:r>
              <w:rPr>
                <w:spacing w:val="-1"/>
              </w:rPr>
              <w:t>本项目于</w:t>
            </w:r>
            <w:r>
              <w:rPr>
                <w:spacing w:val="-47"/>
              </w:rPr>
              <w:t xml:space="preserve"> </w:t>
            </w:r>
            <w:r>
              <w:rPr>
                <w:rFonts w:ascii="Times New Roman" w:hAnsi="Times New Roman" w:eastAsia="Times New Roman" w:cs="Times New Roman"/>
                <w:spacing w:val="-1"/>
              </w:rPr>
              <w:t>2026</w:t>
            </w:r>
            <w:r>
              <w:rPr>
                <w:rFonts w:ascii="Times New Roman" w:hAnsi="Times New Roman" w:eastAsia="Times New Roman" w:cs="Times New Roman"/>
                <w:spacing w:val="15"/>
              </w:rPr>
              <w:t xml:space="preserve"> </w:t>
            </w:r>
            <w:r>
              <w:rPr>
                <w:spacing w:val="-1"/>
              </w:rPr>
              <w:t>年</w:t>
            </w:r>
            <w:r>
              <w:rPr>
                <w:spacing w:val="-43"/>
              </w:rPr>
              <w:t xml:space="preserve"> </w:t>
            </w:r>
            <w:r>
              <w:rPr>
                <w:rFonts w:ascii="Times New Roman" w:hAnsi="Times New Roman" w:eastAsia="Times New Roman" w:cs="Times New Roman"/>
                <w:spacing w:val="-1"/>
              </w:rPr>
              <w:t>8</w:t>
            </w:r>
            <w:r>
              <w:rPr>
                <w:rFonts w:ascii="Times New Roman" w:hAnsi="Times New Roman" w:eastAsia="Times New Roman" w:cs="Times New Roman"/>
                <w:spacing w:val="20"/>
              </w:rPr>
              <w:t xml:space="preserve"> </w:t>
            </w:r>
            <w:r>
              <w:rPr>
                <w:spacing w:val="-1"/>
              </w:rPr>
              <w:t>月</w:t>
            </w:r>
            <w:r>
              <w:rPr>
                <w:spacing w:val="-45"/>
              </w:rPr>
              <w:t xml:space="preserve"> </w:t>
            </w:r>
            <w:r>
              <w:rPr>
                <w:rFonts w:ascii="Times New Roman" w:hAnsi="Times New Roman" w:eastAsia="Times New Roman" w:cs="Times New Roman"/>
                <w:spacing w:val="-1"/>
              </w:rPr>
              <w:t>6</w:t>
            </w:r>
            <w:r>
              <w:rPr>
                <w:rFonts w:ascii="Times New Roman" w:hAnsi="Times New Roman" w:eastAsia="Times New Roman" w:cs="Times New Roman"/>
                <w:spacing w:val="53"/>
              </w:rPr>
              <w:t xml:space="preserve"> </w:t>
            </w:r>
            <w:r>
              <w:rPr>
                <w:spacing w:val="-1"/>
              </w:rPr>
              <w:t>日取得了通辽市生态环境局出具的《通辽市生</w:t>
            </w:r>
          </w:p>
        </w:tc>
      </w:tr>
      <w:tr w14:paraId="291770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1824" w:type="dxa"/>
            <w:vMerge w:val="continue"/>
            <w:tcBorders>
              <w:top w:val="nil"/>
              <w:left w:val="single" w:color="000000" w:sz="6" w:space="0"/>
              <w:bottom w:val="nil"/>
            </w:tcBorders>
            <w:vAlign w:val="top"/>
          </w:tcPr>
          <w:p w14:paraId="40807E87">
            <w:pPr>
              <w:rPr>
                <w:rFonts w:ascii="Arial"/>
                <w:sz w:val="21"/>
              </w:rPr>
            </w:pPr>
          </w:p>
        </w:tc>
        <w:tc>
          <w:tcPr>
            <w:tcW w:w="7446" w:type="dxa"/>
            <w:gridSpan w:val="3"/>
            <w:tcBorders>
              <w:top w:val="single" w:color="000000" w:sz="4" w:space="0"/>
              <w:bottom w:val="single" w:color="000000" w:sz="4" w:space="0"/>
              <w:right w:val="single" w:color="000000" w:sz="6" w:space="0"/>
            </w:tcBorders>
            <w:vAlign w:val="top"/>
          </w:tcPr>
          <w:p w14:paraId="5E94B13B">
            <w:pPr>
              <w:pStyle w:val="9"/>
              <w:spacing w:before="183" w:line="205" w:lineRule="auto"/>
              <w:ind w:left="6"/>
            </w:pPr>
            <w:r>
              <w:rPr>
                <w:spacing w:val="-2"/>
              </w:rPr>
              <w:t>态环境局不予行政处罚决定书》（通环不罚〔</w:t>
            </w:r>
            <w:r>
              <w:rPr>
                <w:rFonts w:ascii="Times New Roman" w:hAnsi="Times New Roman" w:eastAsia="Times New Roman" w:cs="Times New Roman"/>
                <w:spacing w:val="-3"/>
              </w:rPr>
              <w:t>2026</w:t>
            </w:r>
            <w:r>
              <w:rPr>
                <w:spacing w:val="-3"/>
              </w:rPr>
              <w:t>〕</w:t>
            </w:r>
            <w:r>
              <w:rPr>
                <w:rFonts w:ascii="Times New Roman" w:hAnsi="Times New Roman" w:eastAsia="Times New Roman" w:cs="Times New Roman"/>
                <w:spacing w:val="-3"/>
              </w:rPr>
              <w:t>8-</w:t>
            </w:r>
            <w:r>
              <w:rPr>
                <w:rFonts w:ascii="Times New Roman" w:hAnsi="Times New Roman" w:eastAsia="Times New Roman" w:cs="Times New Roman"/>
                <w:spacing w:val="-32"/>
              </w:rPr>
              <w:t xml:space="preserve"> </w:t>
            </w:r>
            <w:r>
              <w:rPr>
                <w:rFonts w:ascii="Times New Roman" w:hAnsi="Times New Roman" w:eastAsia="Times New Roman" w:cs="Times New Roman"/>
                <w:spacing w:val="-3"/>
              </w:rPr>
              <w:t>16</w:t>
            </w:r>
            <w:r>
              <w:rPr>
                <w:rFonts w:ascii="Times New Roman" w:hAnsi="Times New Roman" w:eastAsia="Times New Roman" w:cs="Times New Roman"/>
                <w:spacing w:val="15"/>
                <w:w w:val="101"/>
              </w:rPr>
              <w:t xml:space="preserve"> </w:t>
            </w:r>
            <w:r>
              <w:rPr>
                <w:spacing w:val="-3"/>
              </w:rPr>
              <w:t>号</w:t>
            </w:r>
            <w:r>
              <w:t>），</w:t>
            </w:r>
            <w:r>
              <w:rPr>
                <w:spacing w:val="-3"/>
              </w:rPr>
              <w:t>对于夏</w:t>
            </w:r>
          </w:p>
        </w:tc>
      </w:tr>
      <w:tr w14:paraId="16088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rPr>
        <w:tc>
          <w:tcPr>
            <w:tcW w:w="1824" w:type="dxa"/>
            <w:vMerge w:val="continue"/>
            <w:tcBorders>
              <w:top w:val="nil"/>
              <w:left w:val="single" w:color="000000" w:sz="6" w:space="0"/>
            </w:tcBorders>
            <w:vAlign w:val="top"/>
          </w:tcPr>
          <w:p w14:paraId="6CE7AD79">
            <w:pPr>
              <w:rPr>
                <w:rFonts w:ascii="Arial"/>
                <w:sz w:val="21"/>
              </w:rPr>
            </w:pPr>
          </w:p>
        </w:tc>
        <w:tc>
          <w:tcPr>
            <w:tcW w:w="7446" w:type="dxa"/>
            <w:gridSpan w:val="3"/>
            <w:tcBorders>
              <w:top w:val="single" w:color="000000" w:sz="4" w:space="0"/>
              <w:right w:val="single" w:color="000000" w:sz="6" w:space="0"/>
            </w:tcBorders>
            <w:vAlign w:val="top"/>
          </w:tcPr>
          <w:p w14:paraId="36F87FCA">
            <w:pPr>
              <w:pStyle w:val="9"/>
              <w:spacing w:before="183" w:line="208" w:lineRule="auto"/>
              <w:ind w:left="13"/>
            </w:pPr>
            <w:r>
              <w:rPr>
                <w:spacing w:val="-1"/>
              </w:rPr>
              <w:t>营地</w:t>
            </w:r>
            <w:r>
              <w:rPr>
                <w:spacing w:val="-49"/>
              </w:rPr>
              <w:t xml:space="preserve"> </w:t>
            </w:r>
            <w:r>
              <w:rPr>
                <w:rFonts w:ascii="Times New Roman" w:hAnsi="Times New Roman" w:eastAsia="Times New Roman" w:cs="Times New Roman"/>
                <w:spacing w:val="-1"/>
              </w:rPr>
              <w:t xml:space="preserve">220kV </w:t>
            </w:r>
            <w:r>
              <w:rPr>
                <w:spacing w:val="-1"/>
              </w:rPr>
              <w:t>升压站项目未批先建违法行为决定不予行政处罚。</w:t>
            </w:r>
          </w:p>
        </w:tc>
      </w:tr>
      <w:tr w14:paraId="0E5D34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1" w:hRule="atLeast"/>
        </w:trPr>
        <w:tc>
          <w:tcPr>
            <w:tcW w:w="1824" w:type="dxa"/>
            <w:tcBorders>
              <w:left w:val="single" w:color="000000" w:sz="6" w:space="0"/>
              <w:bottom w:val="single" w:color="000000" w:sz="6" w:space="0"/>
            </w:tcBorders>
            <w:vAlign w:val="top"/>
          </w:tcPr>
          <w:p w14:paraId="7FFE1D46">
            <w:pPr>
              <w:spacing w:line="300" w:lineRule="auto"/>
              <w:rPr>
                <w:rFonts w:ascii="Arial"/>
                <w:sz w:val="21"/>
              </w:rPr>
            </w:pPr>
          </w:p>
          <w:p w14:paraId="6D37171E">
            <w:pPr>
              <w:spacing w:line="301" w:lineRule="auto"/>
              <w:rPr>
                <w:rFonts w:ascii="Arial"/>
                <w:sz w:val="21"/>
              </w:rPr>
            </w:pPr>
          </w:p>
          <w:p w14:paraId="32DBFFF4">
            <w:pPr>
              <w:pStyle w:val="9"/>
              <w:spacing w:before="78" w:line="242" w:lineRule="auto"/>
              <w:ind w:left="791" w:right="72" w:hanging="720"/>
              <w:outlineLvl w:val="1"/>
            </w:pPr>
            <w:r>
              <w:rPr>
                <w:spacing w:val="-2"/>
              </w:rPr>
              <w:t>专项评价设置情</w:t>
            </w:r>
            <w:r>
              <w:t>况</w:t>
            </w:r>
          </w:p>
        </w:tc>
        <w:tc>
          <w:tcPr>
            <w:tcW w:w="7446" w:type="dxa"/>
            <w:gridSpan w:val="3"/>
            <w:tcBorders>
              <w:bottom w:val="single" w:color="000000" w:sz="6" w:space="0"/>
              <w:right w:val="single" w:color="000000" w:sz="6" w:space="0"/>
            </w:tcBorders>
            <w:vAlign w:val="top"/>
          </w:tcPr>
          <w:p w14:paraId="1F62CD88">
            <w:pPr>
              <w:pStyle w:val="9"/>
              <w:spacing w:before="201" w:line="218" w:lineRule="auto"/>
              <w:jc w:val="right"/>
              <w:outlineLvl w:val="1"/>
            </w:pPr>
            <w:r>
              <w:rPr>
                <w:spacing w:val="-3"/>
              </w:rPr>
              <w:t>根据《环境影响评价技术导则 输变电》（</w:t>
            </w:r>
            <w:r>
              <w:rPr>
                <w:rFonts w:ascii="Times New Roman" w:hAnsi="Times New Roman" w:eastAsia="Times New Roman" w:cs="Times New Roman"/>
                <w:spacing w:val="-3"/>
              </w:rPr>
              <w:t>HJ24-2020</w:t>
            </w:r>
            <w:r>
              <w:rPr>
                <w:spacing w:val="-3"/>
              </w:rPr>
              <w:t>）附录</w:t>
            </w:r>
            <w:r>
              <w:rPr>
                <w:spacing w:val="-57"/>
              </w:rPr>
              <w:t xml:space="preserve"> </w:t>
            </w:r>
            <w:r>
              <w:rPr>
                <w:rFonts w:ascii="Times New Roman" w:hAnsi="Times New Roman" w:eastAsia="Times New Roman" w:cs="Times New Roman"/>
                <w:spacing w:val="-3"/>
              </w:rPr>
              <w:t>B.2</w:t>
            </w:r>
            <w:r>
              <w:rPr>
                <w:rFonts w:ascii="Times New Roman" w:hAnsi="Times New Roman" w:eastAsia="Times New Roman" w:cs="Times New Roman"/>
                <w:spacing w:val="-4"/>
              </w:rPr>
              <w:t>.1</w:t>
            </w:r>
            <w:r>
              <w:rPr>
                <w:spacing w:val="-4"/>
              </w:rPr>
              <w:t>，</w:t>
            </w:r>
          </w:p>
          <w:p w14:paraId="0121FDA6">
            <w:pPr>
              <w:pStyle w:val="9"/>
              <w:spacing w:before="177" w:line="310" w:lineRule="auto"/>
              <w:ind w:left="17" w:right="10"/>
              <w:jc w:val="both"/>
            </w:pPr>
            <w:r>
              <w:rPr>
                <w:spacing w:val="7"/>
              </w:rPr>
              <w:t>输变电建设项目环境影响报告表的格式和要求应设电磁环境</w:t>
            </w:r>
            <w:r>
              <w:rPr>
                <w:spacing w:val="6"/>
              </w:rPr>
              <w:t>影响专题</w:t>
            </w:r>
            <w:r>
              <w:rPr>
                <w:spacing w:val="-1"/>
              </w:rPr>
              <w:t>评价，其评价等级、评价内容与格式按照本标准有关电磁环境影</w:t>
            </w:r>
            <w:r>
              <w:rPr>
                <w:spacing w:val="-2"/>
              </w:rPr>
              <w:t>响评价</w:t>
            </w:r>
            <w:r>
              <w:rPr>
                <w:spacing w:val="-3"/>
              </w:rPr>
              <w:t>要求进行</w:t>
            </w:r>
          </w:p>
        </w:tc>
      </w:tr>
    </w:tbl>
    <w:p w14:paraId="1574A548">
      <w:pPr>
        <w:pStyle w:val="3"/>
      </w:pPr>
    </w:p>
    <w:p w14:paraId="00B9D6A6">
      <w:pPr>
        <w:sectPr>
          <w:footerReference r:id="rId5" w:type="default"/>
          <w:pgSz w:w="11906" w:h="16838"/>
          <w:pgMar w:top="1401" w:right="1377" w:bottom="1295" w:left="1243" w:header="0" w:footer="1133" w:gutter="0"/>
          <w:cols w:space="720" w:num="1"/>
        </w:sectPr>
      </w:pPr>
    </w:p>
    <w:tbl>
      <w:tblPr>
        <w:tblStyle w:val="8"/>
        <w:tblW w:w="9270"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24"/>
        <w:gridCol w:w="7446"/>
      </w:tblGrid>
      <w:tr w14:paraId="2D756E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5" w:hRule="atLeast"/>
        </w:trPr>
        <w:tc>
          <w:tcPr>
            <w:tcW w:w="1824" w:type="dxa"/>
            <w:tcBorders>
              <w:top w:val="single" w:color="000000" w:sz="6" w:space="0"/>
              <w:left w:val="single" w:color="000000" w:sz="6" w:space="0"/>
            </w:tcBorders>
            <w:vAlign w:val="top"/>
          </w:tcPr>
          <w:p w14:paraId="603ADDA5">
            <w:pPr>
              <w:pStyle w:val="9"/>
              <w:spacing w:before="136" w:line="220" w:lineRule="auto"/>
              <w:ind w:left="431"/>
              <w:outlineLvl w:val="1"/>
            </w:pPr>
            <w:r>
              <w:rPr>
                <w:spacing w:val="-3"/>
              </w:rPr>
              <w:t>规划情况</w:t>
            </w:r>
          </w:p>
        </w:tc>
        <w:tc>
          <w:tcPr>
            <w:tcW w:w="7446" w:type="dxa"/>
            <w:tcBorders>
              <w:top w:val="single" w:color="000000" w:sz="6" w:space="0"/>
              <w:right w:val="single" w:color="000000" w:sz="6" w:space="0"/>
            </w:tcBorders>
            <w:vAlign w:val="top"/>
          </w:tcPr>
          <w:p w14:paraId="4D08005F">
            <w:pPr>
              <w:pStyle w:val="9"/>
              <w:spacing w:before="191" w:line="220" w:lineRule="auto"/>
              <w:ind w:left="3608"/>
              <w:outlineLvl w:val="1"/>
            </w:pPr>
            <w:r>
              <w:t>无</w:t>
            </w:r>
          </w:p>
        </w:tc>
      </w:tr>
      <w:tr w14:paraId="25CA8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3" w:hRule="atLeast"/>
        </w:trPr>
        <w:tc>
          <w:tcPr>
            <w:tcW w:w="1824" w:type="dxa"/>
            <w:tcBorders>
              <w:left w:val="single" w:color="000000" w:sz="6" w:space="0"/>
            </w:tcBorders>
            <w:vAlign w:val="top"/>
          </w:tcPr>
          <w:p w14:paraId="5592B8EC">
            <w:pPr>
              <w:pStyle w:val="9"/>
              <w:spacing w:before="51" w:line="220" w:lineRule="auto"/>
              <w:ind w:left="191"/>
              <w:outlineLvl w:val="1"/>
            </w:pPr>
            <w:r>
              <w:rPr>
                <w:spacing w:val="-2"/>
              </w:rPr>
              <w:t>规划环境影响</w:t>
            </w:r>
          </w:p>
          <w:p w14:paraId="4B08832B">
            <w:pPr>
              <w:pStyle w:val="9"/>
              <w:spacing w:before="26" w:line="207" w:lineRule="auto"/>
              <w:ind w:left="430"/>
              <w:outlineLvl w:val="1"/>
            </w:pPr>
            <w:r>
              <w:rPr>
                <w:spacing w:val="-3"/>
              </w:rPr>
              <w:t>评价情况</w:t>
            </w:r>
          </w:p>
        </w:tc>
        <w:tc>
          <w:tcPr>
            <w:tcW w:w="7446" w:type="dxa"/>
            <w:tcBorders>
              <w:right w:val="single" w:color="000000" w:sz="6" w:space="0"/>
            </w:tcBorders>
            <w:vAlign w:val="top"/>
          </w:tcPr>
          <w:p w14:paraId="6F542B44">
            <w:pPr>
              <w:pStyle w:val="9"/>
              <w:spacing w:before="262" w:line="220" w:lineRule="auto"/>
              <w:ind w:left="3608"/>
            </w:pPr>
            <w:r>
              <w:t>无</w:t>
            </w:r>
          </w:p>
        </w:tc>
      </w:tr>
      <w:tr w14:paraId="07572B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3" w:hRule="atLeast"/>
        </w:trPr>
        <w:tc>
          <w:tcPr>
            <w:tcW w:w="1824" w:type="dxa"/>
            <w:tcBorders>
              <w:left w:val="single" w:color="000000" w:sz="6" w:space="0"/>
            </w:tcBorders>
            <w:vAlign w:val="top"/>
          </w:tcPr>
          <w:p w14:paraId="1C014B20">
            <w:pPr>
              <w:pStyle w:val="9"/>
              <w:tabs>
                <w:tab w:val="left" w:pos="673"/>
              </w:tabs>
              <w:spacing w:before="49" w:line="229" w:lineRule="auto"/>
              <w:ind w:left="70" w:right="72"/>
              <w:outlineLvl w:val="1"/>
            </w:pPr>
            <w:r>
              <w:rPr>
                <w:spacing w:val="-2"/>
              </w:rPr>
              <w:t>规划及规划环境影响评价符合性</w:t>
            </w:r>
            <w:r>
              <w:tab/>
            </w:r>
            <w:r>
              <w:rPr>
                <w:spacing w:val="-6"/>
              </w:rPr>
              <w:t>分析</w:t>
            </w:r>
          </w:p>
        </w:tc>
        <w:tc>
          <w:tcPr>
            <w:tcW w:w="7446" w:type="dxa"/>
            <w:tcBorders>
              <w:right w:val="single" w:color="000000" w:sz="6" w:space="0"/>
            </w:tcBorders>
            <w:vAlign w:val="top"/>
          </w:tcPr>
          <w:p w14:paraId="26AA0868">
            <w:pPr>
              <w:spacing w:line="336" w:lineRule="auto"/>
              <w:rPr>
                <w:rFonts w:ascii="Arial"/>
                <w:sz w:val="21"/>
              </w:rPr>
            </w:pPr>
          </w:p>
          <w:p w14:paraId="7DB679DA">
            <w:pPr>
              <w:pStyle w:val="9"/>
              <w:spacing w:before="78" w:line="220" w:lineRule="auto"/>
              <w:ind w:left="3608"/>
            </w:pPr>
            <w:r>
              <w:t>无</w:t>
            </w:r>
          </w:p>
        </w:tc>
      </w:tr>
      <w:tr w14:paraId="2241D5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41" w:hRule="atLeast"/>
        </w:trPr>
        <w:tc>
          <w:tcPr>
            <w:tcW w:w="1824" w:type="dxa"/>
            <w:tcBorders>
              <w:left w:val="single" w:color="000000" w:sz="6" w:space="0"/>
              <w:bottom w:val="single" w:color="000000" w:sz="6" w:space="0"/>
            </w:tcBorders>
            <w:vAlign w:val="top"/>
          </w:tcPr>
          <w:p w14:paraId="54EDF4AB">
            <w:pPr>
              <w:spacing w:line="242" w:lineRule="auto"/>
              <w:rPr>
                <w:rFonts w:ascii="Arial"/>
                <w:sz w:val="21"/>
              </w:rPr>
            </w:pPr>
          </w:p>
          <w:p w14:paraId="67787946">
            <w:pPr>
              <w:spacing w:line="242" w:lineRule="auto"/>
              <w:rPr>
                <w:rFonts w:ascii="Arial"/>
                <w:sz w:val="21"/>
              </w:rPr>
            </w:pPr>
          </w:p>
          <w:p w14:paraId="61B8A9BC">
            <w:pPr>
              <w:spacing w:line="242" w:lineRule="auto"/>
              <w:rPr>
                <w:rFonts w:ascii="Arial"/>
                <w:sz w:val="21"/>
              </w:rPr>
            </w:pPr>
          </w:p>
          <w:p w14:paraId="108A8A56">
            <w:pPr>
              <w:spacing w:line="243" w:lineRule="auto"/>
              <w:rPr>
                <w:rFonts w:ascii="Arial"/>
                <w:sz w:val="21"/>
              </w:rPr>
            </w:pPr>
          </w:p>
          <w:p w14:paraId="0DF13E5E">
            <w:pPr>
              <w:spacing w:line="243" w:lineRule="auto"/>
              <w:rPr>
                <w:rFonts w:ascii="Arial"/>
                <w:sz w:val="21"/>
              </w:rPr>
            </w:pPr>
          </w:p>
          <w:p w14:paraId="581E5727">
            <w:pPr>
              <w:spacing w:line="243" w:lineRule="auto"/>
              <w:rPr>
                <w:rFonts w:ascii="Arial"/>
                <w:sz w:val="21"/>
              </w:rPr>
            </w:pPr>
          </w:p>
          <w:p w14:paraId="58B7F15C">
            <w:pPr>
              <w:spacing w:line="243" w:lineRule="auto"/>
              <w:rPr>
                <w:rFonts w:ascii="Arial"/>
                <w:sz w:val="21"/>
              </w:rPr>
            </w:pPr>
          </w:p>
          <w:p w14:paraId="7C78389B">
            <w:pPr>
              <w:spacing w:line="243" w:lineRule="auto"/>
              <w:rPr>
                <w:rFonts w:ascii="Arial"/>
                <w:sz w:val="21"/>
              </w:rPr>
            </w:pPr>
          </w:p>
          <w:p w14:paraId="32FC7797">
            <w:pPr>
              <w:spacing w:line="243" w:lineRule="auto"/>
              <w:rPr>
                <w:rFonts w:ascii="Arial"/>
                <w:sz w:val="21"/>
              </w:rPr>
            </w:pPr>
          </w:p>
          <w:p w14:paraId="515A9A39">
            <w:pPr>
              <w:spacing w:line="243" w:lineRule="auto"/>
              <w:rPr>
                <w:rFonts w:ascii="Arial"/>
                <w:sz w:val="21"/>
              </w:rPr>
            </w:pPr>
          </w:p>
          <w:p w14:paraId="724D1E3D">
            <w:pPr>
              <w:spacing w:line="243" w:lineRule="auto"/>
              <w:rPr>
                <w:rFonts w:ascii="Arial"/>
                <w:sz w:val="21"/>
              </w:rPr>
            </w:pPr>
          </w:p>
          <w:p w14:paraId="20401157">
            <w:pPr>
              <w:spacing w:line="243" w:lineRule="auto"/>
              <w:rPr>
                <w:rFonts w:ascii="Arial"/>
                <w:sz w:val="21"/>
              </w:rPr>
            </w:pPr>
          </w:p>
          <w:p w14:paraId="1ACC4C36">
            <w:pPr>
              <w:spacing w:line="243" w:lineRule="auto"/>
              <w:rPr>
                <w:rFonts w:ascii="Arial"/>
                <w:sz w:val="21"/>
              </w:rPr>
            </w:pPr>
          </w:p>
          <w:p w14:paraId="444CD311">
            <w:pPr>
              <w:spacing w:line="243" w:lineRule="auto"/>
              <w:rPr>
                <w:rFonts w:ascii="Arial"/>
                <w:sz w:val="21"/>
              </w:rPr>
            </w:pPr>
          </w:p>
          <w:p w14:paraId="6BBF3EBD">
            <w:pPr>
              <w:spacing w:line="243" w:lineRule="auto"/>
              <w:rPr>
                <w:rFonts w:ascii="Arial"/>
                <w:sz w:val="21"/>
              </w:rPr>
            </w:pPr>
          </w:p>
          <w:p w14:paraId="0BA46470">
            <w:pPr>
              <w:spacing w:line="243" w:lineRule="auto"/>
              <w:rPr>
                <w:rFonts w:ascii="Arial"/>
                <w:sz w:val="21"/>
              </w:rPr>
            </w:pPr>
          </w:p>
          <w:p w14:paraId="6B6DD4A6">
            <w:pPr>
              <w:spacing w:line="243" w:lineRule="auto"/>
              <w:rPr>
                <w:rFonts w:ascii="Arial"/>
                <w:sz w:val="21"/>
              </w:rPr>
            </w:pPr>
          </w:p>
          <w:p w14:paraId="23619464">
            <w:pPr>
              <w:spacing w:line="243" w:lineRule="auto"/>
              <w:rPr>
                <w:rFonts w:ascii="Arial"/>
                <w:sz w:val="21"/>
              </w:rPr>
            </w:pPr>
          </w:p>
          <w:p w14:paraId="47F3F352">
            <w:pPr>
              <w:spacing w:line="243" w:lineRule="auto"/>
              <w:rPr>
                <w:rFonts w:ascii="Arial"/>
                <w:sz w:val="21"/>
              </w:rPr>
            </w:pPr>
          </w:p>
          <w:p w14:paraId="1995F1AC">
            <w:pPr>
              <w:spacing w:line="243" w:lineRule="auto"/>
              <w:rPr>
                <w:rFonts w:ascii="Arial"/>
                <w:sz w:val="21"/>
              </w:rPr>
            </w:pPr>
          </w:p>
          <w:p w14:paraId="66D6128C">
            <w:pPr>
              <w:spacing w:line="243" w:lineRule="auto"/>
              <w:rPr>
                <w:rFonts w:ascii="Arial"/>
                <w:sz w:val="21"/>
              </w:rPr>
            </w:pPr>
          </w:p>
          <w:p w14:paraId="7719CEF3">
            <w:pPr>
              <w:spacing w:line="243" w:lineRule="auto"/>
              <w:rPr>
                <w:rFonts w:ascii="Arial"/>
                <w:sz w:val="21"/>
              </w:rPr>
            </w:pPr>
          </w:p>
          <w:p w14:paraId="45BC0D08">
            <w:pPr>
              <w:spacing w:line="243" w:lineRule="auto"/>
              <w:rPr>
                <w:rFonts w:ascii="Arial"/>
                <w:sz w:val="21"/>
              </w:rPr>
            </w:pPr>
          </w:p>
          <w:p w14:paraId="1C770DB3">
            <w:pPr>
              <w:pStyle w:val="9"/>
              <w:spacing w:before="78" w:line="219" w:lineRule="auto"/>
              <w:ind w:left="71"/>
              <w:outlineLvl w:val="1"/>
            </w:pPr>
            <w:r>
              <w:rPr>
                <w:spacing w:val="-2"/>
              </w:rPr>
              <w:t>其他符合性分析</w:t>
            </w:r>
          </w:p>
        </w:tc>
        <w:tc>
          <w:tcPr>
            <w:tcW w:w="7446" w:type="dxa"/>
            <w:tcBorders>
              <w:bottom w:val="single" w:color="000000" w:sz="6" w:space="0"/>
              <w:right w:val="single" w:color="000000" w:sz="6" w:space="0"/>
            </w:tcBorders>
            <w:vAlign w:val="top"/>
          </w:tcPr>
          <w:p w14:paraId="675E58E4">
            <w:pPr>
              <w:pStyle w:val="9"/>
              <w:spacing w:before="190" w:line="219" w:lineRule="auto"/>
              <w:ind w:left="502"/>
            </w:pPr>
            <w:r>
              <w:rPr>
                <w:b/>
                <w:bCs/>
                <w:spacing w:val="-3"/>
              </w:rPr>
              <w:t>一、产业政策符合性分析</w:t>
            </w:r>
          </w:p>
          <w:p w14:paraId="3A1DE311">
            <w:pPr>
              <w:pStyle w:val="9"/>
              <w:spacing w:before="183" w:line="361" w:lineRule="auto"/>
              <w:ind w:left="18" w:right="10" w:firstLine="480"/>
              <w:jc w:val="both"/>
            </w:pPr>
            <w:r>
              <w:rPr>
                <w:spacing w:val="-3"/>
              </w:rPr>
              <w:t>根据《产业结构调整指导目录（</w:t>
            </w:r>
            <w:r>
              <w:rPr>
                <w:rFonts w:ascii="Times New Roman" w:hAnsi="Times New Roman" w:eastAsia="Times New Roman" w:cs="Times New Roman"/>
                <w:spacing w:val="-3"/>
              </w:rPr>
              <w:t xml:space="preserve">2024 </w:t>
            </w:r>
            <w:r>
              <w:rPr>
                <w:spacing w:val="-3"/>
              </w:rPr>
              <w:t>年本）》，本项目不属于限制</w:t>
            </w:r>
            <w:r>
              <w:rPr>
                <w:spacing w:val="-4"/>
              </w:rPr>
              <w:t>和淘汰类项目，属“第一类 鼓励类</w:t>
            </w:r>
            <w:r>
              <w:rPr>
                <w:rFonts w:ascii="Times New Roman" w:hAnsi="Times New Roman" w:eastAsia="Times New Roman" w:cs="Times New Roman"/>
                <w:spacing w:val="-4"/>
              </w:rPr>
              <w:t>-</w:t>
            </w:r>
            <w:r>
              <w:rPr>
                <w:spacing w:val="-4"/>
              </w:rPr>
              <w:t>四、电力</w:t>
            </w:r>
            <w:r>
              <w:rPr>
                <w:rFonts w:ascii="Times New Roman" w:hAnsi="Times New Roman" w:eastAsia="Times New Roman" w:cs="Times New Roman"/>
                <w:spacing w:val="-4"/>
              </w:rPr>
              <w:t>-2</w:t>
            </w:r>
            <w:r>
              <w:rPr>
                <w:rFonts w:ascii="Times New Roman" w:hAnsi="Times New Roman" w:eastAsia="Times New Roman" w:cs="Times New Roman"/>
                <w:spacing w:val="-16"/>
              </w:rPr>
              <w:t xml:space="preserve"> </w:t>
            </w:r>
            <w:r>
              <w:rPr>
                <w:spacing w:val="-4"/>
              </w:rPr>
              <w:t>、电力基础设施建设</w:t>
            </w:r>
            <w:r>
              <w:rPr>
                <w:rFonts w:ascii="Times New Roman" w:hAnsi="Times New Roman" w:eastAsia="Times New Roman" w:cs="Times New Roman"/>
                <w:spacing w:val="-4"/>
              </w:rPr>
              <w:t>”</w:t>
            </w:r>
            <w:r>
              <w:rPr>
                <w:rFonts w:ascii="Times New Roman" w:hAnsi="Times New Roman" w:eastAsia="Times New Roman" w:cs="Times New Roman"/>
                <w:spacing w:val="-29"/>
              </w:rPr>
              <w:t xml:space="preserve"> </w:t>
            </w:r>
            <w:r>
              <w:rPr>
                <w:spacing w:val="-4"/>
              </w:rPr>
              <w:t>中</w:t>
            </w:r>
            <w:r>
              <w:rPr>
                <w:spacing w:val="-1"/>
              </w:rPr>
              <w:t>的项目。因此，本项目符合国家相关产业政策的要求。本项目</w:t>
            </w:r>
            <w:r>
              <w:rPr>
                <w:spacing w:val="-2"/>
              </w:rPr>
              <w:t>取得了通</w:t>
            </w:r>
            <w:r>
              <w:rPr>
                <w:spacing w:val="1"/>
              </w:rPr>
              <w:t>辽市发展和改革委员会《关于中电投霍林河循环经济示范工程</w:t>
            </w:r>
            <w:r>
              <w:rPr>
                <w:spacing w:val="-26"/>
              </w:rPr>
              <w:t xml:space="preserve"> </w:t>
            </w:r>
            <w:r>
              <w:rPr>
                <w:rFonts w:ascii="Times New Roman" w:hAnsi="Times New Roman" w:eastAsia="Times New Roman" w:cs="Times New Roman"/>
                <w:spacing w:val="1"/>
              </w:rPr>
              <w:t>80</w:t>
            </w:r>
            <w:r>
              <w:rPr>
                <w:rFonts w:ascii="Times New Roman" w:hAnsi="Times New Roman" w:eastAsia="Times New Roman" w:cs="Times New Roman"/>
                <w:spacing w:val="20"/>
                <w:w w:val="101"/>
              </w:rPr>
              <w:t xml:space="preserve"> </w:t>
            </w:r>
            <w:r>
              <w:rPr>
                <w:spacing w:val="1"/>
              </w:rPr>
              <w:t>万千</w:t>
            </w:r>
            <w:r>
              <w:rPr>
                <w:spacing w:val="2"/>
              </w:rPr>
              <w:t>瓦就地消纳风电项目核准的批复》（通发改能源字</w:t>
            </w:r>
            <w:r>
              <w:rPr>
                <w:rFonts w:ascii="Times New Roman" w:hAnsi="Times New Roman" w:eastAsia="Times New Roman" w:cs="Times New Roman"/>
                <w:spacing w:val="2"/>
              </w:rPr>
              <w:t>[</w:t>
            </w:r>
            <w:r>
              <w:fldChar w:fldCharType="begin"/>
            </w:r>
            <w:r>
              <w:instrText xml:space="preserve"> HYPERLINK \l "bookmark3" </w:instrText>
            </w:r>
            <w:r>
              <w:fldChar w:fldCharType="separate"/>
            </w:r>
            <w:r>
              <w:rPr>
                <w:rFonts w:ascii="Times New Roman" w:hAnsi="Times New Roman" w:eastAsia="Times New Roman" w:cs="Times New Roman"/>
                <w:spacing w:val="2"/>
              </w:rPr>
              <w:t>2013</w:t>
            </w:r>
            <w:r>
              <w:rPr>
                <w:rFonts w:ascii="Times New Roman" w:hAnsi="Times New Roman" w:eastAsia="Times New Roman" w:cs="Times New Roman"/>
                <w:spacing w:val="2"/>
              </w:rPr>
              <w:fldChar w:fldCharType="end"/>
            </w:r>
            <w:r>
              <w:rPr>
                <w:rFonts w:ascii="Times New Roman" w:hAnsi="Times New Roman" w:eastAsia="Times New Roman" w:cs="Times New Roman"/>
                <w:spacing w:val="1"/>
              </w:rPr>
              <w:t>]727</w:t>
            </w:r>
            <w:r>
              <w:rPr>
                <w:rFonts w:ascii="Times New Roman" w:hAnsi="Times New Roman" w:eastAsia="Times New Roman" w:cs="Times New Roman"/>
                <w:spacing w:val="17"/>
                <w:w w:val="101"/>
              </w:rPr>
              <w:t xml:space="preserve"> </w:t>
            </w:r>
            <w:r>
              <w:rPr>
                <w:spacing w:val="1"/>
              </w:rPr>
              <w:t>号</w:t>
            </w:r>
            <w:r>
              <w:rPr>
                <w:spacing w:val="14"/>
              </w:rPr>
              <w:t>），</w:t>
            </w:r>
            <w:r>
              <w:rPr>
                <w:spacing w:val="1"/>
              </w:rPr>
              <w:t>该核准包含一期</w:t>
            </w:r>
            <w:r>
              <w:rPr>
                <w:rFonts w:ascii="Times New Roman" w:hAnsi="Times New Roman" w:eastAsia="Times New Roman" w:cs="Times New Roman"/>
                <w:spacing w:val="1"/>
              </w:rPr>
              <w:t>~</w:t>
            </w:r>
            <w:r>
              <w:rPr>
                <w:spacing w:val="1"/>
              </w:rPr>
              <w:t>五期风电项目，本项目属于“</w:t>
            </w:r>
            <w:r>
              <w:rPr>
                <w:spacing w:val="-76"/>
              </w:rPr>
              <w:t xml:space="preserve"> </w:t>
            </w:r>
            <w:r>
              <w:rPr>
                <w:spacing w:val="1"/>
              </w:rPr>
              <w:t>内蒙古霍林河循环经济示</w:t>
            </w:r>
            <w:r>
              <w:rPr>
                <w:spacing w:val="-3"/>
              </w:rPr>
              <w:t>范工程</w:t>
            </w:r>
            <w:r>
              <w:rPr>
                <w:spacing w:val="-46"/>
              </w:rPr>
              <w:t xml:space="preserve"> </w:t>
            </w:r>
            <w:r>
              <w:rPr>
                <w:rFonts w:ascii="Times New Roman" w:hAnsi="Times New Roman" w:eastAsia="Times New Roman" w:cs="Times New Roman"/>
                <w:spacing w:val="-3"/>
              </w:rPr>
              <w:t>80</w:t>
            </w:r>
            <w:r>
              <w:rPr>
                <w:rFonts w:ascii="Times New Roman" w:hAnsi="Times New Roman" w:eastAsia="Times New Roman" w:cs="Times New Roman"/>
                <w:spacing w:val="16"/>
              </w:rPr>
              <w:t xml:space="preserve"> </w:t>
            </w:r>
            <w:r>
              <w:rPr>
                <w:spacing w:val="-3"/>
              </w:rPr>
              <w:t>万千瓦就地消纳风电示范项目（一期</w:t>
            </w:r>
            <w:r>
              <w:rPr>
                <w:rFonts w:ascii="Times New Roman" w:hAnsi="Times New Roman" w:eastAsia="Times New Roman" w:cs="Times New Roman"/>
                <w:spacing w:val="-3"/>
              </w:rPr>
              <w:t>~</w:t>
            </w:r>
            <w:r>
              <w:rPr>
                <w:rFonts w:ascii="Times New Roman" w:hAnsi="Times New Roman" w:eastAsia="Times New Roman" w:cs="Times New Roman"/>
                <w:spacing w:val="-29"/>
              </w:rPr>
              <w:t xml:space="preserve"> </w:t>
            </w:r>
            <w:r>
              <w:rPr>
                <w:spacing w:val="-4"/>
              </w:rPr>
              <w:t>四期）”及“霍林河循</w:t>
            </w:r>
            <w:r>
              <w:rPr>
                <w:spacing w:val="-1"/>
              </w:rPr>
              <w:t>环经济示范工程续建（第五期）</w:t>
            </w:r>
            <w:r>
              <w:rPr>
                <w:rFonts w:ascii="Times New Roman" w:hAnsi="Times New Roman" w:eastAsia="Times New Roman" w:cs="Times New Roman"/>
                <w:spacing w:val="-1"/>
              </w:rPr>
              <w:t xml:space="preserve">200MW  </w:t>
            </w:r>
            <w:r>
              <w:rPr>
                <w:spacing w:val="-1"/>
              </w:rPr>
              <w:t>风电项目</w:t>
            </w:r>
            <w:r>
              <w:rPr>
                <w:spacing w:val="-81"/>
              </w:rPr>
              <w:t xml:space="preserve"> </w:t>
            </w:r>
            <w:r>
              <w:rPr>
                <w:spacing w:val="-1"/>
              </w:rPr>
              <w:t>”配套升压站工程，项目的建设符合地方产业政策。</w:t>
            </w:r>
          </w:p>
          <w:p w14:paraId="327476A8">
            <w:pPr>
              <w:pStyle w:val="9"/>
              <w:spacing w:line="219" w:lineRule="auto"/>
              <w:ind w:left="502"/>
            </w:pPr>
            <w:r>
              <w:rPr>
                <w:b/>
                <w:bCs/>
                <w:spacing w:val="-2"/>
              </w:rPr>
              <w:t>二、与《内蒙古自治区</w:t>
            </w:r>
            <w:r>
              <w:rPr>
                <w:rFonts w:ascii="Times New Roman" w:hAnsi="Times New Roman" w:eastAsia="Times New Roman" w:cs="Times New Roman"/>
                <w:b/>
                <w:bCs/>
                <w:spacing w:val="-2"/>
              </w:rPr>
              <w:t>“</w:t>
            </w:r>
            <w:r>
              <w:rPr>
                <w:b/>
                <w:bCs/>
                <w:spacing w:val="-2"/>
              </w:rPr>
              <w:t>十四五</w:t>
            </w:r>
            <w:r>
              <w:rPr>
                <w:rFonts w:ascii="Times New Roman" w:hAnsi="Times New Roman" w:eastAsia="Times New Roman" w:cs="Times New Roman"/>
                <w:b/>
                <w:bCs/>
                <w:spacing w:val="-2"/>
              </w:rPr>
              <w:t>”</w:t>
            </w:r>
            <w:r>
              <w:rPr>
                <w:b/>
                <w:bCs/>
                <w:spacing w:val="-2"/>
              </w:rPr>
              <w:t>生态环境保护规划》相符性分析</w:t>
            </w:r>
          </w:p>
          <w:p w14:paraId="386F9B76">
            <w:pPr>
              <w:pStyle w:val="9"/>
              <w:spacing w:before="172" w:line="353" w:lineRule="auto"/>
              <w:ind w:left="23" w:right="10" w:firstLine="475"/>
              <w:jc w:val="both"/>
            </w:pPr>
            <w:r>
              <w:rPr>
                <w:spacing w:val="-4"/>
              </w:rPr>
              <w:t>根据</w:t>
            </w:r>
            <w:r>
              <w:rPr>
                <w:spacing w:val="-49"/>
              </w:rPr>
              <w:t xml:space="preserve"> </w:t>
            </w:r>
            <w:r>
              <w:rPr>
                <w:rFonts w:ascii="Times New Roman" w:hAnsi="Times New Roman" w:eastAsia="Times New Roman" w:cs="Times New Roman"/>
                <w:spacing w:val="-4"/>
              </w:rPr>
              <w:t xml:space="preserve">2021 </w:t>
            </w:r>
            <w:r>
              <w:rPr>
                <w:spacing w:val="-4"/>
              </w:rPr>
              <w:t>年</w:t>
            </w:r>
            <w:r>
              <w:rPr>
                <w:spacing w:val="-50"/>
              </w:rPr>
              <w:t xml:space="preserve"> </w:t>
            </w:r>
            <w:r>
              <w:rPr>
                <w:rFonts w:ascii="Times New Roman" w:hAnsi="Times New Roman" w:eastAsia="Times New Roman" w:cs="Times New Roman"/>
                <w:spacing w:val="-4"/>
              </w:rPr>
              <w:t>9</w:t>
            </w:r>
            <w:r>
              <w:rPr>
                <w:rFonts w:ascii="Times New Roman" w:hAnsi="Times New Roman" w:eastAsia="Times New Roman" w:cs="Times New Roman"/>
                <w:spacing w:val="15"/>
              </w:rPr>
              <w:t xml:space="preserve"> </w:t>
            </w:r>
            <w:r>
              <w:rPr>
                <w:spacing w:val="-4"/>
              </w:rPr>
              <w:t>月</w:t>
            </w:r>
            <w:r>
              <w:rPr>
                <w:spacing w:val="-55"/>
              </w:rPr>
              <w:t xml:space="preserve"> </w:t>
            </w:r>
            <w:r>
              <w:rPr>
                <w:rFonts w:ascii="Times New Roman" w:hAnsi="Times New Roman" w:eastAsia="Times New Roman" w:cs="Times New Roman"/>
                <w:spacing w:val="-4"/>
              </w:rPr>
              <w:t xml:space="preserve">26  </w:t>
            </w:r>
            <w:r>
              <w:rPr>
                <w:spacing w:val="-4"/>
              </w:rPr>
              <w:t>日内蒙古自治区人民政府办公厅关于印发《内</w:t>
            </w:r>
            <w:r>
              <w:t>蒙古自治区</w:t>
            </w:r>
            <w:r>
              <w:rPr>
                <w:rFonts w:ascii="Times New Roman" w:hAnsi="Times New Roman" w:eastAsia="Times New Roman" w:cs="Times New Roman"/>
              </w:rPr>
              <w:t>“</w:t>
            </w:r>
            <w:r>
              <w:t>十四五</w:t>
            </w:r>
            <w:r>
              <w:rPr>
                <w:rFonts w:ascii="Times New Roman" w:hAnsi="Times New Roman" w:eastAsia="Times New Roman" w:cs="Times New Roman"/>
              </w:rPr>
              <w:t>”</w:t>
            </w:r>
            <w:r>
              <w:t>生态环境保护规划》（内政办发</w:t>
            </w:r>
            <w:r>
              <w:rPr>
                <w:rFonts w:ascii="Times New Roman" w:hAnsi="Times New Roman" w:eastAsia="Times New Roman" w:cs="Times New Roman"/>
              </w:rPr>
              <w:t>[</w:t>
            </w:r>
            <w:r>
              <w:fldChar w:fldCharType="begin"/>
            </w:r>
            <w:r>
              <w:instrText xml:space="preserve"> HYPERLINK \l "bookmark4" </w:instrText>
            </w:r>
            <w:r>
              <w:fldChar w:fldCharType="separate"/>
            </w:r>
            <w:r>
              <w:rPr>
                <w:rFonts w:ascii="Times New Roman" w:hAnsi="Times New Roman" w:eastAsia="Times New Roman" w:cs="Times New Roman"/>
              </w:rPr>
              <w:t>202</w:t>
            </w:r>
            <w:r>
              <w:rPr>
                <w:rFonts w:ascii="Times New Roman" w:hAnsi="Times New Roman" w:eastAsia="Times New Roman" w:cs="Times New Roman"/>
                <w:spacing w:val="-1"/>
              </w:rPr>
              <w:t>1</w:t>
            </w:r>
            <w:r>
              <w:rPr>
                <w:rFonts w:ascii="Times New Roman" w:hAnsi="Times New Roman" w:eastAsia="Times New Roman" w:cs="Times New Roman"/>
                <w:spacing w:val="-1"/>
              </w:rPr>
              <w:fldChar w:fldCharType="end"/>
            </w:r>
            <w:r>
              <w:rPr>
                <w:rFonts w:ascii="Times New Roman" w:hAnsi="Times New Roman" w:eastAsia="Times New Roman" w:cs="Times New Roman"/>
                <w:spacing w:val="-1"/>
              </w:rPr>
              <w:t>]51</w:t>
            </w:r>
            <w:r>
              <w:rPr>
                <w:rFonts w:ascii="Times New Roman" w:hAnsi="Times New Roman" w:eastAsia="Times New Roman" w:cs="Times New Roman"/>
                <w:spacing w:val="15"/>
                <w:w w:val="101"/>
              </w:rPr>
              <w:t xml:space="preserve"> </w:t>
            </w:r>
            <w:r>
              <w:rPr>
                <w:spacing w:val="-1"/>
              </w:rPr>
              <w:t>号）的通</w:t>
            </w:r>
            <w:r>
              <w:rPr>
                <w:spacing w:val="-3"/>
              </w:rPr>
              <w:t>知中的规定：</w:t>
            </w:r>
          </w:p>
          <w:p w14:paraId="7CF455F6">
            <w:pPr>
              <w:pStyle w:val="9"/>
              <w:spacing w:before="4" w:line="220" w:lineRule="auto"/>
              <w:ind w:left="509"/>
            </w:pPr>
            <w:r>
              <w:rPr>
                <w:spacing w:val="-2"/>
              </w:rPr>
              <w:t>（</w:t>
            </w:r>
            <w:r>
              <w:rPr>
                <w:rFonts w:ascii="Times New Roman" w:hAnsi="Times New Roman" w:eastAsia="Times New Roman" w:cs="Times New Roman"/>
                <w:spacing w:val="-2"/>
              </w:rPr>
              <w:t>1</w:t>
            </w:r>
            <w:r>
              <w:rPr>
                <w:spacing w:val="-2"/>
              </w:rPr>
              <w:t>）</w:t>
            </w:r>
            <w:r>
              <w:rPr>
                <w:rFonts w:ascii="Times New Roman" w:hAnsi="Times New Roman" w:eastAsia="Times New Roman" w:cs="Times New Roman"/>
                <w:spacing w:val="-2"/>
              </w:rPr>
              <w:t>“</w:t>
            </w:r>
            <w:r>
              <w:rPr>
                <w:spacing w:val="-2"/>
              </w:rPr>
              <w:t>十四五</w:t>
            </w:r>
            <w:r>
              <w:rPr>
                <w:rFonts w:ascii="Times New Roman" w:hAnsi="Times New Roman" w:eastAsia="Times New Roman" w:cs="Times New Roman"/>
                <w:spacing w:val="-2"/>
              </w:rPr>
              <w:t>”</w:t>
            </w:r>
            <w:r>
              <w:rPr>
                <w:rFonts w:ascii="Times New Roman" w:hAnsi="Times New Roman" w:eastAsia="Times New Roman" w:cs="Times New Roman"/>
                <w:spacing w:val="-36"/>
              </w:rPr>
              <w:t xml:space="preserve"> </w:t>
            </w:r>
            <w:r>
              <w:rPr>
                <w:spacing w:val="-2"/>
              </w:rPr>
              <w:t>时期，生态环境保护主要目标为：</w:t>
            </w:r>
          </w:p>
          <w:p w14:paraId="6071BA15">
            <w:pPr>
              <w:pStyle w:val="9"/>
              <w:spacing w:before="175" w:line="217" w:lineRule="auto"/>
              <w:ind w:left="497"/>
            </w:pPr>
            <w:r>
              <w:rPr>
                <w:spacing w:val="-1"/>
              </w:rPr>
              <w:t>①生态优先、绿色发展取得实质性进展；</w:t>
            </w:r>
          </w:p>
          <w:p w14:paraId="6E8907AA">
            <w:pPr>
              <w:pStyle w:val="9"/>
              <w:spacing w:before="178" w:line="217" w:lineRule="auto"/>
              <w:ind w:left="496"/>
            </w:pPr>
            <w:r>
              <w:rPr>
                <w:spacing w:val="-1"/>
              </w:rPr>
              <w:t>②生态环境质量持续改善；</w:t>
            </w:r>
          </w:p>
          <w:p w14:paraId="6C353CC4">
            <w:pPr>
              <w:pStyle w:val="9"/>
              <w:spacing w:before="177" w:line="217" w:lineRule="auto"/>
              <w:ind w:left="496"/>
            </w:pPr>
            <w:r>
              <w:rPr>
                <w:spacing w:val="-1"/>
              </w:rPr>
              <w:t>③生态系统质量和稳定性稳步提升；</w:t>
            </w:r>
          </w:p>
          <w:p w14:paraId="40DBB1BE">
            <w:pPr>
              <w:pStyle w:val="9"/>
              <w:spacing w:before="178" w:line="217" w:lineRule="auto"/>
              <w:ind w:left="496"/>
            </w:pPr>
            <w:r>
              <w:rPr>
                <w:spacing w:val="-1"/>
              </w:rPr>
              <w:t>④环境风险得到有效控制；</w:t>
            </w:r>
          </w:p>
          <w:p w14:paraId="170C22DB">
            <w:pPr>
              <w:pStyle w:val="9"/>
              <w:spacing w:before="179" w:line="217" w:lineRule="auto"/>
              <w:ind w:left="496"/>
            </w:pPr>
            <w:r>
              <w:rPr>
                <w:spacing w:val="-1"/>
              </w:rPr>
              <w:t>⑤生态环境治理体系和治理能力现代化基本实现。</w:t>
            </w:r>
          </w:p>
          <w:p w14:paraId="5F3692BB">
            <w:pPr>
              <w:pStyle w:val="9"/>
              <w:spacing w:before="177" w:line="354" w:lineRule="auto"/>
              <w:ind w:left="21" w:right="11" w:firstLine="488"/>
            </w:pPr>
            <w:r>
              <w:rPr>
                <w:spacing w:val="-1"/>
              </w:rPr>
              <w:t>（</w:t>
            </w:r>
            <w:r>
              <w:rPr>
                <w:rFonts w:ascii="Times New Roman" w:hAnsi="Times New Roman" w:eastAsia="Times New Roman" w:cs="Times New Roman"/>
                <w:spacing w:val="-1"/>
              </w:rPr>
              <w:t>2</w:t>
            </w:r>
            <w:r>
              <w:rPr>
                <w:spacing w:val="-1"/>
              </w:rPr>
              <w:t>）本项目建设的</w:t>
            </w:r>
            <w:r>
              <w:rPr>
                <w:spacing w:val="-14"/>
              </w:rPr>
              <w:t xml:space="preserve"> </w:t>
            </w:r>
            <w:r>
              <w:rPr>
                <w:rFonts w:ascii="Times New Roman" w:hAnsi="Times New Roman" w:eastAsia="Times New Roman" w:cs="Times New Roman"/>
                <w:spacing w:val="-1"/>
              </w:rPr>
              <w:t xml:space="preserve">1 </w:t>
            </w:r>
            <w:r>
              <w:rPr>
                <w:spacing w:val="-1"/>
              </w:rPr>
              <w:t>座</w:t>
            </w:r>
            <w:r>
              <w:rPr>
                <w:spacing w:val="-53"/>
              </w:rPr>
              <w:t xml:space="preserve"> </w:t>
            </w:r>
            <w:r>
              <w:rPr>
                <w:rFonts w:ascii="Times New Roman" w:hAnsi="Times New Roman" w:eastAsia="Times New Roman" w:cs="Times New Roman"/>
                <w:spacing w:val="-1"/>
              </w:rPr>
              <w:t xml:space="preserve">220kV </w:t>
            </w:r>
            <w:r>
              <w:rPr>
                <w:spacing w:val="-1"/>
              </w:rPr>
              <w:t>升压站工程属于输变电工程，项目为新建。按照《内蒙古自治区</w:t>
            </w:r>
            <w:r>
              <w:rPr>
                <w:rFonts w:ascii="Times New Roman" w:hAnsi="Times New Roman" w:eastAsia="Times New Roman" w:cs="Times New Roman"/>
                <w:spacing w:val="-1"/>
              </w:rPr>
              <w:t>“</w:t>
            </w:r>
            <w:r>
              <w:rPr>
                <w:spacing w:val="-1"/>
              </w:rPr>
              <w:t>十四五</w:t>
            </w:r>
            <w:r>
              <w:rPr>
                <w:rFonts w:ascii="Times New Roman" w:hAnsi="Times New Roman" w:eastAsia="Times New Roman" w:cs="Times New Roman"/>
                <w:spacing w:val="-1"/>
              </w:rPr>
              <w:t>”</w:t>
            </w:r>
            <w:r>
              <w:rPr>
                <w:spacing w:val="-1"/>
              </w:rPr>
              <w:t>生态环境保护规划》要求：</w:t>
            </w:r>
          </w:p>
          <w:p w14:paraId="050DB358">
            <w:pPr>
              <w:pStyle w:val="9"/>
              <w:spacing w:line="217" w:lineRule="auto"/>
              <w:ind w:left="497"/>
            </w:pPr>
            <w:r>
              <w:rPr>
                <w:spacing w:val="-1"/>
              </w:rPr>
              <w:t>①有效控制电磁辐射污染；</w:t>
            </w:r>
          </w:p>
          <w:p w14:paraId="093E7A72">
            <w:pPr>
              <w:pStyle w:val="9"/>
              <w:spacing w:before="177" w:line="296" w:lineRule="auto"/>
              <w:ind w:left="18" w:right="10" w:firstLine="480"/>
            </w:pPr>
            <w:r>
              <w:rPr>
                <w:spacing w:val="7"/>
              </w:rPr>
              <w:t>使用设计合理的绝缘子和能改善绝缘子表面或沿绝缘子串电压分</w:t>
            </w:r>
            <w:r>
              <w:rPr>
                <w:spacing w:val="-1"/>
              </w:rPr>
              <w:t>布的保护装置，严格执行有关设计规程、规范，合理选用主变</w:t>
            </w:r>
            <w:r>
              <w:rPr>
                <w:spacing w:val="-2"/>
              </w:rPr>
              <w:t>，加强升</w:t>
            </w:r>
          </w:p>
        </w:tc>
      </w:tr>
    </w:tbl>
    <w:p w14:paraId="700174B5">
      <w:pPr>
        <w:pStyle w:val="3"/>
      </w:pPr>
    </w:p>
    <w:p w14:paraId="459C710F">
      <w:pPr>
        <w:sectPr>
          <w:footerReference r:id="rId6" w:type="default"/>
          <w:pgSz w:w="11906" w:h="16838"/>
          <w:pgMar w:top="1416" w:right="1377" w:bottom="1295" w:left="1243" w:header="0" w:footer="1133" w:gutter="0"/>
          <w:cols w:space="720" w:num="1"/>
        </w:sectPr>
      </w:pPr>
    </w:p>
    <w:tbl>
      <w:tblPr>
        <w:tblStyle w:val="8"/>
        <w:tblW w:w="927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824"/>
        <w:gridCol w:w="7446"/>
      </w:tblGrid>
      <w:tr w14:paraId="4FE7EB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523" w:hRule="atLeast"/>
        </w:trPr>
        <w:tc>
          <w:tcPr>
            <w:tcW w:w="1824" w:type="dxa"/>
            <w:tcBorders>
              <w:right w:val="single" w:color="000000" w:sz="2" w:space="0"/>
            </w:tcBorders>
            <w:vAlign w:val="top"/>
          </w:tcPr>
          <w:p w14:paraId="68CD1FAF">
            <w:pPr>
              <w:rPr>
                <w:rFonts w:ascii="Arial"/>
                <w:sz w:val="21"/>
              </w:rPr>
            </w:pPr>
          </w:p>
        </w:tc>
        <w:tc>
          <w:tcPr>
            <w:tcW w:w="7446" w:type="dxa"/>
            <w:tcBorders>
              <w:left w:val="single" w:color="000000" w:sz="2" w:space="0"/>
            </w:tcBorders>
            <w:vAlign w:val="top"/>
          </w:tcPr>
          <w:p w14:paraId="5E29D0AF">
            <w:pPr>
              <w:pStyle w:val="9"/>
              <w:spacing w:before="175" w:line="219" w:lineRule="auto"/>
              <w:ind w:left="19"/>
            </w:pPr>
            <w:r>
              <w:rPr>
                <w:spacing w:val="-1"/>
              </w:rPr>
              <w:t>压站日常管理和维护，站内运行保持良好的运行状态。</w:t>
            </w:r>
          </w:p>
          <w:p w14:paraId="12B46B1B">
            <w:pPr>
              <w:pStyle w:val="9"/>
              <w:spacing w:before="173" w:line="217" w:lineRule="auto"/>
              <w:ind w:left="496"/>
            </w:pPr>
            <w:r>
              <w:rPr>
                <w:spacing w:val="-1"/>
              </w:rPr>
              <w:t>②推荐低空面源污染整治。</w:t>
            </w:r>
          </w:p>
          <w:p w14:paraId="33EAF52D">
            <w:pPr>
              <w:pStyle w:val="9"/>
              <w:spacing w:before="177" w:line="354" w:lineRule="auto"/>
              <w:ind w:left="17" w:right="10" w:firstLine="480"/>
            </w:pPr>
            <w:r>
              <w:rPr>
                <w:spacing w:val="-1"/>
              </w:rPr>
              <w:t>根据环评要求，项目施工期较短，严格施工扬尘监管</w:t>
            </w:r>
            <w:r>
              <w:rPr>
                <w:spacing w:val="-2"/>
              </w:rPr>
              <w:t>，执行施工过</w:t>
            </w:r>
            <w:r>
              <w:rPr>
                <w:spacing w:val="-1"/>
              </w:rPr>
              <w:t>程</w:t>
            </w:r>
            <w:r>
              <w:rPr>
                <w:rFonts w:ascii="Times New Roman" w:hAnsi="Times New Roman" w:eastAsia="Times New Roman" w:cs="Times New Roman"/>
                <w:spacing w:val="-1"/>
              </w:rPr>
              <w:t>“</w:t>
            </w:r>
            <w:r>
              <w:rPr>
                <w:spacing w:val="-1"/>
              </w:rPr>
              <w:t>六个百分之百</w:t>
            </w:r>
            <w:r>
              <w:rPr>
                <w:rFonts w:ascii="Times New Roman" w:hAnsi="Times New Roman" w:eastAsia="Times New Roman" w:cs="Times New Roman"/>
                <w:spacing w:val="-1"/>
              </w:rPr>
              <w:t>”</w:t>
            </w:r>
            <w:r>
              <w:rPr>
                <w:rFonts w:ascii="Times New Roman" w:hAnsi="Times New Roman" w:eastAsia="Times New Roman" w:cs="Times New Roman"/>
                <w:spacing w:val="-30"/>
              </w:rPr>
              <w:t xml:space="preserve"> </w:t>
            </w:r>
            <w:r>
              <w:rPr>
                <w:spacing w:val="-1"/>
              </w:rPr>
              <w:t>，加强运输扬尘监管，确保扬尘污染防治</w:t>
            </w:r>
            <w:r>
              <w:rPr>
                <w:spacing w:val="-2"/>
              </w:rPr>
              <w:t>措施落实到</w:t>
            </w:r>
            <w:r>
              <w:rPr>
                <w:spacing w:val="-5"/>
              </w:rPr>
              <w:t>位。</w:t>
            </w:r>
          </w:p>
          <w:p w14:paraId="446E1088">
            <w:pPr>
              <w:pStyle w:val="9"/>
              <w:spacing w:before="4" w:line="354" w:lineRule="auto"/>
              <w:ind w:left="17" w:firstLine="477"/>
              <w:jc w:val="both"/>
            </w:pPr>
            <w:r>
              <w:rPr>
                <w:spacing w:val="-4"/>
              </w:rPr>
              <w:t>本项目为输变电工程，项目的实施符合国家能源基本格局，有利于</w:t>
            </w:r>
            <w:r>
              <w:rPr>
                <w:spacing w:val="-8"/>
              </w:rPr>
              <w:t>资源优化配置，满足节能减排，保护生态环境，推动地区</w:t>
            </w:r>
            <w:r>
              <w:rPr>
                <w:spacing w:val="-9"/>
              </w:rPr>
              <w:t>经济社会发展。</w:t>
            </w:r>
            <w:r>
              <w:rPr>
                <w:spacing w:val="-2"/>
              </w:rPr>
              <w:t>本项目已建成，通过现状监测结果分析，升压站产生的工频电场强度、</w:t>
            </w:r>
            <w:r>
              <w:rPr>
                <w:spacing w:val="4"/>
              </w:rPr>
              <w:t>工频磁场强度在站界处和评价范围内可以满足《电磁环境控制限值》</w:t>
            </w:r>
            <w:r>
              <w:rPr>
                <w:spacing w:val="9"/>
              </w:rPr>
              <w:t xml:space="preserve"> </w:t>
            </w:r>
            <w:r>
              <w:rPr>
                <w:spacing w:val="-5"/>
              </w:rPr>
              <w:t>（</w:t>
            </w:r>
            <w:r>
              <w:rPr>
                <w:rFonts w:ascii="Times New Roman" w:hAnsi="Times New Roman" w:eastAsia="Times New Roman" w:cs="Times New Roman"/>
                <w:spacing w:val="-5"/>
              </w:rPr>
              <w:t>GB8702-2014</w:t>
            </w:r>
            <w:r>
              <w:rPr>
                <w:spacing w:val="-5"/>
              </w:rPr>
              <w:t>）相关限值的要求。本项目已建</w:t>
            </w:r>
            <w:r>
              <w:rPr>
                <w:spacing w:val="-6"/>
              </w:rPr>
              <w:t>成投运，施工期已结束，</w:t>
            </w:r>
            <w:r>
              <w:rPr>
                <w:spacing w:val="-11"/>
              </w:rPr>
              <w:t>施工影响随之结束，临时占地已进行植被恢复。因此，项目建设符合《内</w:t>
            </w:r>
            <w:r>
              <w:rPr>
                <w:spacing w:val="-3"/>
              </w:rPr>
              <w:t>蒙古自治区</w:t>
            </w:r>
            <w:r>
              <w:rPr>
                <w:rFonts w:ascii="Times New Roman" w:hAnsi="Times New Roman" w:eastAsia="Times New Roman" w:cs="Times New Roman"/>
                <w:spacing w:val="-3"/>
              </w:rPr>
              <w:t>“</w:t>
            </w:r>
            <w:r>
              <w:rPr>
                <w:spacing w:val="-3"/>
              </w:rPr>
              <w:t>十四五</w:t>
            </w:r>
            <w:r>
              <w:rPr>
                <w:rFonts w:ascii="Times New Roman" w:hAnsi="Times New Roman" w:eastAsia="Times New Roman" w:cs="Times New Roman"/>
                <w:spacing w:val="-3"/>
              </w:rPr>
              <w:t>”</w:t>
            </w:r>
            <w:r>
              <w:rPr>
                <w:spacing w:val="-3"/>
              </w:rPr>
              <w:t>生态环境保护规划》的要求</w:t>
            </w:r>
          </w:p>
          <w:p w14:paraId="289CACF0">
            <w:pPr>
              <w:pStyle w:val="9"/>
              <w:spacing w:before="3" w:line="219" w:lineRule="auto"/>
              <w:ind w:left="498"/>
            </w:pPr>
            <w:r>
              <w:rPr>
                <w:b/>
                <w:bCs/>
                <w:spacing w:val="-2"/>
              </w:rPr>
              <w:t>三、与《通辽市</w:t>
            </w:r>
            <w:r>
              <w:rPr>
                <w:rFonts w:ascii="Times New Roman" w:hAnsi="Times New Roman" w:eastAsia="Times New Roman" w:cs="Times New Roman"/>
                <w:b/>
                <w:bCs/>
                <w:spacing w:val="-2"/>
              </w:rPr>
              <w:t>“</w:t>
            </w:r>
            <w:r>
              <w:rPr>
                <w:b/>
                <w:bCs/>
                <w:spacing w:val="-2"/>
              </w:rPr>
              <w:t>十四五</w:t>
            </w:r>
            <w:r>
              <w:rPr>
                <w:spacing w:val="-2"/>
              </w:rPr>
              <w:t xml:space="preserve"> </w:t>
            </w:r>
            <w:r>
              <w:rPr>
                <w:rFonts w:ascii="Times New Roman" w:hAnsi="Times New Roman" w:eastAsia="Times New Roman" w:cs="Times New Roman"/>
                <w:b/>
                <w:bCs/>
                <w:spacing w:val="-2"/>
              </w:rPr>
              <w:t>”</w:t>
            </w:r>
            <w:r>
              <w:rPr>
                <w:b/>
                <w:bCs/>
                <w:spacing w:val="-2"/>
              </w:rPr>
              <w:t>生态环境保护规划》相符性分析</w:t>
            </w:r>
          </w:p>
          <w:p w14:paraId="096E2C3D">
            <w:pPr>
              <w:pStyle w:val="9"/>
              <w:spacing w:before="187" w:line="361" w:lineRule="auto"/>
              <w:ind w:left="18" w:firstLine="476"/>
              <w:jc w:val="both"/>
            </w:pPr>
            <w:r>
              <w:rPr>
                <w:spacing w:val="-6"/>
              </w:rPr>
              <w:t>根据</w:t>
            </w:r>
            <w:r>
              <w:rPr>
                <w:spacing w:val="-48"/>
              </w:rPr>
              <w:t xml:space="preserve"> </w:t>
            </w:r>
            <w:r>
              <w:rPr>
                <w:rFonts w:ascii="Times New Roman" w:hAnsi="Times New Roman" w:eastAsia="Times New Roman" w:cs="Times New Roman"/>
                <w:spacing w:val="-6"/>
              </w:rPr>
              <w:t xml:space="preserve">2021 </w:t>
            </w:r>
            <w:r>
              <w:rPr>
                <w:spacing w:val="-6"/>
              </w:rPr>
              <w:t>年</w:t>
            </w:r>
            <w:r>
              <w:rPr>
                <w:spacing w:val="-32"/>
              </w:rPr>
              <w:t xml:space="preserve"> </w:t>
            </w:r>
            <w:r>
              <w:rPr>
                <w:rFonts w:ascii="Times New Roman" w:hAnsi="Times New Roman" w:eastAsia="Times New Roman" w:cs="Times New Roman"/>
                <w:spacing w:val="-6"/>
              </w:rPr>
              <w:t>12</w:t>
            </w:r>
            <w:r>
              <w:rPr>
                <w:rFonts w:ascii="Times New Roman" w:hAnsi="Times New Roman" w:eastAsia="Times New Roman" w:cs="Times New Roman"/>
                <w:spacing w:val="14"/>
              </w:rPr>
              <w:t xml:space="preserve"> </w:t>
            </w:r>
            <w:r>
              <w:rPr>
                <w:spacing w:val="-6"/>
              </w:rPr>
              <w:t>月</w:t>
            </w:r>
            <w:r>
              <w:rPr>
                <w:spacing w:val="-32"/>
              </w:rPr>
              <w:t xml:space="preserve"> </w:t>
            </w:r>
            <w:r>
              <w:rPr>
                <w:rFonts w:ascii="Times New Roman" w:hAnsi="Times New Roman" w:eastAsia="Times New Roman" w:cs="Times New Roman"/>
                <w:spacing w:val="-6"/>
              </w:rPr>
              <w:t xml:space="preserve">14  </w:t>
            </w:r>
            <w:r>
              <w:rPr>
                <w:spacing w:val="-6"/>
              </w:rPr>
              <w:t>日通辽市人民政府办公室发布的《通辽市</w:t>
            </w:r>
            <w:r>
              <w:rPr>
                <w:rFonts w:ascii="Times New Roman" w:hAnsi="Times New Roman" w:eastAsia="Times New Roman" w:cs="Times New Roman"/>
                <w:spacing w:val="-6"/>
              </w:rPr>
              <w:t>“</w:t>
            </w:r>
            <w:r>
              <w:rPr>
                <w:spacing w:val="-6"/>
              </w:rPr>
              <w:t>十</w:t>
            </w:r>
            <w:r>
              <w:rPr>
                <w:spacing w:val="-5"/>
              </w:rPr>
              <w:t>四五</w:t>
            </w:r>
            <w:r>
              <w:rPr>
                <w:rFonts w:ascii="Times New Roman" w:hAnsi="Times New Roman" w:eastAsia="Times New Roman" w:cs="Times New Roman"/>
                <w:spacing w:val="-5"/>
              </w:rPr>
              <w:t>”</w:t>
            </w:r>
            <w:r>
              <w:rPr>
                <w:spacing w:val="-5"/>
              </w:rPr>
              <w:t>生态环境保护规划》（通政办发〔</w:t>
            </w:r>
            <w:r>
              <w:rPr>
                <w:rFonts w:ascii="Times New Roman" w:hAnsi="Times New Roman" w:eastAsia="Times New Roman" w:cs="Times New Roman"/>
                <w:spacing w:val="-5"/>
              </w:rPr>
              <w:t>2021</w:t>
            </w:r>
            <w:r>
              <w:rPr>
                <w:spacing w:val="-5"/>
              </w:rPr>
              <w:t>〕</w:t>
            </w:r>
            <w:r>
              <w:rPr>
                <w:rFonts w:ascii="Times New Roman" w:hAnsi="Times New Roman" w:eastAsia="Times New Roman" w:cs="Times New Roman"/>
                <w:spacing w:val="-5"/>
              </w:rPr>
              <w:t>18</w:t>
            </w:r>
            <w:r>
              <w:rPr>
                <w:rFonts w:ascii="Times New Roman" w:hAnsi="Times New Roman" w:eastAsia="Times New Roman" w:cs="Times New Roman"/>
                <w:spacing w:val="15"/>
              </w:rPr>
              <w:t xml:space="preserve"> </w:t>
            </w:r>
            <w:r>
              <w:rPr>
                <w:spacing w:val="-5"/>
              </w:rPr>
              <w:t>号</w:t>
            </w:r>
            <w:r>
              <w:rPr>
                <w:spacing w:val="-4"/>
              </w:rPr>
              <w:t>），</w:t>
            </w:r>
            <w:r>
              <w:rPr>
                <w:rFonts w:ascii="Times New Roman" w:hAnsi="Times New Roman" w:eastAsia="Times New Roman" w:cs="Times New Roman"/>
                <w:spacing w:val="-5"/>
              </w:rPr>
              <w:t>“</w:t>
            </w:r>
            <w:r>
              <w:rPr>
                <w:spacing w:val="-5"/>
              </w:rPr>
              <w:t>十四五</w:t>
            </w:r>
            <w:r>
              <w:rPr>
                <w:rFonts w:ascii="Times New Roman" w:hAnsi="Times New Roman" w:eastAsia="Times New Roman" w:cs="Times New Roman"/>
                <w:spacing w:val="-5"/>
              </w:rPr>
              <w:t>”</w:t>
            </w:r>
            <w:r>
              <w:rPr>
                <w:spacing w:val="-5"/>
              </w:rPr>
              <w:t>时期，</w:t>
            </w:r>
            <w:r>
              <w:rPr>
                <w:spacing w:val="-3"/>
              </w:rPr>
              <w:t>生态环境保护主要目标为：全市生态环境质量持续改善，主要污染物排放量继续减少，环境风险得到有效控制；</w:t>
            </w:r>
          </w:p>
          <w:p w14:paraId="0A5E9470">
            <w:pPr>
              <w:pStyle w:val="9"/>
              <w:spacing w:before="3" w:line="361" w:lineRule="auto"/>
              <w:ind w:left="18" w:right="10" w:firstLine="479"/>
              <w:jc w:val="both"/>
            </w:pPr>
            <w:r>
              <w:rPr>
                <w:spacing w:val="-1"/>
              </w:rPr>
              <w:t>初步完成绿色生产生活方式转型；能源结构调整初见成</w:t>
            </w:r>
            <w:r>
              <w:rPr>
                <w:spacing w:val="-2"/>
              </w:rPr>
              <w:t>效，节能减</w:t>
            </w:r>
            <w:r>
              <w:rPr>
                <w:spacing w:val="-1"/>
              </w:rPr>
              <w:t>排效果显著；山水林田湖草沙系统治理、国家级自然保护地监</w:t>
            </w:r>
            <w:r>
              <w:rPr>
                <w:spacing w:val="-2"/>
              </w:rPr>
              <w:t>管体系初</w:t>
            </w:r>
            <w:r>
              <w:rPr>
                <w:spacing w:val="-1"/>
              </w:rPr>
              <w:t>步形成；生态环境服务水平、监管水平不断提升，生态环境治</w:t>
            </w:r>
            <w:r>
              <w:rPr>
                <w:spacing w:val="-2"/>
              </w:rPr>
              <w:t>理体系和</w:t>
            </w:r>
            <w:r>
              <w:rPr>
                <w:spacing w:val="-1"/>
              </w:rPr>
              <w:t>治理能力现代化基本实现；生态文明水平与经济社会发展相适</w:t>
            </w:r>
            <w:r>
              <w:rPr>
                <w:spacing w:val="-2"/>
              </w:rPr>
              <w:t>应，人民</w:t>
            </w:r>
            <w:r>
              <w:rPr>
                <w:spacing w:val="-1"/>
              </w:rPr>
              <w:t>群众对优良生态环境的获得感得到进一步提升。</w:t>
            </w:r>
          </w:p>
          <w:p w14:paraId="637D62D1">
            <w:pPr>
              <w:pStyle w:val="9"/>
              <w:spacing w:before="2" w:line="360" w:lineRule="auto"/>
              <w:ind w:left="18" w:firstLine="478"/>
              <w:jc w:val="both"/>
            </w:pPr>
            <w:r>
              <w:rPr>
                <w:spacing w:val="-3"/>
              </w:rPr>
              <w:t>本项目为输变电工程，属于公共基础设施建设类项目，有利于区域</w:t>
            </w:r>
            <w:r>
              <w:t>的发展。本项目在《产业结构调整指导目录（</w:t>
            </w:r>
            <w:r>
              <w:rPr>
                <w:rFonts w:ascii="Times New Roman" w:hAnsi="Times New Roman" w:eastAsia="Times New Roman" w:cs="Times New Roman"/>
              </w:rPr>
              <w:t xml:space="preserve">2024 </w:t>
            </w:r>
            <w:r>
              <w:t>年本）》中的</w:t>
            </w:r>
            <w:r>
              <w:rPr>
                <w:rFonts w:ascii="Times New Roman" w:hAnsi="Times New Roman" w:eastAsia="Times New Roman" w:cs="Times New Roman"/>
              </w:rPr>
              <w:t>“</w:t>
            </w:r>
            <w:r>
              <w:t>第一</w:t>
            </w:r>
            <w:r>
              <w:rPr>
                <w:spacing w:val="-6"/>
              </w:rPr>
              <w:t>类鼓励类</w:t>
            </w:r>
            <w:r>
              <w:rPr>
                <w:rFonts w:ascii="Times New Roman" w:hAnsi="Times New Roman" w:eastAsia="Times New Roman" w:cs="Times New Roman"/>
                <w:spacing w:val="-6"/>
              </w:rPr>
              <w:t>”</w:t>
            </w:r>
            <w:r>
              <w:rPr>
                <w:rFonts w:ascii="Times New Roman" w:hAnsi="Times New Roman" w:eastAsia="Times New Roman" w:cs="Times New Roman"/>
                <w:spacing w:val="-30"/>
              </w:rPr>
              <w:t xml:space="preserve"> </w:t>
            </w:r>
            <w:r>
              <w:rPr>
                <w:spacing w:val="-6"/>
              </w:rPr>
              <w:t>中“</w:t>
            </w:r>
            <w:r>
              <w:rPr>
                <w:spacing w:val="-88"/>
              </w:rPr>
              <w:t xml:space="preserve"> </w:t>
            </w:r>
            <w:r>
              <w:rPr>
                <w:spacing w:val="-6"/>
              </w:rPr>
              <w:t>四、电力</w:t>
            </w:r>
            <w:r>
              <w:rPr>
                <w:rFonts w:ascii="Times New Roman" w:hAnsi="Times New Roman" w:eastAsia="Times New Roman" w:cs="Times New Roman"/>
                <w:spacing w:val="-6"/>
              </w:rPr>
              <w:t>-2</w:t>
            </w:r>
            <w:r>
              <w:rPr>
                <w:rFonts w:ascii="Times New Roman" w:hAnsi="Times New Roman" w:eastAsia="Times New Roman" w:cs="Times New Roman"/>
                <w:spacing w:val="-34"/>
              </w:rPr>
              <w:t xml:space="preserve"> </w:t>
            </w:r>
            <w:r>
              <w:rPr>
                <w:spacing w:val="-6"/>
              </w:rPr>
              <w:t>、电力基础设施建</w:t>
            </w:r>
            <w:r>
              <w:rPr>
                <w:spacing w:val="-7"/>
              </w:rPr>
              <w:t>设</w:t>
            </w:r>
            <w:r>
              <w:rPr>
                <w:spacing w:val="-88"/>
              </w:rPr>
              <w:t xml:space="preserve"> </w:t>
            </w:r>
            <w:r>
              <w:rPr>
                <w:spacing w:val="-7"/>
              </w:rPr>
              <w:t>”项目，为鼓励类项目。</w:t>
            </w:r>
            <w:r>
              <w:rPr>
                <w:spacing w:val="-2"/>
              </w:rPr>
              <w:t>运营期无新增废气、废水、固废等污染物直接</w:t>
            </w:r>
            <w:r>
              <w:rPr>
                <w:spacing w:val="-3"/>
              </w:rPr>
              <w:t>排放，不会影响环境空气</w:t>
            </w:r>
            <w:r>
              <w:rPr>
                <w:spacing w:val="-2"/>
              </w:rPr>
              <w:t>质量、水生态功能、土壤环境以及生态系统质量和稳定性。</w:t>
            </w:r>
          </w:p>
          <w:p w14:paraId="16435F0F">
            <w:pPr>
              <w:pStyle w:val="9"/>
              <w:spacing w:line="219" w:lineRule="auto"/>
              <w:ind w:left="520"/>
            </w:pPr>
            <w:r>
              <w:rPr>
                <w:b/>
                <w:bCs/>
                <w:spacing w:val="-4"/>
              </w:rPr>
              <w:t>四、与《内蒙古自治区“十四五</w:t>
            </w:r>
            <w:r>
              <w:rPr>
                <w:spacing w:val="-86"/>
              </w:rPr>
              <w:t xml:space="preserve"> </w:t>
            </w:r>
            <w:r>
              <w:rPr>
                <w:b/>
                <w:bCs/>
                <w:spacing w:val="-4"/>
              </w:rPr>
              <w:t>”电力发展规划》的符合性分析</w:t>
            </w:r>
          </w:p>
          <w:p w14:paraId="5F426AD7">
            <w:pPr>
              <w:pStyle w:val="9"/>
              <w:spacing w:before="176" w:line="219" w:lineRule="auto"/>
              <w:ind w:right="11"/>
              <w:jc w:val="right"/>
            </w:pPr>
            <w:r>
              <w:rPr>
                <w:rFonts w:ascii="Times New Roman" w:hAnsi="Times New Roman" w:eastAsia="Times New Roman" w:cs="Times New Roman"/>
                <w:spacing w:val="-2"/>
              </w:rPr>
              <w:t xml:space="preserve">2022 </w:t>
            </w:r>
            <w:r>
              <w:rPr>
                <w:spacing w:val="-2"/>
              </w:rPr>
              <w:t>年</w:t>
            </w:r>
            <w:r>
              <w:rPr>
                <w:spacing w:val="-45"/>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15"/>
              </w:rPr>
              <w:t xml:space="preserve"> </w:t>
            </w:r>
            <w:r>
              <w:rPr>
                <w:spacing w:val="-2"/>
              </w:rPr>
              <w:t>月</w:t>
            </w:r>
            <w:r>
              <w:rPr>
                <w:spacing w:val="-53"/>
              </w:rPr>
              <w:t xml:space="preserve"> </w:t>
            </w:r>
            <w:r>
              <w:rPr>
                <w:rFonts w:ascii="Times New Roman" w:hAnsi="Times New Roman" w:eastAsia="Times New Roman" w:cs="Times New Roman"/>
                <w:spacing w:val="-2"/>
              </w:rPr>
              <w:t xml:space="preserve">28  </w:t>
            </w:r>
            <w:r>
              <w:rPr>
                <w:spacing w:val="-2"/>
              </w:rPr>
              <w:t>日，内蒙古自治区能源局关于印发《内蒙古自治区</w:t>
            </w:r>
          </w:p>
        </w:tc>
      </w:tr>
    </w:tbl>
    <w:p w14:paraId="2E5BA33F">
      <w:pPr>
        <w:pStyle w:val="3"/>
      </w:pPr>
    </w:p>
    <w:p w14:paraId="61E3660C">
      <w:pPr>
        <w:sectPr>
          <w:footerReference r:id="rId7" w:type="default"/>
          <w:pgSz w:w="11906" w:h="16838"/>
          <w:pgMar w:top="1416" w:right="1377" w:bottom="1295" w:left="1243" w:header="0" w:footer="1133" w:gutter="0"/>
          <w:cols w:space="720" w:num="1"/>
        </w:sectPr>
      </w:pPr>
    </w:p>
    <w:tbl>
      <w:tblPr>
        <w:tblStyle w:val="8"/>
        <w:tblW w:w="927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824"/>
        <w:gridCol w:w="7446"/>
      </w:tblGrid>
      <w:tr w14:paraId="0045A7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833" w:hRule="atLeast"/>
        </w:trPr>
        <w:tc>
          <w:tcPr>
            <w:tcW w:w="1824" w:type="dxa"/>
            <w:tcBorders>
              <w:right w:val="single" w:color="000000" w:sz="2" w:space="0"/>
            </w:tcBorders>
            <w:vAlign w:val="top"/>
          </w:tcPr>
          <w:p w14:paraId="0D5411CC">
            <w:pPr>
              <w:rPr>
                <w:rFonts w:ascii="Arial"/>
                <w:sz w:val="21"/>
              </w:rPr>
            </w:pPr>
          </w:p>
        </w:tc>
        <w:tc>
          <w:tcPr>
            <w:tcW w:w="7446" w:type="dxa"/>
            <w:tcBorders>
              <w:left w:val="single" w:color="000000" w:sz="2" w:space="0"/>
            </w:tcBorders>
            <w:vAlign w:val="top"/>
          </w:tcPr>
          <w:p w14:paraId="391079F6">
            <w:pPr>
              <w:pStyle w:val="9"/>
              <w:spacing w:before="171" w:line="354" w:lineRule="auto"/>
              <w:ind w:left="16" w:hanging="10"/>
              <w:jc w:val="both"/>
            </w:pPr>
            <w:r>
              <w:rPr>
                <w:spacing w:val="-7"/>
              </w:rPr>
              <w:t>“十四五</w:t>
            </w:r>
            <w:r>
              <w:rPr>
                <w:spacing w:val="-81"/>
              </w:rPr>
              <w:t xml:space="preserve"> </w:t>
            </w:r>
            <w:r>
              <w:rPr>
                <w:spacing w:val="-7"/>
              </w:rPr>
              <w:t>”电力发展规划》的通知（内能电力字〔</w:t>
            </w:r>
            <w:r>
              <w:rPr>
                <w:rFonts w:ascii="Times New Roman" w:hAnsi="Times New Roman" w:eastAsia="Times New Roman" w:cs="Times New Roman"/>
                <w:spacing w:val="-7"/>
              </w:rPr>
              <w:t>2022</w:t>
            </w:r>
            <w:r>
              <w:rPr>
                <w:spacing w:val="-7"/>
              </w:rPr>
              <w:t>〕</w:t>
            </w:r>
            <w:r>
              <w:rPr>
                <w:rFonts w:ascii="Times New Roman" w:hAnsi="Times New Roman" w:eastAsia="Times New Roman" w:cs="Times New Roman"/>
                <w:spacing w:val="-7"/>
              </w:rPr>
              <w:t>105</w:t>
            </w:r>
            <w:r>
              <w:rPr>
                <w:rFonts w:ascii="Times New Roman" w:hAnsi="Times New Roman" w:eastAsia="Times New Roman" w:cs="Times New Roman"/>
                <w:spacing w:val="14"/>
              </w:rPr>
              <w:t xml:space="preserve"> </w:t>
            </w:r>
            <w:r>
              <w:rPr>
                <w:spacing w:val="-7"/>
              </w:rPr>
              <w:t>号）指出，</w:t>
            </w:r>
            <w:r>
              <w:rPr>
                <w:spacing w:val="4"/>
              </w:rPr>
              <w:t>推进新能源基地化建设。加快推动大型沙漠戈壁荒漠风电光伏基地建</w:t>
            </w:r>
            <w:r>
              <w:rPr>
                <w:spacing w:val="-3"/>
              </w:rPr>
              <w:t>设，在新能源资源禀赋较好，具备持续整装开发条</w:t>
            </w:r>
            <w:r>
              <w:rPr>
                <w:spacing w:val="-4"/>
              </w:rPr>
              <w:t>件地区，推动新能源</w:t>
            </w:r>
            <w:r>
              <w:rPr>
                <w:spacing w:val="-3"/>
              </w:rPr>
              <w:t>发电基地化、规模化开发，打造蒙西、蒙东千万千</w:t>
            </w:r>
            <w:r>
              <w:rPr>
                <w:spacing w:val="-4"/>
              </w:rPr>
              <w:t>瓦级新能源基地。充</w:t>
            </w:r>
            <w:r>
              <w:rPr>
                <w:spacing w:val="-8"/>
              </w:rPr>
              <w:t>分利用边境沿线、戈壁荒漠地区丰富的风能资源，在阿拉</w:t>
            </w:r>
            <w:r>
              <w:rPr>
                <w:spacing w:val="-9"/>
              </w:rPr>
              <w:t>善、巴彦淖尔、</w:t>
            </w:r>
            <w:r>
              <w:rPr>
                <w:spacing w:val="-8"/>
              </w:rPr>
              <w:t>包头、乌兰察布、锡盟等边境地区建设一批大型风电基地</w:t>
            </w:r>
            <w:r>
              <w:rPr>
                <w:spacing w:val="-9"/>
              </w:rPr>
              <w:t>。在鄂尔多斯、</w:t>
            </w:r>
            <w:r>
              <w:rPr>
                <w:spacing w:val="-8"/>
              </w:rPr>
              <w:t>阿拉善、巴彦淖尔等地区推进光伏治沙基地建设。利用鄂</w:t>
            </w:r>
            <w:r>
              <w:rPr>
                <w:spacing w:val="-9"/>
              </w:rPr>
              <w:t>尔多斯、通辽、</w:t>
            </w:r>
            <w:r>
              <w:rPr>
                <w:spacing w:val="-3"/>
              </w:rPr>
              <w:t>乌海、阿拉善、巴彦淖尔、包头等周边地区采煤沉</w:t>
            </w:r>
            <w:r>
              <w:rPr>
                <w:spacing w:val="-4"/>
              </w:rPr>
              <w:t>陷区、露天矿排土场</w:t>
            </w:r>
            <w:r>
              <w:rPr>
                <w:spacing w:val="-3"/>
              </w:rPr>
              <w:t>等闲置土地，有序推进集中式光伏矿区治理基地建</w:t>
            </w:r>
            <w:r>
              <w:rPr>
                <w:spacing w:val="-4"/>
              </w:rPr>
              <w:t>设。优化提升存量通</w:t>
            </w:r>
            <w:r>
              <w:rPr>
                <w:spacing w:val="-3"/>
              </w:rPr>
              <w:t>道输电能力，加快推进多能互补和源网荷储一体化发展。</w:t>
            </w:r>
          </w:p>
          <w:p w14:paraId="551255F4">
            <w:pPr>
              <w:pStyle w:val="9"/>
              <w:spacing w:line="354" w:lineRule="auto"/>
              <w:ind w:left="21" w:right="10" w:firstLine="478"/>
              <w:jc w:val="both"/>
            </w:pPr>
            <w:r>
              <w:t>本项目为“</w:t>
            </w:r>
            <w:r>
              <w:rPr>
                <w:spacing w:val="-75"/>
              </w:rPr>
              <w:t xml:space="preserve"> </w:t>
            </w:r>
            <w:r>
              <w:t>内蒙古霍林河循环经济示范工程</w:t>
            </w:r>
            <w:r>
              <w:rPr>
                <w:spacing w:val="-41"/>
              </w:rPr>
              <w:t xml:space="preserve"> </w:t>
            </w:r>
            <w:r>
              <w:rPr>
                <w:rFonts w:ascii="Times New Roman" w:hAnsi="Times New Roman" w:eastAsia="Times New Roman" w:cs="Times New Roman"/>
              </w:rPr>
              <w:t>80</w:t>
            </w:r>
            <w:r>
              <w:rPr>
                <w:rFonts w:ascii="Times New Roman" w:hAnsi="Times New Roman" w:eastAsia="Times New Roman" w:cs="Times New Roman"/>
                <w:spacing w:val="18"/>
              </w:rPr>
              <w:t xml:space="preserve"> </w:t>
            </w:r>
            <w:r>
              <w:t>万千瓦就地消纳风</w:t>
            </w:r>
            <w:r>
              <w:rPr>
                <w:spacing w:val="-1"/>
              </w:rPr>
              <w:t>电示范项目</w:t>
            </w:r>
            <w:r>
              <w:rPr>
                <w:spacing w:val="-84"/>
              </w:rPr>
              <w:t xml:space="preserve"> </w:t>
            </w:r>
            <w:r>
              <w:rPr>
                <w:spacing w:val="-1"/>
              </w:rPr>
              <w:t>”及“霍林河循环经济示范工程续建（第五期）</w:t>
            </w:r>
            <w:r>
              <w:rPr>
                <w:rFonts w:ascii="Times New Roman" w:hAnsi="Times New Roman" w:eastAsia="Times New Roman" w:cs="Times New Roman"/>
                <w:spacing w:val="-1"/>
              </w:rPr>
              <w:t xml:space="preserve">200MW  </w:t>
            </w:r>
            <w:r>
              <w:rPr>
                <w:spacing w:val="-1"/>
              </w:rPr>
              <w:t>风</w:t>
            </w:r>
            <w:r>
              <w:rPr>
                <w:spacing w:val="-2"/>
              </w:rPr>
              <w:t>电项目</w:t>
            </w:r>
            <w:r>
              <w:rPr>
                <w:spacing w:val="-88"/>
              </w:rPr>
              <w:t xml:space="preserve"> </w:t>
            </w:r>
            <w:r>
              <w:rPr>
                <w:spacing w:val="-2"/>
              </w:rPr>
              <w:t>”配套升压站工程，选址位于通辽市扎鲁特旗</w:t>
            </w:r>
            <w:r>
              <w:rPr>
                <w:spacing w:val="-3"/>
              </w:rPr>
              <w:t>境内，在通辽地区</w:t>
            </w:r>
            <w:r>
              <w:rPr>
                <w:spacing w:val="-1"/>
              </w:rPr>
              <w:t>建设大型风电基地，属于风力发电新能源利用项目，符</w:t>
            </w:r>
            <w:r>
              <w:rPr>
                <w:spacing w:val="-2"/>
              </w:rPr>
              <w:t>合《内蒙古自治</w:t>
            </w:r>
            <w:r>
              <w:rPr>
                <w:spacing w:val="-4"/>
              </w:rPr>
              <w:t>区“十四五</w:t>
            </w:r>
            <w:r>
              <w:rPr>
                <w:spacing w:val="-78"/>
              </w:rPr>
              <w:t xml:space="preserve"> </w:t>
            </w:r>
            <w:r>
              <w:rPr>
                <w:spacing w:val="-4"/>
              </w:rPr>
              <w:t>”电力发展规划》。</w:t>
            </w:r>
          </w:p>
          <w:p w14:paraId="0D226E0B">
            <w:pPr>
              <w:pStyle w:val="9"/>
              <w:spacing w:before="1" w:line="353" w:lineRule="auto"/>
              <w:ind w:left="21" w:right="11" w:firstLine="480"/>
            </w:pPr>
            <w:r>
              <w:rPr>
                <w:b/>
                <w:bCs/>
                <w:spacing w:val="-5"/>
              </w:rPr>
              <w:t>五、与《内蒙古自治区“十四五</w:t>
            </w:r>
            <w:r>
              <w:rPr>
                <w:spacing w:val="-86"/>
              </w:rPr>
              <w:t xml:space="preserve"> </w:t>
            </w:r>
            <w:r>
              <w:rPr>
                <w:b/>
                <w:bCs/>
                <w:spacing w:val="-5"/>
              </w:rPr>
              <w:t>”可再生能源发展规划》的符合性</w:t>
            </w:r>
            <w:r>
              <w:rPr>
                <w:b/>
                <w:bCs/>
                <w:spacing w:val="-9"/>
              </w:rPr>
              <w:t>分析</w:t>
            </w:r>
          </w:p>
          <w:p w14:paraId="13AA616C">
            <w:pPr>
              <w:pStyle w:val="9"/>
              <w:spacing w:before="15" w:line="344" w:lineRule="auto"/>
              <w:ind w:left="17" w:firstLine="472"/>
              <w:jc w:val="both"/>
            </w:pPr>
            <w:r>
              <w:rPr>
                <w:rFonts w:ascii="Times New Roman" w:hAnsi="Times New Roman" w:eastAsia="Times New Roman" w:cs="Times New Roman"/>
                <w:spacing w:val="-14"/>
              </w:rPr>
              <w:t xml:space="preserve">2022 </w:t>
            </w:r>
            <w:r>
              <w:rPr>
                <w:spacing w:val="-14"/>
              </w:rPr>
              <w:t>年</w:t>
            </w:r>
            <w:r>
              <w:rPr>
                <w:spacing w:val="-43"/>
              </w:rPr>
              <w:t xml:space="preserve"> </w:t>
            </w:r>
            <w:r>
              <w:rPr>
                <w:rFonts w:ascii="Times New Roman" w:hAnsi="Times New Roman" w:eastAsia="Times New Roman" w:cs="Times New Roman"/>
                <w:spacing w:val="-14"/>
              </w:rPr>
              <w:t>3</w:t>
            </w:r>
            <w:r>
              <w:rPr>
                <w:rFonts w:ascii="Times New Roman" w:hAnsi="Times New Roman" w:eastAsia="Times New Roman" w:cs="Times New Roman"/>
                <w:spacing w:val="14"/>
              </w:rPr>
              <w:t xml:space="preserve"> </w:t>
            </w:r>
            <w:r>
              <w:rPr>
                <w:spacing w:val="-14"/>
              </w:rPr>
              <w:t>月</w:t>
            </w:r>
            <w:r>
              <w:rPr>
                <w:spacing w:val="-56"/>
              </w:rPr>
              <w:t xml:space="preserve"> </w:t>
            </w:r>
            <w:r>
              <w:rPr>
                <w:rFonts w:ascii="Times New Roman" w:hAnsi="Times New Roman" w:eastAsia="Times New Roman" w:cs="Times New Roman"/>
                <w:spacing w:val="-14"/>
              </w:rPr>
              <w:t xml:space="preserve">2  </w:t>
            </w:r>
            <w:r>
              <w:rPr>
                <w:spacing w:val="-14"/>
              </w:rPr>
              <w:t>日，内蒙古自治区能源局关于印发《内蒙古自治区“十</w:t>
            </w:r>
            <w:r>
              <w:rPr>
                <w:spacing w:val="-3"/>
              </w:rPr>
              <w:t>四五</w:t>
            </w:r>
            <w:r>
              <w:rPr>
                <w:spacing w:val="-75"/>
              </w:rPr>
              <w:t xml:space="preserve"> </w:t>
            </w:r>
            <w:r>
              <w:rPr>
                <w:spacing w:val="-3"/>
              </w:rPr>
              <w:t>”可再生能源发展规划》的通知（内能新能字〔</w:t>
            </w:r>
            <w:r>
              <w:rPr>
                <w:rFonts w:ascii="Times New Roman" w:hAnsi="Times New Roman" w:eastAsia="Times New Roman" w:cs="Times New Roman"/>
                <w:spacing w:val="-3"/>
              </w:rPr>
              <w:t>2022</w:t>
            </w:r>
            <w:r>
              <w:rPr>
                <w:spacing w:val="-3"/>
              </w:rPr>
              <w:t>〕</w:t>
            </w:r>
            <w:r>
              <w:rPr>
                <w:rFonts w:ascii="Times New Roman" w:hAnsi="Times New Roman" w:eastAsia="Times New Roman" w:cs="Times New Roman"/>
                <w:spacing w:val="-3"/>
              </w:rPr>
              <w:t>103</w:t>
            </w:r>
            <w:r>
              <w:rPr>
                <w:rFonts w:ascii="Times New Roman" w:hAnsi="Times New Roman" w:eastAsia="Times New Roman" w:cs="Times New Roman"/>
                <w:spacing w:val="15"/>
              </w:rPr>
              <w:t xml:space="preserve"> </w:t>
            </w:r>
            <w:r>
              <w:rPr>
                <w:spacing w:val="-3"/>
              </w:rPr>
              <w:t>号）指</w:t>
            </w:r>
            <w:r>
              <w:rPr>
                <w:spacing w:val="-2"/>
              </w:rPr>
              <w:t>出，打造区域风电装备制造产业链：立足产业资源、规模和配套优势，</w:t>
            </w:r>
            <w:r>
              <w:rPr>
                <w:spacing w:val="-3"/>
              </w:rPr>
              <w:t>打造区域风电装备制造产业链。加快风电机组自主</w:t>
            </w:r>
            <w:r>
              <w:rPr>
                <w:spacing w:val="-4"/>
              </w:rPr>
              <w:t>创新设计和上游供应</w:t>
            </w:r>
            <w:r>
              <w:rPr>
                <w:spacing w:val="-3"/>
              </w:rPr>
              <w:t>链本地创新培育能力建设，推动现有风电设备制造</w:t>
            </w:r>
            <w:r>
              <w:rPr>
                <w:spacing w:val="-4"/>
              </w:rPr>
              <w:t>企业加快改造升级和</w:t>
            </w:r>
            <w:r>
              <w:rPr>
                <w:spacing w:val="-8"/>
              </w:rPr>
              <w:t>生产扩建；实施延链、补链工程，重点发展叶片、发电机</w:t>
            </w:r>
            <w:r>
              <w:rPr>
                <w:spacing w:val="-9"/>
              </w:rPr>
              <w:t>、轮毂、法兰、</w:t>
            </w:r>
            <w:r>
              <w:rPr>
                <w:spacing w:val="-8"/>
              </w:rPr>
              <w:t>轴承、控制系统等核心配套零部件的制造；加大关键零部</w:t>
            </w:r>
            <w:r>
              <w:rPr>
                <w:spacing w:val="-9"/>
              </w:rPr>
              <w:t>件的研发投入，</w:t>
            </w:r>
            <w:r>
              <w:rPr>
                <w:spacing w:val="-3"/>
              </w:rPr>
              <w:t>重点攻关主轴承、超长叶片、大容量发电机等核心</w:t>
            </w:r>
            <w:r>
              <w:rPr>
                <w:spacing w:val="-4"/>
              </w:rPr>
              <w:t>部件的关键技术，布</w:t>
            </w:r>
            <w:r>
              <w:rPr>
                <w:spacing w:val="-3"/>
              </w:rPr>
              <w:t>局高效分工、有序竞争、相互融合的风电上下游产</w:t>
            </w:r>
            <w:r>
              <w:rPr>
                <w:spacing w:val="-4"/>
              </w:rPr>
              <w:t>业链，激发技术创新</w:t>
            </w:r>
            <w:r>
              <w:rPr>
                <w:spacing w:val="-2"/>
              </w:rPr>
              <w:t>与产品验证的试验迭代；推进风电技术装备大型化、国产化、智能化、</w:t>
            </w:r>
            <w:r>
              <w:rPr>
                <w:spacing w:val="-3"/>
              </w:rPr>
              <w:t>本地化相协同，激发技术创新与产品验证的积极性</w:t>
            </w:r>
            <w:r>
              <w:rPr>
                <w:spacing w:val="-4"/>
              </w:rPr>
              <w:t>，在自治区不同气候条件和不同地貌条件下，开展“</w:t>
            </w:r>
            <w:r>
              <w:rPr>
                <w:spacing w:val="-75"/>
              </w:rPr>
              <w:t xml:space="preserve"> </w:t>
            </w:r>
            <w:r>
              <w:rPr>
                <w:spacing w:val="-4"/>
              </w:rPr>
              <w:t>国家级自主创新实验示范基地</w:t>
            </w:r>
            <w:r>
              <w:rPr>
                <w:spacing w:val="-89"/>
              </w:rPr>
              <w:t xml:space="preserve"> </w:t>
            </w:r>
            <w:r>
              <w:rPr>
                <w:spacing w:val="-4"/>
              </w:rPr>
              <w:t>”项目，</w:t>
            </w:r>
            <w:r>
              <w:rPr>
                <w:spacing w:val="-3"/>
              </w:rPr>
              <w:t>激励整机商向上游关键部件融合和深化，做大做强绿色</w:t>
            </w:r>
            <w:r>
              <w:rPr>
                <w:spacing w:val="-4"/>
              </w:rPr>
              <w:t>、智能风电装备</w:t>
            </w:r>
          </w:p>
        </w:tc>
      </w:tr>
    </w:tbl>
    <w:p w14:paraId="2B13117A">
      <w:pPr>
        <w:pStyle w:val="3"/>
      </w:pPr>
    </w:p>
    <w:p w14:paraId="2D9BD850">
      <w:pPr>
        <w:sectPr>
          <w:footerReference r:id="rId8" w:type="default"/>
          <w:pgSz w:w="11906" w:h="16838"/>
          <w:pgMar w:top="1416" w:right="1377" w:bottom="1295" w:left="1243" w:header="0" w:footer="1133" w:gutter="0"/>
          <w:cols w:space="720" w:num="1"/>
        </w:sectPr>
      </w:pPr>
    </w:p>
    <w:tbl>
      <w:tblPr>
        <w:tblStyle w:val="8"/>
        <w:tblW w:w="927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824"/>
        <w:gridCol w:w="7446"/>
      </w:tblGrid>
      <w:tr w14:paraId="29F98D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833" w:hRule="atLeast"/>
        </w:trPr>
        <w:tc>
          <w:tcPr>
            <w:tcW w:w="1824" w:type="dxa"/>
            <w:tcBorders>
              <w:right w:val="single" w:color="000000" w:sz="2" w:space="0"/>
            </w:tcBorders>
            <w:vAlign w:val="top"/>
          </w:tcPr>
          <w:p w14:paraId="4A9C1926">
            <w:pPr>
              <w:rPr>
                <w:rFonts w:ascii="Arial"/>
                <w:sz w:val="21"/>
              </w:rPr>
            </w:pPr>
          </w:p>
        </w:tc>
        <w:tc>
          <w:tcPr>
            <w:tcW w:w="7446" w:type="dxa"/>
            <w:tcBorders>
              <w:left w:val="single" w:color="000000" w:sz="2" w:space="0"/>
            </w:tcBorders>
            <w:vAlign w:val="top"/>
          </w:tcPr>
          <w:p w14:paraId="2C6301BC">
            <w:pPr>
              <w:pStyle w:val="9"/>
              <w:spacing w:before="172" w:line="354" w:lineRule="auto"/>
              <w:ind w:left="18"/>
              <w:jc w:val="both"/>
            </w:pPr>
            <w:r>
              <w:rPr>
                <w:spacing w:val="-8"/>
              </w:rPr>
              <w:t>制造，积极培育品牌产品和龙头企业；加大风电人才</w:t>
            </w:r>
            <w:r>
              <w:rPr>
                <w:spacing w:val="-9"/>
              </w:rPr>
              <w:t>引进培养支持力度，</w:t>
            </w:r>
            <w:r>
              <w:rPr>
                <w:spacing w:val="-1"/>
              </w:rPr>
              <w:t>促进现代服务业同风电制造业的深度融合，打造集设计、研发、制</w:t>
            </w:r>
            <w:r>
              <w:rPr>
                <w:spacing w:val="-2"/>
              </w:rPr>
              <w:t>造、</w:t>
            </w:r>
            <w:r>
              <w:t>培训、服务为一体的风能产业体系，形成“风机制造</w:t>
            </w:r>
            <w:r>
              <w:rPr>
                <w:rFonts w:ascii="Times New Roman" w:hAnsi="Times New Roman" w:eastAsia="Times New Roman" w:cs="Times New Roman"/>
              </w:rPr>
              <w:t>-</w:t>
            </w:r>
            <w:r>
              <w:t>配套零</w:t>
            </w:r>
            <w:r>
              <w:rPr>
                <w:spacing w:val="-1"/>
              </w:rPr>
              <w:t>部件</w:t>
            </w:r>
            <w:r>
              <w:rPr>
                <w:rFonts w:ascii="Times New Roman" w:hAnsi="Times New Roman" w:eastAsia="Times New Roman" w:cs="Times New Roman"/>
                <w:spacing w:val="-1"/>
              </w:rPr>
              <w:t>-</w:t>
            </w:r>
            <w:r>
              <w:rPr>
                <w:spacing w:val="-1"/>
              </w:rPr>
              <w:t>设备</w:t>
            </w:r>
            <w:r>
              <w:rPr>
                <w:spacing w:val="-5"/>
              </w:rPr>
              <w:t>运维</w:t>
            </w:r>
            <w:r>
              <w:rPr>
                <w:rFonts w:ascii="Times New Roman" w:hAnsi="Times New Roman" w:eastAsia="Times New Roman" w:cs="Times New Roman"/>
                <w:spacing w:val="-5"/>
              </w:rPr>
              <w:t>-</w:t>
            </w:r>
            <w:r>
              <w:rPr>
                <w:spacing w:val="-5"/>
              </w:rPr>
              <w:t>风电基地</w:t>
            </w:r>
            <w:r>
              <w:rPr>
                <w:spacing w:val="-85"/>
              </w:rPr>
              <w:t xml:space="preserve"> </w:t>
            </w:r>
            <w:r>
              <w:rPr>
                <w:spacing w:val="-5"/>
              </w:rPr>
              <w:t>”产业链条。</w:t>
            </w:r>
          </w:p>
          <w:p w14:paraId="615F16A8">
            <w:pPr>
              <w:pStyle w:val="9"/>
              <w:spacing w:before="5" w:line="353" w:lineRule="auto"/>
              <w:ind w:left="19" w:right="10" w:firstLine="480"/>
              <w:jc w:val="both"/>
            </w:pPr>
            <w:r>
              <w:t>本项目为“</w:t>
            </w:r>
            <w:r>
              <w:rPr>
                <w:spacing w:val="-75"/>
              </w:rPr>
              <w:t xml:space="preserve"> </w:t>
            </w:r>
            <w:r>
              <w:t>内蒙古霍林河循环经济示范工程</w:t>
            </w:r>
            <w:r>
              <w:rPr>
                <w:spacing w:val="-41"/>
              </w:rPr>
              <w:t xml:space="preserve"> </w:t>
            </w:r>
            <w:r>
              <w:rPr>
                <w:rFonts w:ascii="Times New Roman" w:hAnsi="Times New Roman" w:eastAsia="Times New Roman" w:cs="Times New Roman"/>
              </w:rPr>
              <w:t>80</w:t>
            </w:r>
            <w:r>
              <w:rPr>
                <w:rFonts w:ascii="Times New Roman" w:hAnsi="Times New Roman" w:eastAsia="Times New Roman" w:cs="Times New Roman"/>
                <w:spacing w:val="18"/>
              </w:rPr>
              <w:t xml:space="preserve"> </w:t>
            </w:r>
            <w:r>
              <w:t>万千瓦就地消纳风</w:t>
            </w:r>
            <w:r>
              <w:rPr>
                <w:spacing w:val="-1"/>
              </w:rPr>
              <w:t>电示范项目</w:t>
            </w:r>
            <w:r>
              <w:rPr>
                <w:spacing w:val="-82"/>
              </w:rPr>
              <w:t xml:space="preserve"> </w:t>
            </w:r>
            <w:r>
              <w:rPr>
                <w:spacing w:val="-1"/>
              </w:rPr>
              <w:t>”及“霍林河循环经济示范工程续建（第五期）</w:t>
            </w:r>
            <w:r>
              <w:rPr>
                <w:rFonts w:ascii="Times New Roman" w:hAnsi="Times New Roman" w:eastAsia="Times New Roman" w:cs="Times New Roman"/>
                <w:spacing w:val="-1"/>
              </w:rPr>
              <w:t xml:space="preserve">200MW  </w:t>
            </w:r>
            <w:r>
              <w:rPr>
                <w:spacing w:val="-1"/>
              </w:rPr>
              <w:t>风</w:t>
            </w:r>
            <w:r>
              <w:rPr>
                <w:spacing w:val="-2"/>
              </w:rPr>
              <w:t>电项目</w:t>
            </w:r>
            <w:r>
              <w:rPr>
                <w:spacing w:val="-88"/>
              </w:rPr>
              <w:t xml:space="preserve"> </w:t>
            </w:r>
            <w:r>
              <w:rPr>
                <w:spacing w:val="-2"/>
              </w:rPr>
              <w:t>”配套项目，符合推进风电技术装备大型化、国产</w:t>
            </w:r>
            <w:r>
              <w:rPr>
                <w:spacing w:val="-3"/>
              </w:rPr>
              <w:t>化、智能化、</w:t>
            </w:r>
            <w:r>
              <w:rPr>
                <w:spacing w:val="-2"/>
              </w:rPr>
              <w:t>本地化相协同，符合《内蒙古自治区“十四五</w:t>
            </w:r>
            <w:r>
              <w:rPr>
                <w:spacing w:val="-74"/>
              </w:rPr>
              <w:t xml:space="preserve"> </w:t>
            </w:r>
            <w:r>
              <w:rPr>
                <w:spacing w:val="-2"/>
              </w:rPr>
              <w:t>”电力发展规划》。</w:t>
            </w:r>
          </w:p>
          <w:p w14:paraId="3DCAA89A">
            <w:pPr>
              <w:pStyle w:val="9"/>
              <w:spacing w:line="219" w:lineRule="auto"/>
              <w:ind w:left="500"/>
            </w:pPr>
            <w:r>
              <w:rPr>
                <w:b/>
                <w:bCs/>
                <w:spacing w:val="-3"/>
              </w:rPr>
              <w:t>六、与《内蒙古自治区“十四五</w:t>
            </w:r>
            <w:r>
              <w:rPr>
                <w:spacing w:val="-88"/>
              </w:rPr>
              <w:t xml:space="preserve"> </w:t>
            </w:r>
            <w:r>
              <w:rPr>
                <w:b/>
                <w:bCs/>
                <w:spacing w:val="-3"/>
              </w:rPr>
              <w:t>”电力发展</w:t>
            </w:r>
            <w:r>
              <w:rPr>
                <w:b/>
                <w:bCs/>
                <w:spacing w:val="-4"/>
              </w:rPr>
              <w:t>规划》符合性分析</w:t>
            </w:r>
          </w:p>
          <w:p w14:paraId="7728C706">
            <w:pPr>
              <w:pStyle w:val="9"/>
              <w:spacing w:before="173" w:line="354" w:lineRule="auto"/>
              <w:ind w:left="16" w:right="10" w:firstLine="481"/>
              <w:jc w:val="both"/>
            </w:pPr>
            <w:r>
              <w:rPr>
                <w:spacing w:val="-2"/>
              </w:rPr>
              <w:t>根据《内蒙古自治区“十四五</w:t>
            </w:r>
            <w:r>
              <w:rPr>
                <w:spacing w:val="-88"/>
              </w:rPr>
              <w:t xml:space="preserve"> </w:t>
            </w:r>
            <w:r>
              <w:rPr>
                <w:spacing w:val="-2"/>
              </w:rPr>
              <w:t>”电力发展规划</w:t>
            </w:r>
            <w:r>
              <w:rPr>
                <w:spacing w:val="-3"/>
              </w:rPr>
              <w:t>》（内蒙古自治区能源局，</w:t>
            </w:r>
            <w:r>
              <w:rPr>
                <w:rFonts w:ascii="Times New Roman" w:hAnsi="Times New Roman" w:eastAsia="Times New Roman" w:cs="Times New Roman"/>
                <w:spacing w:val="-3"/>
              </w:rPr>
              <w:t>2022.2</w:t>
            </w:r>
            <w:r>
              <w:rPr>
                <w:spacing w:val="-3"/>
              </w:rPr>
              <w:t>）中“第三章 加强电力供应保障能力建设  三、加快新能</w:t>
            </w:r>
            <w:r>
              <w:rPr>
                <w:spacing w:val="-1"/>
              </w:rPr>
              <w:t>源大规模发展：推进新能源基地化建设。推动新能源发电基地化、</w:t>
            </w:r>
            <w:r>
              <w:rPr>
                <w:spacing w:val="-2"/>
              </w:rPr>
              <w:t>规模</w:t>
            </w:r>
            <w:r>
              <w:rPr>
                <w:spacing w:val="-1"/>
              </w:rPr>
              <w:t>化开发，打造蒙西、蒙东千万千瓦级新能源基地。加强新能源电源</w:t>
            </w:r>
            <w:r>
              <w:rPr>
                <w:spacing w:val="-2"/>
              </w:rPr>
              <w:t>规划</w:t>
            </w:r>
            <w:r>
              <w:rPr>
                <w:spacing w:val="-1"/>
              </w:rPr>
              <w:t>和电网统筹协调：统筹资源开发条件和电源送出通道，实现新能源</w:t>
            </w:r>
            <w:r>
              <w:rPr>
                <w:spacing w:val="-2"/>
              </w:rPr>
              <w:t>与配</w:t>
            </w:r>
            <w:r>
              <w:rPr>
                <w:spacing w:val="-1"/>
              </w:rPr>
              <w:t>套送出工程统一规划；结合不同工程特点和建设周期，衔接好网源</w:t>
            </w:r>
            <w:r>
              <w:rPr>
                <w:spacing w:val="-2"/>
              </w:rPr>
              <w:t>建设</w:t>
            </w:r>
            <w:r>
              <w:rPr>
                <w:spacing w:val="-1"/>
              </w:rPr>
              <w:t>进度，保障风电、光伏发电等电源项目和配套送出工程同步规划、</w:t>
            </w:r>
            <w:r>
              <w:rPr>
                <w:spacing w:val="-2"/>
              </w:rPr>
              <w:t>同步</w:t>
            </w:r>
            <w:r>
              <w:rPr>
                <w:spacing w:val="3"/>
              </w:rPr>
              <w:t>核准、同步建设、同步投运，做到电源与电网协同发展。</w:t>
            </w:r>
            <w:r>
              <w:rPr>
                <w:spacing w:val="-87"/>
              </w:rPr>
              <w:t xml:space="preserve"> </w:t>
            </w:r>
            <w:r>
              <w:rPr>
                <w:spacing w:val="3"/>
              </w:rPr>
              <w:t>”</w:t>
            </w:r>
          </w:p>
          <w:p w14:paraId="0DF37622">
            <w:pPr>
              <w:pStyle w:val="9"/>
              <w:spacing w:before="1" w:line="353" w:lineRule="auto"/>
              <w:ind w:left="18" w:right="10" w:firstLine="480"/>
            </w:pPr>
            <w:r>
              <w:rPr>
                <w:spacing w:val="-1"/>
              </w:rPr>
              <w:t>本项目为升压站工程，本项目的建设可以协调电源</w:t>
            </w:r>
            <w:r>
              <w:rPr>
                <w:spacing w:val="-2"/>
              </w:rPr>
              <w:t>与电网的同步投运。符合《内蒙古自治区“十四五</w:t>
            </w:r>
            <w:r>
              <w:rPr>
                <w:spacing w:val="-87"/>
              </w:rPr>
              <w:t xml:space="preserve"> </w:t>
            </w:r>
            <w:r>
              <w:rPr>
                <w:spacing w:val="-2"/>
              </w:rPr>
              <w:t>”电力发展规划</w:t>
            </w:r>
          </w:p>
          <w:p w14:paraId="50A83148">
            <w:pPr>
              <w:pStyle w:val="9"/>
              <w:spacing w:line="219" w:lineRule="auto"/>
              <w:ind w:left="497"/>
            </w:pPr>
            <w:r>
              <w:rPr>
                <w:b/>
                <w:bCs/>
                <w:spacing w:val="-2"/>
              </w:rPr>
              <w:t>七、与《内蒙古自治区防沙治沙条例》符合性</w:t>
            </w:r>
            <w:r>
              <w:rPr>
                <w:b/>
                <w:bCs/>
                <w:spacing w:val="-3"/>
              </w:rPr>
              <w:t>分析</w:t>
            </w:r>
          </w:p>
          <w:p w14:paraId="2E7F3E2C">
            <w:pPr>
              <w:pStyle w:val="9"/>
              <w:spacing w:before="175" w:line="354" w:lineRule="auto"/>
              <w:ind w:left="18" w:right="10" w:firstLine="480"/>
              <w:jc w:val="both"/>
            </w:pPr>
            <w:r>
              <w:rPr>
                <w:spacing w:val="-1"/>
              </w:rPr>
              <w:t>根据《内蒙古自治区防沙治沙条例》中内容“防沙治</w:t>
            </w:r>
            <w:r>
              <w:rPr>
                <w:spacing w:val="-2"/>
              </w:rPr>
              <w:t>沙工作应当遵</w:t>
            </w:r>
            <w:r>
              <w:t>循以下原则</w:t>
            </w:r>
            <w:r>
              <w:rPr>
                <w:spacing w:val="-18"/>
              </w:rPr>
              <w:t>：（</w:t>
            </w:r>
            <w:r>
              <w:t>一）统一规划，因地制宜，分步实施，坚持区域防治与</w:t>
            </w:r>
            <w:r>
              <w:rPr>
                <w:spacing w:val="2"/>
              </w:rPr>
              <w:t>重点防治相结合</w:t>
            </w:r>
            <w:r>
              <w:rPr>
                <w:spacing w:val="-21"/>
              </w:rPr>
              <w:t>；（</w:t>
            </w:r>
            <w:r>
              <w:rPr>
                <w:spacing w:val="2"/>
              </w:rPr>
              <w:t>二）预防为主，防治结合，综</w:t>
            </w:r>
            <w:r>
              <w:rPr>
                <w:spacing w:val="1"/>
              </w:rPr>
              <w:t>合治理</w:t>
            </w:r>
            <w:r>
              <w:rPr>
                <w:spacing w:val="-21"/>
              </w:rPr>
              <w:t>；（</w:t>
            </w:r>
            <w:r>
              <w:rPr>
                <w:spacing w:val="1"/>
              </w:rPr>
              <w:t>三）保护</w:t>
            </w:r>
            <w:r>
              <w:t>和恢复植被与合理利用自然资源相结合</w:t>
            </w:r>
            <w:r>
              <w:rPr>
                <w:spacing w:val="-18"/>
              </w:rPr>
              <w:t>；（</w:t>
            </w:r>
            <w:r>
              <w:t>四）遵循生态规律，依靠科</w:t>
            </w:r>
            <w:r>
              <w:rPr>
                <w:spacing w:val="2"/>
              </w:rPr>
              <w:t>技进步</w:t>
            </w:r>
            <w:r>
              <w:rPr>
                <w:spacing w:val="-21"/>
              </w:rPr>
              <w:t>；（</w:t>
            </w:r>
            <w:r>
              <w:rPr>
                <w:spacing w:val="2"/>
              </w:rPr>
              <w:t>五）改善生态环境与帮助农牧民增收致富相</w:t>
            </w:r>
            <w:r>
              <w:rPr>
                <w:spacing w:val="1"/>
              </w:rPr>
              <w:t>结合</w:t>
            </w:r>
            <w:r>
              <w:rPr>
                <w:spacing w:val="-21"/>
              </w:rPr>
              <w:t>；（</w:t>
            </w:r>
            <w:r>
              <w:rPr>
                <w:spacing w:val="1"/>
              </w:rPr>
              <w:t>六）国</w:t>
            </w:r>
            <w:r>
              <w:rPr>
                <w:spacing w:val="-1"/>
              </w:rPr>
              <w:t>家支持与地方自力更生相结合，政府组织与社会各界参与相结</w:t>
            </w:r>
            <w:r>
              <w:rPr>
                <w:spacing w:val="-2"/>
              </w:rPr>
              <w:t>合，鼓励</w:t>
            </w:r>
            <w:r>
              <w:rPr>
                <w:spacing w:val="4"/>
              </w:rPr>
              <w:t>单位、个人承包防治</w:t>
            </w:r>
            <w:r>
              <w:rPr>
                <w:spacing w:val="-12"/>
              </w:rPr>
              <w:t>；（</w:t>
            </w:r>
            <w:r>
              <w:rPr>
                <w:spacing w:val="4"/>
              </w:rPr>
              <w:t>七）保障防沙治沙者的合法权益。</w:t>
            </w:r>
            <w:r>
              <w:rPr>
                <w:spacing w:val="-87"/>
              </w:rPr>
              <w:t xml:space="preserve"> </w:t>
            </w:r>
            <w:r>
              <w:rPr>
                <w:spacing w:val="4"/>
              </w:rPr>
              <w:t>”</w:t>
            </w:r>
          </w:p>
          <w:p w14:paraId="6614578B">
            <w:pPr>
              <w:pStyle w:val="9"/>
              <w:spacing w:before="3" w:line="314" w:lineRule="auto"/>
              <w:ind w:left="17" w:right="10" w:firstLine="481"/>
              <w:jc w:val="both"/>
            </w:pPr>
            <w:r>
              <w:rPr>
                <w:spacing w:val="-1"/>
              </w:rPr>
              <w:t>本项目位于扎鲁特旗，在施工及运营期将严格控制</w:t>
            </w:r>
            <w:r>
              <w:rPr>
                <w:spacing w:val="-2"/>
              </w:rPr>
              <w:t>扬尘产生，尽量</w:t>
            </w:r>
            <w:r>
              <w:rPr>
                <w:spacing w:val="-1"/>
              </w:rPr>
              <w:t>减少土地侵扰，施工结束后对侵扰土地实施生态恢复种植植被，</w:t>
            </w:r>
            <w:r>
              <w:rPr>
                <w:spacing w:val="-2"/>
              </w:rPr>
              <w:t>本项目</w:t>
            </w:r>
            <w:r>
              <w:rPr>
                <w:spacing w:val="-1"/>
              </w:rPr>
              <w:t>施工期已结束，已岁临时施工营地进行植被恢复。运营期做好站</w:t>
            </w:r>
            <w:r>
              <w:rPr>
                <w:spacing w:val="-2"/>
              </w:rPr>
              <w:t>区及周</w:t>
            </w:r>
          </w:p>
        </w:tc>
      </w:tr>
    </w:tbl>
    <w:p w14:paraId="3249C009">
      <w:pPr>
        <w:pStyle w:val="3"/>
      </w:pPr>
    </w:p>
    <w:p w14:paraId="5349B8FB">
      <w:pPr>
        <w:sectPr>
          <w:footerReference r:id="rId9" w:type="default"/>
          <w:pgSz w:w="11906" w:h="16838"/>
          <w:pgMar w:top="1416" w:right="1377" w:bottom="1293" w:left="1243" w:header="0" w:footer="1133" w:gutter="0"/>
          <w:cols w:space="720" w:num="1"/>
        </w:sectPr>
      </w:pPr>
    </w:p>
    <w:tbl>
      <w:tblPr>
        <w:tblStyle w:val="8"/>
        <w:tblW w:w="927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824"/>
        <w:gridCol w:w="7446"/>
      </w:tblGrid>
      <w:tr w14:paraId="45CE1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833" w:hRule="atLeast"/>
        </w:trPr>
        <w:tc>
          <w:tcPr>
            <w:tcW w:w="1824" w:type="dxa"/>
            <w:tcBorders>
              <w:right w:val="single" w:color="000000" w:sz="2" w:space="0"/>
            </w:tcBorders>
            <w:vAlign w:val="top"/>
          </w:tcPr>
          <w:p w14:paraId="6B4D883C">
            <w:pPr>
              <w:rPr>
                <w:rFonts w:ascii="Arial"/>
                <w:sz w:val="21"/>
              </w:rPr>
            </w:pPr>
          </w:p>
        </w:tc>
        <w:tc>
          <w:tcPr>
            <w:tcW w:w="7446" w:type="dxa"/>
            <w:tcBorders>
              <w:left w:val="single" w:color="000000" w:sz="2" w:space="0"/>
            </w:tcBorders>
            <w:vAlign w:val="top"/>
          </w:tcPr>
          <w:p w14:paraId="13127D96">
            <w:pPr>
              <w:pStyle w:val="9"/>
              <w:spacing w:before="173" w:line="354" w:lineRule="auto"/>
              <w:ind w:left="18" w:right="10" w:hanging="1"/>
            </w:pPr>
            <w:r>
              <w:rPr>
                <w:spacing w:val="-1"/>
              </w:rPr>
              <w:t>边的植被养护，因此，本项目符合《内蒙古自治区防沙治沙条例</w:t>
            </w:r>
            <w:r>
              <w:rPr>
                <w:spacing w:val="-2"/>
              </w:rPr>
              <w:t>》相关</w:t>
            </w:r>
            <w:r>
              <w:rPr>
                <w:spacing w:val="-4"/>
              </w:rPr>
              <w:t>要求。</w:t>
            </w:r>
          </w:p>
          <w:p w14:paraId="726503D5">
            <w:pPr>
              <w:pStyle w:val="9"/>
              <w:spacing w:before="1" w:line="353" w:lineRule="auto"/>
              <w:ind w:left="18" w:right="13" w:firstLine="483"/>
            </w:pPr>
            <w:r>
              <w:rPr>
                <w:b/>
                <w:bCs/>
                <w:spacing w:val="-4"/>
              </w:rPr>
              <w:t>八、与《内蒙古林草等五部门发布关于实行征占用草原林地分区用</w:t>
            </w:r>
            <w:r>
              <w:rPr>
                <w:b/>
                <w:bCs/>
                <w:spacing w:val="-3"/>
              </w:rPr>
              <w:t>途管控的通知》中的相关规定的符合性分析</w:t>
            </w:r>
          </w:p>
          <w:p w14:paraId="51B2E93B">
            <w:pPr>
              <w:pStyle w:val="9"/>
              <w:spacing w:before="5" w:line="353" w:lineRule="auto"/>
              <w:ind w:left="18" w:right="10" w:firstLine="483"/>
              <w:jc w:val="both"/>
            </w:pPr>
            <w:r>
              <w:rPr>
                <w:spacing w:val="-1"/>
              </w:rPr>
              <w:t>该《通知》要求一、实行征占用草原林地分</w:t>
            </w:r>
            <w:r>
              <w:rPr>
                <w:spacing w:val="-2"/>
              </w:rPr>
              <w:t>区用途管控。严格落实</w:t>
            </w:r>
            <w:r>
              <w:rPr>
                <w:spacing w:val="-1"/>
              </w:rPr>
              <w:t>生态保护红线、环境质量底线、资源利用上线和生态环境准入</w:t>
            </w:r>
            <w:r>
              <w:rPr>
                <w:spacing w:val="-2"/>
              </w:rPr>
              <w:t>清单，积</w:t>
            </w:r>
            <w:r>
              <w:rPr>
                <w:spacing w:val="-1"/>
              </w:rPr>
              <w:t>极引导各类建设项目集约节约使用草原林地。重点保障基础设</w:t>
            </w:r>
            <w:r>
              <w:rPr>
                <w:spacing w:val="-2"/>
              </w:rPr>
              <w:t>施、公共</w:t>
            </w:r>
            <w:r>
              <w:rPr>
                <w:spacing w:val="-1"/>
              </w:rPr>
              <w:t>事业和民生工程建设项目使用草原林地需求。</w:t>
            </w:r>
          </w:p>
          <w:p w14:paraId="0803D5BF">
            <w:pPr>
              <w:pStyle w:val="9"/>
              <w:spacing w:line="219" w:lineRule="auto"/>
              <w:ind w:left="509"/>
            </w:pPr>
            <w:r>
              <w:rPr>
                <w:spacing w:val="-2"/>
              </w:rPr>
              <w:t>（一）草原</w:t>
            </w:r>
            <w:r>
              <w:rPr>
                <w:rFonts w:ascii="Times New Roman" w:hAnsi="Times New Roman" w:eastAsia="Times New Roman" w:cs="Times New Roman"/>
                <w:spacing w:val="-2"/>
              </w:rPr>
              <w:t>“</w:t>
            </w:r>
            <w:r>
              <w:rPr>
                <w:spacing w:val="-2"/>
              </w:rPr>
              <w:t>三区</w:t>
            </w:r>
            <w:r>
              <w:rPr>
                <w:rFonts w:ascii="Times New Roman" w:hAnsi="Times New Roman" w:eastAsia="Times New Roman" w:cs="Times New Roman"/>
                <w:spacing w:val="-2"/>
              </w:rPr>
              <w:t>”</w:t>
            </w:r>
            <w:r>
              <w:rPr>
                <w:spacing w:val="-2"/>
              </w:rPr>
              <w:t>用途管控。</w:t>
            </w:r>
          </w:p>
          <w:p w14:paraId="178D698E">
            <w:pPr>
              <w:pStyle w:val="9"/>
              <w:spacing w:before="173" w:line="354" w:lineRule="auto"/>
              <w:ind w:left="18" w:right="10" w:firstLine="498"/>
            </w:pPr>
            <w:r>
              <w:rPr>
                <w:rFonts w:ascii="Times New Roman" w:hAnsi="Times New Roman" w:eastAsia="Times New Roman" w:cs="Times New Roman"/>
              </w:rPr>
              <w:t>1.</w:t>
            </w:r>
            <w:r>
              <w:t>生态保护红线内草原区。该区是我区草原生态系统的核心区，属</w:t>
            </w:r>
            <w:r>
              <w:rPr>
                <w:spacing w:val="-1"/>
              </w:rPr>
              <w:t>禁止开发区域。该区域征占用管理严格按照中共中央办公厅、</w:t>
            </w:r>
            <w:r>
              <w:rPr>
                <w:spacing w:val="-2"/>
              </w:rPr>
              <w:t>国务院办</w:t>
            </w:r>
            <w:r>
              <w:rPr>
                <w:spacing w:val="-1"/>
              </w:rPr>
              <w:t>公厅《关于划定并严守生态保护红线的若干意见》和《关于在</w:t>
            </w:r>
            <w:r>
              <w:rPr>
                <w:spacing w:val="-2"/>
              </w:rPr>
              <w:t>国土空间</w:t>
            </w:r>
            <w:r>
              <w:rPr>
                <w:spacing w:val="-1"/>
              </w:rPr>
              <w:t>规划中统筹划定落实三条控制线的指导意见》的规定执行。</w:t>
            </w:r>
          </w:p>
          <w:p w14:paraId="04A5100C">
            <w:pPr>
              <w:pStyle w:val="9"/>
              <w:spacing w:before="6" w:line="353" w:lineRule="auto"/>
              <w:ind w:left="19" w:right="10" w:firstLine="474"/>
            </w:pPr>
            <w:r>
              <w:rPr>
                <w:rFonts w:ascii="Times New Roman" w:hAnsi="Times New Roman" w:eastAsia="Times New Roman" w:cs="Times New Roman"/>
                <w:spacing w:val="1"/>
              </w:rPr>
              <w:t>2.</w:t>
            </w:r>
            <w:r>
              <w:rPr>
                <w:spacing w:val="1"/>
              </w:rPr>
              <w:t>生态保护红线外的基本草原区。该区是我区草原生态系统的重要</w:t>
            </w:r>
            <w:r>
              <w:rPr>
                <w:spacing w:val="-1"/>
              </w:rPr>
              <w:t>保护区，实行严格保护措施。符合该区准入草原规定的各类</w:t>
            </w:r>
            <w:r>
              <w:rPr>
                <w:spacing w:val="-2"/>
              </w:rPr>
              <w:t>建设项目，</w:t>
            </w:r>
            <w:r>
              <w:rPr>
                <w:spacing w:val="-1"/>
              </w:rPr>
              <w:t>严格按照国家林业和草原局《草原征占用审核审批管理规范</w:t>
            </w:r>
            <w:r>
              <w:rPr>
                <w:spacing w:val="-2"/>
              </w:rPr>
              <w:t>》和《内蒙</w:t>
            </w:r>
            <w:r>
              <w:rPr>
                <w:spacing w:val="-1"/>
              </w:rPr>
              <w:t>古自治区草原征占用审核审批管理规定》执行。同时，按照</w:t>
            </w:r>
            <w:r>
              <w:rPr>
                <w:spacing w:val="-2"/>
              </w:rPr>
              <w:t>自治区主体</w:t>
            </w:r>
            <w:r>
              <w:rPr>
                <w:spacing w:val="-1"/>
              </w:rPr>
              <w:t>功能区规划和区域发展定位，将该区域划分为东西两个区域</w:t>
            </w:r>
            <w:r>
              <w:rPr>
                <w:spacing w:val="-2"/>
              </w:rPr>
              <w:t>，实行差异化用途管控。</w:t>
            </w:r>
          </w:p>
          <w:p w14:paraId="66E0FADA">
            <w:pPr>
              <w:pStyle w:val="9"/>
              <w:spacing w:before="5" w:line="353" w:lineRule="auto"/>
              <w:ind w:left="18" w:right="10" w:firstLine="480"/>
            </w:pPr>
            <w:r>
              <w:rPr>
                <w:rFonts w:ascii="Times New Roman" w:hAnsi="Times New Roman" w:eastAsia="Times New Roman" w:cs="Times New Roman"/>
                <w:spacing w:val="1"/>
              </w:rPr>
              <w:t>3.</w:t>
            </w:r>
            <w:r>
              <w:rPr>
                <w:spacing w:val="1"/>
              </w:rPr>
              <w:t>一般草原区。以上两个区以外的草原，属于一般草原</w:t>
            </w:r>
            <w:r>
              <w:t>区，实行严</w:t>
            </w:r>
            <w:r>
              <w:rPr>
                <w:spacing w:val="-1"/>
              </w:rPr>
              <w:t>格用途管控。按照自治区确定的区域发展定位和产业发展布局</w:t>
            </w:r>
            <w:r>
              <w:rPr>
                <w:spacing w:val="-2"/>
              </w:rPr>
              <w:t>严格把关</w:t>
            </w:r>
            <w:r>
              <w:rPr>
                <w:spacing w:val="-1"/>
              </w:rPr>
              <w:t>各类建设项目占用该区域草原，除保障国家和自治区能源资源</w:t>
            </w:r>
            <w:r>
              <w:rPr>
                <w:spacing w:val="-2"/>
              </w:rPr>
              <w:t>战略安全</w:t>
            </w:r>
            <w:r>
              <w:rPr>
                <w:spacing w:val="-1"/>
              </w:rPr>
              <w:t>的矿产资源开发项目外，不得新上其他类矿产资源开发项目。</w:t>
            </w:r>
          </w:p>
          <w:p w14:paraId="2CA26E70">
            <w:pPr>
              <w:pStyle w:val="9"/>
              <w:spacing w:before="5" w:line="353" w:lineRule="auto"/>
              <w:ind w:left="18" w:right="10" w:firstLine="491"/>
              <w:jc w:val="both"/>
            </w:pPr>
            <w:r>
              <w:rPr>
                <w:spacing w:val="-2"/>
              </w:rPr>
              <w:t>（二）林地分区管控。保障中部地区呼和浩特市、包头市、乌兰察</w:t>
            </w:r>
            <w:r>
              <w:rPr>
                <w:spacing w:val="-1"/>
              </w:rPr>
              <w:t>布市和鄂尔多斯市重点能源建设和战略资源项目使用林地需求</w:t>
            </w:r>
            <w:r>
              <w:rPr>
                <w:spacing w:val="-2"/>
              </w:rPr>
              <w:t>，严格控</w:t>
            </w:r>
            <w:r>
              <w:rPr>
                <w:spacing w:val="-1"/>
              </w:rPr>
              <w:t>制各类建设项目占用国家级公益林地、天然林。支持中部地区</w:t>
            </w:r>
            <w:r>
              <w:rPr>
                <w:spacing w:val="-2"/>
              </w:rPr>
              <w:t>和西部地</w:t>
            </w:r>
            <w:r>
              <w:rPr>
                <w:spacing w:val="-1"/>
              </w:rPr>
              <w:t>区高效利用风光资源。全区各地新建风电场项目禁止占用天然</w:t>
            </w:r>
            <w:r>
              <w:rPr>
                <w:spacing w:val="-2"/>
              </w:rPr>
              <w:t>林、乔木</w:t>
            </w:r>
            <w:r>
              <w:rPr>
                <w:spacing w:val="-1"/>
              </w:rPr>
              <w:t>林地，新建光伏电站项目阵列组件只能占用无林地。</w:t>
            </w:r>
          </w:p>
          <w:p w14:paraId="60B74254">
            <w:pPr>
              <w:pStyle w:val="9"/>
              <w:spacing w:line="296" w:lineRule="auto"/>
              <w:ind w:left="23" w:right="10" w:firstLine="476"/>
            </w:pPr>
            <w:r>
              <w:rPr>
                <w:spacing w:val="-3"/>
              </w:rPr>
              <w:t>本项目属于风电场配套</w:t>
            </w:r>
            <w:r>
              <w:rPr>
                <w:spacing w:val="-53"/>
              </w:rPr>
              <w:t xml:space="preserve"> </w:t>
            </w:r>
            <w:r>
              <w:rPr>
                <w:rFonts w:ascii="Times New Roman" w:hAnsi="Times New Roman" w:eastAsia="Times New Roman" w:cs="Times New Roman"/>
                <w:spacing w:val="-3"/>
              </w:rPr>
              <w:t xml:space="preserve">220kV </w:t>
            </w:r>
            <w:r>
              <w:rPr>
                <w:spacing w:val="-3"/>
              </w:rPr>
              <w:t>升压站的建设工程，项目占地类型为</w:t>
            </w:r>
            <w:r>
              <w:rPr>
                <w:spacing w:val="-4"/>
              </w:rPr>
              <w:t>天然牧草地。根据</w:t>
            </w:r>
            <w:r>
              <w:rPr>
                <w:spacing w:val="-55"/>
              </w:rPr>
              <w:t xml:space="preserve"> </w:t>
            </w:r>
            <w:r>
              <w:rPr>
                <w:rFonts w:ascii="Times New Roman" w:hAnsi="Times New Roman" w:eastAsia="Times New Roman" w:cs="Times New Roman"/>
                <w:spacing w:val="-4"/>
              </w:rPr>
              <w:t xml:space="preserve">2021 </w:t>
            </w:r>
            <w:r>
              <w:rPr>
                <w:spacing w:val="-4"/>
              </w:rPr>
              <w:t>年</w:t>
            </w:r>
            <w:r>
              <w:rPr>
                <w:spacing w:val="-56"/>
              </w:rPr>
              <w:t xml:space="preserve"> </w:t>
            </w:r>
            <w:r>
              <w:rPr>
                <w:rFonts w:ascii="Times New Roman" w:hAnsi="Times New Roman" w:eastAsia="Times New Roman" w:cs="Times New Roman"/>
                <w:spacing w:val="-4"/>
              </w:rPr>
              <w:t>4</w:t>
            </w:r>
            <w:r>
              <w:rPr>
                <w:rFonts w:ascii="Times New Roman" w:hAnsi="Times New Roman" w:eastAsia="Times New Roman" w:cs="Times New Roman"/>
                <w:spacing w:val="15"/>
                <w:w w:val="101"/>
              </w:rPr>
              <w:t xml:space="preserve"> </w:t>
            </w:r>
            <w:r>
              <w:rPr>
                <w:spacing w:val="-4"/>
              </w:rPr>
              <w:t>月</w:t>
            </w:r>
            <w:r>
              <w:rPr>
                <w:spacing w:val="-32"/>
              </w:rPr>
              <w:t xml:space="preserve"> </w:t>
            </w:r>
            <w:r>
              <w:rPr>
                <w:rFonts w:ascii="Times New Roman" w:hAnsi="Times New Roman" w:eastAsia="Times New Roman" w:cs="Times New Roman"/>
                <w:spacing w:val="-4"/>
              </w:rPr>
              <w:t xml:space="preserve">13  </w:t>
            </w:r>
            <w:r>
              <w:rPr>
                <w:spacing w:val="-4"/>
              </w:rPr>
              <w:t>日扎鲁特旗自然资</w:t>
            </w:r>
            <w:r>
              <w:rPr>
                <w:spacing w:val="-5"/>
              </w:rPr>
              <w:t>源局出具的“关于</w:t>
            </w:r>
          </w:p>
        </w:tc>
      </w:tr>
    </w:tbl>
    <w:p w14:paraId="0E97A131">
      <w:pPr>
        <w:pStyle w:val="3"/>
      </w:pPr>
    </w:p>
    <w:p w14:paraId="36A97C21">
      <w:pPr>
        <w:sectPr>
          <w:footerReference r:id="rId10" w:type="default"/>
          <w:pgSz w:w="11906" w:h="16838"/>
          <w:pgMar w:top="1416" w:right="1377" w:bottom="1295" w:left="1243" w:header="0" w:footer="1133" w:gutter="0"/>
          <w:cols w:space="720" w:num="1"/>
        </w:sectPr>
      </w:pPr>
    </w:p>
    <w:tbl>
      <w:tblPr>
        <w:tblStyle w:val="8"/>
        <w:tblW w:w="927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824"/>
        <w:gridCol w:w="7446"/>
      </w:tblGrid>
      <w:tr w14:paraId="1D7354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583" w:hRule="atLeast"/>
        </w:trPr>
        <w:tc>
          <w:tcPr>
            <w:tcW w:w="1824" w:type="dxa"/>
            <w:tcBorders>
              <w:right w:val="single" w:color="000000" w:sz="2" w:space="0"/>
            </w:tcBorders>
            <w:vAlign w:val="top"/>
          </w:tcPr>
          <w:p w14:paraId="1317388E">
            <w:pPr>
              <w:rPr>
                <w:rFonts w:ascii="Arial"/>
                <w:sz w:val="21"/>
              </w:rPr>
            </w:pPr>
          </w:p>
        </w:tc>
        <w:tc>
          <w:tcPr>
            <w:tcW w:w="7446" w:type="dxa"/>
            <w:tcBorders>
              <w:left w:val="single" w:color="000000" w:sz="2" w:space="0"/>
            </w:tcBorders>
            <w:vAlign w:val="top"/>
          </w:tcPr>
          <w:p w14:paraId="48891692">
            <w:pPr>
              <w:pStyle w:val="9"/>
              <w:spacing w:before="172" w:line="354" w:lineRule="auto"/>
              <w:ind w:left="18" w:right="10"/>
              <w:jc w:val="both"/>
            </w:pPr>
            <w:r>
              <w:rPr>
                <w:spacing w:val="4"/>
              </w:rPr>
              <w:t>霍林河循环经济示范工程续建</w:t>
            </w:r>
            <w:r>
              <w:rPr>
                <w:rFonts w:ascii="Times New Roman" w:hAnsi="Times New Roman" w:eastAsia="Times New Roman" w:cs="Times New Roman"/>
                <w:spacing w:val="4"/>
              </w:rPr>
              <w:t>(</w:t>
            </w:r>
            <w:r>
              <w:rPr>
                <w:spacing w:val="4"/>
              </w:rPr>
              <w:t>第五期</w:t>
            </w:r>
            <w:r>
              <w:rPr>
                <w:rFonts w:ascii="Times New Roman" w:hAnsi="Times New Roman" w:eastAsia="Times New Roman" w:cs="Times New Roman"/>
                <w:spacing w:val="4"/>
              </w:rPr>
              <w:t>)200</w:t>
            </w:r>
            <w:r>
              <w:rPr>
                <w:rFonts w:ascii="Times New Roman" w:hAnsi="Times New Roman" w:eastAsia="Times New Roman" w:cs="Times New Roman"/>
              </w:rPr>
              <w:t>MW</w:t>
            </w:r>
            <w:r>
              <w:rPr>
                <w:rFonts w:ascii="Times New Roman" w:hAnsi="Times New Roman" w:eastAsia="Times New Roman" w:cs="Times New Roman"/>
                <w:spacing w:val="20"/>
                <w:w w:val="101"/>
              </w:rPr>
              <w:t xml:space="preserve"> </w:t>
            </w:r>
            <w:r>
              <w:rPr>
                <w:spacing w:val="4"/>
              </w:rPr>
              <w:t>风电项目风机坐标范围</w:t>
            </w:r>
            <w:r>
              <w:rPr>
                <w:spacing w:val="-2"/>
              </w:rPr>
              <w:t>不涉及生态保护红线情况的说明</w:t>
            </w:r>
            <w:r>
              <w:rPr>
                <w:spacing w:val="-88"/>
              </w:rPr>
              <w:t xml:space="preserve"> </w:t>
            </w:r>
            <w:r>
              <w:rPr>
                <w:spacing w:val="-2"/>
              </w:rPr>
              <w:t>”，本项目不在生态保护红</w:t>
            </w:r>
            <w:r>
              <w:rPr>
                <w:spacing w:val="-3"/>
              </w:rPr>
              <w:t>线范围内。</w:t>
            </w:r>
            <w:r>
              <w:rPr>
                <w:spacing w:val="-4"/>
              </w:rPr>
              <w:t>根据</w:t>
            </w:r>
            <w:r>
              <w:rPr>
                <w:spacing w:val="-55"/>
              </w:rPr>
              <w:t xml:space="preserve"> </w:t>
            </w:r>
            <w:r>
              <w:rPr>
                <w:rFonts w:ascii="Times New Roman" w:hAnsi="Times New Roman" w:eastAsia="Times New Roman" w:cs="Times New Roman"/>
                <w:spacing w:val="-4"/>
              </w:rPr>
              <w:t xml:space="preserve">2021 </w:t>
            </w:r>
            <w:r>
              <w:rPr>
                <w:spacing w:val="-4"/>
              </w:rPr>
              <w:t>年</w:t>
            </w:r>
            <w:r>
              <w:rPr>
                <w:spacing w:val="-50"/>
              </w:rPr>
              <w:t xml:space="preserve"> </w:t>
            </w:r>
            <w:r>
              <w:rPr>
                <w:rFonts w:ascii="Times New Roman" w:hAnsi="Times New Roman" w:eastAsia="Times New Roman" w:cs="Times New Roman"/>
                <w:spacing w:val="-4"/>
              </w:rPr>
              <w:t>9</w:t>
            </w:r>
            <w:r>
              <w:rPr>
                <w:rFonts w:ascii="Times New Roman" w:hAnsi="Times New Roman" w:eastAsia="Times New Roman" w:cs="Times New Roman"/>
                <w:spacing w:val="15"/>
              </w:rPr>
              <w:t xml:space="preserve"> </w:t>
            </w:r>
            <w:r>
              <w:rPr>
                <w:spacing w:val="-4"/>
              </w:rPr>
              <w:t>月</w:t>
            </w:r>
            <w:r>
              <w:rPr>
                <w:spacing w:val="-32"/>
              </w:rPr>
              <w:t xml:space="preserve"> </w:t>
            </w:r>
            <w:r>
              <w:rPr>
                <w:rFonts w:ascii="Times New Roman" w:hAnsi="Times New Roman" w:eastAsia="Times New Roman" w:cs="Times New Roman"/>
                <w:spacing w:val="-4"/>
              </w:rPr>
              <w:t xml:space="preserve">15  </w:t>
            </w:r>
            <w:r>
              <w:rPr>
                <w:spacing w:val="-4"/>
              </w:rPr>
              <w:t>日取得的内蒙古自治区国土资</w:t>
            </w:r>
            <w:r>
              <w:rPr>
                <w:spacing w:val="-5"/>
              </w:rPr>
              <w:t>源厅出具的“关于内</w:t>
            </w:r>
            <w:r>
              <w:rPr>
                <w:spacing w:val="2"/>
              </w:rPr>
              <w:t>蒙古霍林河循环经济示范工程</w:t>
            </w:r>
            <w:r>
              <w:rPr>
                <w:spacing w:val="-42"/>
              </w:rPr>
              <w:t xml:space="preserve"> </w:t>
            </w:r>
            <w:r>
              <w:rPr>
                <w:rFonts w:ascii="Times New Roman" w:hAnsi="Times New Roman" w:eastAsia="Times New Roman" w:cs="Times New Roman"/>
                <w:spacing w:val="2"/>
              </w:rPr>
              <w:t>80</w:t>
            </w:r>
            <w:r>
              <w:rPr>
                <w:rFonts w:ascii="Times New Roman" w:hAnsi="Times New Roman" w:eastAsia="Times New Roman" w:cs="Times New Roman"/>
                <w:spacing w:val="17"/>
              </w:rPr>
              <w:t xml:space="preserve"> </w:t>
            </w:r>
            <w:r>
              <w:rPr>
                <w:spacing w:val="2"/>
              </w:rPr>
              <w:t>万千瓦就</w:t>
            </w:r>
            <w:r>
              <w:rPr>
                <w:spacing w:val="1"/>
              </w:rPr>
              <w:t>地消纳风电示范项目用地的</w:t>
            </w:r>
            <w:r>
              <w:rPr>
                <w:spacing w:val="-2"/>
              </w:rPr>
              <w:t>预审意见</w:t>
            </w:r>
            <w:r>
              <w:rPr>
                <w:spacing w:val="-88"/>
              </w:rPr>
              <w:t xml:space="preserve"> </w:t>
            </w:r>
            <w:r>
              <w:rPr>
                <w:spacing w:val="-2"/>
              </w:rPr>
              <w:t>”（内国土预审字</w:t>
            </w:r>
            <w:r>
              <w:rPr>
                <w:rFonts w:ascii="Times New Roman" w:hAnsi="Times New Roman" w:eastAsia="Times New Roman" w:cs="Times New Roman"/>
                <w:spacing w:val="-2"/>
              </w:rPr>
              <w:t>[</w:t>
            </w:r>
            <w:r>
              <w:fldChar w:fldCharType="begin"/>
            </w:r>
            <w:r>
              <w:instrText xml:space="preserve"> HYPERLINK \l "bookmark5" </w:instrText>
            </w:r>
            <w:r>
              <w:fldChar w:fldCharType="separate"/>
            </w:r>
            <w:r>
              <w:rPr>
                <w:rFonts w:ascii="Times New Roman" w:hAnsi="Times New Roman" w:eastAsia="Times New Roman" w:cs="Times New Roman"/>
                <w:spacing w:val="-2"/>
              </w:rPr>
              <w:t>2013</w:t>
            </w:r>
            <w:r>
              <w:rPr>
                <w:rFonts w:ascii="Times New Roman" w:hAnsi="Times New Roman" w:eastAsia="Times New Roman" w:cs="Times New Roman"/>
                <w:spacing w:val="-2"/>
              </w:rPr>
              <w:fldChar w:fldCharType="end"/>
            </w:r>
            <w:r>
              <w:rPr>
                <w:rFonts w:ascii="Times New Roman" w:hAnsi="Times New Roman" w:eastAsia="Times New Roman" w:cs="Times New Roman"/>
                <w:spacing w:val="-2"/>
              </w:rPr>
              <w:t>]87</w:t>
            </w:r>
            <w:r>
              <w:rPr>
                <w:rFonts w:ascii="Times New Roman" w:hAnsi="Times New Roman" w:eastAsia="Times New Roman" w:cs="Times New Roman"/>
                <w:spacing w:val="15"/>
                <w:w w:val="101"/>
              </w:rPr>
              <w:t xml:space="preserve"> </w:t>
            </w:r>
            <w:r>
              <w:rPr>
                <w:spacing w:val="-2"/>
              </w:rPr>
              <w:t>号</w:t>
            </w:r>
            <w:r>
              <w:rPr>
                <w:spacing w:val="4"/>
              </w:rPr>
              <w:t>），</w:t>
            </w:r>
            <w:r>
              <w:rPr>
                <w:spacing w:val="-2"/>
              </w:rPr>
              <w:t>其主要占地类型为</w:t>
            </w:r>
            <w:r>
              <w:rPr>
                <w:spacing w:val="-3"/>
              </w:rPr>
              <w:t>天然牧草</w:t>
            </w:r>
            <w:r>
              <w:rPr>
                <w:spacing w:val="-2"/>
              </w:rPr>
              <w:t>地、农用地，本项目永久占地</w:t>
            </w:r>
            <w:r>
              <w:rPr>
                <w:spacing w:val="-41"/>
              </w:rPr>
              <w:t xml:space="preserve"> </w:t>
            </w:r>
            <w:r>
              <w:rPr>
                <w:rFonts w:ascii="Times New Roman" w:hAnsi="Times New Roman" w:eastAsia="Times New Roman" w:cs="Times New Roman"/>
                <w:spacing w:val="-2"/>
              </w:rPr>
              <w:t>4.</w:t>
            </w:r>
            <w:r>
              <w:rPr>
                <w:rFonts w:ascii="Times New Roman" w:hAnsi="Times New Roman" w:eastAsia="Times New Roman" w:cs="Times New Roman"/>
                <w:spacing w:val="-32"/>
              </w:rPr>
              <w:t xml:space="preserve"> </w:t>
            </w:r>
            <w:r>
              <w:rPr>
                <w:rFonts w:ascii="Times New Roman" w:hAnsi="Times New Roman" w:eastAsia="Times New Roman" w:cs="Times New Roman"/>
                <w:spacing w:val="-2"/>
              </w:rPr>
              <w:t>16hm</w:t>
            </w:r>
            <w:r>
              <w:rPr>
                <w:rFonts w:ascii="Times New Roman" w:hAnsi="Times New Roman" w:eastAsia="Times New Roman" w:cs="Times New Roman"/>
                <w:spacing w:val="-2"/>
                <w:position w:val="8"/>
                <w:sz w:val="15"/>
                <w:szCs w:val="15"/>
              </w:rPr>
              <w:t xml:space="preserve">2 </w:t>
            </w:r>
            <w:r>
              <w:rPr>
                <w:spacing w:val="-2"/>
              </w:rPr>
              <w:t>，</w:t>
            </w:r>
            <w:r>
              <w:rPr>
                <w:spacing w:val="-71"/>
              </w:rPr>
              <w:t xml:space="preserve"> </w:t>
            </w:r>
            <w:r>
              <w:rPr>
                <w:spacing w:val="-2"/>
              </w:rPr>
              <w:t>占地均为天然牧草地（非基本</w:t>
            </w:r>
            <w:r>
              <w:rPr>
                <w:spacing w:val="-1"/>
              </w:rPr>
              <w:t>草原</w:t>
            </w:r>
            <w:r>
              <w:rPr>
                <w:spacing w:val="-2"/>
              </w:rPr>
              <w:t>），</w:t>
            </w:r>
            <w:r>
              <w:rPr>
                <w:spacing w:val="-1"/>
              </w:rPr>
              <w:t>项目选址符合《内蒙古林草等五部门发布关于实行征占用</w:t>
            </w:r>
            <w:r>
              <w:rPr>
                <w:spacing w:val="-2"/>
              </w:rPr>
              <w:t>草原</w:t>
            </w:r>
            <w:r>
              <w:rPr>
                <w:spacing w:val="-1"/>
              </w:rPr>
              <w:t>林地分区用途管控的通知》中的相关规定。</w:t>
            </w:r>
          </w:p>
          <w:p w14:paraId="12241193">
            <w:pPr>
              <w:pStyle w:val="9"/>
              <w:spacing w:before="7" w:line="362" w:lineRule="auto"/>
              <w:ind w:left="22" w:right="13" w:firstLine="481"/>
            </w:pPr>
            <w:r>
              <w:rPr>
                <w:b/>
                <w:bCs/>
                <w:spacing w:val="-4"/>
              </w:rPr>
              <w:t>九、与《内蒙古自治区党委关于制定国民经济和社会发展第十五个</w:t>
            </w:r>
            <w:r>
              <w:rPr>
                <w:b/>
                <w:bCs/>
                <w:spacing w:val="-3"/>
              </w:rPr>
              <w:t>五年规划的建议》符合性分析</w:t>
            </w:r>
          </w:p>
          <w:p w14:paraId="48A2C659">
            <w:pPr>
              <w:pStyle w:val="9"/>
              <w:spacing w:before="4" w:line="361" w:lineRule="auto"/>
              <w:ind w:left="18" w:right="10" w:firstLine="475"/>
              <w:jc w:val="both"/>
            </w:pPr>
            <w:r>
              <w:rPr>
                <w:rFonts w:ascii="Times New Roman" w:hAnsi="Times New Roman" w:eastAsia="Times New Roman" w:cs="Times New Roman"/>
                <w:spacing w:val="-5"/>
              </w:rPr>
              <w:t xml:space="preserve">2025 </w:t>
            </w:r>
            <w:r>
              <w:rPr>
                <w:spacing w:val="-5"/>
              </w:rPr>
              <w:t>年</w:t>
            </w:r>
            <w:r>
              <w:rPr>
                <w:spacing w:val="-30"/>
              </w:rPr>
              <w:t xml:space="preserve"> </w:t>
            </w:r>
            <w:r>
              <w:rPr>
                <w:rFonts w:ascii="Times New Roman" w:hAnsi="Times New Roman" w:eastAsia="Times New Roman" w:cs="Times New Roman"/>
                <w:spacing w:val="-5"/>
              </w:rPr>
              <w:t xml:space="preserve">11 </w:t>
            </w:r>
            <w:r>
              <w:rPr>
                <w:spacing w:val="-5"/>
              </w:rPr>
              <w:t>月</w:t>
            </w:r>
            <w:r>
              <w:rPr>
                <w:spacing w:val="-47"/>
              </w:rPr>
              <w:t xml:space="preserve"> </w:t>
            </w:r>
            <w:r>
              <w:rPr>
                <w:rFonts w:ascii="Times New Roman" w:hAnsi="Times New Roman" w:eastAsia="Times New Roman" w:cs="Times New Roman"/>
                <w:spacing w:val="-5"/>
              </w:rPr>
              <w:t>14</w:t>
            </w:r>
            <w:r>
              <w:rPr>
                <w:rFonts w:ascii="Times New Roman" w:hAnsi="Times New Roman" w:eastAsia="Times New Roman" w:cs="Times New Roman"/>
                <w:spacing w:val="36"/>
                <w:w w:val="101"/>
              </w:rPr>
              <w:t xml:space="preserve"> </w:t>
            </w:r>
            <w:r>
              <w:rPr>
                <w:spacing w:val="-5"/>
              </w:rPr>
              <w:t>日中国共产党内蒙古自治区第十一届委员会第十次</w:t>
            </w:r>
            <w:r>
              <w:rPr>
                <w:spacing w:val="-1"/>
              </w:rPr>
              <w:t>全体会议通过了《内蒙古自治区党委关于制定国民经济和社会</w:t>
            </w:r>
            <w:r>
              <w:rPr>
                <w:spacing w:val="-2"/>
              </w:rPr>
              <w:t>发展第十</w:t>
            </w:r>
            <w:r>
              <w:rPr>
                <w:spacing w:val="-1"/>
              </w:rPr>
              <w:t>五个五年规划的建议》，《建议》提出提高新能源开发水平。</w:t>
            </w:r>
            <w:r>
              <w:rPr>
                <w:spacing w:val="-2"/>
              </w:rPr>
              <w:t>坚持风光</w:t>
            </w:r>
            <w:r>
              <w:rPr>
                <w:spacing w:val="-1"/>
              </w:rPr>
              <w:t>水核等多能并举，持续提高新能源供给比重，推动新增用电量</w:t>
            </w:r>
            <w:r>
              <w:rPr>
                <w:spacing w:val="-2"/>
              </w:rPr>
              <w:t>主要由新</w:t>
            </w:r>
            <w:r>
              <w:rPr>
                <w:spacing w:val="-1"/>
              </w:rPr>
              <w:t>增新能源发电满足。统筹就地消纳和外送，加快沙戈荒大型风</w:t>
            </w:r>
            <w:r>
              <w:rPr>
                <w:spacing w:val="-2"/>
              </w:rPr>
              <w:t>电基地建</w:t>
            </w:r>
            <w:r>
              <w:t>设，科学制定年度利用率目标和开发规模，</w:t>
            </w:r>
            <w:r>
              <w:rPr>
                <w:spacing w:val="-1"/>
              </w:rPr>
              <w:t>保持新增装机合理规模。</w:t>
            </w:r>
          </w:p>
          <w:p w14:paraId="39C34D1C">
            <w:pPr>
              <w:pStyle w:val="9"/>
              <w:spacing w:line="361" w:lineRule="auto"/>
              <w:ind w:left="20" w:right="10" w:firstLine="479"/>
              <w:jc w:val="both"/>
            </w:pPr>
            <w:r>
              <w:rPr>
                <w:spacing w:val="7"/>
              </w:rPr>
              <w:t>本项目为风电场配套的</w:t>
            </w:r>
            <w:r>
              <w:rPr>
                <w:rFonts w:ascii="Times New Roman" w:hAnsi="Times New Roman" w:eastAsia="Times New Roman" w:cs="Times New Roman"/>
                <w:spacing w:val="7"/>
              </w:rPr>
              <w:t>220</w:t>
            </w:r>
            <w:r>
              <w:rPr>
                <w:rFonts w:ascii="Times New Roman" w:hAnsi="Times New Roman" w:eastAsia="Times New Roman" w:cs="Times New Roman"/>
              </w:rPr>
              <w:t>kV</w:t>
            </w:r>
            <w:r>
              <w:rPr>
                <w:rFonts w:ascii="Times New Roman" w:hAnsi="Times New Roman" w:eastAsia="Times New Roman" w:cs="Times New Roman"/>
                <w:spacing w:val="18"/>
              </w:rPr>
              <w:t xml:space="preserve"> </w:t>
            </w:r>
            <w:r>
              <w:rPr>
                <w:spacing w:val="7"/>
              </w:rPr>
              <w:t>升压站工程，属于清洁能源</w:t>
            </w:r>
            <w:r>
              <w:rPr>
                <w:spacing w:val="6"/>
              </w:rPr>
              <w:t>开发项</w:t>
            </w:r>
            <w:r>
              <w:rPr>
                <w:spacing w:val="-1"/>
              </w:rPr>
              <w:t>目，因此，本项目的建设符合《内蒙古自治区党委关于制</w:t>
            </w:r>
            <w:r>
              <w:rPr>
                <w:spacing w:val="-2"/>
              </w:rPr>
              <w:t>定国民经济和</w:t>
            </w:r>
            <w:r>
              <w:rPr>
                <w:spacing w:val="-1"/>
              </w:rPr>
              <w:t>社会发展第十五个五年规划的建议》的要求。</w:t>
            </w:r>
          </w:p>
          <w:p w14:paraId="708EA6C7">
            <w:pPr>
              <w:pStyle w:val="9"/>
              <w:spacing w:line="219" w:lineRule="auto"/>
              <w:ind w:left="499"/>
            </w:pPr>
            <w:r>
              <w:rPr>
                <w:b/>
                <w:bCs/>
                <w:spacing w:val="-4"/>
              </w:rPr>
              <w:t>十、与《生态保护“十五五</w:t>
            </w:r>
            <w:r>
              <w:rPr>
                <w:spacing w:val="-82"/>
              </w:rPr>
              <w:t xml:space="preserve"> </w:t>
            </w:r>
            <w:r>
              <w:rPr>
                <w:b/>
                <w:bCs/>
                <w:spacing w:val="-4"/>
              </w:rPr>
              <w:t>”规划》符合性分析</w:t>
            </w:r>
          </w:p>
          <w:p w14:paraId="7F347C5C">
            <w:pPr>
              <w:pStyle w:val="9"/>
              <w:spacing w:before="184" w:line="362" w:lineRule="auto"/>
              <w:ind w:left="19" w:firstLine="468"/>
              <w:jc w:val="both"/>
            </w:pPr>
            <w:r>
              <w:rPr>
                <w:rFonts w:ascii="Times New Roman" w:hAnsi="Times New Roman" w:eastAsia="Times New Roman" w:cs="Times New Roman"/>
                <w:spacing w:val="-8"/>
              </w:rPr>
              <w:t xml:space="preserve">2026 </w:t>
            </w:r>
            <w:r>
              <w:rPr>
                <w:spacing w:val="-8"/>
              </w:rPr>
              <w:t>年</w:t>
            </w:r>
            <w:r>
              <w:rPr>
                <w:spacing w:val="-40"/>
              </w:rPr>
              <w:t xml:space="preserve"> </w:t>
            </w:r>
            <w:r>
              <w:rPr>
                <w:rFonts w:ascii="Times New Roman" w:hAnsi="Times New Roman" w:eastAsia="Times New Roman" w:cs="Times New Roman"/>
                <w:spacing w:val="-8"/>
              </w:rPr>
              <w:t>08</w:t>
            </w:r>
            <w:r>
              <w:rPr>
                <w:rFonts w:ascii="Times New Roman" w:hAnsi="Times New Roman" w:eastAsia="Times New Roman" w:cs="Times New Roman"/>
                <w:spacing w:val="14"/>
              </w:rPr>
              <w:t xml:space="preserve"> </w:t>
            </w:r>
            <w:r>
              <w:rPr>
                <w:spacing w:val="-8"/>
              </w:rPr>
              <w:t>月</w:t>
            </w:r>
            <w:r>
              <w:rPr>
                <w:spacing w:val="-52"/>
              </w:rPr>
              <w:t xml:space="preserve"> </w:t>
            </w:r>
            <w:r>
              <w:rPr>
                <w:rFonts w:ascii="Times New Roman" w:hAnsi="Times New Roman" w:eastAsia="Times New Roman" w:cs="Times New Roman"/>
                <w:spacing w:val="-8"/>
              </w:rPr>
              <w:t xml:space="preserve">06  </w:t>
            </w:r>
            <w:r>
              <w:rPr>
                <w:spacing w:val="-8"/>
              </w:rPr>
              <w:t>日生态环境部、自然资源部、住房城乡建设部、水</w:t>
            </w:r>
            <w:r>
              <w:rPr>
                <w:spacing w:val="-9"/>
              </w:rPr>
              <w:t>利部、农业农村部、国家林草局联合发布了《生态保护</w:t>
            </w:r>
            <w:r>
              <w:rPr>
                <w:spacing w:val="-10"/>
              </w:rPr>
              <w:t>“十五五</w:t>
            </w:r>
            <w:r>
              <w:rPr>
                <w:spacing w:val="-89"/>
              </w:rPr>
              <w:t xml:space="preserve"> </w:t>
            </w:r>
            <w:r>
              <w:rPr>
                <w:spacing w:val="-10"/>
              </w:rPr>
              <w:t>”规划》</w:t>
            </w:r>
            <w:r>
              <w:t xml:space="preserve"> </w:t>
            </w:r>
            <w:r>
              <w:rPr>
                <w:spacing w:val="-4"/>
              </w:rPr>
              <w:t>（环生态〔</w:t>
            </w:r>
            <w:r>
              <w:rPr>
                <w:rFonts w:ascii="Times New Roman" w:hAnsi="Times New Roman" w:eastAsia="Times New Roman" w:cs="Times New Roman"/>
                <w:spacing w:val="-4"/>
              </w:rPr>
              <w:t>2026</w:t>
            </w:r>
            <w:r>
              <w:rPr>
                <w:spacing w:val="-4"/>
              </w:rPr>
              <w:t>〕</w:t>
            </w:r>
            <w:r>
              <w:rPr>
                <w:rFonts w:ascii="Times New Roman" w:hAnsi="Times New Roman" w:eastAsia="Times New Roman" w:cs="Times New Roman"/>
                <w:spacing w:val="-4"/>
              </w:rPr>
              <w:t>47</w:t>
            </w:r>
            <w:r>
              <w:rPr>
                <w:rFonts w:ascii="Times New Roman" w:hAnsi="Times New Roman" w:eastAsia="Times New Roman" w:cs="Times New Roman"/>
                <w:spacing w:val="15"/>
              </w:rPr>
              <w:t xml:space="preserve"> </w:t>
            </w:r>
            <w:r>
              <w:rPr>
                <w:spacing w:val="-4"/>
              </w:rPr>
              <w:t>号</w:t>
            </w:r>
            <w:r>
              <w:rPr>
                <w:spacing w:val="1"/>
              </w:rPr>
              <w:t>），</w:t>
            </w:r>
            <w:r>
              <w:rPr>
                <w:spacing w:val="-4"/>
              </w:rPr>
              <w:t>根据规划内容要求如下：</w:t>
            </w:r>
          </w:p>
          <w:p w14:paraId="244D2462">
            <w:pPr>
              <w:pStyle w:val="9"/>
              <w:spacing w:before="3" w:line="361" w:lineRule="auto"/>
              <w:ind w:left="17" w:right="10" w:firstLine="481"/>
            </w:pPr>
            <w:r>
              <w:rPr>
                <w:rFonts w:ascii="Times New Roman" w:hAnsi="Times New Roman" w:eastAsia="Times New Roman" w:cs="Times New Roman"/>
              </w:rPr>
              <w:t>(</w:t>
            </w:r>
            <w:r>
              <w:t>一</w:t>
            </w:r>
            <w:r>
              <w:rPr>
                <w:rFonts w:ascii="Times New Roman" w:hAnsi="Times New Roman" w:eastAsia="Times New Roman" w:cs="Times New Roman"/>
              </w:rPr>
              <w:t>)</w:t>
            </w:r>
            <w:r>
              <w:t>巩固优化生态安全屏障。持续巩固以“三区四带</w:t>
            </w:r>
            <w:r>
              <w:rPr>
                <w:spacing w:val="-78"/>
              </w:rPr>
              <w:t xml:space="preserve"> </w:t>
            </w:r>
            <w:r>
              <w:t>”为骨架的国</w:t>
            </w:r>
            <w:r>
              <w:rPr>
                <w:spacing w:val="-2"/>
              </w:rPr>
              <w:t>家生态安全屏障体系，构筑“三北</w:t>
            </w:r>
            <w:r>
              <w:rPr>
                <w:spacing w:val="-88"/>
              </w:rPr>
              <w:t xml:space="preserve"> </w:t>
            </w:r>
            <w:r>
              <w:rPr>
                <w:spacing w:val="-2"/>
              </w:rPr>
              <w:t>”工程区绿色屏障。加强重</w:t>
            </w:r>
            <w:r>
              <w:rPr>
                <w:spacing w:val="-3"/>
              </w:rPr>
              <w:t>要生态廊</w:t>
            </w:r>
            <w:r>
              <w:rPr>
                <w:spacing w:val="-1"/>
              </w:rPr>
              <w:t>道及其重要节点保护建设，重点推进自然保护地、重要物种栖息</w:t>
            </w:r>
            <w:r>
              <w:rPr>
                <w:spacing w:val="-2"/>
              </w:rPr>
              <w:t>地之间</w:t>
            </w:r>
            <w:r>
              <w:rPr>
                <w:spacing w:val="-1"/>
              </w:rPr>
              <w:t>的生态廊道建设，维护和修复重要海洋生态廊道，合理布局建设</w:t>
            </w:r>
            <w:r>
              <w:rPr>
                <w:spacing w:val="-2"/>
              </w:rPr>
              <w:t>生物多</w:t>
            </w:r>
            <w:r>
              <w:rPr>
                <w:spacing w:val="-1"/>
              </w:rPr>
              <w:t>样性保护空间体系。</w:t>
            </w:r>
          </w:p>
          <w:p w14:paraId="30C590E3">
            <w:pPr>
              <w:pStyle w:val="9"/>
              <w:spacing w:line="210" w:lineRule="auto"/>
              <w:ind w:right="13"/>
              <w:jc w:val="right"/>
            </w:pPr>
            <w:r>
              <w:rPr>
                <w:rFonts w:ascii="Times New Roman" w:hAnsi="Times New Roman" w:eastAsia="Times New Roman" w:cs="Times New Roman"/>
                <w:spacing w:val="1"/>
              </w:rPr>
              <w:t>(</w:t>
            </w:r>
            <w:r>
              <w:rPr>
                <w:spacing w:val="1"/>
              </w:rPr>
              <w:t>二</w:t>
            </w:r>
            <w:r>
              <w:rPr>
                <w:rFonts w:ascii="Times New Roman" w:hAnsi="Times New Roman" w:eastAsia="Times New Roman" w:cs="Times New Roman"/>
                <w:spacing w:val="1"/>
              </w:rPr>
              <w:t>)</w:t>
            </w:r>
            <w:r>
              <w:rPr>
                <w:spacing w:val="1"/>
              </w:rPr>
              <w:t>完善自然保护地体系。建立健全国土空间规划动态维护机制，</w:t>
            </w:r>
          </w:p>
        </w:tc>
      </w:tr>
    </w:tbl>
    <w:p w14:paraId="72F550C3">
      <w:pPr>
        <w:pStyle w:val="3"/>
      </w:pPr>
    </w:p>
    <w:p w14:paraId="751C558F">
      <w:pPr>
        <w:sectPr>
          <w:footerReference r:id="rId11" w:type="default"/>
          <w:pgSz w:w="11906" w:h="16838"/>
          <w:pgMar w:top="1416" w:right="1377" w:bottom="1293" w:left="1243" w:header="0" w:footer="1133" w:gutter="0"/>
          <w:cols w:space="720" w:num="1"/>
        </w:sectPr>
      </w:pPr>
    </w:p>
    <w:tbl>
      <w:tblPr>
        <w:tblStyle w:val="8"/>
        <w:tblW w:w="927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824"/>
        <w:gridCol w:w="7446"/>
      </w:tblGrid>
      <w:tr w14:paraId="723AE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663" w:hRule="atLeast"/>
        </w:trPr>
        <w:tc>
          <w:tcPr>
            <w:tcW w:w="1824" w:type="dxa"/>
            <w:tcBorders>
              <w:right w:val="single" w:color="000000" w:sz="2" w:space="0"/>
            </w:tcBorders>
            <w:vAlign w:val="top"/>
          </w:tcPr>
          <w:p w14:paraId="569B8CB0">
            <w:pPr>
              <w:rPr>
                <w:rFonts w:ascii="Arial"/>
                <w:sz w:val="21"/>
              </w:rPr>
            </w:pPr>
          </w:p>
        </w:tc>
        <w:tc>
          <w:tcPr>
            <w:tcW w:w="7446" w:type="dxa"/>
            <w:tcBorders>
              <w:left w:val="single" w:color="000000" w:sz="2" w:space="0"/>
            </w:tcBorders>
            <w:vAlign w:val="top"/>
          </w:tcPr>
          <w:p w14:paraId="61CAC8CC">
            <w:pPr>
              <w:pStyle w:val="9"/>
              <w:spacing w:before="184" w:line="361" w:lineRule="auto"/>
              <w:ind w:left="17" w:right="10"/>
              <w:jc w:val="both"/>
            </w:pPr>
            <w:r>
              <w:rPr>
                <w:spacing w:val="-1"/>
              </w:rPr>
              <w:t>优化生态保护红线范围。全面推进以国家公园为主体、自然保护</w:t>
            </w:r>
            <w:r>
              <w:rPr>
                <w:spacing w:val="-2"/>
              </w:rPr>
              <w:t>区为基</w:t>
            </w:r>
            <w:r>
              <w:rPr>
                <w:spacing w:val="-1"/>
              </w:rPr>
              <w:t>础、各类自然公园为补充的自然保护地体系建设。实施自然保护</w:t>
            </w:r>
            <w:r>
              <w:rPr>
                <w:spacing w:val="-2"/>
              </w:rPr>
              <w:t>地整合</w:t>
            </w:r>
            <w:r>
              <w:rPr>
                <w:spacing w:val="-1"/>
              </w:rPr>
              <w:t>优化，落实分级管理和分区管控，推动解决历史遗留问题，全面</w:t>
            </w:r>
            <w:r>
              <w:rPr>
                <w:spacing w:val="-2"/>
              </w:rPr>
              <w:t>提升自</w:t>
            </w:r>
            <w:r>
              <w:rPr>
                <w:spacing w:val="-1"/>
              </w:rPr>
              <w:t>然保护地保护管理水平。</w:t>
            </w:r>
          </w:p>
          <w:p w14:paraId="164C3444">
            <w:pPr>
              <w:pStyle w:val="9"/>
              <w:spacing w:before="6" w:line="361" w:lineRule="auto"/>
              <w:ind w:left="17" w:firstLine="477"/>
              <w:jc w:val="both"/>
            </w:pPr>
            <w:r>
              <w:rPr>
                <w:spacing w:val="-2"/>
              </w:rPr>
              <w:t>本项目为“</w:t>
            </w:r>
            <w:r>
              <w:rPr>
                <w:spacing w:val="-80"/>
              </w:rPr>
              <w:t xml:space="preserve"> </w:t>
            </w:r>
            <w:r>
              <w:rPr>
                <w:spacing w:val="-2"/>
              </w:rPr>
              <w:t>内蒙古霍林河循环经济示范工程</w:t>
            </w:r>
            <w:r>
              <w:rPr>
                <w:spacing w:val="-41"/>
              </w:rPr>
              <w:t xml:space="preserve"> </w:t>
            </w:r>
            <w:r>
              <w:rPr>
                <w:rFonts w:ascii="Times New Roman" w:hAnsi="Times New Roman" w:eastAsia="Times New Roman" w:cs="Times New Roman"/>
                <w:spacing w:val="-2"/>
              </w:rPr>
              <w:t>80</w:t>
            </w:r>
            <w:r>
              <w:rPr>
                <w:rFonts w:ascii="Times New Roman" w:hAnsi="Times New Roman" w:eastAsia="Times New Roman" w:cs="Times New Roman"/>
                <w:spacing w:val="17"/>
              </w:rPr>
              <w:t xml:space="preserve"> </w:t>
            </w:r>
            <w:r>
              <w:rPr>
                <w:spacing w:val="-2"/>
              </w:rPr>
              <w:t>万千瓦就地消纳风</w:t>
            </w:r>
            <w:r>
              <w:rPr>
                <w:spacing w:val="-3"/>
              </w:rPr>
              <w:t>电示范项目</w:t>
            </w:r>
            <w:r>
              <w:rPr>
                <w:spacing w:val="-80"/>
              </w:rPr>
              <w:t xml:space="preserve"> </w:t>
            </w:r>
            <w:r>
              <w:rPr>
                <w:spacing w:val="-3"/>
              </w:rPr>
              <w:t>”及“霍林河循环经济示范工程续建（第五期）</w:t>
            </w:r>
            <w:r>
              <w:rPr>
                <w:rFonts w:ascii="Times New Roman" w:hAnsi="Times New Roman" w:eastAsia="Times New Roman" w:cs="Times New Roman"/>
                <w:spacing w:val="-3"/>
              </w:rPr>
              <w:t xml:space="preserve">200MW  </w:t>
            </w:r>
            <w:r>
              <w:rPr>
                <w:spacing w:val="-3"/>
              </w:rPr>
              <w:t>风</w:t>
            </w:r>
            <w:r>
              <w:rPr>
                <w:spacing w:val="-4"/>
              </w:rPr>
              <w:t>电项目</w:t>
            </w:r>
            <w:r>
              <w:rPr>
                <w:spacing w:val="-88"/>
              </w:rPr>
              <w:t xml:space="preserve"> </w:t>
            </w:r>
            <w:r>
              <w:rPr>
                <w:spacing w:val="-4"/>
              </w:rPr>
              <w:t>”配套升压站工程，项目所在地位于风场</w:t>
            </w:r>
            <w:r>
              <w:rPr>
                <w:spacing w:val="-5"/>
              </w:rPr>
              <w:t>范围内，项目占地及评</w:t>
            </w:r>
            <w:r>
              <w:rPr>
                <w:spacing w:val="-3"/>
              </w:rPr>
              <w:t>价范围内不存在自然保护地、重要物种栖息地、国</w:t>
            </w:r>
            <w:r>
              <w:rPr>
                <w:spacing w:val="-4"/>
              </w:rPr>
              <w:t>家公园、自然公园及</w:t>
            </w:r>
            <w:r>
              <w:rPr>
                <w:spacing w:val="-3"/>
              </w:rPr>
              <w:t>生态红线等环境敏感目标，且项目运营期不产生废</w:t>
            </w:r>
            <w:r>
              <w:rPr>
                <w:spacing w:val="-4"/>
              </w:rPr>
              <w:t>气，产生少量生活污</w:t>
            </w:r>
            <w:r>
              <w:rPr>
                <w:spacing w:val="-8"/>
              </w:rPr>
              <w:t>水经化粪池沉淀后，排入站内地埋式一体化设施处置后，</w:t>
            </w:r>
            <w:r>
              <w:rPr>
                <w:spacing w:val="-9"/>
              </w:rPr>
              <w:t>用于厂区绿化、</w:t>
            </w:r>
            <w:r>
              <w:rPr>
                <w:spacing w:val="-3"/>
              </w:rPr>
              <w:t>道路抑尘等，项目产生的危险废物均可妥善处置，</w:t>
            </w:r>
            <w:r>
              <w:rPr>
                <w:spacing w:val="-4"/>
              </w:rPr>
              <w:t>对周边生态环境影响</w:t>
            </w:r>
            <w:r>
              <w:rPr>
                <w:spacing w:val="-5"/>
              </w:rPr>
              <w:t>较小。</w:t>
            </w:r>
          </w:p>
          <w:p w14:paraId="317234AD">
            <w:pPr>
              <w:pStyle w:val="9"/>
              <w:spacing w:line="219" w:lineRule="auto"/>
              <w:ind w:left="499"/>
            </w:pPr>
            <w:r>
              <w:rPr>
                <w:b/>
                <w:bCs/>
                <w:spacing w:val="-4"/>
              </w:rPr>
              <w:t>十一、与《新型能源体系建设“十五五</w:t>
            </w:r>
            <w:r>
              <w:rPr>
                <w:spacing w:val="-72"/>
              </w:rPr>
              <w:t xml:space="preserve"> </w:t>
            </w:r>
            <w:r>
              <w:rPr>
                <w:b/>
                <w:bCs/>
                <w:spacing w:val="-4"/>
              </w:rPr>
              <w:t>”规划》符合性分析</w:t>
            </w:r>
          </w:p>
          <w:p w14:paraId="1D28C3F9">
            <w:pPr>
              <w:pStyle w:val="9"/>
              <w:spacing w:before="186" w:line="361" w:lineRule="auto"/>
              <w:ind w:left="17" w:right="11" w:firstLine="476"/>
              <w:jc w:val="both"/>
            </w:pPr>
            <w:r>
              <w:rPr>
                <w:rFonts w:ascii="Times New Roman" w:hAnsi="Times New Roman" w:eastAsia="Times New Roman" w:cs="Times New Roman"/>
                <w:spacing w:val="-4"/>
              </w:rPr>
              <w:t xml:space="preserve">2026 </w:t>
            </w:r>
            <w:r>
              <w:rPr>
                <w:spacing w:val="-4"/>
              </w:rPr>
              <w:t>年</w:t>
            </w:r>
            <w:r>
              <w:rPr>
                <w:spacing w:val="-36"/>
              </w:rPr>
              <w:t xml:space="preserve"> </w:t>
            </w:r>
            <w:r>
              <w:rPr>
                <w:rFonts w:ascii="Times New Roman" w:hAnsi="Times New Roman" w:eastAsia="Times New Roman" w:cs="Times New Roman"/>
                <w:spacing w:val="-4"/>
              </w:rPr>
              <w:t>06</w:t>
            </w:r>
            <w:r>
              <w:rPr>
                <w:rFonts w:ascii="Times New Roman" w:hAnsi="Times New Roman" w:eastAsia="Times New Roman" w:cs="Times New Roman"/>
                <w:spacing w:val="16"/>
              </w:rPr>
              <w:t xml:space="preserve"> </w:t>
            </w:r>
            <w:r>
              <w:rPr>
                <w:spacing w:val="-4"/>
              </w:rPr>
              <w:t>月</w:t>
            </w:r>
            <w:r>
              <w:rPr>
                <w:spacing w:val="-30"/>
              </w:rPr>
              <w:t xml:space="preserve"> </w:t>
            </w:r>
            <w:r>
              <w:rPr>
                <w:rFonts w:ascii="Times New Roman" w:hAnsi="Times New Roman" w:eastAsia="Times New Roman" w:cs="Times New Roman"/>
                <w:spacing w:val="-4"/>
              </w:rPr>
              <w:t xml:space="preserve">13  </w:t>
            </w:r>
            <w:r>
              <w:rPr>
                <w:spacing w:val="-4"/>
              </w:rPr>
              <w:t>日国家发展改革委</w:t>
            </w:r>
            <w:r>
              <w:rPr>
                <w:spacing w:val="35"/>
              </w:rPr>
              <w:t xml:space="preserve"> </w:t>
            </w:r>
            <w:r>
              <w:rPr>
                <w:spacing w:val="-4"/>
              </w:rPr>
              <w:t>国家能源局联合发布了《新型</w:t>
            </w:r>
            <w:r>
              <w:rPr>
                <w:spacing w:val="-1"/>
              </w:rPr>
              <w:t>能源体系建设“十五五</w:t>
            </w:r>
            <w:r>
              <w:rPr>
                <w:spacing w:val="-88"/>
              </w:rPr>
              <w:t xml:space="preserve"> </w:t>
            </w:r>
            <w:r>
              <w:rPr>
                <w:spacing w:val="-1"/>
              </w:rPr>
              <w:t>”规划》（发改能源〔</w:t>
            </w:r>
            <w:r>
              <w:rPr>
                <w:rFonts w:ascii="Times New Roman" w:hAnsi="Times New Roman" w:eastAsia="Times New Roman" w:cs="Times New Roman"/>
                <w:spacing w:val="-1"/>
              </w:rPr>
              <w:t>2026</w:t>
            </w:r>
            <w:r>
              <w:rPr>
                <w:spacing w:val="-1"/>
              </w:rPr>
              <w:t>〕</w:t>
            </w:r>
            <w:r>
              <w:rPr>
                <w:rFonts w:ascii="Times New Roman" w:hAnsi="Times New Roman" w:eastAsia="Times New Roman" w:cs="Times New Roman"/>
                <w:spacing w:val="-1"/>
              </w:rPr>
              <w:t>884</w:t>
            </w:r>
            <w:r>
              <w:rPr>
                <w:rFonts w:ascii="Times New Roman" w:hAnsi="Times New Roman" w:eastAsia="Times New Roman" w:cs="Times New Roman"/>
                <w:spacing w:val="15"/>
              </w:rPr>
              <w:t xml:space="preserve"> </w:t>
            </w:r>
            <w:r>
              <w:rPr>
                <w:spacing w:val="-1"/>
              </w:rPr>
              <w:t>号</w:t>
            </w:r>
            <w:r>
              <w:rPr>
                <w:spacing w:val="7"/>
              </w:rPr>
              <w:t>），</w:t>
            </w:r>
            <w:r>
              <w:rPr>
                <w:spacing w:val="-2"/>
              </w:rPr>
              <w:t>根据规划内容要求如下：</w:t>
            </w:r>
          </w:p>
          <w:p w14:paraId="424A4C6D">
            <w:pPr>
              <w:pStyle w:val="9"/>
              <w:spacing w:before="7" w:line="361" w:lineRule="auto"/>
              <w:ind w:left="17" w:firstLine="472"/>
              <w:jc w:val="both"/>
            </w:pPr>
            <w:r>
              <w:rPr>
                <w:rFonts w:ascii="Times New Roman" w:hAnsi="Times New Roman" w:eastAsia="Times New Roman" w:cs="Times New Roman"/>
                <w:spacing w:val="1"/>
              </w:rPr>
              <w:t xml:space="preserve">2030  </w:t>
            </w:r>
            <w:r>
              <w:rPr>
                <w:spacing w:val="1"/>
              </w:rPr>
              <w:t>年初步建成清洁低碳安全高效的新型能源体</w:t>
            </w:r>
            <w:r>
              <w:t>系。能源综合生</w:t>
            </w:r>
            <w:r>
              <w:rPr>
                <w:spacing w:val="-3"/>
              </w:rPr>
              <w:t xml:space="preserve">产能力达到 </w:t>
            </w:r>
            <w:r>
              <w:rPr>
                <w:rFonts w:ascii="Times New Roman" w:hAnsi="Times New Roman" w:eastAsia="Times New Roman" w:cs="Times New Roman"/>
                <w:spacing w:val="-3"/>
              </w:rPr>
              <w:t xml:space="preserve">58  </w:t>
            </w:r>
            <w:r>
              <w:rPr>
                <w:spacing w:val="-3"/>
              </w:rPr>
              <w:t>亿吨标准煤，电力系统互补互济和安全韧性水平全面提升，能源进口多元可控；煤炭和石油消费达峰，非</w:t>
            </w:r>
            <w:r>
              <w:rPr>
                <w:spacing w:val="-4"/>
              </w:rPr>
              <w:t>化石能源消费比重达</w:t>
            </w:r>
            <w:r>
              <w:t xml:space="preserve">到 </w:t>
            </w:r>
            <w:r>
              <w:rPr>
                <w:rFonts w:ascii="Times New Roman" w:hAnsi="Times New Roman" w:eastAsia="Times New Roman" w:cs="Times New Roman"/>
              </w:rPr>
              <w:t>25%</w:t>
            </w:r>
            <w:r>
              <w:rPr>
                <w:rFonts w:ascii="Times New Roman" w:hAnsi="Times New Roman" w:eastAsia="Times New Roman" w:cs="Times New Roman"/>
                <w:spacing w:val="-27"/>
              </w:rPr>
              <w:t xml:space="preserve"> </w:t>
            </w:r>
            <w:r>
              <w:t>，风电和太阳能发电装机比重超过</w:t>
            </w:r>
            <w:r>
              <w:rPr>
                <w:spacing w:val="-44"/>
              </w:rPr>
              <w:t xml:space="preserve"> </w:t>
            </w:r>
            <w:r>
              <w:rPr>
                <w:rFonts w:ascii="Times New Roman" w:hAnsi="Times New Roman" w:eastAsia="Times New Roman" w:cs="Times New Roman"/>
              </w:rPr>
              <w:t>50%</w:t>
            </w:r>
            <w:r>
              <w:rPr>
                <w:rFonts w:ascii="Times New Roman" w:hAnsi="Times New Roman" w:eastAsia="Times New Roman" w:cs="Times New Roman"/>
                <w:spacing w:val="-30"/>
              </w:rPr>
              <w:t xml:space="preserve"> </w:t>
            </w:r>
            <w:r>
              <w:rPr>
                <w:spacing w:val="-1"/>
              </w:rPr>
              <w:t>、成为电力装机主体，</w:t>
            </w:r>
            <w:r>
              <w:rPr>
                <w:spacing w:val="-10"/>
              </w:rPr>
              <w:t xml:space="preserve">非化石能源发电量比重达到 </w:t>
            </w:r>
            <w:r>
              <w:rPr>
                <w:rFonts w:ascii="Times New Roman" w:hAnsi="Times New Roman" w:eastAsia="Times New Roman" w:cs="Times New Roman"/>
                <w:spacing w:val="-10"/>
              </w:rPr>
              <w:t>50%</w:t>
            </w:r>
            <w:r>
              <w:rPr>
                <w:spacing w:val="-10"/>
              </w:rPr>
              <w:t>、成为电量主体。坚强韧性、绿色</w:t>
            </w:r>
            <w:r>
              <w:rPr>
                <w:spacing w:val="-11"/>
              </w:rPr>
              <w:t>低碳、</w:t>
            </w:r>
            <w:r>
              <w:rPr>
                <w:spacing w:val="-3"/>
              </w:rPr>
              <w:t>集成融合、智能高效的新型能源基础设施体系加快</w:t>
            </w:r>
            <w:r>
              <w:rPr>
                <w:spacing w:val="-4"/>
              </w:rPr>
              <w:t>建设，新型电力系统</w:t>
            </w:r>
            <w:r>
              <w:rPr>
                <w:spacing w:val="-3"/>
              </w:rPr>
              <w:t>初步建成；能源产业链关键技术装备实现总体自主</w:t>
            </w:r>
            <w:r>
              <w:rPr>
                <w:spacing w:val="-4"/>
              </w:rPr>
              <w:t>可控，迈入世界能源</w:t>
            </w:r>
            <w:r>
              <w:rPr>
                <w:spacing w:val="-3"/>
              </w:rPr>
              <w:t>科技创新国家前列；适应新型能源体系的市场和价</w:t>
            </w:r>
            <w:r>
              <w:rPr>
                <w:spacing w:val="-4"/>
              </w:rPr>
              <w:t>格机制加快健全，全</w:t>
            </w:r>
            <w:r>
              <w:rPr>
                <w:spacing w:val="-3"/>
              </w:rPr>
              <w:t>国统一电力市场体系基本建成。</w:t>
            </w:r>
          </w:p>
          <w:p w14:paraId="31011BF0">
            <w:pPr>
              <w:pStyle w:val="9"/>
              <w:spacing w:before="4" w:line="330" w:lineRule="auto"/>
              <w:ind w:left="37" w:right="10" w:firstLine="462"/>
              <w:jc w:val="both"/>
            </w:pPr>
            <w:r>
              <w:t>本项目为“</w:t>
            </w:r>
            <w:r>
              <w:rPr>
                <w:spacing w:val="-75"/>
              </w:rPr>
              <w:t xml:space="preserve"> </w:t>
            </w:r>
            <w:r>
              <w:t>内蒙古霍林河循环经济示范工程</w:t>
            </w:r>
            <w:r>
              <w:rPr>
                <w:spacing w:val="-41"/>
              </w:rPr>
              <w:t xml:space="preserve"> </w:t>
            </w:r>
            <w:r>
              <w:rPr>
                <w:rFonts w:ascii="Times New Roman" w:hAnsi="Times New Roman" w:eastAsia="Times New Roman" w:cs="Times New Roman"/>
              </w:rPr>
              <w:t>80</w:t>
            </w:r>
            <w:r>
              <w:rPr>
                <w:rFonts w:ascii="Times New Roman" w:hAnsi="Times New Roman" w:eastAsia="Times New Roman" w:cs="Times New Roman"/>
                <w:spacing w:val="18"/>
              </w:rPr>
              <w:t xml:space="preserve"> </w:t>
            </w:r>
            <w:r>
              <w:t>万千瓦就地消纳风</w:t>
            </w:r>
            <w:r>
              <w:rPr>
                <w:spacing w:val="-1"/>
              </w:rPr>
              <w:t>电示范项目</w:t>
            </w:r>
            <w:r>
              <w:rPr>
                <w:spacing w:val="-89"/>
              </w:rPr>
              <w:t xml:space="preserve"> </w:t>
            </w:r>
            <w:r>
              <w:rPr>
                <w:spacing w:val="-1"/>
              </w:rPr>
              <w:t>”及“霍林河循环经济示范工程续建（第</w:t>
            </w:r>
            <w:r>
              <w:rPr>
                <w:spacing w:val="-2"/>
              </w:rPr>
              <w:t>五期）</w:t>
            </w:r>
            <w:r>
              <w:rPr>
                <w:rFonts w:ascii="Times New Roman" w:hAnsi="Times New Roman" w:eastAsia="Times New Roman" w:cs="Times New Roman"/>
                <w:spacing w:val="-2"/>
              </w:rPr>
              <w:t xml:space="preserve">200MW  </w:t>
            </w:r>
            <w:r>
              <w:rPr>
                <w:spacing w:val="-2"/>
              </w:rPr>
              <w:t>风</w:t>
            </w:r>
            <w:r>
              <w:rPr>
                <w:spacing w:val="-3"/>
              </w:rPr>
              <w:t>电项目</w:t>
            </w:r>
            <w:r>
              <w:rPr>
                <w:spacing w:val="-81"/>
              </w:rPr>
              <w:t xml:space="preserve"> </w:t>
            </w:r>
            <w:r>
              <w:rPr>
                <w:spacing w:val="-3"/>
              </w:rPr>
              <w:t>”配套升压站工程，风电场的建设有利于新型电力系统的建设，因此本项目符合《新型能源体系建设“十五五</w:t>
            </w:r>
            <w:r>
              <w:rPr>
                <w:spacing w:val="-75"/>
              </w:rPr>
              <w:t xml:space="preserve"> </w:t>
            </w:r>
            <w:r>
              <w:rPr>
                <w:spacing w:val="-3"/>
              </w:rPr>
              <w:t>”规划》。</w:t>
            </w:r>
          </w:p>
        </w:tc>
      </w:tr>
    </w:tbl>
    <w:p w14:paraId="684540FE">
      <w:pPr>
        <w:pStyle w:val="3"/>
      </w:pPr>
    </w:p>
    <w:p w14:paraId="00C0A1C7">
      <w:pPr>
        <w:sectPr>
          <w:footerReference r:id="rId12" w:type="default"/>
          <w:pgSz w:w="11906" w:h="16838"/>
          <w:pgMar w:top="1416" w:right="1377" w:bottom="1295" w:left="1243" w:header="0" w:footer="1133" w:gutter="0"/>
          <w:cols w:space="720" w:num="1"/>
        </w:sectPr>
      </w:pPr>
    </w:p>
    <w:tbl>
      <w:tblPr>
        <w:tblStyle w:val="8"/>
        <w:tblW w:w="927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824"/>
        <w:gridCol w:w="7446"/>
      </w:tblGrid>
      <w:tr w14:paraId="603D2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663" w:hRule="atLeast"/>
        </w:trPr>
        <w:tc>
          <w:tcPr>
            <w:tcW w:w="1824" w:type="dxa"/>
            <w:tcBorders>
              <w:right w:val="single" w:color="000000" w:sz="2" w:space="0"/>
            </w:tcBorders>
            <w:vAlign w:val="top"/>
          </w:tcPr>
          <w:p w14:paraId="0A05BF7D">
            <w:pPr>
              <w:rPr>
                <w:rFonts w:ascii="Arial"/>
                <w:sz w:val="21"/>
              </w:rPr>
            </w:pPr>
          </w:p>
        </w:tc>
        <w:tc>
          <w:tcPr>
            <w:tcW w:w="7446" w:type="dxa"/>
            <w:tcBorders>
              <w:left w:val="single" w:color="000000" w:sz="2" w:space="0"/>
            </w:tcBorders>
            <w:vAlign w:val="top"/>
          </w:tcPr>
          <w:p w14:paraId="4F6B00E8">
            <w:pPr>
              <w:pStyle w:val="9"/>
              <w:spacing w:before="181" w:line="362" w:lineRule="auto"/>
              <w:ind w:left="22" w:right="11" w:firstLine="477"/>
            </w:pPr>
            <w:r>
              <w:rPr>
                <w:b/>
                <w:bCs/>
                <w:spacing w:val="-4"/>
              </w:rPr>
              <w:t>十二、与《中华人民共和国国民经济和社会发展第十五个五年规划纲要》符合性分析</w:t>
            </w:r>
          </w:p>
          <w:p w14:paraId="324CFB5E">
            <w:pPr>
              <w:pStyle w:val="9"/>
              <w:spacing w:before="7" w:line="361" w:lineRule="auto"/>
              <w:ind w:left="17" w:firstLine="473"/>
              <w:jc w:val="both"/>
            </w:pPr>
            <w:r>
              <w:rPr>
                <w:rFonts w:ascii="Times New Roman" w:hAnsi="Times New Roman" w:eastAsia="Times New Roman" w:cs="Times New Roman"/>
                <w:spacing w:val="-7"/>
              </w:rPr>
              <w:t xml:space="preserve">2026 </w:t>
            </w:r>
            <w:r>
              <w:rPr>
                <w:spacing w:val="-7"/>
              </w:rPr>
              <w:t>年</w:t>
            </w:r>
            <w:r>
              <w:rPr>
                <w:spacing w:val="-50"/>
              </w:rPr>
              <w:t xml:space="preserve"> </w:t>
            </w:r>
            <w:r>
              <w:rPr>
                <w:rFonts w:ascii="Times New Roman" w:hAnsi="Times New Roman" w:eastAsia="Times New Roman" w:cs="Times New Roman"/>
                <w:spacing w:val="-7"/>
              </w:rPr>
              <w:t xml:space="preserve">1 </w:t>
            </w:r>
            <w:r>
              <w:rPr>
                <w:spacing w:val="-7"/>
              </w:rPr>
              <w:t>月</w:t>
            </w:r>
            <w:r>
              <w:rPr>
                <w:rFonts w:ascii="Times New Roman" w:hAnsi="Times New Roman" w:eastAsia="Times New Roman" w:cs="Times New Roman"/>
                <w:spacing w:val="-7"/>
              </w:rPr>
              <w:t>29</w:t>
            </w:r>
            <w:r>
              <w:rPr>
                <w:rFonts w:ascii="Times New Roman" w:hAnsi="Times New Roman" w:eastAsia="Times New Roman" w:cs="Times New Roman"/>
                <w:spacing w:val="34"/>
              </w:rPr>
              <w:t xml:space="preserve"> </w:t>
            </w:r>
            <w:r>
              <w:rPr>
                <w:spacing w:val="-7"/>
              </w:rPr>
              <w:t>日北京市第十六届人民代表大会第四次会议批</w:t>
            </w:r>
            <w:r>
              <w:rPr>
                <w:spacing w:val="-8"/>
              </w:rPr>
              <w:t>准《中</w:t>
            </w:r>
            <w:r>
              <w:rPr>
                <w:spacing w:val="-3"/>
              </w:rPr>
              <w:t>华人民共和国国民经济和社会发展第十五个五年规划纲要》，主要规定如下：深入实施能源安全新战略，加快构建清洁低碳安全高效的新型能</w:t>
            </w:r>
            <w:r>
              <w:rPr>
                <w:spacing w:val="-1"/>
              </w:rPr>
              <w:t>源体系，建设能源强国。推进非化石能源安全可靠有序替代化石能源，</w:t>
            </w:r>
            <w:r>
              <w:rPr>
                <w:spacing w:val="-3"/>
              </w:rPr>
              <w:t>坚持风光水核等多能并举，实施非化石能源十年倍增行动。统筹就地消</w:t>
            </w:r>
            <w:r>
              <w:rPr>
                <w:spacing w:val="-4"/>
              </w:rPr>
              <w:t>纳和外送，建设“三北</w:t>
            </w:r>
            <w:r>
              <w:rPr>
                <w:spacing w:val="-80"/>
              </w:rPr>
              <w:t xml:space="preserve"> </w:t>
            </w:r>
            <w:r>
              <w:rPr>
                <w:spacing w:val="-4"/>
              </w:rPr>
              <w:t>”风电光伏、西南水风光一体化、沿海核电、海</w:t>
            </w:r>
            <w:r>
              <w:rPr>
                <w:spacing w:val="-3"/>
              </w:rPr>
              <w:t>上风电等清洁能源基地，加强分布式能源就近开发利用，布局发展绿色</w:t>
            </w:r>
            <w:r>
              <w:rPr>
                <w:spacing w:val="-8"/>
              </w:rPr>
              <w:t>氢氨醇，积极推进光热发电和地热能利用。加强化石能源</w:t>
            </w:r>
            <w:r>
              <w:rPr>
                <w:spacing w:val="-9"/>
              </w:rPr>
              <w:t>清洁高效利用，</w:t>
            </w:r>
            <w:r>
              <w:rPr>
                <w:spacing w:val="-3"/>
              </w:rPr>
              <w:t>推进煤电改造升级和散煤替代。着力构建新型电力系统，全面提升电力</w:t>
            </w:r>
            <w:r>
              <w:rPr>
                <w:spacing w:val="-1"/>
              </w:rPr>
              <w:t>系统互补互济和安全韧性水平，优化全国电力流向和跨区域通道布局，</w:t>
            </w:r>
            <w:r>
              <w:rPr>
                <w:spacing w:val="-3"/>
              </w:rPr>
              <w:t>加快智能电网建设，完善城乡配电网，科学布局抽水蓄能，大力发展新型储能。提高终端用能电气化水平，推动能源消费绿色化低碳化。基本建成全国统一电力市场体系，完善油气“全国一张网</w:t>
            </w:r>
            <w:r>
              <w:rPr>
                <w:spacing w:val="-86"/>
              </w:rPr>
              <w:t xml:space="preserve"> </w:t>
            </w:r>
            <w:r>
              <w:rPr>
                <w:spacing w:val="-3"/>
              </w:rPr>
              <w:t>”运行调度机制。</w:t>
            </w:r>
          </w:p>
          <w:p w14:paraId="23C20C99">
            <w:pPr>
              <w:pStyle w:val="9"/>
              <w:spacing w:before="5" w:line="361" w:lineRule="auto"/>
              <w:ind w:left="19" w:right="10" w:firstLine="480"/>
              <w:jc w:val="both"/>
            </w:pPr>
            <w:r>
              <w:t>本项目属于“</w:t>
            </w:r>
            <w:r>
              <w:rPr>
                <w:spacing w:val="-73"/>
              </w:rPr>
              <w:t xml:space="preserve"> </w:t>
            </w:r>
            <w:r>
              <w:t>内蒙古霍林河循环经济示范工程</w:t>
            </w:r>
            <w:r>
              <w:rPr>
                <w:spacing w:val="-43"/>
              </w:rPr>
              <w:t xml:space="preserve"> </w:t>
            </w:r>
            <w:r>
              <w:rPr>
                <w:rFonts w:ascii="Times New Roman" w:hAnsi="Times New Roman" w:eastAsia="Times New Roman" w:cs="Times New Roman"/>
              </w:rPr>
              <w:t>80</w:t>
            </w:r>
            <w:r>
              <w:rPr>
                <w:rFonts w:ascii="Times New Roman" w:hAnsi="Times New Roman" w:eastAsia="Times New Roman" w:cs="Times New Roman"/>
                <w:spacing w:val="20"/>
                <w:w w:val="101"/>
              </w:rPr>
              <w:t xml:space="preserve"> </w:t>
            </w:r>
            <w:r>
              <w:t>万千瓦就地消纳</w:t>
            </w:r>
            <w:r>
              <w:rPr>
                <w:spacing w:val="-8"/>
              </w:rPr>
              <w:t>风电示范项目</w:t>
            </w:r>
            <w:r>
              <w:rPr>
                <w:spacing w:val="-76"/>
              </w:rPr>
              <w:t xml:space="preserve"> </w:t>
            </w:r>
            <w:r>
              <w:rPr>
                <w:spacing w:val="-8"/>
              </w:rPr>
              <w:t>”及“霍林河循环经济示范工程续建（第五期）</w:t>
            </w:r>
            <w:r>
              <w:rPr>
                <w:rFonts w:ascii="Times New Roman" w:hAnsi="Times New Roman" w:eastAsia="Times New Roman" w:cs="Times New Roman"/>
                <w:spacing w:val="-8"/>
              </w:rPr>
              <w:t xml:space="preserve">200MW  </w:t>
            </w:r>
            <w:r>
              <w:rPr>
                <w:spacing w:val="-8"/>
              </w:rPr>
              <w:t>风</w:t>
            </w:r>
            <w:r>
              <w:rPr>
                <w:spacing w:val="-2"/>
              </w:rPr>
              <w:t>电项目</w:t>
            </w:r>
            <w:r>
              <w:rPr>
                <w:spacing w:val="-88"/>
              </w:rPr>
              <w:t xml:space="preserve"> </w:t>
            </w:r>
            <w:r>
              <w:rPr>
                <w:spacing w:val="-2"/>
              </w:rPr>
              <w:t>”配套升压站工程，项目的主要为扎铝三期供电，</w:t>
            </w:r>
            <w:r>
              <w:rPr>
                <w:spacing w:val="-3"/>
              </w:rPr>
              <w:t>有利于构建新</w:t>
            </w:r>
            <w:r>
              <w:rPr>
                <w:spacing w:val="-1"/>
              </w:rPr>
              <w:t>型电力系统，发展新型能源。因此，本项目符合《中华人民</w:t>
            </w:r>
            <w:r>
              <w:rPr>
                <w:spacing w:val="-2"/>
              </w:rPr>
              <w:t>共和国国民</w:t>
            </w:r>
            <w:r>
              <w:rPr>
                <w:spacing w:val="-1"/>
              </w:rPr>
              <w:t>经济和社会发展第十五个五年规划纲要》。</w:t>
            </w:r>
          </w:p>
          <w:p w14:paraId="5475D1E8">
            <w:pPr>
              <w:pStyle w:val="9"/>
              <w:spacing w:line="219" w:lineRule="auto"/>
              <w:ind w:left="499"/>
            </w:pPr>
            <w:r>
              <w:rPr>
                <w:b/>
                <w:bCs/>
                <w:spacing w:val="-4"/>
              </w:rPr>
              <w:t>十三、与“生态环境分区管控</w:t>
            </w:r>
            <w:r>
              <w:rPr>
                <w:spacing w:val="-85"/>
              </w:rPr>
              <w:t xml:space="preserve"> </w:t>
            </w:r>
            <w:r>
              <w:rPr>
                <w:b/>
                <w:bCs/>
                <w:spacing w:val="-4"/>
              </w:rPr>
              <w:t>”的符合性分析</w:t>
            </w:r>
          </w:p>
          <w:p w14:paraId="0FAEB450">
            <w:pPr>
              <w:pStyle w:val="9"/>
              <w:spacing w:before="183" w:line="217" w:lineRule="auto"/>
              <w:ind w:left="497"/>
            </w:pPr>
            <w:r>
              <w:rPr>
                <w:spacing w:val="-2"/>
              </w:rPr>
              <w:t>①生态保护红线</w:t>
            </w:r>
          </w:p>
          <w:p w14:paraId="342F9005">
            <w:pPr>
              <w:pStyle w:val="9"/>
              <w:spacing w:before="191" w:line="361" w:lineRule="auto"/>
              <w:ind w:left="18" w:right="10" w:firstLine="480"/>
              <w:jc w:val="both"/>
            </w:pPr>
            <w:r>
              <w:rPr>
                <w:spacing w:val="-1"/>
              </w:rPr>
              <w:t>本工程评价范围内不涉及自然保护区、世界文化和</w:t>
            </w:r>
            <w:r>
              <w:rPr>
                <w:spacing w:val="-2"/>
              </w:rPr>
              <w:t>自然遗产地等特</w:t>
            </w:r>
            <w:r>
              <w:rPr>
                <w:spacing w:val="-1"/>
              </w:rPr>
              <w:t>殊生态敏感区，也不涉及风景名胜区、森林公园、地质公园、</w:t>
            </w:r>
            <w:r>
              <w:rPr>
                <w:spacing w:val="-2"/>
              </w:rPr>
              <w:t>原始天然</w:t>
            </w:r>
            <w:r>
              <w:rPr>
                <w:spacing w:val="-1"/>
              </w:rPr>
              <w:t>林、珍稀濒危野生动植物天然集中分布区等重要生态敏感区，</w:t>
            </w:r>
            <w:r>
              <w:rPr>
                <w:spacing w:val="-2"/>
              </w:rPr>
              <w:t>项目风场</w:t>
            </w:r>
            <w:r>
              <w:rPr>
                <w:spacing w:val="-1"/>
              </w:rPr>
              <w:t>范围内存在文物遗址，但升压站占地及评价范围内均不存在文</w:t>
            </w:r>
            <w:r>
              <w:rPr>
                <w:spacing w:val="-2"/>
              </w:rPr>
              <w:t>物遗址，</w:t>
            </w:r>
            <w:r>
              <w:rPr>
                <w:spacing w:val="-3"/>
              </w:rPr>
              <w:t>最近的文物遗址距离升压站</w:t>
            </w:r>
            <w:r>
              <w:rPr>
                <w:spacing w:val="-42"/>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32"/>
              </w:rPr>
              <w:t xml:space="preserve"> </w:t>
            </w:r>
            <w:r>
              <w:rPr>
                <w:rFonts w:ascii="Times New Roman" w:hAnsi="Times New Roman" w:eastAsia="Times New Roman" w:cs="Times New Roman"/>
                <w:spacing w:val="-3"/>
              </w:rPr>
              <w:t>15km</w:t>
            </w:r>
            <w:r>
              <w:rPr>
                <w:spacing w:val="-3"/>
              </w:rPr>
              <w:t>。</w:t>
            </w:r>
          </w:p>
          <w:p w14:paraId="2247E3B1">
            <w:pPr>
              <w:pStyle w:val="9"/>
              <w:spacing w:before="2" w:line="300" w:lineRule="auto"/>
              <w:ind w:left="21" w:right="10" w:firstLine="478"/>
            </w:pPr>
            <w:r>
              <w:rPr>
                <w:spacing w:val="-1"/>
              </w:rPr>
              <w:t>本项目位于内蒙古自治区通辽市扎鲁特旗，根据《</w:t>
            </w:r>
            <w:r>
              <w:rPr>
                <w:spacing w:val="-2"/>
              </w:rPr>
              <w:t>通辽市生态环境</w:t>
            </w:r>
            <w:r>
              <w:rPr>
                <w:spacing w:val="1"/>
              </w:rPr>
              <w:t>分区管控成果动态更新情况说明》（</w:t>
            </w:r>
            <w:r>
              <w:rPr>
                <w:rFonts w:ascii="Times New Roman" w:hAnsi="Times New Roman" w:eastAsia="Times New Roman" w:cs="Times New Roman"/>
                <w:spacing w:val="1"/>
              </w:rPr>
              <w:t>2023</w:t>
            </w:r>
            <w:r>
              <w:rPr>
                <w:spacing w:val="1"/>
              </w:rPr>
              <w:t>年</w:t>
            </w:r>
            <w:r>
              <w:rPr>
                <w:spacing w:val="-31"/>
              </w:rPr>
              <w:t xml:space="preserve"> </w:t>
            </w:r>
            <w:r>
              <w:rPr>
                <w:rFonts w:ascii="Times New Roman" w:hAnsi="Times New Roman" w:eastAsia="Times New Roman" w:cs="Times New Roman"/>
                <w:spacing w:val="1"/>
              </w:rPr>
              <w:t>12</w:t>
            </w:r>
            <w:r>
              <w:rPr>
                <w:rFonts w:ascii="Times New Roman" w:hAnsi="Times New Roman" w:eastAsia="Times New Roman" w:cs="Times New Roman"/>
                <w:spacing w:val="18"/>
              </w:rPr>
              <w:t xml:space="preserve"> </w:t>
            </w:r>
            <w:r>
              <w:rPr>
                <w:spacing w:val="1"/>
              </w:rPr>
              <w:t>月）及现场调查结果，</w:t>
            </w:r>
          </w:p>
        </w:tc>
      </w:tr>
    </w:tbl>
    <w:p w14:paraId="3C8906B4">
      <w:pPr>
        <w:pStyle w:val="3"/>
      </w:pPr>
    </w:p>
    <w:p w14:paraId="577C883B">
      <w:pPr>
        <w:sectPr>
          <w:footerReference r:id="rId13" w:type="default"/>
          <w:pgSz w:w="11906" w:h="16838"/>
          <w:pgMar w:top="1416" w:right="1377" w:bottom="1295" w:left="1243" w:header="0" w:footer="1133" w:gutter="0"/>
          <w:cols w:space="720" w:num="1"/>
        </w:sectPr>
      </w:pPr>
    </w:p>
    <w:tbl>
      <w:tblPr>
        <w:tblStyle w:val="8"/>
        <w:tblW w:w="9270"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824"/>
        <w:gridCol w:w="7446"/>
      </w:tblGrid>
      <w:tr w14:paraId="5ED76E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607" w:hRule="atLeast"/>
        </w:trPr>
        <w:tc>
          <w:tcPr>
            <w:tcW w:w="1824" w:type="dxa"/>
            <w:tcBorders>
              <w:right w:val="single" w:color="000000" w:sz="2" w:space="0"/>
            </w:tcBorders>
            <w:vAlign w:val="top"/>
          </w:tcPr>
          <w:p w14:paraId="0ECB8A96">
            <w:pPr>
              <w:rPr>
                <w:rFonts w:ascii="Arial"/>
                <w:sz w:val="21"/>
              </w:rPr>
            </w:pPr>
          </w:p>
        </w:tc>
        <w:tc>
          <w:tcPr>
            <w:tcW w:w="7446" w:type="dxa"/>
            <w:tcBorders>
              <w:left w:val="single" w:color="000000" w:sz="2" w:space="0"/>
            </w:tcBorders>
            <w:vAlign w:val="top"/>
          </w:tcPr>
          <w:p w14:paraId="7FC9474B">
            <w:pPr>
              <w:pStyle w:val="9"/>
              <w:spacing w:before="181" w:line="362" w:lineRule="auto"/>
              <w:ind w:left="18" w:right="10"/>
            </w:pPr>
            <w:r>
              <w:rPr>
                <w:spacing w:val="-1"/>
              </w:rPr>
              <w:t>本项目不占用生态保护红线，同时评价范围内不存在生态红</w:t>
            </w:r>
            <w:r>
              <w:rPr>
                <w:spacing w:val="-2"/>
              </w:rPr>
              <w:t>线，距离生</w:t>
            </w:r>
            <w:r>
              <w:rPr>
                <w:spacing w:val="-1"/>
              </w:rPr>
              <w:t>态红线最近距离为升压站西南侧</w:t>
            </w:r>
            <w:r>
              <w:rPr>
                <w:spacing w:val="-48"/>
              </w:rPr>
              <w:t xml:space="preserve"> </w:t>
            </w:r>
            <w:r>
              <w:rPr>
                <w:rFonts w:ascii="Times New Roman" w:hAnsi="Times New Roman" w:eastAsia="Times New Roman" w:cs="Times New Roman"/>
                <w:spacing w:val="-1"/>
              </w:rPr>
              <w:t>5.21k</w:t>
            </w:r>
            <w:r>
              <w:rPr>
                <w:rFonts w:ascii="Times New Roman" w:hAnsi="Times New Roman" w:eastAsia="Times New Roman" w:cs="Times New Roman"/>
                <w:spacing w:val="-2"/>
              </w:rPr>
              <w:t>m</w:t>
            </w:r>
            <w:r>
              <w:rPr>
                <w:spacing w:val="-2"/>
              </w:rPr>
              <w:t>。</w:t>
            </w:r>
          </w:p>
          <w:p w14:paraId="3CCE49AA">
            <w:pPr>
              <w:pStyle w:val="9"/>
              <w:spacing w:line="317" w:lineRule="auto"/>
              <w:ind w:left="19" w:right="10" w:firstLine="482"/>
              <w:jc w:val="both"/>
            </w:pPr>
            <w:r>
              <w:rPr>
                <w:spacing w:val="-1"/>
              </w:rPr>
              <w:t>项目周边无自然保护区、项目位于罕山自然</w:t>
            </w:r>
            <w:r>
              <w:rPr>
                <w:spacing w:val="-2"/>
              </w:rPr>
              <w:t>保护区西侧，距离罕山</w:t>
            </w:r>
            <w:r>
              <w:t>自然保护区</w:t>
            </w:r>
            <w:r>
              <w:rPr>
                <w:spacing w:val="-19"/>
              </w:rPr>
              <w:t xml:space="preserve"> </w:t>
            </w:r>
            <w:r>
              <w:rPr>
                <w:rFonts w:ascii="Times New Roman" w:hAnsi="Times New Roman" w:eastAsia="Times New Roman" w:cs="Times New Roman"/>
              </w:rPr>
              <w:t>11.3km</w:t>
            </w:r>
            <w:r>
              <w:rPr>
                <w:rFonts w:ascii="Times New Roman" w:hAnsi="Times New Roman" w:eastAsia="Times New Roman" w:cs="Times New Roman"/>
                <w:spacing w:val="36"/>
                <w:w w:val="101"/>
              </w:rPr>
              <w:t xml:space="preserve"> </w:t>
            </w:r>
            <w:r>
              <w:t>同时，本项目占地范围及评价范围均不占用自然保</w:t>
            </w:r>
            <w:r>
              <w:rPr>
                <w:spacing w:val="-4"/>
              </w:rPr>
              <w:t>护区。</w:t>
            </w:r>
          </w:p>
          <w:p w14:paraId="2E047F75">
            <w:pPr>
              <w:spacing w:line="5239" w:lineRule="exact"/>
              <w:ind w:firstLine="9"/>
            </w:pPr>
            <w:r>
              <w:rPr>
                <w:position w:val="-104"/>
              </w:rPr>
              <w:drawing>
                <wp:inline distT="0" distB="0" distL="0" distR="0">
                  <wp:extent cx="4701540" cy="332676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220"/>
                          <a:stretch>
                            <a:fillRect/>
                          </a:stretch>
                        </pic:blipFill>
                        <pic:spPr>
                          <a:xfrm>
                            <a:off x="0" y="0"/>
                            <a:ext cx="4701540" cy="3326892"/>
                          </a:xfrm>
                          <a:prstGeom prst="rect">
                            <a:avLst/>
                          </a:prstGeom>
                        </pic:spPr>
                      </pic:pic>
                    </a:graphicData>
                  </a:graphic>
                </wp:inline>
              </w:drawing>
            </w:r>
          </w:p>
          <w:p w14:paraId="240D8F94">
            <w:pPr>
              <w:pStyle w:val="9"/>
              <w:spacing w:before="308" w:line="220" w:lineRule="auto"/>
              <w:ind w:left="1781"/>
            </w:pPr>
            <w:r>
              <w:rPr>
                <w:b/>
                <w:bCs/>
                <w:spacing w:val="-2"/>
              </w:rPr>
              <w:t>图</w:t>
            </w:r>
            <w:r>
              <w:rPr>
                <w:rFonts w:ascii="Times New Roman" w:hAnsi="Times New Roman" w:eastAsia="Times New Roman" w:cs="Times New Roman"/>
                <w:b/>
                <w:bCs/>
                <w:spacing w:val="-2"/>
              </w:rPr>
              <w:t xml:space="preserve">1-1        </w:t>
            </w:r>
            <w:r>
              <w:rPr>
                <w:b/>
                <w:bCs/>
                <w:spacing w:val="-2"/>
              </w:rPr>
              <w:t>项目与生态保护</w:t>
            </w:r>
            <w:r>
              <w:rPr>
                <w:b/>
                <w:bCs/>
                <w:spacing w:val="-3"/>
              </w:rPr>
              <w:t>红线位置关系图</w:t>
            </w:r>
          </w:p>
          <w:p w14:paraId="56C820A2">
            <w:pPr>
              <w:spacing w:before="12" w:line="5240" w:lineRule="exact"/>
              <w:ind w:firstLine="9"/>
            </w:pPr>
            <w:r>
              <w:rPr>
                <w:position w:val="-104"/>
              </w:rPr>
              <w:drawing>
                <wp:inline distT="0" distB="0" distL="0" distR="0">
                  <wp:extent cx="4701540" cy="332676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221"/>
                          <a:stretch>
                            <a:fillRect/>
                          </a:stretch>
                        </pic:blipFill>
                        <pic:spPr>
                          <a:xfrm>
                            <a:off x="0" y="0"/>
                            <a:ext cx="4701540" cy="3326892"/>
                          </a:xfrm>
                          <a:prstGeom prst="rect">
                            <a:avLst/>
                          </a:prstGeom>
                        </pic:spPr>
                      </pic:pic>
                    </a:graphicData>
                  </a:graphic>
                </wp:inline>
              </w:drawing>
            </w:r>
          </w:p>
        </w:tc>
      </w:tr>
    </w:tbl>
    <w:p w14:paraId="62DE7F92">
      <w:pPr>
        <w:pStyle w:val="3"/>
      </w:pPr>
    </w:p>
    <w:p w14:paraId="3DB2C55F">
      <w:pPr>
        <w:sectPr>
          <w:footerReference r:id="rId14" w:type="default"/>
          <w:pgSz w:w="11906" w:h="16838"/>
          <w:pgMar w:top="1416" w:right="1377" w:bottom="1295" w:left="1243" w:header="0" w:footer="1133" w:gutter="0"/>
          <w:cols w:space="720" w:num="1"/>
        </w:sectPr>
      </w:pPr>
    </w:p>
    <w:tbl>
      <w:tblPr>
        <w:tblStyle w:val="8"/>
        <w:tblW w:w="9270"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28"/>
        <w:gridCol w:w="962"/>
        <w:gridCol w:w="3869"/>
        <w:gridCol w:w="1702"/>
        <w:gridCol w:w="909"/>
      </w:tblGrid>
      <w:tr w14:paraId="39D402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14" w:hRule="atLeast"/>
        </w:trPr>
        <w:tc>
          <w:tcPr>
            <w:tcW w:w="1828" w:type="dxa"/>
            <w:vMerge w:val="restart"/>
            <w:tcBorders>
              <w:top w:val="single" w:color="000000" w:sz="6" w:space="0"/>
              <w:left w:val="single" w:color="000000" w:sz="6" w:space="0"/>
              <w:bottom w:val="nil"/>
            </w:tcBorders>
            <w:vAlign w:val="top"/>
          </w:tcPr>
          <w:p w14:paraId="304B447A">
            <w:pPr>
              <w:rPr>
                <w:rFonts w:ascii="Arial"/>
                <w:sz w:val="21"/>
              </w:rPr>
            </w:pPr>
          </w:p>
        </w:tc>
        <w:tc>
          <w:tcPr>
            <w:tcW w:w="7442" w:type="dxa"/>
            <w:gridSpan w:val="4"/>
            <w:tcBorders>
              <w:top w:val="single" w:color="000000" w:sz="6" w:space="0"/>
              <w:right w:val="single" w:color="000000" w:sz="6" w:space="0"/>
            </w:tcBorders>
            <w:vAlign w:val="top"/>
          </w:tcPr>
          <w:p w14:paraId="4A17BAD1">
            <w:pPr>
              <w:pStyle w:val="9"/>
              <w:spacing w:before="182" w:line="220" w:lineRule="auto"/>
              <w:ind w:left="1900"/>
            </w:pPr>
            <w:r>
              <w:rPr>
                <w:b/>
                <w:bCs/>
                <w:spacing w:val="-3"/>
              </w:rPr>
              <w:t>图</w:t>
            </w:r>
            <w:r>
              <w:rPr>
                <w:rFonts w:ascii="Times New Roman" w:hAnsi="Times New Roman" w:eastAsia="Times New Roman" w:cs="Times New Roman"/>
                <w:b/>
                <w:bCs/>
                <w:spacing w:val="-3"/>
              </w:rPr>
              <w:t xml:space="preserve">1-2        </w:t>
            </w:r>
            <w:r>
              <w:rPr>
                <w:b/>
                <w:bCs/>
                <w:spacing w:val="-3"/>
              </w:rPr>
              <w:t>项目与罕山保护区位置关系图</w:t>
            </w:r>
          </w:p>
          <w:p w14:paraId="53254D6A">
            <w:pPr>
              <w:pStyle w:val="9"/>
              <w:spacing w:before="184" w:line="217" w:lineRule="auto"/>
              <w:ind w:left="492"/>
            </w:pPr>
            <w:r>
              <w:rPr>
                <w:spacing w:val="-2"/>
              </w:rPr>
              <w:t>②环境质量底线</w:t>
            </w:r>
          </w:p>
          <w:p w14:paraId="51367873">
            <w:pPr>
              <w:pStyle w:val="9"/>
              <w:spacing w:before="190" w:line="361" w:lineRule="auto"/>
              <w:ind w:left="13" w:right="10" w:firstLine="481"/>
            </w:pPr>
            <w:r>
              <w:rPr>
                <w:spacing w:val="23"/>
              </w:rPr>
              <w:t>本项</w:t>
            </w:r>
            <w:r>
              <w:rPr>
                <w:spacing w:val="-38"/>
              </w:rPr>
              <w:t xml:space="preserve"> </w:t>
            </w:r>
            <w:r>
              <w:rPr>
                <w:spacing w:val="23"/>
              </w:rPr>
              <w:t>目厂界的噪声现状监测值均未超过《声环境</w:t>
            </w:r>
            <w:r>
              <w:rPr>
                <w:spacing w:val="22"/>
              </w:rPr>
              <w:t>质量标准》</w:t>
            </w:r>
            <w:r>
              <w:t xml:space="preserve"> </w:t>
            </w:r>
            <w:r>
              <w:rPr>
                <w:spacing w:val="-2"/>
              </w:rPr>
              <w:t>（</w:t>
            </w:r>
            <w:r>
              <w:rPr>
                <w:rFonts w:ascii="Times New Roman" w:hAnsi="Times New Roman" w:eastAsia="Times New Roman" w:cs="Times New Roman"/>
                <w:spacing w:val="-2"/>
              </w:rPr>
              <w:t>GB3096-2008</w:t>
            </w:r>
            <w:r>
              <w:rPr>
                <w:spacing w:val="-2"/>
              </w:rPr>
              <w:t>）的</w:t>
            </w:r>
            <w:r>
              <w:rPr>
                <w:rFonts w:ascii="Times New Roman" w:hAnsi="Times New Roman" w:eastAsia="Times New Roman" w:cs="Times New Roman"/>
                <w:spacing w:val="-2"/>
              </w:rPr>
              <w:t>1</w:t>
            </w:r>
            <w:r>
              <w:rPr>
                <w:spacing w:val="-2"/>
              </w:rPr>
              <w:t>类标准，本项目周围声环境质量良</w:t>
            </w:r>
            <w:r>
              <w:rPr>
                <w:spacing w:val="-3"/>
              </w:rPr>
              <w:t>好；</w:t>
            </w:r>
            <w:r>
              <w:rPr>
                <w:rFonts w:ascii="Times New Roman" w:hAnsi="Times New Roman" w:eastAsia="Times New Roman" w:cs="Times New Roman"/>
                <w:spacing w:val="-3"/>
              </w:rPr>
              <w:t>2025</w:t>
            </w:r>
            <w:r>
              <w:rPr>
                <w:spacing w:val="-3"/>
              </w:rPr>
              <w:t>年通辽</w:t>
            </w:r>
            <w:r>
              <w:rPr>
                <w:spacing w:val="3"/>
              </w:rPr>
              <w:t>市监测点各大气因子年均浓度及相应百分位数</w:t>
            </w:r>
            <w:r>
              <w:rPr>
                <w:rFonts w:ascii="Times New Roman" w:hAnsi="Times New Roman" w:eastAsia="Times New Roman" w:cs="Times New Roman"/>
                <w:spacing w:val="2"/>
              </w:rPr>
              <w:t>24h</w:t>
            </w:r>
            <w:r>
              <w:rPr>
                <w:spacing w:val="2"/>
              </w:rPr>
              <w:t>平均或</w:t>
            </w:r>
            <w:r>
              <w:rPr>
                <w:rFonts w:ascii="Times New Roman" w:hAnsi="Times New Roman" w:eastAsia="Times New Roman" w:cs="Times New Roman"/>
                <w:spacing w:val="2"/>
              </w:rPr>
              <w:t>8h</w:t>
            </w:r>
            <w:r>
              <w:rPr>
                <w:spacing w:val="2"/>
              </w:rPr>
              <w:t>平均质量浓度均能满足《环境空气质量标准》（</w:t>
            </w:r>
            <w:r>
              <w:rPr>
                <w:rFonts w:ascii="Times New Roman" w:hAnsi="Times New Roman" w:eastAsia="Times New Roman" w:cs="Times New Roman"/>
              </w:rPr>
              <w:t>GB</w:t>
            </w:r>
            <w:r>
              <w:rPr>
                <w:rFonts w:ascii="Times New Roman" w:hAnsi="Times New Roman" w:eastAsia="Times New Roman" w:cs="Times New Roman"/>
                <w:spacing w:val="2"/>
              </w:rPr>
              <w:t xml:space="preserve"> 30</w:t>
            </w:r>
            <w:r>
              <w:rPr>
                <w:rFonts w:ascii="Times New Roman" w:hAnsi="Times New Roman" w:eastAsia="Times New Roman" w:cs="Times New Roman"/>
                <w:spacing w:val="1"/>
              </w:rPr>
              <w:t>95—2026</w:t>
            </w:r>
            <w:r>
              <w:rPr>
                <w:spacing w:val="1"/>
              </w:rPr>
              <w:t>）中二级标准（过</w:t>
            </w:r>
            <w:r>
              <w:rPr>
                <w:spacing w:val="-1"/>
              </w:rPr>
              <w:t>度值）的要求。综上所述，通辽市域环境空气质量达标。本项目</w:t>
            </w:r>
            <w:r>
              <w:rPr>
                <w:spacing w:val="-2"/>
              </w:rPr>
              <w:t>正常运</w:t>
            </w:r>
            <w:r>
              <w:rPr>
                <w:spacing w:val="-1"/>
              </w:rPr>
              <w:t>营过程中不产生废气，不会改变敏感点区域的声环境功能；固废</w:t>
            </w:r>
            <w:r>
              <w:rPr>
                <w:spacing w:val="-2"/>
              </w:rPr>
              <w:t>均妥善</w:t>
            </w:r>
            <w:r>
              <w:rPr>
                <w:spacing w:val="-1"/>
              </w:rPr>
              <w:t>处置，不向外环境直接排放，不会突破拟建区域环境质量底线。</w:t>
            </w:r>
          </w:p>
          <w:p w14:paraId="097F10EF">
            <w:pPr>
              <w:pStyle w:val="9"/>
              <w:spacing w:line="218" w:lineRule="auto"/>
              <w:jc w:val="right"/>
            </w:pPr>
            <w:r>
              <w:rPr>
                <w:spacing w:val="-9"/>
              </w:rPr>
              <w:t>综上，本项目运营期对周围环境影响较小，符合环境质量底线要求。</w:t>
            </w:r>
          </w:p>
          <w:p w14:paraId="01DBF256">
            <w:pPr>
              <w:pStyle w:val="9"/>
              <w:spacing w:before="186" w:line="217" w:lineRule="auto"/>
              <w:ind w:left="492"/>
            </w:pPr>
            <w:r>
              <w:rPr>
                <w:spacing w:val="-2"/>
              </w:rPr>
              <w:t>③资源利用上线</w:t>
            </w:r>
          </w:p>
          <w:p w14:paraId="7E3B4311">
            <w:pPr>
              <w:pStyle w:val="9"/>
              <w:spacing w:before="190" w:line="361" w:lineRule="auto"/>
              <w:ind w:left="14" w:right="10" w:firstLine="480"/>
            </w:pPr>
            <w:r>
              <w:rPr>
                <w:spacing w:val="-1"/>
              </w:rPr>
              <w:t>本项目位于内蒙古自治区通辽市扎鲁特旗境内，主</w:t>
            </w:r>
            <w:r>
              <w:rPr>
                <w:spacing w:val="-2"/>
              </w:rPr>
              <w:t>要消耗一定的土</w:t>
            </w:r>
            <w:r>
              <w:rPr>
                <w:spacing w:val="-1"/>
              </w:rPr>
              <w:t>地资源。目前项目施工期已结束，并对破坏的土地进行了生态</w:t>
            </w:r>
            <w:r>
              <w:rPr>
                <w:spacing w:val="-2"/>
              </w:rPr>
              <w:t>恢复，采</w:t>
            </w:r>
            <w:r>
              <w:rPr>
                <w:spacing w:val="-1"/>
              </w:rPr>
              <w:t>取覆土绿化，现已恢复原貌。运营期采取工程措施、生态措施</w:t>
            </w:r>
            <w:r>
              <w:rPr>
                <w:spacing w:val="-2"/>
              </w:rPr>
              <w:t>加强对生</w:t>
            </w:r>
            <w:r>
              <w:rPr>
                <w:spacing w:val="-1"/>
              </w:rPr>
              <w:t>态环境的保护，对生态环境的影响较小。</w:t>
            </w:r>
          </w:p>
          <w:p w14:paraId="1773279D">
            <w:pPr>
              <w:pStyle w:val="9"/>
              <w:spacing w:before="3" w:line="361" w:lineRule="auto"/>
              <w:ind w:left="23" w:right="10" w:firstLine="471"/>
            </w:pPr>
            <w:r>
              <w:rPr>
                <w:spacing w:val="-1"/>
              </w:rPr>
              <w:t>本项目为利用清洁能源风能生产电能项目，不涉及</w:t>
            </w:r>
            <w:r>
              <w:rPr>
                <w:spacing w:val="-2"/>
              </w:rPr>
              <w:t>使用燃料，符合</w:t>
            </w:r>
            <w:r>
              <w:rPr>
                <w:spacing w:val="-1"/>
              </w:rPr>
              <w:t>能源利用上线控制要求。因此，本项目符合资源利用上线控制要求。</w:t>
            </w:r>
          </w:p>
          <w:p w14:paraId="7E998426">
            <w:pPr>
              <w:pStyle w:val="9"/>
              <w:spacing w:line="217" w:lineRule="auto"/>
              <w:ind w:left="492"/>
            </w:pPr>
            <w:r>
              <w:rPr>
                <w:spacing w:val="-1"/>
              </w:rPr>
              <w:t>④环境准入清单符合性分析</w:t>
            </w:r>
          </w:p>
          <w:p w14:paraId="0E079795">
            <w:pPr>
              <w:pStyle w:val="9"/>
              <w:spacing w:before="190" w:line="361" w:lineRule="auto"/>
              <w:ind w:left="13" w:right="10" w:firstLine="480"/>
            </w:pPr>
            <w:r>
              <w:rPr>
                <w:spacing w:val="-1"/>
              </w:rPr>
              <w:t>对照《通辽市生态环境准入清单》（</w:t>
            </w:r>
            <w:r>
              <w:rPr>
                <w:rFonts w:ascii="Times New Roman" w:hAnsi="Times New Roman" w:eastAsia="Times New Roman" w:cs="Times New Roman"/>
                <w:spacing w:val="-1"/>
              </w:rPr>
              <w:t>2023</w:t>
            </w:r>
            <w:r>
              <w:rPr>
                <w:spacing w:val="-1"/>
              </w:rPr>
              <w:t>版</w:t>
            </w:r>
            <w:r>
              <w:t>），</w:t>
            </w:r>
            <w:r>
              <w:rPr>
                <w:spacing w:val="-1"/>
              </w:rPr>
              <w:t>本项</w:t>
            </w:r>
            <w:r>
              <w:rPr>
                <w:spacing w:val="-2"/>
              </w:rPr>
              <w:t>目位于扎鲁特</w:t>
            </w:r>
            <w:r>
              <w:t>旗一般管控单元（</w:t>
            </w:r>
            <w:r>
              <w:rPr>
                <w:rFonts w:ascii="Times New Roman" w:hAnsi="Times New Roman" w:eastAsia="Times New Roman" w:cs="Times New Roman"/>
              </w:rPr>
              <w:t>ZH15052630001</w:t>
            </w:r>
            <w:r>
              <w:rPr>
                <w:spacing w:val="7"/>
              </w:rPr>
              <w:t>），</w:t>
            </w:r>
            <w:r>
              <w:t>属于一般管控</w:t>
            </w:r>
            <w:r>
              <w:rPr>
                <w:spacing w:val="-1"/>
              </w:rPr>
              <w:t>单元，同时本项目</w:t>
            </w:r>
            <w:r>
              <w:t>位于扎鲁特旗城镇空间（</w:t>
            </w:r>
            <w:r>
              <w:rPr>
                <w:rFonts w:ascii="Times New Roman" w:hAnsi="Times New Roman" w:eastAsia="Times New Roman" w:cs="Times New Roman"/>
              </w:rPr>
              <w:t>ZH15052620004</w:t>
            </w:r>
            <w:r>
              <w:rPr>
                <w:spacing w:val="7"/>
              </w:rPr>
              <w:t>），</w:t>
            </w:r>
            <w:r>
              <w:t>属于重</w:t>
            </w:r>
            <w:r>
              <w:rPr>
                <w:spacing w:val="-1"/>
              </w:rPr>
              <w:t>点管控单元，本项目符合《通辽市生态环境准入清单》管控要求。</w:t>
            </w:r>
          </w:p>
          <w:p w14:paraId="5475BEF0">
            <w:pPr>
              <w:pStyle w:val="9"/>
              <w:spacing w:before="1" w:line="217" w:lineRule="auto"/>
              <w:ind w:left="1030"/>
            </w:pPr>
            <w:r>
              <w:rPr>
                <w:b/>
                <w:bCs/>
                <w:spacing w:val="-2"/>
              </w:rPr>
              <w:t>表</w:t>
            </w:r>
            <w:r>
              <w:rPr>
                <w:rFonts w:ascii="Times New Roman" w:hAnsi="Times New Roman" w:eastAsia="Times New Roman" w:cs="Times New Roman"/>
                <w:b/>
                <w:bCs/>
                <w:spacing w:val="-2"/>
              </w:rPr>
              <w:t xml:space="preserve">1-1    </w:t>
            </w:r>
            <w:r>
              <w:rPr>
                <w:b/>
                <w:bCs/>
                <w:spacing w:val="-2"/>
              </w:rPr>
              <w:t>项目与《通辽市生态环境准入清单》符合性分析</w:t>
            </w:r>
          </w:p>
        </w:tc>
      </w:tr>
      <w:tr w14:paraId="0BE22C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828" w:type="dxa"/>
            <w:vMerge w:val="continue"/>
            <w:tcBorders>
              <w:top w:val="nil"/>
              <w:left w:val="single" w:color="000000" w:sz="6" w:space="0"/>
              <w:bottom w:val="nil"/>
            </w:tcBorders>
            <w:vAlign w:val="top"/>
          </w:tcPr>
          <w:p w14:paraId="779F7CAA">
            <w:pPr>
              <w:rPr>
                <w:rFonts w:ascii="Arial"/>
                <w:sz w:val="21"/>
              </w:rPr>
            </w:pPr>
          </w:p>
        </w:tc>
        <w:tc>
          <w:tcPr>
            <w:tcW w:w="7442" w:type="dxa"/>
            <w:gridSpan w:val="4"/>
            <w:tcBorders>
              <w:right w:val="single" w:color="000000" w:sz="6" w:space="0"/>
            </w:tcBorders>
            <w:vAlign w:val="top"/>
          </w:tcPr>
          <w:p w14:paraId="7412F39F">
            <w:pPr>
              <w:pStyle w:val="9"/>
              <w:spacing w:before="42" w:line="207" w:lineRule="auto"/>
              <w:ind w:left="1729"/>
              <w:rPr>
                <w:sz w:val="20"/>
                <w:szCs w:val="20"/>
              </w:rPr>
            </w:pPr>
            <w:r>
              <w:rPr>
                <w:b/>
                <w:bCs/>
                <w:spacing w:val="6"/>
                <w:sz w:val="20"/>
                <w:szCs w:val="20"/>
              </w:rPr>
              <w:t>扎鲁特旗一般管控单元（</w:t>
            </w:r>
            <w:r>
              <w:rPr>
                <w:rFonts w:ascii="Times New Roman" w:hAnsi="Times New Roman" w:eastAsia="Times New Roman" w:cs="Times New Roman"/>
                <w:b/>
                <w:bCs/>
                <w:sz w:val="20"/>
                <w:szCs w:val="20"/>
              </w:rPr>
              <w:t>ZH</w:t>
            </w:r>
            <w:r>
              <w:rPr>
                <w:rFonts w:ascii="Times New Roman" w:hAnsi="Times New Roman" w:eastAsia="Times New Roman" w:cs="Times New Roman"/>
                <w:b/>
                <w:bCs/>
                <w:spacing w:val="6"/>
                <w:sz w:val="20"/>
                <w:szCs w:val="20"/>
              </w:rPr>
              <w:t>15052630001</w:t>
            </w:r>
            <w:r>
              <w:rPr>
                <w:b/>
                <w:bCs/>
                <w:spacing w:val="6"/>
                <w:sz w:val="20"/>
                <w:szCs w:val="20"/>
              </w:rPr>
              <w:t>）</w:t>
            </w:r>
          </w:p>
        </w:tc>
      </w:tr>
      <w:tr w14:paraId="76E33A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85" w:hRule="atLeast"/>
        </w:trPr>
        <w:tc>
          <w:tcPr>
            <w:tcW w:w="1828" w:type="dxa"/>
            <w:vMerge w:val="continue"/>
            <w:tcBorders>
              <w:top w:val="nil"/>
              <w:left w:val="single" w:color="000000" w:sz="6" w:space="0"/>
              <w:bottom w:val="single" w:color="000000" w:sz="6" w:space="0"/>
            </w:tcBorders>
            <w:vAlign w:val="top"/>
          </w:tcPr>
          <w:p w14:paraId="242F6FB7">
            <w:pPr>
              <w:rPr>
                <w:rFonts w:ascii="Arial"/>
                <w:sz w:val="21"/>
              </w:rPr>
            </w:pPr>
          </w:p>
        </w:tc>
        <w:tc>
          <w:tcPr>
            <w:tcW w:w="962" w:type="dxa"/>
            <w:tcBorders>
              <w:bottom w:val="single" w:color="000000" w:sz="6" w:space="0"/>
            </w:tcBorders>
            <w:vAlign w:val="top"/>
          </w:tcPr>
          <w:p w14:paraId="4A378905">
            <w:pPr>
              <w:spacing w:line="308" w:lineRule="auto"/>
              <w:rPr>
                <w:rFonts w:ascii="Arial"/>
                <w:sz w:val="21"/>
              </w:rPr>
            </w:pPr>
          </w:p>
          <w:p w14:paraId="19895403">
            <w:pPr>
              <w:spacing w:line="308" w:lineRule="auto"/>
              <w:rPr>
                <w:rFonts w:ascii="Arial"/>
                <w:sz w:val="21"/>
              </w:rPr>
            </w:pPr>
          </w:p>
          <w:p w14:paraId="638BFE07">
            <w:pPr>
              <w:spacing w:line="309" w:lineRule="auto"/>
              <w:rPr>
                <w:rFonts w:ascii="Arial"/>
                <w:sz w:val="21"/>
              </w:rPr>
            </w:pPr>
          </w:p>
          <w:p w14:paraId="7FA60290">
            <w:pPr>
              <w:pStyle w:val="9"/>
              <w:spacing w:before="65" w:line="252" w:lineRule="auto"/>
              <w:ind w:left="186" w:right="152" w:firstLine="3"/>
              <w:rPr>
                <w:sz w:val="20"/>
                <w:szCs w:val="20"/>
              </w:rPr>
            </w:pPr>
            <w:r>
              <w:rPr>
                <w:spacing w:val="4"/>
                <w:sz w:val="20"/>
                <w:szCs w:val="20"/>
              </w:rPr>
              <w:t>空间布</w:t>
            </w:r>
            <w:r>
              <w:rPr>
                <w:spacing w:val="6"/>
                <w:sz w:val="20"/>
                <w:szCs w:val="20"/>
              </w:rPr>
              <w:t>局约束</w:t>
            </w:r>
          </w:p>
        </w:tc>
        <w:tc>
          <w:tcPr>
            <w:tcW w:w="3869" w:type="dxa"/>
            <w:tcBorders>
              <w:bottom w:val="single" w:color="000000" w:sz="6" w:space="0"/>
            </w:tcBorders>
            <w:vAlign w:val="top"/>
          </w:tcPr>
          <w:p w14:paraId="73111ACB">
            <w:pPr>
              <w:pStyle w:val="9"/>
              <w:spacing w:before="46" w:line="251" w:lineRule="auto"/>
              <w:ind w:left="123" w:right="43" w:firstLine="437"/>
              <w:rPr>
                <w:sz w:val="20"/>
                <w:szCs w:val="20"/>
              </w:rPr>
            </w:pPr>
            <w:r>
              <w:rPr>
                <w:rFonts w:ascii="Times New Roman" w:hAnsi="Times New Roman" w:eastAsia="Times New Roman" w:cs="Times New Roman"/>
                <w:spacing w:val="3"/>
                <w:sz w:val="20"/>
                <w:szCs w:val="20"/>
              </w:rPr>
              <w:t>1.</w:t>
            </w:r>
            <w:r>
              <w:rPr>
                <w:spacing w:val="3"/>
                <w:sz w:val="20"/>
                <w:szCs w:val="20"/>
              </w:rPr>
              <w:t>永久基本农田一经划定，任何单位</w:t>
            </w:r>
            <w:r>
              <w:rPr>
                <w:spacing w:val="14"/>
                <w:sz w:val="20"/>
                <w:szCs w:val="20"/>
              </w:rPr>
              <w:t>和个人不得擅自占用或改变用途。禁止任何单位和个人破坏永久基本农田耕作层。对永久基本农田实行严格保护，确</w:t>
            </w:r>
            <w:r>
              <w:rPr>
                <w:spacing w:val="5"/>
                <w:sz w:val="20"/>
                <w:szCs w:val="20"/>
              </w:rPr>
              <w:t>保其面积不减少、土壤环境质量不下降，</w:t>
            </w:r>
            <w:r>
              <w:rPr>
                <w:spacing w:val="14"/>
                <w:sz w:val="20"/>
                <w:szCs w:val="20"/>
              </w:rPr>
              <w:t>除法律规定的重点建设项目选址确实无</w:t>
            </w:r>
            <w:r>
              <w:rPr>
                <w:spacing w:val="8"/>
                <w:sz w:val="20"/>
                <w:szCs w:val="20"/>
              </w:rPr>
              <w:t>法避让外，其他任何建设不得占用。</w:t>
            </w:r>
          </w:p>
          <w:p w14:paraId="778A6399">
            <w:pPr>
              <w:pStyle w:val="9"/>
              <w:spacing w:line="242" w:lineRule="auto"/>
              <w:ind w:left="126" w:right="97" w:firstLine="413"/>
              <w:rPr>
                <w:sz w:val="20"/>
                <w:szCs w:val="20"/>
              </w:rPr>
            </w:pPr>
            <w:r>
              <w:rPr>
                <w:rFonts w:ascii="Times New Roman" w:hAnsi="Times New Roman" w:eastAsia="Times New Roman" w:cs="Times New Roman"/>
                <w:spacing w:val="4"/>
                <w:sz w:val="20"/>
                <w:szCs w:val="20"/>
              </w:rPr>
              <w:t>2.</w:t>
            </w:r>
            <w:r>
              <w:rPr>
                <w:spacing w:val="4"/>
                <w:sz w:val="20"/>
                <w:szCs w:val="20"/>
              </w:rPr>
              <w:t>在永久基本农田集中区域，不得新</w:t>
            </w:r>
            <w:r>
              <w:rPr>
                <w:spacing w:val="11"/>
                <w:sz w:val="20"/>
                <w:szCs w:val="20"/>
              </w:rPr>
              <w:t>建可能造成土壤污染的建设项目；</w:t>
            </w:r>
            <w:r>
              <w:rPr>
                <w:spacing w:val="-49"/>
                <w:sz w:val="20"/>
                <w:szCs w:val="20"/>
              </w:rPr>
              <w:t xml:space="preserve"> </w:t>
            </w:r>
            <w:r>
              <w:rPr>
                <w:spacing w:val="11"/>
                <w:sz w:val="20"/>
                <w:szCs w:val="20"/>
              </w:rPr>
              <w:t>已经</w:t>
            </w:r>
          </w:p>
        </w:tc>
        <w:tc>
          <w:tcPr>
            <w:tcW w:w="1702" w:type="dxa"/>
            <w:tcBorders>
              <w:bottom w:val="single" w:color="000000" w:sz="6" w:space="0"/>
            </w:tcBorders>
            <w:vAlign w:val="top"/>
          </w:tcPr>
          <w:p w14:paraId="1E9ACDD3">
            <w:pPr>
              <w:pStyle w:val="9"/>
              <w:spacing w:before="45" w:line="250" w:lineRule="auto"/>
              <w:ind w:left="122" w:right="98" w:firstLine="420"/>
              <w:rPr>
                <w:sz w:val="20"/>
                <w:szCs w:val="20"/>
              </w:rPr>
            </w:pPr>
            <w:r>
              <w:rPr>
                <w:spacing w:val="11"/>
                <w:sz w:val="20"/>
                <w:szCs w:val="20"/>
              </w:rPr>
              <w:t>根据扎鲁特</w:t>
            </w:r>
            <w:r>
              <w:rPr>
                <w:spacing w:val="8"/>
                <w:sz w:val="20"/>
                <w:szCs w:val="20"/>
              </w:rPr>
              <w:t>旗自然资源局于</w:t>
            </w:r>
          </w:p>
          <w:p w14:paraId="7E37BFE7">
            <w:pPr>
              <w:pStyle w:val="9"/>
              <w:spacing w:line="227" w:lineRule="auto"/>
              <w:ind w:left="119"/>
              <w:rPr>
                <w:sz w:val="20"/>
                <w:szCs w:val="20"/>
              </w:rPr>
            </w:pPr>
            <w:r>
              <w:rPr>
                <w:rFonts w:ascii="Times New Roman" w:hAnsi="Times New Roman" w:eastAsia="Times New Roman" w:cs="Times New Roman"/>
                <w:spacing w:val="-1"/>
                <w:sz w:val="20"/>
                <w:szCs w:val="20"/>
              </w:rPr>
              <w:t xml:space="preserve">2021 </w:t>
            </w:r>
            <w:r>
              <w:rPr>
                <w:spacing w:val="-1"/>
                <w:sz w:val="20"/>
                <w:szCs w:val="20"/>
              </w:rPr>
              <w:t>年</w:t>
            </w:r>
            <w:r>
              <w:rPr>
                <w:spacing w:val="-28"/>
                <w:sz w:val="20"/>
                <w:szCs w:val="20"/>
              </w:rPr>
              <w:t xml:space="preserve"> </w:t>
            </w:r>
            <w:r>
              <w:rPr>
                <w:rFonts w:ascii="Times New Roman" w:hAnsi="Times New Roman" w:eastAsia="Times New Roman" w:cs="Times New Roman"/>
                <w:spacing w:val="-1"/>
                <w:sz w:val="20"/>
                <w:szCs w:val="20"/>
              </w:rPr>
              <w:t xml:space="preserve">8 </w:t>
            </w:r>
            <w:r>
              <w:rPr>
                <w:spacing w:val="-1"/>
                <w:sz w:val="20"/>
                <w:szCs w:val="20"/>
              </w:rPr>
              <w:t>月</w:t>
            </w:r>
            <w:r>
              <w:rPr>
                <w:spacing w:val="-46"/>
                <w:sz w:val="20"/>
                <w:szCs w:val="20"/>
              </w:rPr>
              <w:t xml:space="preserve"> </w:t>
            </w:r>
            <w:r>
              <w:rPr>
                <w:rFonts w:ascii="Times New Roman" w:hAnsi="Times New Roman" w:eastAsia="Times New Roman" w:cs="Times New Roman"/>
                <w:spacing w:val="-1"/>
                <w:sz w:val="20"/>
                <w:szCs w:val="20"/>
              </w:rPr>
              <w:t xml:space="preserve">9  </w:t>
            </w:r>
            <w:r>
              <w:rPr>
                <w:spacing w:val="-1"/>
                <w:sz w:val="20"/>
                <w:szCs w:val="20"/>
              </w:rPr>
              <w:t>日</w:t>
            </w:r>
          </w:p>
          <w:p w14:paraId="318605DF">
            <w:pPr>
              <w:pStyle w:val="9"/>
              <w:spacing w:before="29" w:line="248" w:lineRule="auto"/>
              <w:ind w:left="124" w:right="97" w:firstLine="17"/>
              <w:jc w:val="both"/>
              <w:rPr>
                <w:sz w:val="20"/>
                <w:szCs w:val="20"/>
              </w:rPr>
            </w:pPr>
            <w:r>
              <w:rPr>
                <w:spacing w:val="8"/>
                <w:sz w:val="20"/>
                <w:szCs w:val="20"/>
              </w:rPr>
              <w:t>出具的《关于霍</w:t>
            </w:r>
            <w:r>
              <w:rPr>
                <w:spacing w:val="10"/>
                <w:sz w:val="20"/>
                <w:szCs w:val="20"/>
              </w:rPr>
              <w:t>林河循环经济示</w:t>
            </w:r>
            <w:r>
              <w:rPr>
                <w:spacing w:val="24"/>
                <w:sz w:val="20"/>
                <w:szCs w:val="20"/>
              </w:rPr>
              <w:t>范工程续建</w:t>
            </w:r>
            <w:r>
              <w:rPr>
                <w:rFonts w:ascii="Times New Roman" w:hAnsi="Times New Roman" w:eastAsia="Times New Roman" w:cs="Times New Roman"/>
                <w:spacing w:val="24"/>
                <w:sz w:val="20"/>
                <w:szCs w:val="20"/>
              </w:rPr>
              <w:t>(</w:t>
            </w:r>
            <w:r>
              <w:rPr>
                <w:rFonts w:ascii="Times New Roman" w:hAnsi="Times New Roman" w:eastAsia="Times New Roman" w:cs="Times New Roman"/>
                <w:spacing w:val="-14"/>
                <w:sz w:val="20"/>
                <w:szCs w:val="20"/>
              </w:rPr>
              <w:t xml:space="preserve"> </w:t>
            </w:r>
            <w:r>
              <w:rPr>
                <w:spacing w:val="24"/>
                <w:sz w:val="20"/>
                <w:szCs w:val="20"/>
              </w:rPr>
              <w:t>第</w:t>
            </w:r>
            <w:r>
              <w:rPr>
                <w:spacing w:val="9"/>
                <w:sz w:val="20"/>
                <w:szCs w:val="20"/>
              </w:rPr>
              <w:t>五期</w:t>
            </w:r>
            <w:r>
              <w:rPr>
                <w:rFonts w:ascii="Times New Roman" w:hAnsi="Times New Roman" w:eastAsia="Times New Roman" w:cs="Times New Roman"/>
                <w:spacing w:val="9"/>
                <w:sz w:val="20"/>
                <w:szCs w:val="20"/>
              </w:rPr>
              <w:t>)200</w:t>
            </w:r>
            <w:r>
              <w:rPr>
                <w:rFonts w:ascii="Times New Roman" w:hAnsi="Times New Roman" w:eastAsia="Times New Roman" w:cs="Times New Roman"/>
                <w:sz w:val="20"/>
                <w:szCs w:val="20"/>
              </w:rPr>
              <w:t>MW</w:t>
            </w:r>
            <w:r>
              <w:rPr>
                <w:rFonts w:ascii="Times New Roman" w:hAnsi="Times New Roman" w:eastAsia="Times New Roman" w:cs="Times New Roman"/>
                <w:spacing w:val="27"/>
                <w:sz w:val="20"/>
                <w:szCs w:val="20"/>
              </w:rPr>
              <w:t xml:space="preserve"> </w:t>
            </w:r>
            <w:r>
              <w:rPr>
                <w:spacing w:val="9"/>
                <w:sz w:val="20"/>
                <w:szCs w:val="20"/>
              </w:rPr>
              <w:t>风</w:t>
            </w:r>
            <w:r>
              <w:rPr>
                <w:spacing w:val="10"/>
                <w:sz w:val="20"/>
                <w:szCs w:val="20"/>
              </w:rPr>
              <w:t>电项目不占用永</w:t>
            </w:r>
            <w:r>
              <w:rPr>
                <w:spacing w:val="45"/>
                <w:sz w:val="20"/>
                <w:szCs w:val="20"/>
              </w:rPr>
              <w:t>久基本农田的</w:t>
            </w:r>
          </w:p>
        </w:tc>
        <w:tc>
          <w:tcPr>
            <w:tcW w:w="909" w:type="dxa"/>
            <w:tcBorders>
              <w:bottom w:val="single" w:color="000000" w:sz="6" w:space="0"/>
              <w:right w:val="single" w:color="000000" w:sz="6" w:space="0"/>
            </w:tcBorders>
            <w:vAlign w:val="top"/>
          </w:tcPr>
          <w:p w14:paraId="2202C1A4">
            <w:pPr>
              <w:spacing w:line="264" w:lineRule="auto"/>
              <w:rPr>
                <w:rFonts w:ascii="Arial"/>
                <w:sz w:val="21"/>
              </w:rPr>
            </w:pPr>
          </w:p>
          <w:p w14:paraId="167A7E5D">
            <w:pPr>
              <w:spacing w:line="265" w:lineRule="auto"/>
              <w:rPr>
                <w:rFonts w:ascii="Arial"/>
                <w:sz w:val="21"/>
              </w:rPr>
            </w:pPr>
          </w:p>
          <w:p w14:paraId="53559465">
            <w:pPr>
              <w:spacing w:line="265" w:lineRule="auto"/>
              <w:rPr>
                <w:rFonts w:ascii="Arial"/>
                <w:sz w:val="21"/>
              </w:rPr>
            </w:pPr>
          </w:p>
          <w:p w14:paraId="5C9A842F">
            <w:pPr>
              <w:spacing w:line="265" w:lineRule="auto"/>
              <w:rPr>
                <w:rFonts w:ascii="Arial"/>
                <w:sz w:val="21"/>
              </w:rPr>
            </w:pPr>
          </w:p>
          <w:p w14:paraId="1E7C6A49">
            <w:pPr>
              <w:pStyle w:val="9"/>
              <w:spacing w:before="65" w:line="228" w:lineRule="auto"/>
              <w:ind w:left="242"/>
              <w:rPr>
                <w:sz w:val="20"/>
                <w:szCs w:val="20"/>
              </w:rPr>
            </w:pPr>
            <w:r>
              <w:rPr>
                <w:spacing w:val="3"/>
                <w:sz w:val="20"/>
                <w:szCs w:val="20"/>
              </w:rPr>
              <w:t>符合</w:t>
            </w:r>
          </w:p>
        </w:tc>
      </w:tr>
    </w:tbl>
    <w:p w14:paraId="15AEF46F">
      <w:pPr>
        <w:pStyle w:val="3"/>
      </w:pPr>
    </w:p>
    <w:p w14:paraId="066AD024">
      <w:pPr>
        <w:sectPr>
          <w:footerReference r:id="rId15" w:type="default"/>
          <w:pgSz w:w="11906" w:h="16838"/>
          <w:pgMar w:top="1416" w:right="1377" w:bottom="1295" w:left="1243" w:header="0" w:footer="1133" w:gutter="0"/>
          <w:cols w:space="720" w:num="1"/>
        </w:sectPr>
      </w:pPr>
    </w:p>
    <w:tbl>
      <w:tblPr>
        <w:tblStyle w:val="8"/>
        <w:tblW w:w="9270"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28"/>
        <w:gridCol w:w="962"/>
        <w:gridCol w:w="3869"/>
        <w:gridCol w:w="1702"/>
        <w:gridCol w:w="909"/>
      </w:tblGrid>
      <w:tr w14:paraId="078927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6" w:hRule="atLeast"/>
        </w:trPr>
        <w:tc>
          <w:tcPr>
            <w:tcW w:w="1828" w:type="dxa"/>
            <w:vMerge w:val="restart"/>
            <w:tcBorders>
              <w:top w:val="single" w:color="000000" w:sz="6" w:space="0"/>
              <w:left w:val="single" w:color="000000" w:sz="6" w:space="0"/>
              <w:bottom w:val="nil"/>
            </w:tcBorders>
            <w:vAlign w:val="top"/>
          </w:tcPr>
          <w:p w14:paraId="12BB0F95">
            <w:pPr>
              <w:rPr>
                <w:rFonts w:ascii="Arial"/>
                <w:sz w:val="21"/>
              </w:rPr>
            </w:pPr>
          </w:p>
        </w:tc>
        <w:tc>
          <w:tcPr>
            <w:tcW w:w="962" w:type="dxa"/>
            <w:tcBorders>
              <w:top w:val="single" w:color="000000" w:sz="6" w:space="0"/>
            </w:tcBorders>
            <w:vAlign w:val="top"/>
          </w:tcPr>
          <w:p w14:paraId="6E5D9442">
            <w:pPr>
              <w:rPr>
                <w:rFonts w:ascii="Arial"/>
                <w:sz w:val="21"/>
              </w:rPr>
            </w:pPr>
          </w:p>
        </w:tc>
        <w:tc>
          <w:tcPr>
            <w:tcW w:w="3869" w:type="dxa"/>
            <w:tcBorders>
              <w:top w:val="single" w:color="000000" w:sz="6" w:space="0"/>
            </w:tcBorders>
            <w:vAlign w:val="top"/>
          </w:tcPr>
          <w:p w14:paraId="478868BD">
            <w:pPr>
              <w:pStyle w:val="9"/>
              <w:spacing w:before="52" w:line="228" w:lineRule="auto"/>
              <w:ind w:left="126"/>
              <w:rPr>
                <w:sz w:val="20"/>
                <w:szCs w:val="20"/>
              </w:rPr>
            </w:pPr>
            <w:r>
              <w:rPr>
                <w:spacing w:val="8"/>
                <w:sz w:val="20"/>
                <w:szCs w:val="20"/>
              </w:rPr>
              <w:t>建成的，应当限期关闭拆除。</w:t>
            </w:r>
          </w:p>
          <w:p w14:paraId="19379918">
            <w:pPr>
              <w:pStyle w:val="9"/>
              <w:spacing w:before="23" w:line="253" w:lineRule="auto"/>
              <w:ind w:left="123" w:right="97" w:firstLine="420"/>
              <w:jc w:val="both"/>
              <w:rPr>
                <w:sz w:val="20"/>
                <w:szCs w:val="20"/>
              </w:rPr>
            </w:pPr>
            <w:r>
              <w:rPr>
                <w:rFonts w:ascii="Times New Roman" w:hAnsi="Times New Roman" w:eastAsia="Times New Roman" w:cs="Times New Roman"/>
                <w:spacing w:val="16"/>
                <w:sz w:val="20"/>
                <w:szCs w:val="20"/>
              </w:rPr>
              <w:t>3.</w:t>
            </w:r>
            <w:r>
              <w:rPr>
                <w:spacing w:val="16"/>
                <w:sz w:val="20"/>
                <w:szCs w:val="20"/>
              </w:rPr>
              <w:t>禁止将重金属或者其他有毒有害</w:t>
            </w:r>
            <w:r>
              <w:rPr>
                <w:spacing w:val="14"/>
                <w:sz w:val="20"/>
                <w:szCs w:val="20"/>
              </w:rPr>
              <w:t>物质含量超标的工业固体废物、生活垃</w:t>
            </w:r>
            <w:r>
              <w:rPr>
                <w:spacing w:val="9"/>
                <w:sz w:val="20"/>
                <w:szCs w:val="20"/>
              </w:rPr>
              <w:t>圾或者污染土壤用于土地复垦</w:t>
            </w:r>
          </w:p>
        </w:tc>
        <w:tc>
          <w:tcPr>
            <w:tcW w:w="1702" w:type="dxa"/>
            <w:tcBorders>
              <w:top w:val="single" w:color="000000" w:sz="6" w:space="0"/>
            </w:tcBorders>
            <w:vAlign w:val="top"/>
          </w:tcPr>
          <w:p w14:paraId="0A8A2AD4">
            <w:pPr>
              <w:pStyle w:val="9"/>
              <w:spacing w:before="53" w:line="251" w:lineRule="auto"/>
              <w:ind w:left="157" w:right="98" w:hanging="20"/>
              <w:rPr>
                <w:sz w:val="20"/>
                <w:szCs w:val="20"/>
              </w:rPr>
            </w:pPr>
            <w:r>
              <w:rPr>
                <w:spacing w:val="2"/>
                <w:sz w:val="20"/>
                <w:szCs w:val="20"/>
              </w:rPr>
              <w:t>函》</w:t>
            </w:r>
            <w:r>
              <w:rPr>
                <w:spacing w:val="-54"/>
                <w:sz w:val="20"/>
                <w:szCs w:val="20"/>
              </w:rPr>
              <w:t xml:space="preserve"> </w:t>
            </w:r>
            <w:r>
              <w:rPr>
                <w:spacing w:val="2"/>
                <w:sz w:val="20"/>
                <w:szCs w:val="20"/>
              </w:rPr>
              <w:t>，本项目不占用基本农田</w:t>
            </w:r>
          </w:p>
          <w:p w14:paraId="347BF485">
            <w:pPr>
              <w:pStyle w:val="9"/>
              <w:spacing w:before="1" w:line="239" w:lineRule="auto"/>
              <w:ind w:left="124" w:right="98" w:firstLine="422"/>
              <w:jc w:val="both"/>
              <w:rPr>
                <w:sz w:val="20"/>
                <w:szCs w:val="20"/>
              </w:rPr>
            </w:pPr>
            <w:r>
              <w:rPr>
                <w:spacing w:val="10"/>
                <w:sz w:val="20"/>
                <w:szCs w:val="20"/>
              </w:rPr>
              <w:t>项目不涉及重金属或者其他</w:t>
            </w:r>
            <w:r>
              <w:rPr>
                <w:spacing w:val="8"/>
                <w:sz w:val="20"/>
                <w:szCs w:val="20"/>
              </w:rPr>
              <w:t>有毒有害物质</w:t>
            </w:r>
          </w:p>
        </w:tc>
        <w:tc>
          <w:tcPr>
            <w:tcW w:w="909" w:type="dxa"/>
            <w:tcBorders>
              <w:top w:val="single" w:color="000000" w:sz="6" w:space="0"/>
              <w:right w:val="single" w:color="000000" w:sz="6" w:space="0"/>
            </w:tcBorders>
            <w:vAlign w:val="top"/>
          </w:tcPr>
          <w:p w14:paraId="510E2E8C">
            <w:pPr>
              <w:rPr>
                <w:rFonts w:ascii="Arial"/>
                <w:sz w:val="21"/>
              </w:rPr>
            </w:pPr>
          </w:p>
        </w:tc>
      </w:tr>
      <w:tr w14:paraId="452E8B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4" w:hRule="atLeast"/>
        </w:trPr>
        <w:tc>
          <w:tcPr>
            <w:tcW w:w="1828" w:type="dxa"/>
            <w:vMerge w:val="continue"/>
            <w:tcBorders>
              <w:top w:val="nil"/>
              <w:left w:val="single" w:color="000000" w:sz="6" w:space="0"/>
              <w:bottom w:val="nil"/>
            </w:tcBorders>
            <w:vAlign w:val="top"/>
          </w:tcPr>
          <w:p w14:paraId="093ED066">
            <w:pPr>
              <w:rPr>
                <w:rFonts w:ascii="Arial"/>
                <w:sz w:val="21"/>
              </w:rPr>
            </w:pPr>
          </w:p>
        </w:tc>
        <w:tc>
          <w:tcPr>
            <w:tcW w:w="962" w:type="dxa"/>
            <w:vAlign w:val="top"/>
          </w:tcPr>
          <w:p w14:paraId="20A084EF">
            <w:pPr>
              <w:spacing w:line="372" w:lineRule="auto"/>
              <w:rPr>
                <w:rFonts w:ascii="Arial"/>
                <w:sz w:val="21"/>
              </w:rPr>
            </w:pPr>
          </w:p>
          <w:p w14:paraId="16448B60">
            <w:pPr>
              <w:pStyle w:val="9"/>
              <w:spacing w:before="65" w:line="252" w:lineRule="auto"/>
              <w:ind w:left="186" w:right="152" w:firstLine="5"/>
              <w:rPr>
                <w:sz w:val="20"/>
                <w:szCs w:val="20"/>
              </w:rPr>
            </w:pPr>
            <w:r>
              <w:rPr>
                <w:spacing w:val="3"/>
                <w:sz w:val="20"/>
                <w:szCs w:val="20"/>
              </w:rPr>
              <w:t>资源开</w:t>
            </w:r>
            <w:r>
              <w:rPr>
                <w:spacing w:val="5"/>
                <w:sz w:val="20"/>
                <w:szCs w:val="20"/>
              </w:rPr>
              <w:t>发效率</w:t>
            </w:r>
          </w:p>
        </w:tc>
        <w:tc>
          <w:tcPr>
            <w:tcW w:w="3869" w:type="dxa"/>
            <w:vAlign w:val="top"/>
          </w:tcPr>
          <w:p w14:paraId="6839E71F">
            <w:pPr>
              <w:pStyle w:val="9"/>
              <w:spacing w:before="32" w:line="244" w:lineRule="auto"/>
              <w:ind w:left="124" w:right="97" w:firstLine="420"/>
              <w:jc w:val="both"/>
              <w:rPr>
                <w:sz w:val="20"/>
                <w:szCs w:val="20"/>
              </w:rPr>
            </w:pPr>
            <w:r>
              <w:rPr>
                <w:spacing w:val="14"/>
                <w:sz w:val="20"/>
                <w:szCs w:val="20"/>
              </w:rPr>
              <w:t>要求提高农业用水水平，井灌区配套低压管道输水等措施，大力推广以浅埋滴灌为主、喷灌为辅的节水设备和技术，引进培育优良作物品种、合理调整</w:t>
            </w:r>
            <w:r>
              <w:rPr>
                <w:spacing w:val="9"/>
                <w:sz w:val="20"/>
                <w:szCs w:val="20"/>
              </w:rPr>
              <w:t>作物种植结构等农业措施</w:t>
            </w:r>
          </w:p>
        </w:tc>
        <w:tc>
          <w:tcPr>
            <w:tcW w:w="1702" w:type="dxa"/>
            <w:vAlign w:val="top"/>
          </w:tcPr>
          <w:p w14:paraId="053C8671">
            <w:pPr>
              <w:pStyle w:val="9"/>
              <w:spacing w:before="304" w:line="252" w:lineRule="auto"/>
              <w:ind w:left="122" w:right="98" w:firstLine="421"/>
              <w:jc w:val="both"/>
              <w:rPr>
                <w:sz w:val="20"/>
                <w:szCs w:val="20"/>
              </w:rPr>
            </w:pPr>
            <w:r>
              <w:rPr>
                <w:spacing w:val="10"/>
                <w:sz w:val="20"/>
                <w:szCs w:val="20"/>
              </w:rPr>
              <w:t>本项目为输变电项目，不涉</w:t>
            </w:r>
            <w:r>
              <w:rPr>
                <w:spacing w:val="8"/>
                <w:sz w:val="20"/>
                <w:szCs w:val="20"/>
              </w:rPr>
              <w:t>及农业用水</w:t>
            </w:r>
          </w:p>
        </w:tc>
        <w:tc>
          <w:tcPr>
            <w:tcW w:w="909" w:type="dxa"/>
            <w:tcBorders>
              <w:right w:val="single" w:color="000000" w:sz="6" w:space="0"/>
            </w:tcBorders>
            <w:vAlign w:val="top"/>
          </w:tcPr>
          <w:p w14:paraId="38D0FA4B">
            <w:pPr>
              <w:spacing w:line="254" w:lineRule="auto"/>
              <w:rPr>
                <w:rFonts w:ascii="Arial"/>
                <w:sz w:val="21"/>
              </w:rPr>
            </w:pPr>
          </w:p>
          <w:p w14:paraId="3F4468F5">
            <w:pPr>
              <w:spacing w:line="254" w:lineRule="auto"/>
              <w:rPr>
                <w:rFonts w:ascii="Arial"/>
                <w:sz w:val="21"/>
              </w:rPr>
            </w:pPr>
          </w:p>
          <w:p w14:paraId="7C833FA7">
            <w:pPr>
              <w:pStyle w:val="9"/>
              <w:spacing w:before="65" w:line="228" w:lineRule="auto"/>
              <w:ind w:left="242"/>
              <w:rPr>
                <w:sz w:val="20"/>
                <w:szCs w:val="20"/>
              </w:rPr>
            </w:pPr>
            <w:r>
              <w:rPr>
                <w:spacing w:val="3"/>
                <w:sz w:val="20"/>
                <w:szCs w:val="20"/>
              </w:rPr>
              <w:t>符合</w:t>
            </w:r>
          </w:p>
        </w:tc>
      </w:tr>
      <w:tr w14:paraId="3CA6D1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1828" w:type="dxa"/>
            <w:vMerge w:val="continue"/>
            <w:tcBorders>
              <w:top w:val="nil"/>
              <w:left w:val="single" w:color="000000" w:sz="6" w:space="0"/>
              <w:bottom w:val="nil"/>
            </w:tcBorders>
            <w:vAlign w:val="top"/>
          </w:tcPr>
          <w:p w14:paraId="7482A987">
            <w:pPr>
              <w:rPr>
                <w:rFonts w:ascii="Arial"/>
                <w:sz w:val="21"/>
              </w:rPr>
            </w:pPr>
          </w:p>
        </w:tc>
        <w:tc>
          <w:tcPr>
            <w:tcW w:w="7442" w:type="dxa"/>
            <w:gridSpan w:val="4"/>
            <w:tcBorders>
              <w:right w:val="single" w:color="000000" w:sz="6" w:space="0"/>
            </w:tcBorders>
            <w:vAlign w:val="top"/>
          </w:tcPr>
          <w:p w14:paraId="38775802">
            <w:pPr>
              <w:pStyle w:val="9"/>
              <w:spacing w:before="36" w:line="214" w:lineRule="auto"/>
              <w:ind w:left="1938"/>
              <w:rPr>
                <w:sz w:val="20"/>
                <w:szCs w:val="20"/>
              </w:rPr>
            </w:pPr>
            <w:r>
              <w:rPr>
                <w:b/>
                <w:bCs/>
                <w:spacing w:val="6"/>
                <w:sz w:val="20"/>
                <w:szCs w:val="20"/>
              </w:rPr>
              <w:t>扎鲁特旗城镇空间（</w:t>
            </w:r>
            <w:r>
              <w:rPr>
                <w:rFonts w:ascii="Times New Roman" w:hAnsi="Times New Roman" w:eastAsia="Times New Roman" w:cs="Times New Roman"/>
                <w:b/>
                <w:bCs/>
                <w:sz w:val="20"/>
                <w:szCs w:val="20"/>
              </w:rPr>
              <w:t>ZH</w:t>
            </w:r>
            <w:r>
              <w:rPr>
                <w:rFonts w:ascii="Times New Roman" w:hAnsi="Times New Roman" w:eastAsia="Times New Roman" w:cs="Times New Roman"/>
                <w:b/>
                <w:bCs/>
                <w:spacing w:val="6"/>
                <w:sz w:val="20"/>
                <w:szCs w:val="20"/>
              </w:rPr>
              <w:t>15052620004</w:t>
            </w:r>
            <w:r>
              <w:rPr>
                <w:b/>
                <w:bCs/>
                <w:spacing w:val="6"/>
                <w:sz w:val="20"/>
                <w:szCs w:val="20"/>
              </w:rPr>
              <w:t>）</w:t>
            </w:r>
          </w:p>
        </w:tc>
      </w:tr>
      <w:tr w14:paraId="71D5BF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2" w:hRule="atLeast"/>
        </w:trPr>
        <w:tc>
          <w:tcPr>
            <w:tcW w:w="1828" w:type="dxa"/>
            <w:vMerge w:val="continue"/>
            <w:tcBorders>
              <w:top w:val="nil"/>
              <w:left w:val="single" w:color="000000" w:sz="6" w:space="0"/>
              <w:bottom w:val="nil"/>
            </w:tcBorders>
            <w:vAlign w:val="top"/>
          </w:tcPr>
          <w:p w14:paraId="1D93E9C2">
            <w:pPr>
              <w:rPr>
                <w:rFonts w:ascii="Arial"/>
                <w:sz w:val="21"/>
              </w:rPr>
            </w:pPr>
          </w:p>
        </w:tc>
        <w:tc>
          <w:tcPr>
            <w:tcW w:w="962" w:type="dxa"/>
            <w:vAlign w:val="top"/>
          </w:tcPr>
          <w:p w14:paraId="53F84D78">
            <w:pPr>
              <w:spacing w:line="255" w:lineRule="auto"/>
              <w:rPr>
                <w:rFonts w:ascii="Arial"/>
                <w:sz w:val="21"/>
              </w:rPr>
            </w:pPr>
          </w:p>
          <w:p w14:paraId="15240EA9">
            <w:pPr>
              <w:spacing w:line="255" w:lineRule="auto"/>
              <w:rPr>
                <w:rFonts w:ascii="Arial"/>
                <w:sz w:val="21"/>
              </w:rPr>
            </w:pPr>
          </w:p>
          <w:p w14:paraId="55736CFE">
            <w:pPr>
              <w:spacing w:line="255" w:lineRule="auto"/>
              <w:rPr>
                <w:rFonts w:ascii="Arial"/>
                <w:sz w:val="21"/>
              </w:rPr>
            </w:pPr>
          </w:p>
          <w:p w14:paraId="0E0341A2">
            <w:pPr>
              <w:spacing w:line="255" w:lineRule="auto"/>
              <w:rPr>
                <w:rFonts w:ascii="Arial"/>
                <w:sz w:val="21"/>
              </w:rPr>
            </w:pPr>
          </w:p>
          <w:p w14:paraId="5D1CEE3C">
            <w:pPr>
              <w:spacing w:line="255" w:lineRule="auto"/>
              <w:rPr>
                <w:rFonts w:ascii="Arial"/>
                <w:sz w:val="21"/>
              </w:rPr>
            </w:pPr>
          </w:p>
          <w:p w14:paraId="42B98CDA">
            <w:pPr>
              <w:spacing w:line="256" w:lineRule="auto"/>
              <w:rPr>
                <w:rFonts w:ascii="Arial"/>
                <w:sz w:val="21"/>
              </w:rPr>
            </w:pPr>
          </w:p>
          <w:p w14:paraId="45CC735D">
            <w:pPr>
              <w:spacing w:line="256" w:lineRule="auto"/>
              <w:rPr>
                <w:rFonts w:ascii="Arial"/>
                <w:sz w:val="21"/>
              </w:rPr>
            </w:pPr>
          </w:p>
          <w:p w14:paraId="50F507C5">
            <w:pPr>
              <w:spacing w:line="256" w:lineRule="auto"/>
              <w:rPr>
                <w:rFonts w:ascii="Arial"/>
                <w:sz w:val="21"/>
              </w:rPr>
            </w:pPr>
          </w:p>
          <w:p w14:paraId="16EE46C1">
            <w:pPr>
              <w:spacing w:line="256" w:lineRule="auto"/>
              <w:rPr>
                <w:rFonts w:ascii="Arial"/>
                <w:sz w:val="21"/>
              </w:rPr>
            </w:pPr>
          </w:p>
          <w:p w14:paraId="5A05A9FA">
            <w:pPr>
              <w:spacing w:line="256" w:lineRule="auto"/>
              <w:rPr>
                <w:rFonts w:ascii="Arial"/>
                <w:sz w:val="21"/>
              </w:rPr>
            </w:pPr>
          </w:p>
          <w:p w14:paraId="77DF64F2">
            <w:pPr>
              <w:spacing w:line="256" w:lineRule="auto"/>
              <w:rPr>
                <w:rFonts w:ascii="Arial"/>
                <w:sz w:val="21"/>
              </w:rPr>
            </w:pPr>
          </w:p>
          <w:p w14:paraId="23D00882">
            <w:pPr>
              <w:pStyle w:val="9"/>
              <w:spacing w:before="65" w:line="252" w:lineRule="auto"/>
              <w:ind w:left="186" w:right="152" w:firstLine="3"/>
              <w:rPr>
                <w:sz w:val="20"/>
                <w:szCs w:val="20"/>
              </w:rPr>
            </w:pPr>
            <w:r>
              <w:rPr>
                <w:spacing w:val="4"/>
                <w:sz w:val="20"/>
                <w:szCs w:val="20"/>
              </w:rPr>
              <w:t>空间布</w:t>
            </w:r>
            <w:r>
              <w:rPr>
                <w:spacing w:val="6"/>
                <w:sz w:val="20"/>
                <w:szCs w:val="20"/>
              </w:rPr>
              <w:t>局约束</w:t>
            </w:r>
          </w:p>
        </w:tc>
        <w:tc>
          <w:tcPr>
            <w:tcW w:w="3869" w:type="dxa"/>
            <w:vAlign w:val="top"/>
          </w:tcPr>
          <w:p w14:paraId="72FF54FB">
            <w:pPr>
              <w:spacing w:line="296" w:lineRule="auto"/>
              <w:rPr>
                <w:rFonts w:ascii="Arial"/>
                <w:sz w:val="21"/>
              </w:rPr>
            </w:pPr>
          </w:p>
          <w:p w14:paraId="1B434FD4">
            <w:pPr>
              <w:spacing w:line="297" w:lineRule="auto"/>
              <w:rPr>
                <w:rFonts w:ascii="Arial"/>
                <w:sz w:val="21"/>
              </w:rPr>
            </w:pPr>
          </w:p>
          <w:p w14:paraId="7EBB30BD">
            <w:pPr>
              <w:spacing w:line="297" w:lineRule="auto"/>
              <w:rPr>
                <w:rFonts w:ascii="Arial"/>
                <w:sz w:val="21"/>
              </w:rPr>
            </w:pPr>
          </w:p>
          <w:p w14:paraId="059A5E1B">
            <w:pPr>
              <w:spacing w:line="297" w:lineRule="auto"/>
              <w:rPr>
                <w:rFonts w:ascii="Arial"/>
                <w:sz w:val="21"/>
              </w:rPr>
            </w:pPr>
          </w:p>
          <w:p w14:paraId="0A325874">
            <w:pPr>
              <w:pStyle w:val="9"/>
              <w:spacing w:before="66" w:line="251" w:lineRule="auto"/>
              <w:ind w:left="124" w:right="55" w:firstLine="435"/>
              <w:rPr>
                <w:sz w:val="20"/>
                <w:szCs w:val="20"/>
              </w:rPr>
            </w:pPr>
            <w:r>
              <w:rPr>
                <w:rFonts w:ascii="Times New Roman" w:hAnsi="Times New Roman" w:eastAsia="Times New Roman" w:cs="Times New Roman"/>
                <w:spacing w:val="5"/>
                <w:sz w:val="20"/>
                <w:szCs w:val="20"/>
              </w:rPr>
              <w:t>1.</w:t>
            </w:r>
            <w:r>
              <w:rPr>
                <w:spacing w:val="5"/>
                <w:sz w:val="20"/>
                <w:szCs w:val="20"/>
              </w:rPr>
              <w:t>禁止新建、扩建高污染、高耗水、</w:t>
            </w:r>
            <w:r>
              <w:rPr>
                <w:spacing w:val="14"/>
                <w:sz w:val="20"/>
                <w:szCs w:val="20"/>
              </w:rPr>
              <w:t>高耗能项目。现有高污染、高耗水、高</w:t>
            </w:r>
            <w:r>
              <w:rPr>
                <w:spacing w:val="8"/>
                <w:sz w:val="20"/>
                <w:szCs w:val="20"/>
              </w:rPr>
              <w:t>耗能企业鼓励逐步搬迁入园。</w:t>
            </w:r>
          </w:p>
          <w:p w14:paraId="7608FD02">
            <w:pPr>
              <w:pStyle w:val="9"/>
              <w:spacing w:line="251" w:lineRule="auto"/>
              <w:ind w:left="124" w:right="97" w:firstLine="415"/>
              <w:rPr>
                <w:sz w:val="20"/>
                <w:szCs w:val="20"/>
              </w:rPr>
            </w:pPr>
            <w:r>
              <w:rPr>
                <w:rFonts w:ascii="Times New Roman" w:hAnsi="Times New Roman" w:eastAsia="Times New Roman" w:cs="Times New Roman"/>
                <w:spacing w:val="4"/>
                <w:sz w:val="20"/>
                <w:szCs w:val="20"/>
              </w:rPr>
              <w:t>2.</w:t>
            </w:r>
            <w:r>
              <w:rPr>
                <w:spacing w:val="4"/>
                <w:sz w:val="20"/>
                <w:szCs w:val="20"/>
              </w:rPr>
              <w:t>扩大城镇集中供热覆盖范围，加快</w:t>
            </w:r>
            <w:r>
              <w:rPr>
                <w:spacing w:val="8"/>
                <w:sz w:val="20"/>
                <w:szCs w:val="20"/>
              </w:rPr>
              <w:t>燃煤锅炉和散煤燃烧替代。</w:t>
            </w:r>
          </w:p>
          <w:p w14:paraId="4BFC66E9">
            <w:pPr>
              <w:pStyle w:val="9"/>
              <w:spacing w:before="1" w:line="251" w:lineRule="auto"/>
              <w:ind w:left="123" w:right="97" w:firstLine="421"/>
              <w:rPr>
                <w:sz w:val="20"/>
                <w:szCs w:val="20"/>
              </w:rPr>
            </w:pPr>
            <w:r>
              <w:rPr>
                <w:rFonts w:ascii="Times New Roman" w:hAnsi="Times New Roman" w:eastAsia="Times New Roman" w:cs="Times New Roman"/>
                <w:spacing w:val="4"/>
                <w:sz w:val="20"/>
                <w:szCs w:val="20"/>
              </w:rPr>
              <w:t>3.</w:t>
            </w:r>
            <w:r>
              <w:rPr>
                <w:spacing w:val="4"/>
                <w:sz w:val="20"/>
                <w:szCs w:val="20"/>
              </w:rPr>
              <w:t>禁止在居民区和学校、医院、疗养</w:t>
            </w:r>
            <w:r>
              <w:rPr>
                <w:spacing w:val="14"/>
                <w:sz w:val="20"/>
                <w:szCs w:val="20"/>
              </w:rPr>
              <w:t>院、养老院等单位周边新建、改建、扩建可能造成土壤污染的建设项目。禁止</w:t>
            </w:r>
            <w:r>
              <w:rPr>
                <w:spacing w:val="5"/>
                <w:sz w:val="20"/>
                <w:szCs w:val="20"/>
              </w:rPr>
              <w:t>新</w:t>
            </w:r>
            <w:r>
              <w:rPr>
                <w:rFonts w:ascii="Times New Roman" w:hAnsi="Times New Roman" w:eastAsia="Times New Roman" w:cs="Times New Roman"/>
                <w:spacing w:val="5"/>
                <w:sz w:val="20"/>
                <w:szCs w:val="20"/>
              </w:rPr>
              <w:t>(</w:t>
            </w:r>
            <w:r>
              <w:rPr>
                <w:spacing w:val="5"/>
                <w:sz w:val="20"/>
                <w:szCs w:val="20"/>
              </w:rPr>
              <w:t>改、扩</w:t>
            </w:r>
            <w:r>
              <w:rPr>
                <w:rFonts w:ascii="Times New Roman" w:hAnsi="Times New Roman" w:eastAsia="Times New Roman" w:cs="Times New Roman"/>
                <w:spacing w:val="5"/>
                <w:sz w:val="20"/>
                <w:szCs w:val="20"/>
              </w:rPr>
              <w:t>)</w:t>
            </w:r>
            <w:r>
              <w:rPr>
                <w:spacing w:val="5"/>
                <w:sz w:val="20"/>
                <w:szCs w:val="20"/>
              </w:rPr>
              <w:t>建涉重金属及恶臭气体排放企</w:t>
            </w:r>
            <w:r>
              <w:rPr>
                <w:sz w:val="20"/>
                <w:szCs w:val="20"/>
              </w:rPr>
              <w:t>业。</w:t>
            </w:r>
          </w:p>
          <w:p w14:paraId="40668697">
            <w:pPr>
              <w:pStyle w:val="9"/>
              <w:spacing w:line="252" w:lineRule="auto"/>
              <w:ind w:left="123" w:right="97" w:firstLine="415"/>
              <w:rPr>
                <w:sz w:val="20"/>
                <w:szCs w:val="20"/>
              </w:rPr>
            </w:pPr>
            <w:r>
              <w:rPr>
                <w:rFonts w:ascii="Times New Roman" w:hAnsi="Times New Roman" w:eastAsia="Times New Roman" w:cs="Times New Roman"/>
                <w:spacing w:val="13"/>
                <w:sz w:val="20"/>
                <w:szCs w:val="20"/>
              </w:rPr>
              <w:t>4.</w:t>
            </w:r>
            <w:r>
              <w:rPr>
                <w:spacing w:val="13"/>
                <w:sz w:val="20"/>
                <w:szCs w:val="20"/>
              </w:rPr>
              <w:t>禁止在实行城市化管理的区域内</w:t>
            </w:r>
            <w:r>
              <w:rPr>
                <w:rFonts w:ascii="Times New Roman" w:hAnsi="Times New Roman" w:eastAsia="Times New Roman" w:cs="Times New Roman"/>
                <w:spacing w:val="13"/>
                <w:sz w:val="20"/>
                <w:szCs w:val="20"/>
              </w:rPr>
              <w:t>,</w:t>
            </w:r>
            <w:r>
              <w:rPr>
                <w:spacing w:val="14"/>
                <w:sz w:val="20"/>
                <w:szCs w:val="20"/>
              </w:rPr>
              <w:t>新建、扩建混凝土搅拌站、水泥厂、石灰窑、石料场、砖瓦厂、粉磨站、粮食</w:t>
            </w:r>
            <w:r>
              <w:rPr>
                <w:spacing w:val="7"/>
                <w:sz w:val="20"/>
                <w:szCs w:val="20"/>
              </w:rPr>
              <w:t>烘干点以及煤场。</w:t>
            </w:r>
          </w:p>
        </w:tc>
        <w:tc>
          <w:tcPr>
            <w:tcW w:w="1702" w:type="dxa"/>
            <w:vAlign w:val="top"/>
          </w:tcPr>
          <w:p w14:paraId="398A5DD2">
            <w:pPr>
              <w:pStyle w:val="9"/>
              <w:spacing w:before="34" w:line="251" w:lineRule="auto"/>
              <w:ind w:left="122" w:right="98" w:firstLine="437"/>
              <w:rPr>
                <w:sz w:val="20"/>
                <w:szCs w:val="20"/>
              </w:rPr>
            </w:pPr>
            <w:r>
              <w:rPr>
                <w:rFonts w:ascii="Times New Roman" w:hAnsi="Times New Roman" w:eastAsia="Times New Roman" w:cs="Times New Roman"/>
                <w:spacing w:val="-2"/>
                <w:sz w:val="20"/>
                <w:szCs w:val="20"/>
              </w:rPr>
              <w:t>1</w:t>
            </w:r>
            <w:r>
              <w:rPr>
                <w:rFonts w:ascii="Times New Roman" w:hAnsi="Times New Roman" w:eastAsia="Times New Roman" w:cs="Times New Roman"/>
                <w:spacing w:val="28"/>
                <w:sz w:val="20"/>
                <w:szCs w:val="20"/>
              </w:rPr>
              <w:t xml:space="preserve"> </w:t>
            </w:r>
            <w:r>
              <w:rPr>
                <w:spacing w:val="-2"/>
                <w:sz w:val="20"/>
                <w:szCs w:val="20"/>
              </w:rPr>
              <w:t>本项</w:t>
            </w:r>
            <w:r>
              <w:rPr>
                <w:spacing w:val="-33"/>
                <w:sz w:val="20"/>
                <w:szCs w:val="20"/>
              </w:rPr>
              <w:t xml:space="preserve"> </w:t>
            </w:r>
            <w:r>
              <w:rPr>
                <w:spacing w:val="-2"/>
                <w:sz w:val="20"/>
                <w:szCs w:val="20"/>
              </w:rPr>
              <w:t>目为</w:t>
            </w:r>
            <w:r>
              <w:rPr>
                <w:spacing w:val="10"/>
                <w:sz w:val="20"/>
                <w:szCs w:val="20"/>
              </w:rPr>
              <w:t>输变电项目，不属于高污染、高耗水、高耗能项</w:t>
            </w:r>
            <w:r>
              <w:rPr>
                <w:sz w:val="20"/>
                <w:szCs w:val="20"/>
              </w:rPr>
              <w:t>目。</w:t>
            </w:r>
          </w:p>
          <w:p w14:paraId="5259385E">
            <w:pPr>
              <w:pStyle w:val="9"/>
              <w:spacing w:line="252" w:lineRule="auto"/>
              <w:ind w:left="125" w:right="98" w:firstLine="414"/>
              <w:rPr>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4"/>
                <w:sz w:val="20"/>
                <w:szCs w:val="20"/>
              </w:rPr>
              <w:t xml:space="preserve"> </w:t>
            </w:r>
            <w:r>
              <w:rPr>
                <w:spacing w:val="2"/>
                <w:sz w:val="20"/>
                <w:szCs w:val="20"/>
              </w:rPr>
              <w:t>本项</w:t>
            </w:r>
            <w:r>
              <w:rPr>
                <w:spacing w:val="-33"/>
                <w:sz w:val="20"/>
                <w:szCs w:val="20"/>
              </w:rPr>
              <w:t xml:space="preserve"> </w:t>
            </w:r>
            <w:r>
              <w:rPr>
                <w:spacing w:val="2"/>
                <w:sz w:val="20"/>
                <w:szCs w:val="20"/>
              </w:rPr>
              <w:t>目不</w:t>
            </w:r>
            <w:r>
              <w:rPr>
                <w:spacing w:val="10"/>
                <w:sz w:val="20"/>
                <w:szCs w:val="20"/>
              </w:rPr>
              <w:t>涉及燃煤锅炉，办公区冬季使用</w:t>
            </w:r>
            <w:r>
              <w:rPr>
                <w:spacing w:val="4"/>
                <w:sz w:val="20"/>
                <w:szCs w:val="20"/>
              </w:rPr>
              <w:t>电暖器。</w:t>
            </w:r>
          </w:p>
          <w:p w14:paraId="4E8E162F">
            <w:pPr>
              <w:pStyle w:val="9"/>
              <w:spacing w:before="2" w:line="251" w:lineRule="auto"/>
              <w:ind w:left="124" w:right="98" w:firstLine="419"/>
              <w:rPr>
                <w:sz w:val="20"/>
                <w:szCs w:val="20"/>
              </w:rPr>
            </w:pPr>
            <w:r>
              <w:rPr>
                <w:rFonts w:ascii="Times New Roman" w:hAnsi="Times New Roman" w:eastAsia="Times New Roman" w:cs="Times New Roman"/>
                <w:spacing w:val="1"/>
                <w:sz w:val="20"/>
                <w:szCs w:val="20"/>
              </w:rPr>
              <w:t>3.</w:t>
            </w:r>
            <w:r>
              <w:rPr>
                <w:rFonts w:ascii="Times New Roman" w:hAnsi="Times New Roman" w:eastAsia="Times New Roman" w:cs="Times New Roman"/>
                <w:spacing w:val="-22"/>
                <w:sz w:val="20"/>
                <w:szCs w:val="20"/>
              </w:rPr>
              <w:t xml:space="preserve"> </w:t>
            </w:r>
            <w:r>
              <w:rPr>
                <w:spacing w:val="1"/>
                <w:sz w:val="20"/>
                <w:szCs w:val="20"/>
              </w:rPr>
              <w:t>本项</w:t>
            </w:r>
            <w:r>
              <w:rPr>
                <w:spacing w:val="-33"/>
                <w:sz w:val="20"/>
                <w:szCs w:val="20"/>
              </w:rPr>
              <w:t xml:space="preserve"> </w:t>
            </w:r>
            <w:r>
              <w:rPr>
                <w:spacing w:val="1"/>
                <w:sz w:val="20"/>
                <w:szCs w:val="20"/>
              </w:rPr>
              <w:t>目不</w:t>
            </w:r>
            <w:r>
              <w:rPr>
                <w:spacing w:val="10"/>
                <w:sz w:val="20"/>
                <w:szCs w:val="20"/>
              </w:rPr>
              <w:t>属于土壤污染的建设项目，项目周边无居民区和学校、医院、疗养院、养老院等</w:t>
            </w:r>
            <w:r>
              <w:rPr>
                <w:spacing w:val="2"/>
                <w:sz w:val="20"/>
                <w:szCs w:val="20"/>
              </w:rPr>
              <w:t>单位。</w:t>
            </w:r>
          </w:p>
          <w:p w14:paraId="6DFC317E">
            <w:pPr>
              <w:pStyle w:val="9"/>
              <w:spacing w:before="2" w:line="245" w:lineRule="auto"/>
              <w:ind w:left="123" w:right="27" w:firstLine="415"/>
              <w:rPr>
                <w:sz w:val="20"/>
                <w:szCs w:val="20"/>
              </w:rPr>
            </w:pPr>
            <w:r>
              <w:rPr>
                <w:rFonts w:ascii="Times New Roman" w:hAnsi="Times New Roman" w:eastAsia="Times New Roman" w:cs="Times New Roman"/>
                <w:spacing w:val="2"/>
                <w:sz w:val="20"/>
                <w:szCs w:val="20"/>
              </w:rPr>
              <w:t>4.</w:t>
            </w:r>
            <w:r>
              <w:rPr>
                <w:rFonts w:ascii="Times New Roman" w:hAnsi="Times New Roman" w:eastAsia="Times New Roman" w:cs="Times New Roman"/>
                <w:spacing w:val="-23"/>
                <w:sz w:val="20"/>
                <w:szCs w:val="20"/>
              </w:rPr>
              <w:t xml:space="preserve"> </w:t>
            </w:r>
            <w:r>
              <w:rPr>
                <w:spacing w:val="2"/>
                <w:sz w:val="20"/>
                <w:szCs w:val="20"/>
              </w:rPr>
              <w:t>本项</w:t>
            </w:r>
            <w:r>
              <w:rPr>
                <w:spacing w:val="-33"/>
                <w:sz w:val="20"/>
                <w:szCs w:val="20"/>
              </w:rPr>
              <w:t xml:space="preserve"> </w:t>
            </w:r>
            <w:r>
              <w:rPr>
                <w:spacing w:val="2"/>
                <w:sz w:val="20"/>
                <w:szCs w:val="20"/>
              </w:rPr>
              <w:t>目不</w:t>
            </w:r>
            <w:r>
              <w:rPr>
                <w:spacing w:val="10"/>
                <w:sz w:val="20"/>
                <w:szCs w:val="20"/>
              </w:rPr>
              <w:t>涉及混凝土搅拌站、水泥厂、石</w:t>
            </w:r>
            <w:r>
              <w:rPr>
                <w:spacing w:val="12"/>
                <w:sz w:val="20"/>
                <w:szCs w:val="20"/>
              </w:rPr>
              <w:t>灰窑、石料场、</w:t>
            </w:r>
            <w:r>
              <w:rPr>
                <w:spacing w:val="-7"/>
                <w:sz w:val="20"/>
                <w:szCs w:val="20"/>
              </w:rPr>
              <w:t>砖瓦厂、粉磨站、</w:t>
            </w:r>
            <w:r>
              <w:rPr>
                <w:spacing w:val="10"/>
                <w:sz w:val="20"/>
                <w:szCs w:val="20"/>
              </w:rPr>
              <w:t>粮食烘干点以及</w:t>
            </w:r>
            <w:r>
              <w:rPr>
                <w:spacing w:val="3"/>
                <w:sz w:val="20"/>
                <w:szCs w:val="20"/>
              </w:rPr>
              <w:t>煤场。</w:t>
            </w:r>
          </w:p>
        </w:tc>
        <w:tc>
          <w:tcPr>
            <w:tcW w:w="909" w:type="dxa"/>
            <w:tcBorders>
              <w:right w:val="single" w:color="000000" w:sz="6" w:space="0"/>
            </w:tcBorders>
            <w:vAlign w:val="top"/>
          </w:tcPr>
          <w:p w14:paraId="70FEC351">
            <w:pPr>
              <w:spacing w:line="245" w:lineRule="auto"/>
              <w:rPr>
                <w:rFonts w:ascii="Arial"/>
                <w:sz w:val="21"/>
              </w:rPr>
            </w:pPr>
          </w:p>
          <w:p w14:paraId="646EF721">
            <w:pPr>
              <w:spacing w:line="245" w:lineRule="auto"/>
              <w:rPr>
                <w:rFonts w:ascii="Arial"/>
                <w:sz w:val="21"/>
              </w:rPr>
            </w:pPr>
          </w:p>
          <w:p w14:paraId="65E21FFF">
            <w:pPr>
              <w:spacing w:line="245" w:lineRule="auto"/>
              <w:rPr>
                <w:rFonts w:ascii="Arial"/>
                <w:sz w:val="21"/>
              </w:rPr>
            </w:pPr>
          </w:p>
          <w:p w14:paraId="3B3043A8">
            <w:pPr>
              <w:spacing w:line="245" w:lineRule="auto"/>
              <w:rPr>
                <w:rFonts w:ascii="Arial"/>
                <w:sz w:val="21"/>
              </w:rPr>
            </w:pPr>
          </w:p>
          <w:p w14:paraId="7A2F0605">
            <w:pPr>
              <w:spacing w:line="245" w:lineRule="auto"/>
              <w:rPr>
                <w:rFonts w:ascii="Arial"/>
                <w:sz w:val="21"/>
              </w:rPr>
            </w:pPr>
          </w:p>
          <w:p w14:paraId="504AD77A">
            <w:pPr>
              <w:spacing w:line="245" w:lineRule="auto"/>
              <w:rPr>
                <w:rFonts w:ascii="Arial"/>
                <w:sz w:val="21"/>
              </w:rPr>
            </w:pPr>
          </w:p>
          <w:p w14:paraId="33AD3C2C">
            <w:pPr>
              <w:spacing w:line="245" w:lineRule="auto"/>
              <w:rPr>
                <w:rFonts w:ascii="Arial"/>
                <w:sz w:val="21"/>
              </w:rPr>
            </w:pPr>
          </w:p>
          <w:p w14:paraId="3C720414">
            <w:pPr>
              <w:spacing w:line="246" w:lineRule="auto"/>
              <w:rPr>
                <w:rFonts w:ascii="Arial"/>
                <w:sz w:val="21"/>
              </w:rPr>
            </w:pPr>
          </w:p>
          <w:p w14:paraId="4B67045F">
            <w:pPr>
              <w:spacing w:line="246" w:lineRule="auto"/>
              <w:rPr>
                <w:rFonts w:ascii="Arial"/>
                <w:sz w:val="21"/>
              </w:rPr>
            </w:pPr>
          </w:p>
          <w:p w14:paraId="2555A72B">
            <w:pPr>
              <w:spacing w:line="246" w:lineRule="auto"/>
              <w:rPr>
                <w:rFonts w:ascii="Arial"/>
                <w:sz w:val="21"/>
              </w:rPr>
            </w:pPr>
          </w:p>
          <w:p w14:paraId="1BD6749F">
            <w:pPr>
              <w:spacing w:line="246" w:lineRule="auto"/>
              <w:rPr>
                <w:rFonts w:ascii="Arial"/>
                <w:sz w:val="21"/>
              </w:rPr>
            </w:pPr>
          </w:p>
          <w:p w14:paraId="5DA6FEE2">
            <w:pPr>
              <w:spacing w:line="246" w:lineRule="auto"/>
              <w:rPr>
                <w:rFonts w:ascii="Arial"/>
                <w:sz w:val="21"/>
              </w:rPr>
            </w:pPr>
          </w:p>
          <w:p w14:paraId="5F640610">
            <w:pPr>
              <w:pStyle w:val="9"/>
              <w:spacing w:before="65" w:line="228" w:lineRule="auto"/>
              <w:ind w:left="242"/>
              <w:rPr>
                <w:sz w:val="20"/>
                <w:szCs w:val="20"/>
              </w:rPr>
            </w:pPr>
            <w:r>
              <w:rPr>
                <w:spacing w:val="3"/>
                <w:sz w:val="20"/>
                <w:szCs w:val="20"/>
              </w:rPr>
              <w:t>符合</w:t>
            </w:r>
          </w:p>
        </w:tc>
      </w:tr>
      <w:tr w14:paraId="7C0AE6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0" w:hRule="atLeast"/>
        </w:trPr>
        <w:tc>
          <w:tcPr>
            <w:tcW w:w="1828" w:type="dxa"/>
            <w:vMerge w:val="continue"/>
            <w:tcBorders>
              <w:top w:val="nil"/>
              <w:left w:val="single" w:color="000000" w:sz="6" w:space="0"/>
              <w:bottom w:val="single" w:color="000000" w:sz="6" w:space="0"/>
            </w:tcBorders>
            <w:vAlign w:val="top"/>
          </w:tcPr>
          <w:p w14:paraId="4C0C8E49">
            <w:pPr>
              <w:rPr>
                <w:rFonts w:ascii="Arial"/>
                <w:sz w:val="21"/>
              </w:rPr>
            </w:pPr>
          </w:p>
        </w:tc>
        <w:tc>
          <w:tcPr>
            <w:tcW w:w="962" w:type="dxa"/>
            <w:tcBorders>
              <w:bottom w:val="single" w:color="000000" w:sz="6" w:space="0"/>
            </w:tcBorders>
            <w:vAlign w:val="top"/>
          </w:tcPr>
          <w:p w14:paraId="3E037C7B">
            <w:pPr>
              <w:spacing w:line="248" w:lineRule="auto"/>
              <w:rPr>
                <w:rFonts w:ascii="Arial"/>
                <w:sz w:val="21"/>
              </w:rPr>
            </w:pPr>
          </w:p>
          <w:p w14:paraId="75332AA9">
            <w:pPr>
              <w:spacing w:line="248" w:lineRule="auto"/>
              <w:rPr>
                <w:rFonts w:ascii="Arial"/>
                <w:sz w:val="21"/>
              </w:rPr>
            </w:pPr>
          </w:p>
          <w:p w14:paraId="101EA8C2">
            <w:pPr>
              <w:spacing w:line="248" w:lineRule="auto"/>
              <w:rPr>
                <w:rFonts w:ascii="Arial"/>
                <w:sz w:val="21"/>
              </w:rPr>
            </w:pPr>
          </w:p>
          <w:p w14:paraId="5B7D3B01">
            <w:pPr>
              <w:spacing w:line="248" w:lineRule="auto"/>
              <w:rPr>
                <w:rFonts w:ascii="Arial"/>
                <w:sz w:val="21"/>
              </w:rPr>
            </w:pPr>
          </w:p>
          <w:p w14:paraId="4DD0F502">
            <w:pPr>
              <w:spacing w:line="248" w:lineRule="auto"/>
              <w:rPr>
                <w:rFonts w:ascii="Arial"/>
                <w:sz w:val="21"/>
              </w:rPr>
            </w:pPr>
          </w:p>
          <w:p w14:paraId="21543C16">
            <w:pPr>
              <w:spacing w:line="248" w:lineRule="auto"/>
              <w:rPr>
                <w:rFonts w:ascii="Arial"/>
                <w:sz w:val="21"/>
              </w:rPr>
            </w:pPr>
          </w:p>
          <w:p w14:paraId="004092C6">
            <w:pPr>
              <w:spacing w:line="248" w:lineRule="auto"/>
              <w:rPr>
                <w:rFonts w:ascii="Arial"/>
                <w:sz w:val="21"/>
              </w:rPr>
            </w:pPr>
          </w:p>
          <w:p w14:paraId="5E43675E">
            <w:pPr>
              <w:pStyle w:val="9"/>
              <w:spacing w:before="65" w:line="228" w:lineRule="auto"/>
              <w:ind w:left="185"/>
              <w:rPr>
                <w:sz w:val="20"/>
                <w:szCs w:val="20"/>
              </w:rPr>
            </w:pPr>
            <w:r>
              <w:rPr>
                <w:spacing w:val="6"/>
                <w:sz w:val="20"/>
                <w:szCs w:val="20"/>
              </w:rPr>
              <w:t>污染物</w:t>
            </w:r>
          </w:p>
          <w:p w14:paraId="4C128B53">
            <w:pPr>
              <w:pStyle w:val="9"/>
              <w:spacing w:before="23" w:line="228" w:lineRule="auto"/>
              <w:ind w:left="183"/>
              <w:rPr>
                <w:sz w:val="20"/>
                <w:szCs w:val="20"/>
              </w:rPr>
            </w:pPr>
            <w:r>
              <w:rPr>
                <w:spacing w:val="6"/>
                <w:sz w:val="20"/>
                <w:szCs w:val="20"/>
              </w:rPr>
              <w:t>排放管</w:t>
            </w:r>
          </w:p>
          <w:p w14:paraId="0FE1DDFA">
            <w:pPr>
              <w:pStyle w:val="9"/>
              <w:spacing w:before="24" w:line="228" w:lineRule="auto"/>
              <w:ind w:left="391"/>
              <w:rPr>
                <w:sz w:val="20"/>
                <w:szCs w:val="20"/>
              </w:rPr>
            </w:pPr>
            <w:r>
              <w:rPr>
                <w:spacing w:val="1"/>
                <w:sz w:val="20"/>
                <w:szCs w:val="20"/>
              </w:rPr>
              <w:t>控</w:t>
            </w:r>
          </w:p>
        </w:tc>
        <w:tc>
          <w:tcPr>
            <w:tcW w:w="3869" w:type="dxa"/>
            <w:tcBorders>
              <w:bottom w:val="single" w:color="000000" w:sz="6" w:space="0"/>
            </w:tcBorders>
            <w:vAlign w:val="top"/>
          </w:tcPr>
          <w:p w14:paraId="22983E5D">
            <w:pPr>
              <w:pStyle w:val="9"/>
              <w:spacing w:before="38" w:line="252" w:lineRule="auto"/>
              <w:ind w:left="123" w:right="97" w:firstLine="436"/>
              <w:rPr>
                <w:sz w:val="20"/>
                <w:szCs w:val="20"/>
              </w:rPr>
            </w:pPr>
            <w:r>
              <w:rPr>
                <w:rFonts w:ascii="Times New Roman" w:hAnsi="Times New Roman" w:eastAsia="Times New Roman" w:cs="Times New Roman"/>
                <w:spacing w:val="16"/>
                <w:sz w:val="20"/>
                <w:szCs w:val="20"/>
              </w:rPr>
              <w:t>1.</w:t>
            </w:r>
            <w:r>
              <w:rPr>
                <w:spacing w:val="16"/>
                <w:sz w:val="20"/>
                <w:szCs w:val="20"/>
              </w:rPr>
              <w:t>提升城镇生活污水收集管网覆盖</w:t>
            </w:r>
            <w:r>
              <w:rPr>
                <w:spacing w:val="14"/>
                <w:sz w:val="20"/>
                <w:szCs w:val="20"/>
              </w:rPr>
              <w:t>率，逐步实施雨污管网分流改造、管网更新、破损修复改、中水回用等工程。城镇生活污水实现“应收尽收、应处尽</w:t>
            </w:r>
            <w:r>
              <w:rPr>
                <w:spacing w:val="3"/>
                <w:sz w:val="20"/>
                <w:szCs w:val="20"/>
              </w:rPr>
              <w:t>处</w:t>
            </w:r>
            <w:r>
              <w:rPr>
                <w:spacing w:val="-70"/>
                <w:sz w:val="20"/>
                <w:szCs w:val="20"/>
              </w:rPr>
              <w:t xml:space="preserve"> </w:t>
            </w:r>
            <w:r>
              <w:rPr>
                <w:spacing w:val="3"/>
                <w:sz w:val="20"/>
                <w:szCs w:val="20"/>
              </w:rPr>
              <w:t>”。</w:t>
            </w:r>
          </w:p>
          <w:p w14:paraId="4C2F940E">
            <w:pPr>
              <w:pStyle w:val="9"/>
              <w:spacing w:before="1" w:line="251" w:lineRule="auto"/>
              <w:ind w:left="123" w:right="97" w:firstLine="417"/>
              <w:rPr>
                <w:sz w:val="20"/>
                <w:szCs w:val="20"/>
              </w:rPr>
            </w:pPr>
            <w:r>
              <w:rPr>
                <w:rFonts w:ascii="Times New Roman" w:hAnsi="Times New Roman" w:eastAsia="Times New Roman" w:cs="Times New Roman"/>
                <w:spacing w:val="17"/>
                <w:sz w:val="20"/>
                <w:szCs w:val="20"/>
              </w:rPr>
              <w:t>2.</w:t>
            </w:r>
            <w:r>
              <w:rPr>
                <w:spacing w:val="17"/>
                <w:sz w:val="20"/>
                <w:szCs w:val="20"/>
              </w:rPr>
              <w:t>禁止在人口集中地区熔化或者焚</w:t>
            </w:r>
            <w:r>
              <w:rPr>
                <w:spacing w:val="14"/>
                <w:sz w:val="20"/>
                <w:szCs w:val="20"/>
              </w:rPr>
              <w:t>烧沥青、油毡、橡胶、塑料、皮革以及其他产生有毒有害烟尘和恶臭气体的物</w:t>
            </w:r>
            <w:r>
              <w:rPr>
                <w:sz w:val="20"/>
                <w:szCs w:val="20"/>
              </w:rPr>
              <w:t>质。</w:t>
            </w:r>
          </w:p>
          <w:p w14:paraId="403B3501">
            <w:pPr>
              <w:pStyle w:val="9"/>
              <w:spacing w:before="6" w:line="248" w:lineRule="auto"/>
              <w:ind w:left="123" w:right="91" w:firstLine="421"/>
              <w:rPr>
                <w:sz w:val="20"/>
                <w:szCs w:val="20"/>
              </w:rPr>
            </w:pPr>
            <w:r>
              <w:rPr>
                <w:rFonts w:ascii="Times New Roman" w:hAnsi="Times New Roman" w:eastAsia="Times New Roman" w:cs="Times New Roman"/>
                <w:spacing w:val="16"/>
                <w:sz w:val="20"/>
                <w:szCs w:val="20"/>
              </w:rPr>
              <w:t>3.</w:t>
            </w:r>
            <w:r>
              <w:rPr>
                <w:spacing w:val="16"/>
                <w:sz w:val="20"/>
                <w:szCs w:val="20"/>
              </w:rPr>
              <w:t>禁止单位和个人从事下列影响大</w:t>
            </w:r>
            <w:r>
              <w:rPr>
                <w:spacing w:val="10"/>
                <w:sz w:val="20"/>
                <w:szCs w:val="20"/>
              </w:rPr>
              <w:t>气环境质量的活动</w:t>
            </w:r>
            <w:r>
              <w:rPr>
                <w:spacing w:val="-9"/>
                <w:sz w:val="20"/>
                <w:szCs w:val="20"/>
              </w:rPr>
              <w:t>：（</w:t>
            </w:r>
            <w:r>
              <w:rPr>
                <w:rFonts w:ascii="Times New Roman" w:hAnsi="Times New Roman" w:eastAsia="Times New Roman" w:cs="Times New Roman"/>
                <w:spacing w:val="10"/>
                <w:sz w:val="20"/>
                <w:szCs w:val="20"/>
              </w:rPr>
              <w:t>1</w:t>
            </w:r>
            <w:r>
              <w:rPr>
                <w:spacing w:val="10"/>
                <w:sz w:val="20"/>
                <w:szCs w:val="20"/>
              </w:rPr>
              <w:t>）侵占、损毁或者擅自移动、改变污染监测监控设备</w:t>
            </w:r>
            <w:r>
              <w:rPr>
                <w:rFonts w:ascii="Times New Roman" w:hAnsi="Times New Roman" w:eastAsia="Times New Roman" w:cs="Times New Roman"/>
                <w:spacing w:val="10"/>
                <w:sz w:val="20"/>
                <w:szCs w:val="20"/>
              </w:rPr>
              <w:t>,</w:t>
            </w:r>
            <w:r>
              <w:rPr>
                <w:spacing w:val="10"/>
                <w:sz w:val="20"/>
                <w:szCs w:val="20"/>
              </w:rPr>
              <w:t>或</w:t>
            </w:r>
            <w:r>
              <w:rPr>
                <w:spacing w:val="9"/>
                <w:sz w:val="20"/>
                <w:szCs w:val="20"/>
              </w:rPr>
              <w:t>者算改、人为操纵影响监测数据</w:t>
            </w:r>
            <w:r>
              <w:rPr>
                <w:spacing w:val="2"/>
                <w:sz w:val="20"/>
                <w:szCs w:val="20"/>
              </w:rPr>
              <w:t>；（</w:t>
            </w:r>
            <w:r>
              <w:rPr>
                <w:rFonts w:ascii="Times New Roman" w:hAnsi="Times New Roman" w:eastAsia="Times New Roman" w:cs="Times New Roman"/>
                <w:spacing w:val="9"/>
                <w:sz w:val="20"/>
                <w:szCs w:val="20"/>
              </w:rPr>
              <w:t>2</w:t>
            </w:r>
            <w:r>
              <w:rPr>
                <w:spacing w:val="9"/>
                <w:sz w:val="20"/>
                <w:szCs w:val="20"/>
              </w:rPr>
              <w:t>）</w:t>
            </w:r>
            <w:r>
              <w:rPr>
                <w:spacing w:val="14"/>
                <w:sz w:val="20"/>
                <w:szCs w:val="20"/>
              </w:rPr>
              <w:t>在人口集中地区从事露天喷漆、喷涂、喷砂、制作玻璃钢以及其他散发有毒有</w:t>
            </w:r>
            <w:r>
              <w:rPr>
                <w:spacing w:val="10"/>
                <w:sz w:val="20"/>
                <w:szCs w:val="20"/>
              </w:rPr>
              <w:t>害气体的作业</w:t>
            </w:r>
            <w:r>
              <w:rPr>
                <w:spacing w:val="-8"/>
                <w:sz w:val="20"/>
                <w:szCs w:val="20"/>
              </w:rPr>
              <w:t>；（</w:t>
            </w:r>
            <w:r>
              <w:rPr>
                <w:rFonts w:ascii="Times New Roman" w:hAnsi="Times New Roman" w:eastAsia="Times New Roman" w:cs="Times New Roman"/>
                <w:spacing w:val="10"/>
                <w:sz w:val="20"/>
                <w:szCs w:val="20"/>
              </w:rPr>
              <w:t>3</w:t>
            </w:r>
            <w:r>
              <w:rPr>
                <w:spacing w:val="10"/>
                <w:sz w:val="20"/>
                <w:szCs w:val="20"/>
              </w:rPr>
              <w:t>）在居民住宅楼、未</w:t>
            </w:r>
          </w:p>
        </w:tc>
        <w:tc>
          <w:tcPr>
            <w:tcW w:w="1702" w:type="dxa"/>
            <w:tcBorders>
              <w:bottom w:val="single" w:color="000000" w:sz="6" w:space="0"/>
            </w:tcBorders>
            <w:vAlign w:val="top"/>
          </w:tcPr>
          <w:p w14:paraId="6E4EEDF6">
            <w:pPr>
              <w:pStyle w:val="9"/>
              <w:spacing w:before="38" w:line="252" w:lineRule="auto"/>
              <w:ind w:left="122" w:right="98" w:firstLine="437"/>
              <w:rPr>
                <w:sz w:val="20"/>
                <w:szCs w:val="20"/>
              </w:rPr>
            </w:pPr>
            <w:r>
              <w:rPr>
                <w:rFonts w:ascii="Times New Roman" w:hAnsi="Times New Roman" w:eastAsia="Times New Roman" w:cs="Times New Roman"/>
                <w:spacing w:val="-1"/>
                <w:sz w:val="20"/>
                <w:szCs w:val="20"/>
              </w:rPr>
              <w:t>1.</w:t>
            </w:r>
            <w:r>
              <w:rPr>
                <w:rFonts w:ascii="Times New Roman" w:hAnsi="Times New Roman" w:eastAsia="Times New Roman" w:cs="Times New Roman"/>
                <w:spacing w:val="-26"/>
                <w:sz w:val="20"/>
                <w:szCs w:val="20"/>
              </w:rPr>
              <w:t xml:space="preserve"> </w:t>
            </w:r>
            <w:r>
              <w:rPr>
                <w:spacing w:val="-1"/>
                <w:sz w:val="20"/>
                <w:szCs w:val="20"/>
              </w:rPr>
              <w:t>本项</w:t>
            </w:r>
            <w:r>
              <w:rPr>
                <w:spacing w:val="-33"/>
                <w:sz w:val="20"/>
                <w:szCs w:val="20"/>
              </w:rPr>
              <w:t xml:space="preserve"> </w:t>
            </w:r>
            <w:r>
              <w:rPr>
                <w:spacing w:val="-1"/>
                <w:sz w:val="20"/>
                <w:szCs w:val="20"/>
              </w:rPr>
              <w:t>目生</w:t>
            </w:r>
            <w:r>
              <w:rPr>
                <w:spacing w:val="10"/>
                <w:sz w:val="20"/>
                <w:szCs w:val="20"/>
              </w:rPr>
              <w:t>活污水经地埋式一体化处理后，用于厂区绿化、</w:t>
            </w:r>
            <w:r>
              <w:rPr>
                <w:spacing w:val="6"/>
                <w:sz w:val="20"/>
                <w:szCs w:val="20"/>
              </w:rPr>
              <w:t>道路抑尘等。</w:t>
            </w:r>
          </w:p>
          <w:p w14:paraId="4C7032B2">
            <w:pPr>
              <w:pStyle w:val="9"/>
              <w:spacing w:before="2" w:line="251" w:lineRule="auto"/>
              <w:ind w:left="123" w:right="98" w:firstLine="416"/>
              <w:rPr>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4"/>
                <w:sz w:val="20"/>
                <w:szCs w:val="20"/>
              </w:rPr>
              <w:t xml:space="preserve"> </w:t>
            </w:r>
            <w:r>
              <w:rPr>
                <w:spacing w:val="2"/>
                <w:sz w:val="20"/>
                <w:szCs w:val="20"/>
              </w:rPr>
              <w:t>本项</w:t>
            </w:r>
            <w:r>
              <w:rPr>
                <w:spacing w:val="-33"/>
                <w:sz w:val="20"/>
                <w:szCs w:val="20"/>
              </w:rPr>
              <w:t xml:space="preserve"> </w:t>
            </w:r>
            <w:r>
              <w:rPr>
                <w:spacing w:val="2"/>
                <w:sz w:val="20"/>
                <w:szCs w:val="20"/>
              </w:rPr>
              <w:t>目不</w:t>
            </w:r>
            <w:r>
              <w:rPr>
                <w:spacing w:val="10"/>
                <w:sz w:val="20"/>
                <w:szCs w:val="20"/>
              </w:rPr>
              <w:t>涉及焚烧沥青、油毡、橡胶、塑料、皮革以及其他产生有毒有害烟尘和恶臭气体</w:t>
            </w:r>
            <w:r>
              <w:rPr>
                <w:spacing w:val="5"/>
                <w:sz w:val="20"/>
                <w:szCs w:val="20"/>
              </w:rPr>
              <w:t>的物质。</w:t>
            </w:r>
          </w:p>
          <w:p w14:paraId="43712749">
            <w:pPr>
              <w:pStyle w:val="9"/>
              <w:spacing w:line="247" w:lineRule="auto"/>
              <w:ind w:left="123" w:right="98" w:firstLine="420"/>
              <w:rPr>
                <w:sz w:val="20"/>
                <w:szCs w:val="20"/>
              </w:rPr>
            </w:pPr>
            <w:r>
              <w:rPr>
                <w:rFonts w:ascii="Times New Roman" w:hAnsi="Times New Roman" w:eastAsia="Times New Roman" w:cs="Times New Roman"/>
                <w:spacing w:val="1"/>
                <w:sz w:val="20"/>
                <w:szCs w:val="20"/>
              </w:rPr>
              <w:t>3.</w:t>
            </w:r>
            <w:r>
              <w:rPr>
                <w:rFonts w:ascii="Times New Roman" w:hAnsi="Times New Roman" w:eastAsia="Times New Roman" w:cs="Times New Roman"/>
                <w:spacing w:val="-22"/>
                <w:sz w:val="20"/>
                <w:szCs w:val="20"/>
              </w:rPr>
              <w:t xml:space="preserve"> </w:t>
            </w:r>
            <w:r>
              <w:rPr>
                <w:spacing w:val="1"/>
                <w:sz w:val="20"/>
                <w:szCs w:val="20"/>
              </w:rPr>
              <w:t>本项</w:t>
            </w:r>
            <w:r>
              <w:rPr>
                <w:spacing w:val="-33"/>
                <w:sz w:val="20"/>
                <w:szCs w:val="20"/>
              </w:rPr>
              <w:t xml:space="preserve"> </w:t>
            </w:r>
            <w:r>
              <w:rPr>
                <w:spacing w:val="1"/>
                <w:sz w:val="20"/>
                <w:szCs w:val="20"/>
              </w:rPr>
              <w:t>目运</w:t>
            </w:r>
            <w:r>
              <w:rPr>
                <w:spacing w:val="45"/>
                <w:sz w:val="20"/>
                <w:szCs w:val="20"/>
              </w:rPr>
              <w:t>营期不产生废</w:t>
            </w:r>
            <w:r>
              <w:rPr>
                <w:spacing w:val="10"/>
                <w:sz w:val="20"/>
                <w:szCs w:val="20"/>
              </w:rPr>
              <w:t>气，因此不涉及影响大气环境质</w:t>
            </w:r>
          </w:p>
        </w:tc>
        <w:tc>
          <w:tcPr>
            <w:tcW w:w="909" w:type="dxa"/>
            <w:tcBorders>
              <w:bottom w:val="single" w:color="000000" w:sz="6" w:space="0"/>
              <w:right w:val="single" w:color="000000" w:sz="6" w:space="0"/>
            </w:tcBorders>
            <w:vAlign w:val="top"/>
          </w:tcPr>
          <w:p w14:paraId="34C7EE9B">
            <w:pPr>
              <w:spacing w:line="250" w:lineRule="auto"/>
              <w:rPr>
                <w:rFonts w:ascii="Arial"/>
                <w:sz w:val="21"/>
              </w:rPr>
            </w:pPr>
          </w:p>
          <w:p w14:paraId="65E996D9">
            <w:pPr>
              <w:spacing w:line="250" w:lineRule="auto"/>
              <w:rPr>
                <w:rFonts w:ascii="Arial"/>
                <w:sz w:val="21"/>
              </w:rPr>
            </w:pPr>
          </w:p>
          <w:p w14:paraId="1F00C95D">
            <w:pPr>
              <w:spacing w:line="250" w:lineRule="auto"/>
              <w:rPr>
                <w:rFonts w:ascii="Arial"/>
                <w:sz w:val="21"/>
              </w:rPr>
            </w:pPr>
          </w:p>
          <w:p w14:paraId="6A6988DA">
            <w:pPr>
              <w:spacing w:line="250" w:lineRule="auto"/>
              <w:rPr>
                <w:rFonts w:ascii="Arial"/>
                <w:sz w:val="21"/>
              </w:rPr>
            </w:pPr>
          </w:p>
          <w:p w14:paraId="29185797">
            <w:pPr>
              <w:spacing w:line="251" w:lineRule="auto"/>
              <w:rPr>
                <w:rFonts w:ascii="Arial"/>
                <w:sz w:val="21"/>
              </w:rPr>
            </w:pPr>
          </w:p>
          <w:p w14:paraId="08FC8424">
            <w:pPr>
              <w:spacing w:line="251" w:lineRule="auto"/>
              <w:rPr>
                <w:rFonts w:ascii="Arial"/>
                <w:sz w:val="21"/>
              </w:rPr>
            </w:pPr>
          </w:p>
          <w:p w14:paraId="398B81BD">
            <w:pPr>
              <w:spacing w:line="251" w:lineRule="auto"/>
              <w:rPr>
                <w:rFonts w:ascii="Arial"/>
                <w:sz w:val="21"/>
              </w:rPr>
            </w:pPr>
          </w:p>
          <w:p w14:paraId="5A0B534A">
            <w:pPr>
              <w:spacing w:line="251" w:lineRule="auto"/>
              <w:rPr>
                <w:rFonts w:ascii="Arial"/>
                <w:sz w:val="21"/>
              </w:rPr>
            </w:pPr>
          </w:p>
          <w:p w14:paraId="0F86252E">
            <w:pPr>
              <w:pStyle w:val="9"/>
              <w:spacing w:before="65" w:line="228" w:lineRule="auto"/>
              <w:ind w:left="242"/>
              <w:rPr>
                <w:sz w:val="20"/>
                <w:szCs w:val="20"/>
              </w:rPr>
            </w:pPr>
            <w:r>
              <w:rPr>
                <w:spacing w:val="3"/>
                <w:sz w:val="20"/>
                <w:szCs w:val="20"/>
              </w:rPr>
              <w:t>符合</w:t>
            </w:r>
          </w:p>
        </w:tc>
      </w:tr>
    </w:tbl>
    <w:p w14:paraId="3D1ED297">
      <w:pPr>
        <w:pStyle w:val="3"/>
      </w:pPr>
    </w:p>
    <w:p w14:paraId="1897BE8C">
      <w:pPr>
        <w:sectPr>
          <w:footerReference r:id="rId16" w:type="default"/>
          <w:pgSz w:w="11906" w:h="16838"/>
          <w:pgMar w:top="1416" w:right="1377" w:bottom="1295" w:left="1243" w:header="0" w:footer="1133" w:gutter="0"/>
          <w:cols w:space="720" w:num="1"/>
        </w:sectPr>
      </w:pPr>
    </w:p>
    <w:tbl>
      <w:tblPr>
        <w:tblStyle w:val="8"/>
        <w:tblW w:w="9270"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28"/>
        <w:gridCol w:w="962"/>
        <w:gridCol w:w="3869"/>
        <w:gridCol w:w="1702"/>
        <w:gridCol w:w="909"/>
      </w:tblGrid>
      <w:tr w14:paraId="05882A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017" w:hRule="atLeast"/>
        </w:trPr>
        <w:tc>
          <w:tcPr>
            <w:tcW w:w="1828" w:type="dxa"/>
            <w:vMerge w:val="restart"/>
            <w:tcBorders>
              <w:top w:val="single" w:color="000000" w:sz="6" w:space="0"/>
              <w:left w:val="single" w:color="000000" w:sz="6" w:space="0"/>
              <w:bottom w:val="nil"/>
            </w:tcBorders>
            <w:vAlign w:val="top"/>
          </w:tcPr>
          <w:p w14:paraId="6E704A9D">
            <w:pPr>
              <w:rPr>
                <w:rFonts w:ascii="Arial"/>
                <w:sz w:val="21"/>
              </w:rPr>
            </w:pPr>
          </w:p>
        </w:tc>
        <w:tc>
          <w:tcPr>
            <w:tcW w:w="962" w:type="dxa"/>
            <w:tcBorders>
              <w:top w:val="single" w:color="000000" w:sz="6" w:space="0"/>
            </w:tcBorders>
            <w:vAlign w:val="top"/>
          </w:tcPr>
          <w:p w14:paraId="7253D401">
            <w:pPr>
              <w:rPr>
                <w:rFonts w:ascii="Arial"/>
                <w:sz w:val="21"/>
              </w:rPr>
            </w:pPr>
          </w:p>
        </w:tc>
        <w:tc>
          <w:tcPr>
            <w:tcW w:w="3869" w:type="dxa"/>
            <w:tcBorders>
              <w:top w:val="single" w:color="000000" w:sz="6" w:space="0"/>
            </w:tcBorders>
            <w:vAlign w:val="top"/>
          </w:tcPr>
          <w:p w14:paraId="7678F029">
            <w:pPr>
              <w:pStyle w:val="9"/>
              <w:spacing w:before="51" w:line="248" w:lineRule="auto"/>
              <w:ind w:left="123" w:right="97"/>
              <w:rPr>
                <w:sz w:val="20"/>
                <w:szCs w:val="20"/>
              </w:rPr>
            </w:pPr>
            <w:r>
              <w:rPr>
                <w:spacing w:val="14"/>
                <w:sz w:val="20"/>
                <w:szCs w:val="20"/>
              </w:rPr>
              <w:t>配套设立专用烟道的商住综合楼以及商住综合楼内与居住层相邻的商业楼层内新建、改建、扩建产生油烟、异味、废</w:t>
            </w:r>
            <w:r>
              <w:rPr>
                <w:spacing w:val="10"/>
                <w:sz w:val="20"/>
                <w:szCs w:val="20"/>
              </w:rPr>
              <w:t>气的餐饮服务项目</w:t>
            </w:r>
            <w:r>
              <w:rPr>
                <w:spacing w:val="-9"/>
                <w:sz w:val="20"/>
                <w:szCs w:val="20"/>
              </w:rPr>
              <w:t>；（</w:t>
            </w:r>
            <w:r>
              <w:rPr>
                <w:rFonts w:ascii="Times New Roman" w:hAnsi="Times New Roman" w:eastAsia="Times New Roman" w:cs="Times New Roman"/>
                <w:spacing w:val="10"/>
                <w:sz w:val="20"/>
                <w:szCs w:val="20"/>
              </w:rPr>
              <w:t>4</w:t>
            </w:r>
            <w:r>
              <w:rPr>
                <w:spacing w:val="10"/>
                <w:sz w:val="20"/>
                <w:szCs w:val="20"/>
              </w:rPr>
              <w:t>）餐饮服务经营</w:t>
            </w:r>
            <w:r>
              <w:rPr>
                <w:spacing w:val="14"/>
                <w:sz w:val="20"/>
                <w:szCs w:val="20"/>
              </w:rPr>
              <w:t>者和单位食堂等采取排入住宅小区、绿化带、雨污管道或者暗管、地沟等方式</w:t>
            </w:r>
            <w:r>
              <w:rPr>
                <w:spacing w:val="10"/>
                <w:sz w:val="20"/>
                <w:szCs w:val="20"/>
              </w:rPr>
              <w:t>超过排放标准排放餐饮油烟</w:t>
            </w:r>
            <w:r>
              <w:rPr>
                <w:spacing w:val="-9"/>
                <w:sz w:val="20"/>
                <w:szCs w:val="20"/>
              </w:rPr>
              <w:t>；（</w:t>
            </w:r>
            <w:r>
              <w:rPr>
                <w:rFonts w:ascii="Times New Roman" w:hAnsi="Times New Roman" w:eastAsia="Times New Roman" w:cs="Times New Roman"/>
                <w:spacing w:val="10"/>
                <w:sz w:val="20"/>
                <w:szCs w:val="20"/>
              </w:rPr>
              <w:t>5</w:t>
            </w:r>
            <w:r>
              <w:rPr>
                <w:spacing w:val="10"/>
                <w:sz w:val="20"/>
                <w:szCs w:val="20"/>
              </w:rPr>
              <w:t>）露天</w:t>
            </w:r>
            <w:r>
              <w:rPr>
                <w:spacing w:val="14"/>
                <w:sz w:val="20"/>
                <w:szCs w:val="20"/>
              </w:rPr>
              <w:t>焚烧沥青、油毡、橡胶、塑料、皮革、秸科、杂草、落叶、树枝等物质和其他</w:t>
            </w:r>
            <w:r>
              <w:rPr>
                <w:spacing w:val="10"/>
                <w:sz w:val="20"/>
                <w:szCs w:val="20"/>
              </w:rPr>
              <w:t>垃圾</w:t>
            </w:r>
            <w:r>
              <w:rPr>
                <w:spacing w:val="-9"/>
                <w:sz w:val="20"/>
                <w:szCs w:val="20"/>
              </w:rPr>
              <w:t>；（</w:t>
            </w:r>
            <w:r>
              <w:rPr>
                <w:rFonts w:ascii="Times New Roman" w:hAnsi="Times New Roman" w:eastAsia="Times New Roman" w:cs="Times New Roman"/>
                <w:spacing w:val="10"/>
                <w:sz w:val="20"/>
                <w:szCs w:val="20"/>
              </w:rPr>
              <w:t>6</w:t>
            </w:r>
            <w:r>
              <w:rPr>
                <w:spacing w:val="10"/>
                <w:sz w:val="20"/>
                <w:szCs w:val="20"/>
              </w:rPr>
              <w:t>）法律、法规规定的其他禁止</w:t>
            </w:r>
            <w:r>
              <w:rPr>
                <w:spacing w:val="6"/>
                <w:sz w:val="20"/>
                <w:szCs w:val="20"/>
              </w:rPr>
              <w:t>从事的活动。</w:t>
            </w:r>
          </w:p>
        </w:tc>
        <w:tc>
          <w:tcPr>
            <w:tcW w:w="1702" w:type="dxa"/>
            <w:tcBorders>
              <w:top w:val="single" w:color="000000" w:sz="6" w:space="0"/>
            </w:tcBorders>
            <w:vAlign w:val="top"/>
          </w:tcPr>
          <w:p w14:paraId="2549154F">
            <w:pPr>
              <w:pStyle w:val="9"/>
              <w:spacing w:before="53" w:line="228" w:lineRule="auto"/>
              <w:ind w:left="123"/>
              <w:rPr>
                <w:sz w:val="20"/>
                <w:szCs w:val="20"/>
              </w:rPr>
            </w:pPr>
            <w:r>
              <w:rPr>
                <w:spacing w:val="7"/>
                <w:sz w:val="20"/>
                <w:szCs w:val="20"/>
              </w:rPr>
              <w:t>量的活动</w:t>
            </w:r>
          </w:p>
        </w:tc>
        <w:tc>
          <w:tcPr>
            <w:tcW w:w="909" w:type="dxa"/>
            <w:tcBorders>
              <w:top w:val="single" w:color="000000" w:sz="6" w:space="0"/>
              <w:right w:val="single" w:color="000000" w:sz="6" w:space="0"/>
            </w:tcBorders>
            <w:vAlign w:val="top"/>
          </w:tcPr>
          <w:p w14:paraId="4204A0B3">
            <w:pPr>
              <w:rPr>
                <w:rFonts w:ascii="Arial"/>
                <w:sz w:val="21"/>
              </w:rPr>
            </w:pPr>
          </w:p>
        </w:tc>
      </w:tr>
      <w:tr w14:paraId="5A4B29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2" w:hRule="atLeast"/>
        </w:trPr>
        <w:tc>
          <w:tcPr>
            <w:tcW w:w="1828" w:type="dxa"/>
            <w:vMerge w:val="continue"/>
            <w:tcBorders>
              <w:top w:val="nil"/>
              <w:left w:val="single" w:color="000000" w:sz="6" w:space="0"/>
              <w:bottom w:val="single" w:color="000000" w:sz="6" w:space="0"/>
            </w:tcBorders>
            <w:vAlign w:val="top"/>
          </w:tcPr>
          <w:p w14:paraId="5AD10627">
            <w:pPr>
              <w:rPr>
                <w:rFonts w:ascii="Arial"/>
                <w:sz w:val="21"/>
              </w:rPr>
            </w:pPr>
          </w:p>
        </w:tc>
        <w:tc>
          <w:tcPr>
            <w:tcW w:w="962" w:type="dxa"/>
            <w:tcBorders>
              <w:bottom w:val="single" w:color="000000" w:sz="6" w:space="0"/>
            </w:tcBorders>
            <w:vAlign w:val="top"/>
          </w:tcPr>
          <w:p w14:paraId="09D6B6C2">
            <w:pPr>
              <w:spacing w:line="257" w:lineRule="auto"/>
              <w:rPr>
                <w:rFonts w:ascii="Arial"/>
                <w:sz w:val="21"/>
              </w:rPr>
            </w:pPr>
          </w:p>
          <w:p w14:paraId="43580494">
            <w:pPr>
              <w:spacing w:line="257" w:lineRule="auto"/>
              <w:rPr>
                <w:rFonts w:ascii="Arial"/>
                <w:sz w:val="21"/>
              </w:rPr>
            </w:pPr>
          </w:p>
          <w:p w14:paraId="207C4C59">
            <w:pPr>
              <w:spacing w:line="258" w:lineRule="auto"/>
              <w:rPr>
                <w:rFonts w:ascii="Arial"/>
                <w:sz w:val="21"/>
              </w:rPr>
            </w:pPr>
          </w:p>
          <w:p w14:paraId="2835951B">
            <w:pPr>
              <w:spacing w:line="258" w:lineRule="auto"/>
              <w:rPr>
                <w:rFonts w:ascii="Arial"/>
                <w:sz w:val="21"/>
              </w:rPr>
            </w:pPr>
          </w:p>
          <w:p w14:paraId="34969938">
            <w:pPr>
              <w:spacing w:line="258" w:lineRule="auto"/>
              <w:rPr>
                <w:rFonts w:ascii="Arial"/>
                <w:sz w:val="21"/>
              </w:rPr>
            </w:pPr>
          </w:p>
          <w:p w14:paraId="144DB7B7">
            <w:pPr>
              <w:spacing w:line="258" w:lineRule="auto"/>
              <w:rPr>
                <w:rFonts w:ascii="Arial"/>
                <w:sz w:val="21"/>
              </w:rPr>
            </w:pPr>
          </w:p>
          <w:p w14:paraId="3E7D6458">
            <w:pPr>
              <w:spacing w:line="258" w:lineRule="auto"/>
              <w:rPr>
                <w:rFonts w:ascii="Arial"/>
                <w:sz w:val="21"/>
              </w:rPr>
            </w:pPr>
          </w:p>
          <w:p w14:paraId="340D9AB1">
            <w:pPr>
              <w:spacing w:line="258" w:lineRule="auto"/>
              <w:rPr>
                <w:rFonts w:ascii="Arial"/>
                <w:sz w:val="21"/>
              </w:rPr>
            </w:pPr>
          </w:p>
          <w:p w14:paraId="1CFF7A40">
            <w:pPr>
              <w:spacing w:line="258" w:lineRule="auto"/>
              <w:rPr>
                <w:rFonts w:ascii="Arial"/>
                <w:sz w:val="21"/>
              </w:rPr>
            </w:pPr>
          </w:p>
          <w:p w14:paraId="46462B20">
            <w:pPr>
              <w:spacing w:line="258" w:lineRule="auto"/>
              <w:rPr>
                <w:rFonts w:ascii="Arial"/>
                <w:sz w:val="21"/>
              </w:rPr>
            </w:pPr>
          </w:p>
          <w:p w14:paraId="5F805284">
            <w:pPr>
              <w:spacing w:line="258" w:lineRule="auto"/>
              <w:rPr>
                <w:rFonts w:ascii="Arial"/>
                <w:sz w:val="21"/>
              </w:rPr>
            </w:pPr>
          </w:p>
          <w:p w14:paraId="726B840C">
            <w:pPr>
              <w:spacing w:line="258" w:lineRule="auto"/>
              <w:rPr>
                <w:rFonts w:ascii="Arial"/>
                <w:sz w:val="21"/>
              </w:rPr>
            </w:pPr>
          </w:p>
          <w:p w14:paraId="379B70F3">
            <w:pPr>
              <w:spacing w:line="258" w:lineRule="auto"/>
              <w:rPr>
                <w:rFonts w:ascii="Arial"/>
                <w:sz w:val="21"/>
              </w:rPr>
            </w:pPr>
          </w:p>
          <w:p w14:paraId="5600335A">
            <w:pPr>
              <w:pStyle w:val="9"/>
              <w:spacing w:before="65" w:line="254" w:lineRule="auto"/>
              <w:ind w:left="186" w:right="152" w:firstLine="5"/>
              <w:rPr>
                <w:sz w:val="20"/>
                <w:szCs w:val="20"/>
              </w:rPr>
            </w:pPr>
            <w:r>
              <w:rPr>
                <w:spacing w:val="3"/>
                <w:sz w:val="20"/>
                <w:szCs w:val="20"/>
              </w:rPr>
              <w:t>资源开</w:t>
            </w:r>
            <w:r>
              <w:rPr>
                <w:spacing w:val="5"/>
                <w:sz w:val="20"/>
                <w:szCs w:val="20"/>
              </w:rPr>
              <w:t>发效率</w:t>
            </w:r>
          </w:p>
        </w:tc>
        <w:tc>
          <w:tcPr>
            <w:tcW w:w="3869" w:type="dxa"/>
            <w:tcBorders>
              <w:bottom w:val="single" w:color="000000" w:sz="6" w:space="0"/>
            </w:tcBorders>
            <w:vAlign w:val="top"/>
          </w:tcPr>
          <w:p w14:paraId="07BC7C84">
            <w:pPr>
              <w:pStyle w:val="9"/>
              <w:spacing w:before="35" w:line="251" w:lineRule="auto"/>
              <w:ind w:left="127" w:right="97" w:firstLine="432"/>
              <w:rPr>
                <w:sz w:val="20"/>
                <w:szCs w:val="20"/>
              </w:rPr>
            </w:pPr>
            <w:r>
              <w:rPr>
                <w:rFonts w:ascii="Times New Roman" w:hAnsi="Times New Roman" w:eastAsia="Times New Roman" w:cs="Times New Roman"/>
                <w:spacing w:val="3"/>
                <w:sz w:val="20"/>
                <w:szCs w:val="20"/>
              </w:rPr>
              <w:t>1.</w:t>
            </w:r>
            <w:r>
              <w:rPr>
                <w:spacing w:val="3"/>
                <w:sz w:val="20"/>
                <w:szCs w:val="20"/>
              </w:rPr>
              <w:t>优化水源配置，鼓励优先配置利用</w:t>
            </w:r>
            <w:r>
              <w:rPr>
                <w:spacing w:val="14"/>
                <w:sz w:val="20"/>
                <w:szCs w:val="20"/>
              </w:rPr>
              <w:t>非常规水源，严控地下水超采，执行地</w:t>
            </w:r>
            <w:r>
              <w:rPr>
                <w:spacing w:val="4"/>
                <w:sz w:val="20"/>
                <w:szCs w:val="20"/>
              </w:rPr>
              <w:t>下水“五控</w:t>
            </w:r>
            <w:r>
              <w:rPr>
                <w:spacing w:val="-70"/>
                <w:sz w:val="20"/>
                <w:szCs w:val="20"/>
              </w:rPr>
              <w:t xml:space="preserve"> </w:t>
            </w:r>
            <w:r>
              <w:rPr>
                <w:spacing w:val="4"/>
                <w:sz w:val="20"/>
                <w:szCs w:val="20"/>
              </w:rPr>
              <w:t>”制度。</w:t>
            </w:r>
          </w:p>
          <w:p w14:paraId="7DBF34D5">
            <w:pPr>
              <w:pStyle w:val="9"/>
              <w:spacing w:before="1" w:line="251" w:lineRule="auto"/>
              <w:ind w:left="124" w:right="26" w:firstLine="415"/>
              <w:rPr>
                <w:sz w:val="20"/>
                <w:szCs w:val="20"/>
              </w:rPr>
            </w:pPr>
            <w:r>
              <w:rPr>
                <w:rFonts w:ascii="Times New Roman" w:hAnsi="Times New Roman" w:eastAsia="Times New Roman" w:cs="Times New Roman"/>
                <w:spacing w:val="1"/>
                <w:sz w:val="20"/>
                <w:szCs w:val="20"/>
              </w:rPr>
              <w:t>2.</w:t>
            </w:r>
            <w:r>
              <w:rPr>
                <w:spacing w:val="1"/>
                <w:sz w:val="20"/>
                <w:szCs w:val="20"/>
              </w:rPr>
              <w:t>积极推动“煤改气</w:t>
            </w:r>
            <w:r>
              <w:rPr>
                <w:spacing w:val="-70"/>
                <w:sz w:val="20"/>
                <w:szCs w:val="20"/>
              </w:rPr>
              <w:t xml:space="preserve"> </w:t>
            </w:r>
            <w:r>
              <w:rPr>
                <w:spacing w:val="1"/>
                <w:sz w:val="20"/>
                <w:szCs w:val="20"/>
              </w:rPr>
              <w:t>”“煤改电</w:t>
            </w:r>
            <w:r>
              <w:rPr>
                <w:spacing w:val="-72"/>
                <w:sz w:val="20"/>
                <w:szCs w:val="20"/>
              </w:rPr>
              <w:t xml:space="preserve"> </w:t>
            </w:r>
            <w:r>
              <w:rPr>
                <w:spacing w:val="1"/>
                <w:sz w:val="20"/>
                <w:szCs w:val="20"/>
              </w:rPr>
              <w:t>”双</w:t>
            </w:r>
            <w:r>
              <w:rPr>
                <w:spacing w:val="14"/>
                <w:sz w:val="20"/>
                <w:szCs w:val="20"/>
              </w:rPr>
              <w:t>替代工作。散煤禁燃区内禁止销售、使</w:t>
            </w:r>
            <w:r>
              <w:rPr>
                <w:spacing w:val="2"/>
                <w:sz w:val="20"/>
                <w:szCs w:val="20"/>
              </w:rPr>
              <w:t>用散煤</w:t>
            </w:r>
            <w:r>
              <w:rPr>
                <w:rFonts w:ascii="Times New Roman" w:hAnsi="Times New Roman" w:eastAsia="Times New Roman" w:cs="Times New Roman"/>
                <w:spacing w:val="2"/>
                <w:sz w:val="20"/>
                <w:szCs w:val="20"/>
              </w:rPr>
              <w:t>;</w:t>
            </w:r>
            <w:r>
              <w:rPr>
                <w:spacing w:val="2"/>
                <w:sz w:val="20"/>
                <w:szCs w:val="20"/>
              </w:rPr>
              <w:t>禁止新建、扩建燃煤锅炉、窑炉、</w:t>
            </w:r>
            <w:r>
              <w:rPr>
                <w:spacing w:val="10"/>
                <w:sz w:val="20"/>
                <w:szCs w:val="20"/>
              </w:rPr>
              <w:t>发电机组等设施</w:t>
            </w:r>
            <w:r>
              <w:rPr>
                <w:rFonts w:ascii="Times New Roman" w:hAnsi="Times New Roman" w:eastAsia="Times New Roman" w:cs="Times New Roman"/>
                <w:spacing w:val="10"/>
                <w:sz w:val="20"/>
                <w:szCs w:val="20"/>
              </w:rPr>
              <w:t>;</w:t>
            </w:r>
            <w:r>
              <w:rPr>
                <w:spacing w:val="10"/>
                <w:sz w:val="20"/>
                <w:szCs w:val="20"/>
              </w:rPr>
              <w:t>餐饮服务业应当使用液</w:t>
            </w:r>
            <w:r>
              <w:rPr>
                <w:spacing w:val="8"/>
                <w:sz w:val="20"/>
                <w:szCs w:val="20"/>
              </w:rPr>
              <w:t>化石油气、电或者其他清洁能源。</w:t>
            </w:r>
          </w:p>
          <w:p w14:paraId="36943710">
            <w:pPr>
              <w:pStyle w:val="9"/>
              <w:spacing w:before="2" w:line="251" w:lineRule="auto"/>
              <w:ind w:left="124" w:right="97" w:firstLine="419"/>
              <w:rPr>
                <w:sz w:val="20"/>
                <w:szCs w:val="20"/>
              </w:rPr>
            </w:pPr>
            <w:r>
              <w:rPr>
                <w:rFonts w:ascii="Times New Roman" w:hAnsi="Times New Roman" w:eastAsia="Times New Roman" w:cs="Times New Roman"/>
                <w:spacing w:val="4"/>
                <w:sz w:val="20"/>
                <w:szCs w:val="20"/>
              </w:rPr>
              <w:t>3.</w:t>
            </w:r>
            <w:r>
              <w:rPr>
                <w:spacing w:val="4"/>
                <w:sz w:val="20"/>
                <w:szCs w:val="20"/>
              </w:rPr>
              <w:t>推进污水资源化利。拓宽污水资源</w:t>
            </w:r>
            <w:r>
              <w:rPr>
                <w:spacing w:val="14"/>
                <w:sz w:val="20"/>
                <w:szCs w:val="20"/>
              </w:rPr>
              <w:t>化利用途径，有条件的建制镇基于实际需求和产业布局，鼓励将达标排放水按照有关规定，就近用于市政杂用、工业生产、景观用水、生态补水、农业灌溉</w:t>
            </w:r>
            <w:r>
              <w:rPr>
                <w:sz w:val="20"/>
                <w:szCs w:val="20"/>
              </w:rPr>
              <w:t>等。</w:t>
            </w:r>
          </w:p>
          <w:p w14:paraId="15DEEA17">
            <w:pPr>
              <w:pStyle w:val="9"/>
              <w:spacing w:before="8" w:line="249" w:lineRule="auto"/>
              <w:ind w:left="123" w:right="26" w:firstLine="415"/>
              <w:rPr>
                <w:sz w:val="20"/>
                <w:szCs w:val="20"/>
              </w:rPr>
            </w:pPr>
            <w:r>
              <w:rPr>
                <w:rFonts w:ascii="Times New Roman" w:hAnsi="Times New Roman" w:eastAsia="Times New Roman" w:cs="Times New Roman"/>
                <w:spacing w:val="4"/>
                <w:sz w:val="20"/>
                <w:szCs w:val="20"/>
              </w:rPr>
              <w:t>4.</w:t>
            </w:r>
            <w:r>
              <w:rPr>
                <w:spacing w:val="4"/>
                <w:sz w:val="20"/>
                <w:szCs w:val="20"/>
              </w:rPr>
              <w:t>加强垃圾收运处置设施建设。进一</w:t>
            </w:r>
            <w:r>
              <w:rPr>
                <w:spacing w:val="10"/>
                <w:sz w:val="20"/>
                <w:szCs w:val="20"/>
              </w:rPr>
              <w:t>步加大分类垃圾桶投放</w:t>
            </w:r>
            <w:r>
              <w:rPr>
                <w:rFonts w:ascii="Times New Roman" w:hAnsi="Times New Roman" w:eastAsia="Times New Roman" w:cs="Times New Roman"/>
                <w:spacing w:val="10"/>
                <w:sz w:val="20"/>
                <w:szCs w:val="20"/>
              </w:rPr>
              <w:t>,</w:t>
            </w:r>
            <w:r>
              <w:rPr>
                <w:spacing w:val="10"/>
                <w:sz w:val="20"/>
                <w:szCs w:val="20"/>
              </w:rPr>
              <w:t>鼓励农牧民自备</w:t>
            </w:r>
            <w:r>
              <w:rPr>
                <w:spacing w:val="2"/>
                <w:sz w:val="20"/>
                <w:szCs w:val="20"/>
              </w:rPr>
              <w:t>垃圾收集容器。加强村庄垃圾收集房</w:t>
            </w:r>
            <w:r>
              <w:rPr>
                <w:rFonts w:ascii="Times New Roman" w:hAnsi="Times New Roman" w:eastAsia="Times New Roman" w:cs="Times New Roman"/>
                <w:spacing w:val="2"/>
                <w:sz w:val="20"/>
                <w:szCs w:val="20"/>
              </w:rPr>
              <w:t>(</w:t>
            </w:r>
            <w:r>
              <w:rPr>
                <w:spacing w:val="2"/>
                <w:sz w:val="20"/>
                <w:szCs w:val="20"/>
              </w:rPr>
              <w:t>点、</w:t>
            </w:r>
            <w:r>
              <w:rPr>
                <w:spacing w:val="9"/>
                <w:sz w:val="20"/>
                <w:szCs w:val="20"/>
              </w:rPr>
              <w:t>站</w:t>
            </w:r>
            <w:r>
              <w:rPr>
                <w:rFonts w:ascii="Times New Roman" w:hAnsi="Times New Roman" w:eastAsia="Times New Roman" w:cs="Times New Roman"/>
                <w:spacing w:val="9"/>
                <w:sz w:val="20"/>
                <w:szCs w:val="20"/>
              </w:rPr>
              <w:t>)</w:t>
            </w:r>
            <w:r>
              <w:rPr>
                <w:spacing w:val="9"/>
                <w:sz w:val="20"/>
                <w:szCs w:val="20"/>
              </w:rPr>
              <w:t>建设，逐步淘汰非封闭的垃圾集中收</w:t>
            </w:r>
            <w:r>
              <w:rPr>
                <w:spacing w:val="16"/>
                <w:sz w:val="20"/>
                <w:szCs w:val="20"/>
              </w:rPr>
              <w:t>集设施</w:t>
            </w:r>
            <w:r>
              <w:rPr>
                <w:rFonts w:ascii="Times New Roman" w:hAnsi="Times New Roman" w:eastAsia="Times New Roman" w:cs="Times New Roman"/>
                <w:spacing w:val="16"/>
                <w:sz w:val="20"/>
                <w:szCs w:val="20"/>
              </w:rPr>
              <w:t>,</w:t>
            </w:r>
            <w:r>
              <w:rPr>
                <w:rFonts w:ascii="Times New Roman" w:hAnsi="Times New Roman" w:eastAsia="Times New Roman" w:cs="Times New Roman"/>
                <w:spacing w:val="-19"/>
                <w:sz w:val="20"/>
                <w:szCs w:val="20"/>
              </w:rPr>
              <w:t xml:space="preserve"> </w:t>
            </w:r>
            <w:r>
              <w:rPr>
                <w:spacing w:val="16"/>
                <w:sz w:val="20"/>
                <w:szCs w:val="20"/>
              </w:rPr>
              <w:t>增加密闭垃圾转运设施配置</w:t>
            </w:r>
            <w:r>
              <w:rPr>
                <w:rFonts w:ascii="Times New Roman" w:hAnsi="Times New Roman" w:eastAsia="Times New Roman" w:cs="Times New Roman"/>
                <w:spacing w:val="16"/>
                <w:sz w:val="20"/>
                <w:szCs w:val="20"/>
              </w:rPr>
              <w:t>,</w:t>
            </w:r>
            <w:r>
              <w:rPr>
                <w:rFonts w:ascii="Times New Roman" w:hAnsi="Times New Roman" w:eastAsia="Times New Roman" w:cs="Times New Roman"/>
                <w:spacing w:val="-28"/>
                <w:sz w:val="20"/>
                <w:szCs w:val="20"/>
              </w:rPr>
              <w:t xml:space="preserve"> </w:t>
            </w:r>
            <w:r>
              <w:rPr>
                <w:spacing w:val="16"/>
                <w:sz w:val="20"/>
                <w:szCs w:val="20"/>
              </w:rPr>
              <w:t>提</w:t>
            </w:r>
            <w:r>
              <w:rPr>
                <w:spacing w:val="14"/>
                <w:sz w:val="20"/>
                <w:szCs w:val="20"/>
              </w:rPr>
              <w:t>高垃圾转运能力，防止转运过程中造成</w:t>
            </w:r>
            <w:r>
              <w:rPr>
                <w:spacing w:val="10"/>
                <w:sz w:val="20"/>
                <w:szCs w:val="20"/>
              </w:rPr>
              <w:t>二次污染。重点加强终端处理设施建设</w:t>
            </w:r>
            <w:r>
              <w:rPr>
                <w:rFonts w:ascii="Times New Roman" w:hAnsi="Times New Roman" w:eastAsia="Times New Roman" w:cs="Times New Roman"/>
                <w:spacing w:val="10"/>
                <w:sz w:val="20"/>
                <w:szCs w:val="20"/>
              </w:rPr>
              <w:t>,</w:t>
            </w:r>
            <w:r>
              <w:rPr>
                <w:spacing w:val="14"/>
                <w:sz w:val="20"/>
                <w:szCs w:val="20"/>
              </w:rPr>
              <w:t>推进生活垃圾运送至指定填埋场或者垃圾焚烧处理厂进行无害化处理。鼓励将</w:t>
            </w:r>
            <w:r>
              <w:rPr>
                <w:spacing w:val="15"/>
                <w:sz w:val="20"/>
                <w:szCs w:val="20"/>
              </w:rPr>
              <w:t>建筑垃圾、煤渣灰土等用于村内道路、</w:t>
            </w:r>
            <w:r>
              <w:rPr>
                <w:spacing w:val="16"/>
                <w:sz w:val="20"/>
                <w:szCs w:val="20"/>
              </w:rPr>
              <w:t>景观建设</w:t>
            </w:r>
            <w:r>
              <w:rPr>
                <w:rFonts w:ascii="Times New Roman" w:hAnsi="Times New Roman" w:eastAsia="Times New Roman" w:cs="Times New Roman"/>
                <w:spacing w:val="16"/>
                <w:sz w:val="20"/>
                <w:szCs w:val="20"/>
              </w:rPr>
              <w:t>,</w:t>
            </w:r>
            <w:r>
              <w:rPr>
                <w:rFonts w:ascii="Times New Roman" w:hAnsi="Times New Roman" w:eastAsia="Times New Roman" w:cs="Times New Roman"/>
                <w:spacing w:val="-19"/>
                <w:sz w:val="20"/>
                <w:szCs w:val="20"/>
              </w:rPr>
              <w:t xml:space="preserve"> </w:t>
            </w:r>
            <w:r>
              <w:rPr>
                <w:spacing w:val="16"/>
                <w:sz w:val="20"/>
                <w:szCs w:val="20"/>
              </w:rPr>
              <w:t>推进易腐烂垃圾就地消纳</w:t>
            </w:r>
            <w:r>
              <w:rPr>
                <w:rFonts w:ascii="Times New Roman" w:hAnsi="Times New Roman" w:eastAsia="Times New Roman" w:cs="Times New Roman"/>
                <w:spacing w:val="16"/>
                <w:sz w:val="20"/>
                <w:szCs w:val="20"/>
              </w:rPr>
              <w:t>,</w:t>
            </w:r>
            <w:r>
              <w:rPr>
                <w:rFonts w:ascii="Times New Roman" w:hAnsi="Times New Roman" w:eastAsia="Times New Roman" w:cs="Times New Roman"/>
                <w:spacing w:val="-28"/>
                <w:sz w:val="20"/>
                <w:szCs w:val="20"/>
              </w:rPr>
              <w:t xml:space="preserve"> </w:t>
            </w:r>
            <w:r>
              <w:rPr>
                <w:spacing w:val="16"/>
                <w:sz w:val="20"/>
                <w:szCs w:val="20"/>
              </w:rPr>
              <w:t>有</w:t>
            </w:r>
            <w:r>
              <w:rPr>
                <w:spacing w:val="14"/>
                <w:sz w:val="20"/>
                <w:szCs w:val="20"/>
              </w:rPr>
              <w:t>毒有害垃圾单独收集贮存和处置其他垃</w:t>
            </w:r>
            <w:r>
              <w:rPr>
                <w:spacing w:val="7"/>
                <w:sz w:val="20"/>
                <w:szCs w:val="20"/>
              </w:rPr>
              <w:t>圾无害化处理。</w:t>
            </w:r>
          </w:p>
        </w:tc>
        <w:tc>
          <w:tcPr>
            <w:tcW w:w="1702" w:type="dxa"/>
            <w:tcBorders>
              <w:bottom w:val="single" w:color="000000" w:sz="6" w:space="0"/>
            </w:tcBorders>
            <w:vAlign w:val="top"/>
          </w:tcPr>
          <w:p w14:paraId="0C34A58D">
            <w:pPr>
              <w:spacing w:line="323" w:lineRule="auto"/>
              <w:rPr>
                <w:rFonts w:ascii="Arial"/>
                <w:sz w:val="21"/>
              </w:rPr>
            </w:pPr>
          </w:p>
          <w:p w14:paraId="2053D79B">
            <w:pPr>
              <w:spacing w:line="323" w:lineRule="auto"/>
              <w:rPr>
                <w:rFonts w:ascii="Arial"/>
                <w:sz w:val="21"/>
              </w:rPr>
            </w:pPr>
          </w:p>
          <w:p w14:paraId="63101FAC">
            <w:pPr>
              <w:pStyle w:val="9"/>
              <w:spacing w:before="65" w:line="251" w:lineRule="auto"/>
              <w:ind w:left="125" w:right="100" w:firstLine="434"/>
              <w:rPr>
                <w:sz w:val="20"/>
                <w:szCs w:val="20"/>
              </w:rPr>
            </w:pPr>
            <w:r>
              <w:rPr>
                <w:rFonts w:ascii="Times New Roman" w:hAnsi="Times New Roman" w:eastAsia="Times New Roman" w:cs="Times New Roman"/>
                <w:spacing w:val="-1"/>
                <w:sz w:val="20"/>
                <w:szCs w:val="20"/>
              </w:rPr>
              <w:t>1.</w:t>
            </w:r>
            <w:r>
              <w:rPr>
                <w:rFonts w:ascii="Times New Roman" w:hAnsi="Times New Roman" w:eastAsia="Times New Roman" w:cs="Times New Roman"/>
                <w:spacing w:val="-26"/>
                <w:sz w:val="20"/>
                <w:szCs w:val="20"/>
              </w:rPr>
              <w:t xml:space="preserve"> </w:t>
            </w:r>
            <w:r>
              <w:rPr>
                <w:spacing w:val="-1"/>
                <w:sz w:val="20"/>
                <w:szCs w:val="20"/>
              </w:rPr>
              <w:t>本项</w:t>
            </w:r>
            <w:r>
              <w:rPr>
                <w:spacing w:val="-33"/>
                <w:sz w:val="20"/>
                <w:szCs w:val="20"/>
              </w:rPr>
              <w:t xml:space="preserve"> </w:t>
            </w:r>
            <w:r>
              <w:rPr>
                <w:spacing w:val="-1"/>
                <w:sz w:val="20"/>
                <w:szCs w:val="20"/>
              </w:rPr>
              <w:t>目不</w:t>
            </w:r>
            <w:r>
              <w:rPr>
                <w:spacing w:val="8"/>
                <w:sz w:val="20"/>
                <w:szCs w:val="20"/>
              </w:rPr>
              <w:t>涉及地下水超采</w:t>
            </w:r>
          </w:p>
          <w:p w14:paraId="3E78BFB4">
            <w:pPr>
              <w:pStyle w:val="9"/>
              <w:spacing w:line="251" w:lineRule="auto"/>
              <w:ind w:left="125" w:right="100" w:firstLine="414"/>
              <w:rPr>
                <w:sz w:val="20"/>
                <w:szCs w:val="20"/>
              </w:rPr>
            </w:pPr>
            <w:r>
              <w:rPr>
                <w:rFonts w:ascii="Times New Roman" w:hAnsi="Times New Roman" w:eastAsia="Times New Roman" w:cs="Times New Roman"/>
                <w:spacing w:val="2"/>
                <w:sz w:val="20"/>
                <w:szCs w:val="20"/>
              </w:rPr>
              <w:t>2.</w:t>
            </w:r>
            <w:r>
              <w:rPr>
                <w:rFonts w:ascii="Times New Roman" w:hAnsi="Times New Roman" w:eastAsia="Times New Roman" w:cs="Times New Roman"/>
                <w:spacing w:val="-24"/>
                <w:sz w:val="20"/>
                <w:szCs w:val="20"/>
              </w:rPr>
              <w:t xml:space="preserve"> </w:t>
            </w:r>
            <w:r>
              <w:rPr>
                <w:spacing w:val="2"/>
                <w:sz w:val="20"/>
                <w:szCs w:val="20"/>
              </w:rPr>
              <w:t>本项</w:t>
            </w:r>
            <w:r>
              <w:rPr>
                <w:spacing w:val="-33"/>
                <w:sz w:val="20"/>
                <w:szCs w:val="20"/>
              </w:rPr>
              <w:t xml:space="preserve"> </w:t>
            </w:r>
            <w:r>
              <w:rPr>
                <w:spacing w:val="2"/>
                <w:sz w:val="20"/>
                <w:szCs w:val="20"/>
              </w:rPr>
              <w:t>目不</w:t>
            </w:r>
            <w:r>
              <w:rPr>
                <w:spacing w:val="7"/>
                <w:sz w:val="20"/>
                <w:szCs w:val="20"/>
              </w:rPr>
              <w:t>涉及燃煤锅炉</w:t>
            </w:r>
          </w:p>
          <w:p w14:paraId="5186D1A9">
            <w:pPr>
              <w:pStyle w:val="9"/>
              <w:spacing w:before="2" w:line="251" w:lineRule="auto"/>
              <w:ind w:left="123" w:right="97" w:firstLine="420"/>
              <w:rPr>
                <w:sz w:val="20"/>
                <w:szCs w:val="20"/>
              </w:rPr>
            </w:pPr>
            <w:r>
              <w:rPr>
                <w:rFonts w:ascii="Times New Roman" w:hAnsi="Times New Roman" w:eastAsia="Times New Roman" w:cs="Times New Roman"/>
                <w:spacing w:val="1"/>
                <w:sz w:val="20"/>
                <w:szCs w:val="20"/>
              </w:rPr>
              <w:t>3.</w:t>
            </w:r>
            <w:r>
              <w:rPr>
                <w:rFonts w:ascii="Times New Roman" w:hAnsi="Times New Roman" w:eastAsia="Times New Roman" w:cs="Times New Roman"/>
                <w:spacing w:val="-22"/>
                <w:sz w:val="20"/>
                <w:szCs w:val="20"/>
              </w:rPr>
              <w:t xml:space="preserve"> </w:t>
            </w:r>
            <w:r>
              <w:rPr>
                <w:spacing w:val="1"/>
                <w:sz w:val="20"/>
                <w:szCs w:val="20"/>
              </w:rPr>
              <w:t>本项</w:t>
            </w:r>
            <w:r>
              <w:rPr>
                <w:spacing w:val="-33"/>
                <w:sz w:val="20"/>
                <w:szCs w:val="20"/>
              </w:rPr>
              <w:t xml:space="preserve"> </w:t>
            </w:r>
            <w:r>
              <w:rPr>
                <w:spacing w:val="1"/>
                <w:sz w:val="20"/>
                <w:szCs w:val="20"/>
              </w:rPr>
              <w:t>目生</w:t>
            </w:r>
            <w:r>
              <w:rPr>
                <w:spacing w:val="10"/>
                <w:sz w:val="20"/>
                <w:szCs w:val="20"/>
              </w:rPr>
              <w:t>活污水经化粪池沉淀后，排入站内地埋式一体化设施处置后，用于厂区绿化、道</w:t>
            </w:r>
            <w:r>
              <w:rPr>
                <w:spacing w:val="8"/>
                <w:sz w:val="20"/>
                <w:szCs w:val="20"/>
              </w:rPr>
              <w:t>路抑尘等不外排</w:t>
            </w:r>
          </w:p>
          <w:p w14:paraId="615A188F">
            <w:pPr>
              <w:pStyle w:val="9"/>
              <w:spacing w:before="9" w:line="251" w:lineRule="auto"/>
              <w:ind w:left="122" w:right="27" w:firstLine="416"/>
              <w:rPr>
                <w:sz w:val="20"/>
                <w:szCs w:val="20"/>
              </w:rPr>
            </w:pPr>
            <w:r>
              <w:rPr>
                <w:rFonts w:ascii="Times New Roman" w:hAnsi="Times New Roman" w:eastAsia="Times New Roman" w:cs="Times New Roman"/>
                <w:spacing w:val="2"/>
                <w:sz w:val="20"/>
                <w:szCs w:val="20"/>
              </w:rPr>
              <w:t>4.</w:t>
            </w:r>
            <w:r>
              <w:rPr>
                <w:rFonts w:ascii="Times New Roman" w:hAnsi="Times New Roman" w:eastAsia="Times New Roman" w:cs="Times New Roman"/>
                <w:spacing w:val="-23"/>
                <w:sz w:val="20"/>
                <w:szCs w:val="20"/>
              </w:rPr>
              <w:t xml:space="preserve"> </w:t>
            </w:r>
            <w:r>
              <w:rPr>
                <w:spacing w:val="2"/>
                <w:sz w:val="20"/>
                <w:szCs w:val="20"/>
              </w:rPr>
              <w:t>本项</w:t>
            </w:r>
            <w:r>
              <w:rPr>
                <w:spacing w:val="-33"/>
                <w:sz w:val="20"/>
                <w:szCs w:val="20"/>
              </w:rPr>
              <w:t xml:space="preserve"> </w:t>
            </w:r>
            <w:r>
              <w:rPr>
                <w:spacing w:val="2"/>
                <w:sz w:val="20"/>
                <w:szCs w:val="20"/>
              </w:rPr>
              <w:t>目生</w:t>
            </w:r>
            <w:r>
              <w:rPr>
                <w:spacing w:val="10"/>
                <w:sz w:val="20"/>
                <w:szCs w:val="20"/>
              </w:rPr>
              <w:t>活垃圾经垃圾桶集中收集后，委托霍林郭勒市环境卫生服务中心处置。生产设备</w:t>
            </w:r>
            <w:r>
              <w:rPr>
                <w:spacing w:val="46"/>
                <w:sz w:val="20"/>
                <w:szCs w:val="20"/>
              </w:rPr>
              <w:t>维修垃圾和污</w:t>
            </w:r>
            <w:r>
              <w:rPr>
                <w:spacing w:val="-7"/>
                <w:sz w:val="20"/>
                <w:szCs w:val="20"/>
              </w:rPr>
              <w:t>油、废铅蓄电池、</w:t>
            </w:r>
            <w:r>
              <w:rPr>
                <w:spacing w:val="10"/>
                <w:sz w:val="20"/>
                <w:szCs w:val="20"/>
              </w:rPr>
              <w:t>主变事故废油定期由有资质单位</w:t>
            </w:r>
            <w:r>
              <w:rPr>
                <w:spacing w:val="6"/>
                <w:sz w:val="20"/>
                <w:szCs w:val="20"/>
              </w:rPr>
              <w:t>进行处理。</w:t>
            </w:r>
          </w:p>
        </w:tc>
        <w:tc>
          <w:tcPr>
            <w:tcW w:w="909" w:type="dxa"/>
            <w:tcBorders>
              <w:bottom w:val="single" w:color="000000" w:sz="6" w:space="0"/>
              <w:right w:val="single" w:color="000000" w:sz="6" w:space="0"/>
            </w:tcBorders>
            <w:vAlign w:val="top"/>
          </w:tcPr>
          <w:p w14:paraId="23AE932F">
            <w:pPr>
              <w:spacing w:line="249" w:lineRule="auto"/>
              <w:rPr>
                <w:rFonts w:ascii="Arial"/>
                <w:sz w:val="21"/>
              </w:rPr>
            </w:pPr>
          </w:p>
          <w:p w14:paraId="5C803A66">
            <w:pPr>
              <w:spacing w:line="249" w:lineRule="auto"/>
              <w:rPr>
                <w:rFonts w:ascii="Arial"/>
                <w:sz w:val="21"/>
              </w:rPr>
            </w:pPr>
          </w:p>
          <w:p w14:paraId="5AF2A03C">
            <w:pPr>
              <w:spacing w:line="249" w:lineRule="auto"/>
              <w:rPr>
                <w:rFonts w:ascii="Arial"/>
                <w:sz w:val="21"/>
              </w:rPr>
            </w:pPr>
          </w:p>
          <w:p w14:paraId="2FB9BD7D">
            <w:pPr>
              <w:spacing w:line="249" w:lineRule="auto"/>
              <w:rPr>
                <w:rFonts w:ascii="Arial"/>
                <w:sz w:val="21"/>
              </w:rPr>
            </w:pPr>
          </w:p>
          <w:p w14:paraId="5B6FB5E2">
            <w:pPr>
              <w:spacing w:line="249" w:lineRule="auto"/>
              <w:rPr>
                <w:rFonts w:ascii="Arial"/>
                <w:sz w:val="21"/>
              </w:rPr>
            </w:pPr>
          </w:p>
          <w:p w14:paraId="5F47935E">
            <w:pPr>
              <w:spacing w:line="249" w:lineRule="auto"/>
              <w:rPr>
                <w:rFonts w:ascii="Arial"/>
                <w:sz w:val="21"/>
              </w:rPr>
            </w:pPr>
          </w:p>
          <w:p w14:paraId="42675894">
            <w:pPr>
              <w:spacing w:line="249" w:lineRule="auto"/>
              <w:rPr>
                <w:rFonts w:ascii="Arial"/>
                <w:sz w:val="21"/>
              </w:rPr>
            </w:pPr>
          </w:p>
          <w:p w14:paraId="2F6969CC">
            <w:pPr>
              <w:spacing w:line="249" w:lineRule="auto"/>
              <w:rPr>
                <w:rFonts w:ascii="Arial"/>
                <w:sz w:val="21"/>
              </w:rPr>
            </w:pPr>
          </w:p>
          <w:p w14:paraId="1FCDE266">
            <w:pPr>
              <w:spacing w:line="249" w:lineRule="auto"/>
              <w:rPr>
                <w:rFonts w:ascii="Arial"/>
                <w:sz w:val="21"/>
              </w:rPr>
            </w:pPr>
          </w:p>
          <w:p w14:paraId="4E3F9DEB">
            <w:pPr>
              <w:spacing w:line="249" w:lineRule="auto"/>
              <w:rPr>
                <w:rFonts w:ascii="Arial"/>
                <w:sz w:val="21"/>
              </w:rPr>
            </w:pPr>
          </w:p>
          <w:p w14:paraId="6E10FEEB">
            <w:pPr>
              <w:spacing w:line="249" w:lineRule="auto"/>
              <w:rPr>
                <w:rFonts w:ascii="Arial"/>
                <w:sz w:val="21"/>
              </w:rPr>
            </w:pPr>
          </w:p>
          <w:p w14:paraId="721E81EF">
            <w:pPr>
              <w:spacing w:line="249" w:lineRule="auto"/>
              <w:rPr>
                <w:rFonts w:ascii="Arial"/>
                <w:sz w:val="21"/>
              </w:rPr>
            </w:pPr>
          </w:p>
          <w:p w14:paraId="01003DF8">
            <w:pPr>
              <w:spacing w:line="250" w:lineRule="auto"/>
              <w:rPr>
                <w:rFonts w:ascii="Arial"/>
                <w:sz w:val="21"/>
              </w:rPr>
            </w:pPr>
          </w:p>
          <w:p w14:paraId="00C46941">
            <w:pPr>
              <w:spacing w:line="250" w:lineRule="auto"/>
              <w:rPr>
                <w:rFonts w:ascii="Arial"/>
                <w:sz w:val="21"/>
              </w:rPr>
            </w:pPr>
          </w:p>
          <w:p w14:paraId="696DAD32">
            <w:pPr>
              <w:pStyle w:val="9"/>
              <w:spacing w:before="65" w:line="228" w:lineRule="auto"/>
              <w:ind w:left="242"/>
              <w:rPr>
                <w:sz w:val="20"/>
                <w:szCs w:val="20"/>
              </w:rPr>
            </w:pPr>
            <w:r>
              <w:rPr>
                <w:spacing w:val="3"/>
                <w:sz w:val="20"/>
                <w:szCs w:val="20"/>
              </w:rPr>
              <w:t>符合</w:t>
            </w:r>
          </w:p>
        </w:tc>
      </w:tr>
    </w:tbl>
    <w:p w14:paraId="25D86ECB">
      <w:pPr>
        <w:pStyle w:val="3"/>
      </w:pPr>
    </w:p>
    <w:p w14:paraId="3CFD9359">
      <w:pPr>
        <w:sectPr>
          <w:footerReference r:id="rId17" w:type="default"/>
          <w:pgSz w:w="11906" w:h="16838"/>
          <w:pgMar w:top="1416" w:right="1377" w:bottom="1295" w:left="1243" w:header="0" w:footer="1133" w:gutter="0"/>
          <w:cols w:space="720" w:num="1"/>
        </w:sectPr>
      </w:pPr>
    </w:p>
    <w:p w14:paraId="5C9761EC">
      <w:pPr>
        <w:spacing w:before="60" w:line="219" w:lineRule="auto"/>
        <w:ind w:left="3651"/>
        <w:outlineLvl w:val="0"/>
        <w:rPr>
          <w:rFonts w:ascii="宋体" w:hAnsi="宋体" w:eastAsia="宋体" w:cs="宋体"/>
          <w:sz w:val="30"/>
          <w:szCs w:val="30"/>
        </w:rPr>
      </w:pPr>
      <w:r>
        <w:rPr>
          <w:rFonts w:ascii="宋体" w:hAnsi="宋体" w:eastAsia="宋体" w:cs="宋体"/>
          <w:b/>
          <w:bCs/>
          <w:spacing w:val="-6"/>
          <w:sz w:val="30"/>
          <w:szCs w:val="30"/>
        </w:rPr>
        <w:t>二、建设内容</w:t>
      </w:r>
    </w:p>
    <w:p w14:paraId="057CC1C3">
      <w:pPr>
        <w:spacing w:line="182" w:lineRule="exact"/>
      </w:pPr>
    </w:p>
    <w:tbl>
      <w:tblPr>
        <w:tblStyle w:val="8"/>
        <w:tblW w:w="906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76"/>
        <w:gridCol w:w="8286"/>
      </w:tblGrid>
      <w:tr w14:paraId="0806D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1846" w:hRule="atLeast"/>
        </w:trPr>
        <w:tc>
          <w:tcPr>
            <w:tcW w:w="776" w:type="dxa"/>
            <w:tcBorders>
              <w:bottom w:val="single" w:color="000000" w:sz="2" w:space="0"/>
              <w:right w:val="single" w:color="000000" w:sz="2" w:space="0"/>
            </w:tcBorders>
            <w:vAlign w:val="top"/>
          </w:tcPr>
          <w:p w14:paraId="03526728">
            <w:pPr>
              <w:spacing w:line="307" w:lineRule="auto"/>
              <w:rPr>
                <w:rFonts w:ascii="Arial"/>
                <w:sz w:val="21"/>
              </w:rPr>
            </w:pPr>
          </w:p>
          <w:p w14:paraId="20697E35">
            <w:pPr>
              <w:spacing w:line="308" w:lineRule="auto"/>
              <w:rPr>
                <w:rFonts w:ascii="Arial"/>
                <w:sz w:val="21"/>
              </w:rPr>
            </w:pPr>
          </w:p>
          <w:p w14:paraId="715BC2F1">
            <w:pPr>
              <w:pStyle w:val="9"/>
              <w:spacing w:before="65" w:line="252" w:lineRule="auto"/>
              <w:ind w:left="177" w:right="179"/>
              <w:outlineLvl w:val="1"/>
              <w:rPr>
                <w:sz w:val="20"/>
                <w:szCs w:val="20"/>
              </w:rPr>
            </w:pPr>
            <w:r>
              <w:rPr>
                <w:spacing w:val="4"/>
                <w:sz w:val="20"/>
                <w:szCs w:val="20"/>
              </w:rPr>
              <w:t>地理位置</w:t>
            </w:r>
          </w:p>
        </w:tc>
        <w:tc>
          <w:tcPr>
            <w:tcW w:w="8286" w:type="dxa"/>
            <w:tcBorders>
              <w:left w:val="single" w:color="000000" w:sz="2" w:space="0"/>
              <w:bottom w:val="single" w:color="000000" w:sz="2" w:space="0"/>
            </w:tcBorders>
            <w:vAlign w:val="top"/>
          </w:tcPr>
          <w:p w14:paraId="6AA6A15C">
            <w:pPr>
              <w:pStyle w:val="9"/>
              <w:spacing w:before="166" w:line="321" w:lineRule="auto"/>
              <w:ind w:left="109" w:right="101" w:firstLine="508"/>
              <w:jc w:val="both"/>
            </w:pPr>
            <w:r>
              <w:rPr>
                <w:spacing w:val="1"/>
              </w:rPr>
              <w:t>内蒙古霍煤鸿骏铝电有限责任公司夏营地</w:t>
            </w:r>
            <w:r>
              <w:rPr>
                <w:spacing w:val="-44"/>
              </w:rPr>
              <w:t xml:space="preserve"> </w:t>
            </w:r>
            <w:r>
              <w:rPr>
                <w:rFonts w:ascii="Times New Roman" w:hAnsi="Times New Roman" w:eastAsia="Times New Roman" w:cs="Times New Roman"/>
                <w:spacing w:val="1"/>
              </w:rPr>
              <w:t>220</w:t>
            </w:r>
            <w:r>
              <w:rPr>
                <w:rFonts w:ascii="Times New Roman" w:hAnsi="Times New Roman" w:eastAsia="Times New Roman" w:cs="Times New Roman"/>
              </w:rPr>
              <w:t>kV</w:t>
            </w:r>
            <w:r>
              <w:rPr>
                <w:rFonts w:ascii="Times New Roman" w:hAnsi="Times New Roman" w:eastAsia="Times New Roman" w:cs="Times New Roman"/>
                <w:spacing w:val="16"/>
              </w:rPr>
              <w:t xml:space="preserve"> </w:t>
            </w:r>
            <w:r>
              <w:rPr>
                <w:spacing w:val="1"/>
              </w:rPr>
              <w:t>升压站工程位于内蒙古</w:t>
            </w:r>
            <w:r>
              <w:rPr>
                <w:spacing w:val="16"/>
              </w:rPr>
              <w:t>自治区通辽市扎鲁特旗格日朝鲁苏木境内</w:t>
            </w:r>
            <w:r>
              <w:rPr>
                <w:spacing w:val="-55"/>
              </w:rPr>
              <w:t xml:space="preserve"> </w:t>
            </w:r>
            <w:r>
              <w:rPr>
                <w:spacing w:val="16"/>
              </w:rPr>
              <w:t>，升压站站址中心坐标：</w:t>
            </w:r>
            <w:r>
              <w:rPr>
                <w:spacing w:val="-59"/>
              </w:rPr>
              <w:t xml:space="preserve"> </w:t>
            </w:r>
            <w:r>
              <w:rPr>
                <w:spacing w:val="16"/>
              </w:rPr>
              <w:t>东经</w:t>
            </w:r>
            <w:r>
              <w:rPr>
                <w:rFonts w:ascii="Times New Roman" w:hAnsi="Times New Roman" w:eastAsia="Times New Roman" w:cs="Times New Roman"/>
                <w:spacing w:val="-2"/>
              </w:rPr>
              <w:t>119°26,</w:t>
            </w:r>
            <w:r>
              <w:rPr>
                <w:rFonts w:ascii="Times New Roman" w:hAnsi="Times New Roman" w:eastAsia="Times New Roman" w:cs="Times New Roman"/>
                <w:spacing w:val="-34"/>
              </w:rPr>
              <w:t xml:space="preserve"> </w:t>
            </w:r>
            <w:r>
              <w:rPr>
                <w:rFonts w:ascii="Times New Roman" w:hAnsi="Times New Roman" w:eastAsia="Times New Roman" w:cs="Times New Roman"/>
                <w:spacing w:val="-2"/>
              </w:rPr>
              <w:t>16.242″</w:t>
            </w:r>
            <w:r>
              <w:rPr>
                <w:rFonts w:ascii="Times New Roman" w:hAnsi="Times New Roman" w:eastAsia="Times New Roman" w:cs="Times New Roman"/>
                <w:spacing w:val="-26"/>
              </w:rPr>
              <w:t xml:space="preserve"> </w:t>
            </w:r>
            <w:r>
              <w:rPr>
                <w:spacing w:val="-2"/>
              </w:rPr>
              <w:t>，北纬</w:t>
            </w:r>
            <w:r>
              <w:rPr>
                <w:spacing w:val="-51"/>
              </w:rPr>
              <w:t xml:space="preserve"> </w:t>
            </w:r>
            <w:r>
              <w:rPr>
                <w:rFonts w:ascii="Times New Roman" w:hAnsi="Times New Roman" w:eastAsia="Times New Roman" w:cs="Times New Roman"/>
                <w:spacing w:val="-2"/>
              </w:rPr>
              <w:t>45°</w:t>
            </w:r>
            <w:r>
              <w:rPr>
                <w:rFonts w:ascii="Times New Roman" w:hAnsi="Times New Roman" w:eastAsia="Times New Roman" w:cs="Times New Roman"/>
                <w:spacing w:val="-32"/>
              </w:rPr>
              <w:t xml:space="preserve"> </w:t>
            </w:r>
            <w:r>
              <w:rPr>
                <w:rFonts w:ascii="Times New Roman" w:hAnsi="Times New Roman" w:eastAsia="Times New Roman" w:cs="Times New Roman"/>
                <w:spacing w:val="-2"/>
              </w:rPr>
              <w:t>18,</w:t>
            </w:r>
            <w:r>
              <w:rPr>
                <w:rFonts w:ascii="Times New Roman" w:hAnsi="Times New Roman" w:eastAsia="Times New Roman" w:cs="Times New Roman"/>
                <w:spacing w:val="-33"/>
              </w:rPr>
              <w:t xml:space="preserve"> </w:t>
            </w:r>
            <w:r>
              <w:rPr>
                <w:rFonts w:ascii="Times New Roman" w:hAnsi="Times New Roman" w:eastAsia="Times New Roman" w:cs="Times New Roman"/>
                <w:spacing w:val="-2"/>
              </w:rPr>
              <w:t>12.071″</w:t>
            </w:r>
            <w:r>
              <w:rPr>
                <w:rFonts w:ascii="Times New Roman" w:hAnsi="Times New Roman" w:eastAsia="Times New Roman" w:cs="Times New Roman"/>
                <w:spacing w:val="-22"/>
              </w:rPr>
              <w:t xml:space="preserve"> </w:t>
            </w:r>
            <w:r>
              <w:rPr>
                <w:spacing w:val="-2"/>
              </w:rPr>
              <w:t>。站址四</w:t>
            </w:r>
            <w:r>
              <w:rPr>
                <w:spacing w:val="-3"/>
              </w:rPr>
              <w:t>周地势平坦，无地面冲沟，周边有乡村道路通过，地面标高约</w:t>
            </w:r>
            <w:r>
              <w:rPr>
                <w:spacing w:val="-15"/>
              </w:rPr>
              <w:t xml:space="preserve"> </w:t>
            </w:r>
            <w:r>
              <w:rPr>
                <w:rFonts w:ascii="Times New Roman" w:hAnsi="Times New Roman" w:eastAsia="Times New Roman" w:cs="Times New Roman"/>
                <w:spacing w:val="-3"/>
              </w:rPr>
              <w:t>1025m</w:t>
            </w:r>
            <w:r>
              <w:rPr>
                <w:spacing w:val="-3"/>
              </w:rPr>
              <w:t>。</w:t>
            </w:r>
          </w:p>
        </w:tc>
      </w:tr>
      <w:tr w14:paraId="520B7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42" w:hRule="atLeast"/>
        </w:trPr>
        <w:tc>
          <w:tcPr>
            <w:tcW w:w="776" w:type="dxa"/>
            <w:tcBorders>
              <w:top w:val="single" w:color="000000" w:sz="2" w:space="0"/>
              <w:right w:val="single" w:color="000000" w:sz="2" w:space="0"/>
            </w:tcBorders>
            <w:vAlign w:val="top"/>
          </w:tcPr>
          <w:p w14:paraId="6767184D">
            <w:pPr>
              <w:spacing w:line="243" w:lineRule="auto"/>
              <w:rPr>
                <w:rFonts w:ascii="Arial"/>
                <w:sz w:val="21"/>
              </w:rPr>
            </w:pPr>
          </w:p>
          <w:p w14:paraId="60D97202">
            <w:pPr>
              <w:spacing w:line="243" w:lineRule="auto"/>
              <w:rPr>
                <w:rFonts w:ascii="Arial"/>
                <w:sz w:val="21"/>
              </w:rPr>
            </w:pPr>
          </w:p>
          <w:p w14:paraId="64BC3C59">
            <w:pPr>
              <w:spacing w:line="243" w:lineRule="auto"/>
              <w:rPr>
                <w:rFonts w:ascii="Arial"/>
                <w:sz w:val="21"/>
              </w:rPr>
            </w:pPr>
          </w:p>
          <w:p w14:paraId="38ACB666">
            <w:pPr>
              <w:spacing w:line="243" w:lineRule="auto"/>
              <w:rPr>
                <w:rFonts w:ascii="Arial"/>
                <w:sz w:val="21"/>
              </w:rPr>
            </w:pPr>
          </w:p>
          <w:p w14:paraId="24ADAFF8">
            <w:pPr>
              <w:spacing w:line="243" w:lineRule="auto"/>
              <w:rPr>
                <w:rFonts w:ascii="Arial"/>
                <w:sz w:val="21"/>
              </w:rPr>
            </w:pPr>
          </w:p>
          <w:p w14:paraId="0979E980">
            <w:pPr>
              <w:spacing w:line="243" w:lineRule="auto"/>
              <w:rPr>
                <w:rFonts w:ascii="Arial"/>
                <w:sz w:val="21"/>
              </w:rPr>
            </w:pPr>
          </w:p>
          <w:p w14:paraId="52EC336B">
            <w:pPr>
              <w:spacing w:line="243" w:lineRule="auto"/>
              <w:rPr>
                <w:rFonts w:ascii="Arial"/>
                <w:sz w:val="21"/>
              </w:rPr>
            </w:pPr>
          </w:p>
          <w:p w14:paraId="1DD91B23">
            <w:pPr>
              <w:spacing w:line="243" w:lineRule="auto"/>
              <w:rPr>
                <w:rFonts w:ascii="Arial"/>
                <w:sz w:val="21"/>
              </w:rPr>
            </w:pPr>
          </w:p>
          <w:p w14:paraId="6082487E">
            <w:pPr>
              <w:spacing w:line="243" w:lineRule="auto"/>
              <w:rPr>
                <w:rFonts w:ascii="Arial"/>
                <w:sz w:val="21"/>
              </w:rPr>
            </w:pPr>
          </w:p>
          <w:p w14:paraId="59FBDB20">
            <w:pPr>
              <w:spacing w:line="244" w:lineRule="auto"/>
              <w:rPr>
                <w:rFonts w:ascii="Arial"/>
                <w:sz w:val="21"/>
              </w:rPr>
            </w:pPr>
          </w:p>
          <w:p w14:paraId="6E8720A5">
            <w:pPr>
              <w:spacing w:line="244" w:lineRule="auto"/>
              <w:rPr>
                <w:rFonts w:ascii="Arial"/>
                <w:sz w:val="21"/>
              </w:rPr>
            </w:pPr>
          </w:p>
          <w:p w14:paraId="6883B4F9">
            <w:pPr>
              <w:pStyle w:val="9"/>
              <w:spacing w:before="65" w:line="252" w:lineRule="auto"/>
              <w:ind w:left="176" w:right="179" w:firstLine="4"/>
              <w:outlineLvl w:val="1"/>
              <w:rPr>
                <w:sz w:val="20"/>
                <w:szCs w:val="20"/>
              </w:rPr>
            </w:pPr>
            <w:r>
              <w:rPr>
                <w:rFonts w:ascii="宋体" w:hAnsi="宋体" w:eastAsia="宋体" w:cs="宋体"/>
                <w:spacing w:val="3"/>
                <w:sz w:val="20"/>
                <w:szCs w:val="20"/>
              </w:rPr>
              <w:t>项目组成及规模</w:t>
            </w:r>
          </w:p>
        </w:tc>
        <w:tc>
          <w:tcPr>
            <w:tcW w:w="8286" w:type="dxa"/>
            <w:tcBorders>
              <w:top w:val="single" w:color="000000" w:sz="2" w:space="0"/>
              <w:left w:val="single" w:color="000000" w:sz="2" w:space="0"/>
            </w:tcBorders>
            <w:vAlign w:val="top"/>
          </w:tcPr>
          <w:p w14:paraId="3CA05A70">
            <w:pPr>
              <w:pStyle w:val="9"/>
              <w:spacing w:before="39" w:line="219" w:lineRule="auto"/>
              <w:ind w:left="591"/>
            </w:pPr>
            <w:r>
              <w:rPr>
                <w:b/>
                <w:bCs/>
                <w:spacing w:val="-4"/>
              </w:rPr>
              <w:t>一、项目由来</w:t>
            </w:r>
          </w:p>
          <w:p w14:paraId="7663198F">
            <w:pPr>
              <w:pStyle w:val="9"/>
              <w:spacing w:before="183" w:line="359" w:lineRule="auto"/>
              <w:ind w:left="109" w:right="23" w:firstLine="480"/>
              <w:jc w:val="both"/>
            </w:pPr>
            <w:r>
              <w:rPr>
                <w:spacing w:val="-3"/>
              </w:rPr>
              <w:t>开发新能源是我国能源发展战略的重要组成部分，对于优化能源结构</w:t>
            </w:r>
            <w:r>
              <w:rPr>
                <w:spacing w:val="-4"/>
              </w:rPr>
              <w:t>、实</w:t>
            </w:r>
            <w:r>
              <w:rPr>
                <w:spacing w:val="-3"/>
              </w:rPr>
              <w:t>现节能减排意义重大。通辽市扎鲁特旗地区风（光）电资源丰富，其开发利用的潜力巨大。内蒙古霍煤鸿骏铝电有限责任公司在通辽市扎鲁特旗格日朝鲁苏</w:t>
            </w:r>
            <w:r>
              <w:rPr>
                <w:spacing w:val="-5"/>
              </w:rPr>
              <w:t>木地区建设内蒙古霍林河循环经济示范工程风电示范项目，总容量为</w:t>
            </w:r>
            <w:r>
              <w:rPr>
                <w:spacing w:val="-38"/>
              </w:rPr>
              <w:t xml:space="preserve"> </w:t>
            </w:r>
            <w:r>
              <w:rPr>
                <w:rFonts w:ascii="Times New Roman" w:hAnsi="Times New Roman" w:eastAsia="Times New Roman" w:cs="Times New Roman"/>
                <w:spacing w:val="-5"/>
              </w:rPr>
              <w:t>600MW</w:t>
            </w:r>
            <w:r>
              <w:rPr>
                <w:spacing w:val="-5"/>
              </w:rPr>
              <w:t>，</w:t>
            </w:r>
            <w:r>
              <w:rPr>
                <w:spacing w:val="-3"/>
              </w:rPr>
              <w:t>主要是为霍林河循环经济示范区三期铝厂（扎铝三期）供电。本项目为风电项</w:t>
            </w:r>
            <w:r>
              <w:rPr>
                <w:spacing w:val="-7"/>
              </w:rPr>
              <w:t>目配套建设的升压站工程，最终送至扎铝三期铝厂</w:t>
            </w:r>
            <w:r>
              <w:rPr>
                <w:spacing w:val="-8"/>
              </w:rPr>
              <w:t>，因此本项目建设是必要的。</w:t>
            </w:r>
          </w:p>
          <w:p w14:paraId="16839E3E">
            <w:pPr>
              <w:pStyle w:val="9"/>
              <w:spacing w:before="5" w:line="358" w:lineRule="auto"/>
              <w:ind w:left="109" w:right="103" w:firstLine="480"/>
              <w:jc w:val="both"/>
              <w:rPr>
                <w:spacing w:val="-1"/>
              </w:rPr>
            </w:pPr>
            <w:r>
              <w:rPr>
                <w:spacing w:val="-2"/>
              </w:rPr>
              <w:t>本升压站于</w:t>
            </w:r>
            <w:r>
              <w:rPr>
                <w:spacing w:val="-55"/>
              </w:rPr>
              <w:t xml:space="preserve"> </w:t>
            </w:r>
            <w:r>
              <w:rPr>
                <w:rFonts w:ascii="Times New Roman" w:hAnsi="Times New Roman" w:eastAsia="Times New Roman" w:cs="Times New Roman"/>
                <w:spacing w:val="-2"/>
              </w:rPr>
              <w:t xml:space="preserve">2012 </w:t>
            </w:r>
            <w:r>
              <w:rPr>
                <w:spacing w:val="-2"/>
              </w:rPr>
              <w:t>年</w:t>
            </w:r>
            <w:r>
              <w:rPr>
                <w:spacing w:val="-50"/>
              </w:rPr>
              <w:t xml:space="preserve"> </w:t>
            </w:r>
            <w:r>
              <w:rPr>
                <w:rFonts w:ascii="Times New Roman" w:hAnsi="Times New Roman" w:eastAsia="Times New Roman" w:cs="Times New Roman"/>
                <w:spacing w:val="-2"/>
              </w:rPr>
              <w:t>9</w:t>
            </w:r>
            <w:r>
              <w:rPr>
                <w:rFonts w:ascii="Times New Roman" w:hAnsi="Times New Roman" w:eastAsia="Times New Roman" w:cs="Times New Roman"/>
                <w:spacing w:val="15"/>
              </w:rPr>
              <w:t xml:space="preserve"> </w:t>
            </w:r>
            <w:r>
              <w:rPr>
                <w:spacing w:val="-2"/>
              </w:rPr>
              <w:t>月开工建设，</w:t>
            </w:r>
            <w:r>
              <w:rPr>
                <w:rFonts w:ascii="Times New Roman" w:hAnsi="Times New Roman" w:eastAsia="Times New Roman" w:cs="Times New Roman"/>
                <w:spacing w:val="-2"/>
              </w:rPr>
              <w:t xml:space="preserve">2014 </w:t>
            </w:r>
            <w:r>
              <w:rPr>
                <w:spacing w:val="-2"/>
              </w:rPr>
              <w:t>年</w:t>
            </w:r>
            <w:r>
              <w:rPr>
                <w:spacing w:val="-32"/>
              </w:rPr>
              <w:t xml:space="preserve"> </w:t>
            </w:r>
            <w:r>
              <w:rPr>
                <w:rFonts w:ascii="Times New Roman" w:hAnsi="Times New Roman" w:eastAsia="Times New Roman" w:cs="Times New Roman"/>
                <w:spacing w:val="-2"/>
              </w:rPr>
              <w:t>12</w:t>
            </w:r>
            <w:r>
              <w:rPr>
                <w:rFonts w:ascii="Times New Roman" w:hAnsi="Times New Roman" w:eastAsia="Times New Roman" w:cs="Times New Roman"/>
                <w:spacing w:val="15"/>
                <w:w w:val="101"/>
              </w:rPr>
              <w:t xml:space="preserve"> </w:t>
            </w:r>
            <w:r>
              <w:rPr>
                <w:spacing w:val="-2"/>
              </w:rPr>
              <w:t>月</w:t>
            </w:r>
            <w:r>
              <w:rPr>
                <w:spacing w:val="-3"/>
              </w:rPr>
              <w:t>调试运行，后期于</w:t>
            </w:r>
            <w:r>
              <w:rPr>
                <w:spacing w:val="-55"/>
              </w:rPr>
              <w:t xml:space="preserve"> </w:t>
            </w:r>
            <w:r>
              <w:rPr>
                <w:rFonts w:ascii="Times New Roman" w:hAnsi="Times New Roman" w:eastAsia="Times New Roman" w:cs="Times New Roman"/>
                <w:spacing w:val="-3"/>
              </w:rPr>
              <w:t>2019</w:t>
            </w:r>
            <w:r>
              <w:rPr>
                <w:spacing w:val="-4"/>
              </w:rPr>
              <w:t>年</w:t>
            </w:r>
            <w:r>
              <w:rPr>
                <w:spacing w:val="-45"/>
              </w:rPr>
              <w:t xml:space="preserve"> </w:t>
            </w:r>
            <w:r>
              <w:rPr>
                <w:rFonts w:ascii="Times New Roman" w:hAnsi="Times New Roman" w:eastAsia="Times New Roman" w:cs="Times New Roman"/>
                <w:spacing w:val="-4"/>
              </w:rPr>
              <w:t>4</w:t>
            </w:r>
            <w:r>
              <w:rPr>
                <w:rFonts w:ascii="Times New Roman" w:hAnsi="Times New Roman" w:eastAsia="Times New Roman" w:cs="Times New Roman"/>
                <w:spacing w:val="15"/>
                <w:w w:val="101"/>
              </w:rPr>
              <w:t xml:space="preserve"> </w:t>
            </w:r>
            <w:r>
              <w:rPr>
                <w:spacing w:val="-4"/>
              </w:rPr>
              <w:t>月及</w:t>
            </w:r>
            <w:r>
              <w:rPr>
                <w:spacing w:val="-55"/>
              </w:rPr>
              <w:t xml:space="preserve"> </w:t>
            </w:r>
            <w:r>
              <w:rPr>
                <w:rFonts w:ascii="Times New Roman" w:hAnsi="Times New Roman" w:eastAsia="Times New Roman" w:cs="Times New Roman"/>
                <w:spacing w:val="-4"/>
              </w:rPr>
              <w:t xml:space="preserve">2021 </w:t>
            </w:r>
            <w:r>
              <w:rPr>
                <w:spacing w:val="-4"/>
              </w:rPr>
              <w:t>年</w:t>
            </w:r>
            <w:r>
              <w:rPr>
                <w:spacing w:val="-32"/>
              </w:rPr>
              <w:t xml:space="preserve"> </w:t>
            </w:r>
            <w:r>
              <w:rPr>
                <w:rFonts w:ascii="Times New Roman" w:hAnsi="Times New Roman" w:eastAsia="Times New Roman" w:cs="Times New Roman"/>
                <w:spacing w:val="-4"/>
              </w:rPr>
              <w:t>10</w:t>
            </w:r>
            <w:r>
              <w:rPr>
                <w:rFonts w:ascii="Times New Roman" w:hAnsi="Times New Roman" w:eastAsia="Times New Roman" w:cs="Times New Roman"/>
                <w:spacing w:val="15"/>
              </w:rPr>
              <w:t xml:space="preserve"> </w:t>
            </w:r>
            <w:r>
              <w:rPr>
                <w:spacing w:val="-4"/>
              </w:rPr>
              <w:t>月进行两次扩建，</w:t>
            </w:r>
            <w:r>
              <w:rPr>
                <w:rFonts w:ascii="Times New Roman" w:hAnsi="Times New Roman" w:eastAsia="Times New Roman" w:cs="Times New Roman"/>
                <w:spacing w:val="-4"/>
              </w:rPr>
              <w:t xml:space="preserve">2023 </w:t>
            </w:r>
            <w:r>
              <w:rPr>
                <w:spacing w:val="-4"/>
              </w:rPr>
              <w:t>年</w:t>
            </w:r>
            <w:r>
              <w:rPr>
                <w:spacing w:val="-32"/>
              </w:rPr>
              <w:t xml:space="preserve"> </w:t>
            </w:r>
            <w:r>
              <w:rPr>
                <w:rFonts w:ascii="Times New Roman" w:hAnsi="Times New Roman" w:eastAsia="Times New Roman" w:cs="Times New Roman"/>
                <w:spacing w:val="-4"/>
              </w:rPr>
              <w:t>11</w:t>
            </w:r>
            <w:r>
              <w:rPr>
                <w:rFonts w:ascii="Times New Roman" w:hAnsi="Times New Roman" w:eastAsia="Times New Roman" w:cs="Times New Roman"/>
                <w:spacing w:val="15"/>
                <w:w w:val="101"/>
              </w:rPr>
              <w:t xml:space="preserve"> </w:t>
            </w:r>
            <w:r>
              <w:rPr>
                <w:spacing w:val="-4"/>
              </w:rPr>
              <w:t>月整体正式投入运行。本项</w:t>
            </w:r>
            <w:r>
              <w:rPr>
                <w:spacing w:val="-2"/>
              </w:rPr>
              <w:t>目于</w:t>
            </w:r>
            <w:r>
              <w:rPr>
                <w:spacing w:val="-53"/>
              </w:rPr>
              <w:t xml:space="preserve"> </w:t>
            </w:r>
            <w:r>
              <w:rPr>
                <w:rFonts w:ascii="Times New Roman" w:hAnsi="Times New Roman" w:eastAsia="Times New Roman" w:cs="Times New Roman"/>
                <w:spacing w:val="-2"/>
              </w:rPr>
              <w:t xml:space="preserve">2026 </w:t>
            </w:r>
            <w:r>
              <w:rPr>
                <w:spacing w:val="-2"/>
              </w:rPr>
              <w:t>年</w:t>
            </w:r>
            <w:r>
              <w:rPr>
                <w:spacing w:val="-45"/>
              </w:rPr>
              <w:t xml:space="preserve"> </w:t>
            </w:r>
            <w:r>
              <w:rPr>
                <w:rFonts w:ascii="Times New Roman" w:hAnsi="Times New Roman" w:eastAsia="Times New Roman" w:cs="Times New Roman"/>
                <w:spacing w:val="-2"/>
              </w:rPr>
              <w:t>8</w:t>
            </w:r>
            <w:r>
              <w:rPr>
                <w:rFonts w:ascii="Times New Roman" w:hAnsi="Times New Roman" w:eastAsia="Times New Roman" w:cs="Times New Roman"/>
                <w:spacing w:val="15"/>
              </w:rPr>
              <w:t xml:space="preserve"> </w:t>
            </w:r>
            <w:r>
              <w:rPr>
                <w:spacing w:val="-2"/>
              </w:rPr>
              <w:t>月</w:t>
            </w:r>
            <w:r>
              <w:rPr>
                <w:spacing w:val="-47"/>
              </w:rPr>
              <w:t xml:space="preserve"> </w:t>
            </w:r>
            <w:r>
              <w:rPr>
                <w:rFonts w:ascii="Times New Roman" w:hAnsi="Times New Roman" w:eastAsia="Times New Roman" w:cs="Times New Roman"/>
                <w:spacing w:val="-2"/>
              </w:rPr>
              <w:t xml:space="preserve">6  </w:t>
            </w:r>
            <w:r>
              <w:rPr>
                <w:spacing w:val="-2"/>
              </w:rPr>
              <w:t>日取得了通辽市生态环境局出</w:t>
            </w:r>
            <w:r>
              <w:rPr>
                <w:spacing w:val="-3"/>
              </w:rPr>
              <w:t>具的《通辽市生态环境局不</w:t>
            </w:r>
            <w:r>
              <w:t>予行政处罚决定书》（通环不罚〔</w:t>
            </w:r>
            <w:r>
              <w:rPr>
                <w:rFonts w:ascii="Times New Roman" w:hAnsi="Times New Roman" w:eastAsia="Times New Roman" w:cs="Times New Roman"/>
              </w:rPr>
              <w:t>2026</w:t>
            </w:r>
            <w:r>
              <w:t>〕</w:t>
            </w:r>
            <w:r>
              <w:rPr>
                <w:rFonts w:ascii="Times New Roman" w:hAnsi="Times New Roman" w:eastAsia="Times New Roman" w:cs="Times New Roman"/>
              </w:rPr>
              <w:t>8-</w:t>
            </w:r>
            <w:r>
              <w:rPr>
                <w:rFonts w:ascii="Times New Roman" w:hAnsi="Times New Roman" w:eastAsia="Times New Roman" w:cs="Times New Roman"/>
                <w:spacing w:val="-33"/>
              </w:rPr>
              <w:t xml:space="preserve"> </w:t>
            </w:r>
            <w:r>
              <w:rPr>
                <w:rFonts w:ascii="Times New Roman" w:hAnsi="Times New Roman" w:eastAsia="Times New Roman" w:cs="Times New Roman"/>
              </w:rPr>
              <w:t>16</w:t>
            </w:r>
            <w:r>
              <w:rPr>
                <w:rFonts w:ascii="Times New Roman" w:hAnsi="Times New Roman" w:eastAsia="Times New Roman" w:cs="Times New Roman"/>
                <w:spacing w:val="18"/>
              </w:rPr>
              <w:t xml:space="preserve"> </w:t>
            </w:r>
            <w:r>
              <w:t>号</w:t>
            </w:r>
            <w:r>
              <w:rPr>
                <w:spacing w:val="9"/>
              </w:rPr>
              <w:t>），</w:t>
            </w:r>
            <w:r>
              <w:t>对于夏营地</w:t>
            </w:r>
            <w:r>
              <w:rPr>
                <w:spacing w:val="-50"/>
              </w:rPr>
              <w:t xml:space="preserve"> </w:t>
            </w:r>
            <w:r>
              <w:rPr>
                <w:rFonts w:ascii="Times New Roman" w:hAnsi="Times New Roman" w:eastAsia="Times New Roman" w:cs="Times New Roman"/>
              </w:rPr>
              <w:t>220k</w:t>
            </w:r>
            <w:r>
              <w:rPr>
                <w:rFonts w:ascii="Times New Roman" w:hAnsi="Times New Roman" w:eastAsia="Times New Roman" w:cs="Times New Roman"/>
                <w:spacing w:val="-1"/>
              </w:rPr>
              <w:t xml:space="preserve">V </w:t>
            </w:r>
            <w:r>
              <w:rPr>
                <w:spacing w:val="-1"/>
              </w:rPr>
              <w:t>升压站项目未批先建违法行为决定不予行政处罚。</w:t>
            </w:r>
          </w:p>
          <w:p w14:paraId="029032E4">
            <w:pPr>
              <w:widowControl/>
              <w:kinsoku/>
              <w:autoSpaceDE/>
              <w:autoSpaceDN/>
              <w:adjustRightInd/>
              <w:snapToGrid/>
              <w:spacing w:line="360" w:lineRule="auto"/>
              <w:ind w:firstLine="482" w:firstLineChars="200"/>
              <w:jc w:val="both"/>
              <w:textAlignment w:val="auto"/>
              <w:rPr>
                <w:rFonts w:hint="default" w:ascii="Times New Roman" w:hAnsi="Times New Roman" w:eastAsia="宋体" w:cs="Times New Roman"/>
                <w:b/>
                <w:bCs/>
                <w:snapToGrid/>
                <w:color w:val="0000FA"/>
                <w:kern w:val="0"/>
                <w:sz w:val="24"/>
                <w:szCs w:val="24"/>
                <w:highlight w:val="none"/>
                <w:lang w:val="en-US" w:eastAsia="zh-CN" w:bidi="ar"/>
              </w:rPr>
            </w:pPr>
            <w:r>
              <w:rPr>
                <w:rFonts w:hint="eastAsia" w:ascii="Times New Roman" w:hAnsi="Times New Roman" w:eastAsia="宋体" w:cs="Times New Roman"/>
                <w:b/>
                <w:bCs/>
                <w:snapToGrid/>
                <w:color w:val="0000FA"/>
                <w:kern w:val="0"/>
                <w:sz w:val="24"/>
                <w:szCs w:val="24"/>
                <w:highlight w:val="none"/>
                <w:lang w:val="en-US" w:eastAsia="zh-CN" w:bidi="ar"/>
              </w:rPr>
              <w:t>（1）一期验收升压站内容：</w:t>
            </w:r>
          </w:p>
          <w:p w14:paraId="7C68F503">
            <w:pPr>
              <w:widowControl/>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0000FA"/>
                <w:kern w:val="0"/>
                <w:sz w:val="24"/>
                <w:szCs w:val="24"/>
                <w:highlight w:val="none"/>
                <w:lang w:val="en-US" w:eastAsia="zh-CN" w:bidi="ar"/>
              </w:rPr>
            </w:pPr>
            <w:r>
              <w:rPr>
                <w:rFonts w:hint="eastAsia" w:ascii="Times New Roman" w:hAnsi="Times New Roman" w:eastAsia="宋体" w:cs="Times New Roman"/>
                <w:snapToGrid/>
                <w:color w:val="0000FA"/>
                <w:kern w:val="0"/>
                <w:sz w:val="24"/>
                <w:szCs w:val="24"/>
                <w:highlight w:val="none"/>
                <w:lang w:val="en-US" w:eastAsia="zh-CN" w:bidi="ar"/>
              </w:rPr>
              <w:t>一期工程于2012年9月开工建设，2014年12月调试试运行。2015年4月24日取得通辽市环境保护局《通辽市环境保护局关于内蒙古霍林河循环经济示范工程80万千瓦就地消纳风电项目（一期100MW）工程竣工环境保护验收的意见》（通环验〔2015〕14号）。</w:t>
            </w:r>
          </w:p>
          <w:p w14:paraId="160E5D77">
            <w:pPr>
              <w:widowControl/>
              <w:kinsoku/>
              <w:autoSpaceDE/>
              <w:autoSpaceDN/>
              <w:adjustRightInd/>
              <w:snapToGrid/>
              <w:spacing w:line="360" w:lineRule="auto"/>
              <w:ind w:firstLine="480" w:firstLineChars="200"/>
              <w:jc w:val="both"/>
              <w:textAlignment w:val="auto"/>
              <w:rPr>
                <w:rFonts w:hint="eastAsia" w:ascii="Times New Roman" w:hAnsi="Times New Roman" w:eastAsia="宋体" w:cs="Times New Roman"/>
                <w:snapToGrid/>
                <w:color w:val="0000FA"/>
                <w:kern w:val="0"/>
                <w:sz w:val="24"/>
                <w:szCs w:val="24"/>
                <w:highlight w:val="none"/>
                <w:lang w:val="en-US" w:eastAsia="zh-CN" w:bidi="ar"/>
              </w:rPr>
            </w:pPr>
            <w:r>
              <w:rPr>
                <w:rFonts w:hint="eastAsia" w:ascii="Times New Roman" w:hAnsi="Times New Roman" w:eastAsia="宋体" w:cs="Times New Roman"/>
                <w:snapToGrid/>
                <w:color w:val="0000FA"/>
                <w:kern w:val="0"/>
                <w:sz w:val="24"/>
                <w:szCs w:val="24"/>
                <w:highlight w:val="none"/>
                <w:lang w:val="en-US" w:eastAsia="zh-CN" w:bidi="ar"/>
              </w:rPr>
              <w:t>一期风场装机容量100MW，配套建设夏营地升压站，夏营地220kV升压站选在风电场东北部，占地面积3.0hm</w:t>
            </w:r>
            <w:r>
              <w:rPr>
                <w:rFonts w:hint="eastAsia" w:ascii="Times New Roman" w:hAnsi="Times New Roman" w:eastAsia="宋体" w:cs="Times New Roman"/>
                <w:snapToGrid/>
                <w:color w:val="0000FA"/>
                <w:kern w:val="0"/>
                <w:sz w:val="24"/>
                <w:szCs w:val="24"/>
                <w:highlight w:val="none"/>
                <w:vertAlign w:val="superscript"/>
                <w:lang w:val="en-US" w:eastAsia="zh-CN" w:bidi="ar"/>
              </w:rPr>
              <w:t>2</w:t>
            </w:r>
            <w:r>
              <w:rPr>
                <w:rFonts w:hint="eastAsia" w:ascii="Times New Roman" w:hAnsi="Times New Roman" w:eastAsia="宋体" w:cs="Times New Roman"/>
                <w:snapToGrid/>
                <w:color w:val="0000FA"/>
                <w:kern w:val="0"/>
                <w:sz w:val="24"/>
                <w:szCs w:val="24"/>
                <w:highlight w:val="none"/>
                <w:lang w:val="en-US" w:eastAsia="zh-CN" w:bidi="ar"/>
              </w:rPr>
              <w:t>，站内东侧为升压区，由南向北依次布置无功补偿装置、35kV屋内配电装置、主变压器及屋外架构等；西侧为生活管理区，主要布置有综合楼、生产办公楼、汽车库及材料库、地埋式污水处理设施和水泵房等，站内主要配置2台150MVA主变压器，配套2回220kV双回路出线间隔、18回35kV进线间隔、同时配套建设事故油池、储油坑等设备。站内道路采用郊区型混凝土道路，长789m，道路宽4.0m，转弯半径9.0m</w:t>
            </w:r>
            <w:r>
              <w:rPr>
                <w:rFonts w:hint="eastAsia" w:ascii="Times New Roman" w:hAnsi="Times New Roman" w:eastAsia="宋体" w:cs="Times New Roman"/>
                <w:snapToGrid/>
                <w:color w:val="0000FA"/>
                <w:kern w:val="2"/>
                <w:sz w:val="24"/>
                <w:szCs w:val="24"/>
                <w:highlight w:val="none"/>
                <w:lang w:eastAsia="zh-CN"/>
              </w:rPr>
              <w:t>；</w:t>
            </w:r>
            <w:r>
              <w:rPr>
                <w:rFonts w:hint="eastAsia" w:ascii="Times New Roman" w:hAnsi="Times New Roman" w:eastAsia="宋体" w:cs="Times New Roman"/>
                <w:snapToGrid/>
                <w:color w:val="0000FA"/>
                <w:kern w:val="2"/>
                <w:sz w:val="24"/>
                <w:szCs w:val="24"/>
                <w:highlight w:val="none"/>
                <w:lang w:val="en-US" w:eastAsia="zh-CN"/>
              </w:rPr>
              <w:t>进站道路长2643m，路面宽6m，利用原有道路2100m，新增道路543m</w:t>
            </w:r>
            <w:r>
              <w:rPr>
                <w:rFonts w:hint="eastAsia" w:ascii="Times New Roman" w:hAnsi="Times New Roman" w:eastAsia="宋体" w:cs="Times New Roman"/>
                <w:snapToGrid/>
                <w:color w:val="0000FA"/>
                <w:kern w:val="0"/>
                <w:sz w:val="24"/>
                <w:szCs w:val="24"/>
                <w:highlight w:val="none"/>
                <w:lang w:val="en-US" w:eastAsia="zh-CN" w:bidi="ar"/>
              </w:rPr>
              <w:t>。</w:t>
            </w:r>
          </w:p>
          <w:p w14:paraId="0BDDB371">
            <w:pPr>
              <w:widowControl/>
              <w:kinsoku/>
              <w:autoSpaceDE/>
              <w:autoSpaceDN/>
              <w:adjustRightInd/>
              <w:snapToGrid/>
              <w:spacing w:line="360" w:lineRule="auto"/>
              <w:ind w:firstLine="480" w:firstLineChars="200"/>
              <w:jc w:val="both"/>
              <w:textAlignment w:val="auto"/>
              <w:rPr>
                <w:rFonts w:hint="eastAsia" w:ascii="Times New Roman" w:hAnsi="Times New Roman" w:eastAsia="宋体" w:cs="Times New Roman"/>
                <w:snapToGrid/>
                <w:color w:val="0000FA"/>
                <w:kern w:val="0"/>
                <w:sz w:val="24"/>
                <w:szCs w:val="24"/>
                <w:highlight w:val="none"/>
                <w:lang w:val="en-US" w:eastAsia="zh-CN" w:bidi="ar"/>
              </w:rPr>
            </w:pPr>
            <w:r>
              <w:rPr>
                <w:rFonts w:ascii="Times New Roman" w:hAnsi="Times New Roman" w:eastAsia="宋体" w:cs="Times New Roman"/>
                <w:snapToGrid/>
                <w:color w:val="0000FA"/>
                <w:kern w:val="0"/>
                <w:sz w:val="24"/>
                <w:szCs w:val="24"/>
                <w:highlight w:val="none"/>
                <w:lang w:eastAsia="zh-CN" w:bidi="ar"/>
              </w:rPr>
              <w:t>升压站建设内容主要包括</w:t>
            </w:r>
            <w:r>
              <w:rPr>
                <w:rFonts w:hint="eastAsia" w:ascii="Times New Roman" w:hAnsi="Times New Roman" w:eastAsia="宋体" w:cs="Times New Roman"/>
                <w:snapToGrid/>
                <w:color w:val="0000FA"/>
                <w:kern w:val="0"/>
                <w:sz w:val="24"/>
                <w:szCs w:val="24"/>
                <w:highlight w:val="none"/>
                <w:lang w:eastAsia="zh-CN" w:bidi="ar"/>
              </w:rPr>
              <w:t>本风电场升压站占地面积约</w:t>
            </w:r>
            <w:r>
              <w:rPr>
                <w:rFonts w:hint="eastAsia" w:ascii="Times New Roman" w:hAnsi="Times New Roman" w:eastAsia="宋体" w:cs="Times New Roman"/>
                <w:snapToGrid/>
                <w:color w:val="0000FA"/>
                <w:kern w:val="0"/>
                <w:sz w:val="24"/>
                <w:szCs w:val="24"/>
                <w:highlight w:val="none"/>
                <w:lang w:val="en-US" w:eastAsia="zh-CN" w:bidi="ar"/>
              </w:rPr>
              <w:t>3.0h</w:t>
            </w:r>
            <w:r>
              <w:rPr>
                <w:rFonts w:hint="eastAsia" w:ascii="Times New Roman" w:hAnsi="Times New Roman" w:eastAsia="宋体" w:cs="Times New Roman"/>
                <w:snapToGrid/>
                <w:color w:val="0000FA"/>
                <w:kern w:val="0"/>
                <w:sz w:val="24"/>
                <w:szCs w:val="24"/>
                <w:highlight w:val="none"/>
                <w:lang w:eastAsia="zh-CN" w:bidi="ar"/>
              </w:rPr>
              <w:t>m</w:t>
            </w:r>
            <w:r>
              <w:rPr>
                <w:rFonts w:hint="eastAsia" w:ascii="Times New Roman" w:hAnsi="Times New Roman" w:eastAsia="宋体" w:cs="Times New Roman"/>
                <w:snapToGrid/>
                <w:color w:val="0000FA"/>
                <w:kern w:val="0"/>
                <w:sz w:val="24"/>
                <w:szCs w:val="24"/>
                <w:highlight w:val="none"/>
                <w:vertAlign w:val="superscript"/>
                <w:lang w:eastAsia="zh-CN" w:bidi="ar"/>
              </w:rPr>
              <w:t>2</w:t>
            </w:r>
            <w:r>
              <w:rPr>
                <w:rFonts w:hint="eastAsia" w:ascii="Times New Roman" w:hAnsi="Times New Roman" w:eastAsia="宋体" w:cs="Times New Roman"/>
                <w:snapToGrid/>
                <w:color w:val="0000FA"/>
                <w:kern w:val="0"/>
                <w:sz w:val="24"/>
                <w:szCs w:val="24"/>
                <w:highlight w:val="none"/>
                <w:lang w:eastAsia="zh-CN" w:bidi="ar"/>
              </w:rPr>
              <w:t>。站内布置有220kV户外配电装置、35kV配电楼、综合楼、附属楼等建构筑物。</w:t>
            </w:r>
            <w:r>
              <w:rPr>
                <w:rFonts w:hint="eastAsia" w:ascii="Times New Roman" w:hAnsi="Times New Roman" w:eastAsia="宋体" w:cs="Times New Roman"/>
                <w:snapToGrid/>
                <w:color w:val="0000FA"/>
                <w:kern w:val="0"/>
                <w:sz w:val="24"/>
                <w:szCs w:val="24"/>
                <w:highlight w:val="none"/>
                <w:lang w:val="en-US" w:eastAsia="zh-CN" w:bidi="ar"/>
              </w:rPr>
              <w:t>同时配套建设了水泵房、事故油池等设施。</w:t>
            </w:r>
          </w:p>
          <w:p w14:paraId="59D3108D">
            <w:pPr>
              <w:widowControl/>
              <w:numPr>
                <w:ilvl w:val="0"/>
                <w:numId w:val="0"/>
              </w:numPr>
              <w:kinsoku/>
              <w:autoSpaceDE/>
              <w:autoSpaceDN/>
              <w:adjustRightInd/>
              <w:snapToGrid/>
              <w:spacing w:line="360" w:lineRule="auto"/>
              <w:ind w:firstLine="482" w:firstLineChars="200"/>
              <w:jc w:val="both"/>
              <w:textAlignment w:val="auto"/>
              <w:rPr>
                <w:rFonts w:hint="eastAsia" w:ascii="Times New Roman" w:hAnsi="Times New Roman" w:eastAsia="宋体" w:cs="Times New Roman"/>
                <w:b/>
                <w:bCs/>
                <w:snapToGrid/>
                <w:color w:val="0000FA"/>
                <w:kern w:val="0"/>
                <w:sz w:val="24"/>
                <w:szCs w:val="24"/>
                <w:highlight w:val="none"/>
                <w:lang w:val="en-US" w:eastAsia="zh-CN" w:bidi="ar"/>
              </w:rPr>
            </w:pPr>
            <w:r>
              <w:rPr>
                <w:rFonts w:hint="eastAsia" w:ascii="Times New Roman" w:hAnsi="Times New Roman" w:eastAsia="宋体" w:cs="Times New Roman"/>
                <w:b/>
                <w:bCs/>
                <w:snapToGrid/>
                <w:color w:val="0000FA"/>
                <w:kern w:val="0"/>
                <w:sz w:val="24"/>
                <w:szCs w:val="24"/>
                <w:lang w:val="en-US" w:eastAsia="zh-CN" w:bidi="ar"/>
              </w:rPr>
              <w:t>（2）</w:t>
            </w:r>
            <w:r>
              <w:rPr>
                <w:rFonts w:hint="eastAsia" w:ascii="Times New Roman" w:hAnsi="Times New Roman" w:eastAsia="宋体" w:cs="Times New Roman"/>
                <w:b/>
                <w:bCs/>
                <w:snapToGrid/>
                <w:color w:val="0000FA"/>
                <w:kern w:val="0"/>
                <w:sz w:val="24"/>
                <w:szCs w:val="24"/>
                <w:highlight w:val="none"/>
                <w:lang w:val="en-US" w:eastAsia="zh-CN" w:bidi="ar"/>
              </w:rPr>
              <w:t>二期、三期验收风场内容：</w:t>
            </w:r>
          </w:p>
          <w:p w14:paraId="42E9335F">
            <w:pPr>
              <w:widowControl/>
              <w:numPr>
                <w:ilvl w:val="0"/>
                <w:numId w:val="0"/>
              </w:numPr>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0000FA"/>
                <w:kern w:val="0"/>
                <w:sz w:val="24"/>
                <w:szCs w:val="24"/>
                <w:lang w:val="en-US" w:eastAsia="zh-CN" w:bidi="ar"/>
              </w:rPr>
            </w:pPr>
            <w:r>
              <w:rPr>
                <w:rFonts w:hint="eastAsia" w:ascii="Times New Roman" w:hAnsi="Times New Roman" w:eastAsia="宋体" w:cs="Times New Roman"/>
                <w:snapToGrid/>
                <w:color w:val="0000FA"/>
                <w:kern w:val="0"/>
                <w:sz w:val="24"/>
                <w:szCs w:val="24"/>
                <w:lang w:val="en-US" w:eastAsia="zh-CN" w:bidi="ar"/>
              </w:rPr>
              <w:t>二期工程于2013年5月开工建设，2014年12月调试运行；三期工程于2013年7月开工建设，2014年12月调试运行。2015年4月24日取得通辽市环境保护局《通辽市环境保护局关于内蒙古霍林河循环经济示范工程80万千瓦就地消纳风电项目（二期100</w:t>
            </w:r>
            <w:r>
              <w:rPr>
                <w:rFonts w:hint="eastAsia" w:ascii="Times New Roman" w:hAnsi="Times New Roman" w:eastAsia="宋体" w:cs="Times New Roman"/>
                <w:snapToGrid/>
                <w:color w:val="0000FA"/>
                <w:kern w:val="0"/>
                <w:sz w:val="24"/>
                <w:szCs w:val="24"/>
                <w:highlight w:val="none"/>
                <w:lang w:val="en-US" w:eastAsia="zh-CN" w:bidi="ar"/>
              </w:rPr>
              <w:t>MW</w:t>
            </w:r>
            <w:r>
              <w:rPr>
                <w:rFonts w:hint="eastAsia" w:ascii="Times New Roman" w:hAnsi="Times New Roman" w:eastAsia="宋体" w:cs="Times New Roman"/>
                <w:snapToGrid/>
                <w:color w:val="0000FA"/>
                <w:kern w:val="0"/>
                <w:sz w:val="24"/>
                <w:szCs w:val="24"/>
                <w:lang w:val="en-US" w:eastAsia="zh-CN" w:bidi="ar"/>
              </w:rPr>
              <w:t>）工程竣工环境保护验收的意见》（通环验〔2015〕15号）。2016年3月31日取得通辽市环境保护局《关于内蒙古霍林河循环经济示范工程80万千瓦就地消纳风电示范项目（三期100</w:t>
            </w:r>
            <w:r>
              <w:rPr>
                <w:rFonts w:hint="eastAsia" w:ascii="Times New Roman" w:hAnsi="Times New Roman" w:eastAsia="宋体" w:cs="Times New Roman"/>
                <w:snapToGrid/>
                <w:color w:val="0000FA"/>
                <w:kern w:val="0"/>
                <w:sz w:val="24"/>
                <w:szCs w:val="24"/>
                <w:highlight w:val="none"/>
                <w:lang w:val="en-US" w:eastAsia="zh-CN" w:bidi="ar"/>
              </w:rPr>
              <w:t>MW</w:t>
            </w:r>
            <w:r>
              <w:rPr>
                <w:rFonts w:hint="eastAsia" w:ascii="Times New Roman" w:hAnsi="Times New Roman" w:eastAsia="宋体" w:cs="Times New Roman"/>
                <w:snapToGrid/>
                <w:color w:val="0000FA"/>
                <w:kern w:val="0"/>
                <w:sz w:val="24"/>
                <w:szCs w:val="24"/>
                <w:lang w:val="en-US" w:eastAsia="zh-CN" w:bidi="ar"/>
              </w:rPr>
              <w:t>）工程竣工环保验收的意见》（通环验〔2016〕4号）</w:t>
            </w:r>
          </w:p>
          <w:p w14:paraId="3FCFBD79">
            <w:pPr>
              <w:widowControl/>
              <w:numPr>
                <w:ilvl w:val="0"/>
                <w:numId w:val="0"/>
              </w:numPr>
              <w:kinsoku/>
              <w:autoSpaceDE/>
              <w:autoSpaceDN/>
              <w:adjustRightInd/>
              <w:snapToGrid/>
              <w:spacing w:line="360" w:lineRule="auto"/>
              <w:ind w:firstLine="480" w:firstLineChars="200"/>
              <w:jc w:val="both"/>
              <w:textAlignment w:val="auto"/>
              <w:rPr>
                <w:rFonts w:hint="eastAsia" w:ascii="Times New Roman" w:hAnsi="Times New Roman" w:eastAsia="宋体" w:cs="Times New Roman"/>
                <w:snapToGrid/>
                <w:color w:val="0000FA"/>
                <w:kern w:val="0"/>
                <w:sz w:val="24"/>
                <w:szCs w:val="24"/>
                <w:lang w:val="en-US" w:eastAsia="zh-CN" w:bidi="ar"/>
              </w:rPr>
            </w:pPr>
            <w:r>
              <w:rPr>
                <w:rFonts w:hint="eastAsia" w:ascii="Times New Roman" w:hAnsi="Times New Roman" w:eastAsia="宋体" w:cs="Times New Roman"/>
                <w:snapToGrid/>
                <w:color w:val="0000FA"/>
                <w:kern w:val="0"/>
                <w:sz w:val="24"/>
                <w:szCs w:val="24"/>
                <w:lang w:val="en-US" w:eastAsia="zh-CN" w:bidi="ar"/>
              </w:rPr>
              <w:t>二期、三期风场装机容量均为</w:t>
            </w:r>
            <w:r>
              <w:rPr>
                <w:rFonts w:ascii="Times New Roman" w:hAnsi="Times New Roman" w:eastAsia="宋体" w:cs="Times New Roman"/>
                <w:snapToGrid/>
                <w:color w:val="0000FA"/>
                <w:spacing w:val="-3"/>
                <w:kern w:val="2"/>
                <w:sz w:val="24"/>
                <w:szCs w:val="24"/>
                <w:lang w:eastAsia="zh-CN"/>
              </w:rPr>
              <w:t>100</w:t>
            </w:r>
            <w:r>
              <w:rPr>
                <w:rFonts w:hint="eastAsia" w:ascii="Times New Roman" w:hAnsi="Times New Roman" w:eastAsia="宋体" w:cs="Times New Roman"/>
                <w:snapToGrid/>
                <w:color w:val="0000FA"/>
                <w:kern w:val="0"/>
                <w:sz w:val="24"/>
                <w:szCs w:val="24"/>
                <w:highlight w:val="none"/>
                <w:lang w:val="en-US" w:eastAsia="zh-CN" w:bidi="ar"/>
              </w:rPr>
              <w:t>MW</w:t>
            </w:r>
            <w:r>
              <w:rPr>
                <w:rFonts w:hint="eastAsia" w:ascii="Times New Roman" w:hAnsi="Times New Roman" w:eastAsia="宋体" w:cs="Times New Roman"/>
                <w:snapToGrid/>
                <w:color w:val="0000FA"/>
                <w:spacing w:val="-3"/>
                <w:kern w:val="2"/>
                <w:sz w:val="24"/>
                <w:szCs w:val="24"/>
                <w:lang w:eastAsia="zh-CN"/>
              </w:rPr>
              <w:t>，</w:t>
            </w:r>
            <w:r>
              <w:rPr>
                <w:rFonts w:hint="eastAsia" w:ascii="Times New Roman" w:hAnsi="Times New Roman" w:eastAsia="宋体" w:cs="Times New Roman"/>
                <w:snapToGrid/>
                <w:color w:val="0000FA"/>
                <w:spacing w:val="-3"/>
                <w:kern w:val="2"/>
                <w:sz w:val="24"/>
                <w:szCs w:val="24"/>
                <w:lang w:val="en-US" w:eastAsia="zh-CN"/>
              </w:rPr>
              <w:t>两期风场</w:t>
            </w:r>
            <w:r>
              <w:rPr>
                <w:rFonts w:hint="eastAsia" w:ascii="Times New Roman" w:hAnsi="Times New Roman" w:eastAsia="宋体" w:cs="Times New Roman"/>
                <w:snapToGrid/>
                <w:color w:val="0000FA"/>
                <w:kern w:val="0"/>
                <w:sz w:val="24"/>
                <w:szCs w:val="24"/>
                <w:lang w:val="en-US" w:eastAsia="zh-CN" w:bidi="ar"/>
              </w:rPr>
              <w:t>均与一期共用一座升压站，不对升压站进行改扩建。</w:t>
            </w:r>
          </w:p>
          <w:p w14:paraId="2ADB602A">
            <w:pPr>
              <w:widowControl/>
              <w:numPr>
                <w:ilvl w:val="0"/>
                <w:numId w:val="0"/>
              </w:numPr>
              <w:kinsoku/>
              <w:autoSpaceDE/>
              <w:autoSpaceDN/>
              <w:adjustRightInd/>
              <w:snapToGrid/>
              <w:spacing w:line="360" w:lineRule="auto"/>
              <w:ind w:firstLine="482" w:firstLineChars="200"/>
              <w:jc w:val="both"/>
              <w:textAlignment w:val="auto"/>
              <w:rPr>
                <w:rFonts w:hint="eastAsia" w:ascii="Times New Roman" w:hAnsi="Times New Roman" w:eastAsia="宋体" w:cs="Times New Roman"/>
                <w:b/>
                <w:bCs/>
                <w:snapToGrid/>
                <w:color w:val="0000FA"/>
                <w:kern w:val="0"/>
                <w:sz w:val="24"/>
                <w:szCs w:val="24"/>
                <w:highlight w:val="none"/>
                <w:lang w:val="en-US" w:eastAsia="zh-CN" w:bidi="ar"/>
              </w:rPr>
            </w:pPr>
            <w:r>
              <w:rPr>
                <w:rFonts w:hint="eastAsia" w:ascii="Times New Roman" w:hAnsi="Times New Roman" w:eastAsia="宋体" w:cs="Times New Roman"/>
                <w:b/>
                <w:bCs/>
                <w:snapToGrid/>
                <w:color w:val="0000FA"/>
                <w:kern w:val="0"/>
                <w:sz w:val="24"/>
                <w:szCs w:val="24"/>
                <w:lang w:val="en-US" w:eastAsia="zh-CN" w:bidi="ar"/>
              </w:rPr>
              <w:t>（3）</w:t>
            </w:r>
            <w:r>
              <w:rPr>
                <w:rFonts w:hint="eastAsia" w:ascii="Times New Roman" w:hAnsi="Times New Roman" w:eastAsia="宋体" w:cs="Times New Roman"/>
                <w:b/>
                <w:bCs/>
                <w:snapToGrid/>
                <w:color w:val="0000FA"/>
                <w:kern w:val="0"/>
                <w:sz w:val="24"/>
                <w:szCs w:val="24"/>
                <w:highlight w:val="none"/>
                <w:lang w:val="en-US" w:eastAsia="zh-CN" w:bidi="ar"/>
              </w:rPr>
              <w:t>四期验收升压站内容：</w:t>
            </w:r>
          </w:p>
          <w:p w14:paraId="6A129156">
            <w:pPr>
              <w:widowControl/>
              <w:numPr>
                <w:ilvl w:val="0"/>
                <w:numId w:val="0"/>
              </w:numPr>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0000FA"/>
                <w:kern w:val="0"/>
                <w:sz w:val="24"/>
                <w:szCs w:val="24"/>
                <w:highlight w:val="none"/>
                <w:lang w:val="en-US" w:eastAsia="zh-CN" w:bidi="ar"/>
              </w:rPr>
            </w:pPr>
            <w:r>
              <w:rPr>
                <w:rFonts w:hint="eastAsia" w:ascii="Times New Roman" w:hAnsi="Times New Roman" w:eastAsia="宋体" w:cs="Times New Roman"/>
                <w:snapToGrid/>
                <w:color w:val="0000FA"/>
                <w:kern w:val="0"/>
                <w:sz w:val="24"/>
                <w:szCs w:val="24"/>
                <w:highlight w:val="none"/>
                <w:lang w:val="en-US" w:eastAsia="zh-CN" w:bidi="ar"/>
              </w:rPr>
              <w:t>四期工程于2019年4月开工建设，2019年10月调试运行。四期项目于2020年12月17日开展自主验收，2021年2月完成自主验收报告并备案。</w:t>
            </w:r>
          </w:p>
          <w:p w14:paraId="590797B8">
            <w:pPr>
              <w:widowControl/>
              <w:numPr>
                <w:ilvl w:val="0"/>
                <w:numId w:val="0"/>
              </w:numPr>
              <w:kinsoku/>
              <w:autoSpaceDE/>
              <w:autoSpaceDN/>
              <w:adjustRightInd/>
              <w:snapToGrid/>
              <w:spacing w:line="360" w:lineRule="auto"/>
              <w:ind w:firstLine="480" w:firstLineChars="200"/>
              <w:jc w:val="both"/>
              <w:textAlignment w:val="auto"/>
              <w:rPr>
                <w:rFonts w:ascii="Times New Roman" w:hAnsi="Times New Roman" w:eastAsia="宋体" w:cs="Times New Roman"/>
                <w:snapToGrid/>
                <w:color w:val="0000FA"/>
                <w:kern w:val="0"/>
                <w:sz w:val="24"/>
                <w:szCs w:val="24"/>
                <w:highlight w:val="none"/>
                <w:lang w:eastAsia="zh-CN" w:bidi="ar"/>
              </w:rPr>
            </w:pPr>
            <w:r>
              <w:rPr>
                <w:rFonts w:hint="eastAsia" w:ascii="Times New Roman" w:hAnsi="Times New Roman" w:eastAsia="宋体" w:cs="Times New Roman"/>
                <w:snapToGrid/>
                <w:color w:val="0000FA"/>
                <w:kern w:val="0"/>
                <w:sz w:val="24"/>
                <w:szCs w:val="24"/>
                <w:highlight w:val="none"/>
                <w:lang w:val="en-US" w:eastAsia="zh-CN" w:bidi="ar"/>
              </w:rPr>
              <w:t>四期风场</w:t>
            </w:r>
            <w:r>
              <w:rPr>
                <w:rFonts w:hint="eastAsia" w:ascii="Times New Roman" w:hAnsi="Times New Roman" w:eastAsia="宋体" w:cs="Times New Roman"/>
                <w:snapToGrid/>
                <w:color w:val="0000FA"/>
                <w:kern w:val="0"/>
                <w:sz w:val="24"/>
                <w:szCs w:val="24"/>
                <w:lang w:val="en-US" w:eastAsia="zh-CN" w:bidi="ar"/>
              </w:rPr>
              <w:t>装机容量均为</w:t>
            </w:r>
            <w:r>
              <w:rPr>
                <w:rFonts w:ascii="Times New Roman" w:hAnsi="Times New Roman" w:eastAsia="宋体" w:cs="Times New Roman"/>
                <w:snapToGrid/>
                <w:color w:val="0000FA"/>
                <w:spacing w:val="-3"/>
                <w:kern w:val="2"/>
                <w:sz w:val="24"/>
                <w:szCs w:val="24"/>
                <w:lang w:eastAsia="zh-CN"/>
              </w:rPr>
              <w:t>100</w:t>
            </w:r>
            <w:r>
              <w:rPr>
                <w:rFonts w:hint="eastAsia" w:ascii="Times New Roman" w:hAnsi="Times New Roman" w:eastAsia="宋体" w:cs="Times New Roman"/>
                <w:snapToGrid/>
                <w:color w:val="0000FA"/>
                <w:kern w:val="0"/>
                <w:sz w:val="24"/>
                <w:szCs w:val="24"/>
                <w:highlight w:val="none"/>
                <w:lang w:val="en-US" w:eastAsia="zh-CN" w:bidi="ar"/>
              </w:rPr>
              <w:t>MW</w:t>
            </w:r>
            <w:r>
              <w:rPr>
                <w:rFonts w:hint="eastAsia" w:ascii="Times New Roman" w:hAnsi="Times New Roman" w:eastAsia="宋体" w:cs="Times New Roman"/>
                <w:snapToGrid/>
                <w:color w:val="0000FA"/>
                <w:spacing w:val="-3"/>
                <w:kern w:val="2"/>
                <w:sz w:val="24"/>
                <w:szCs w:val="24"/>
                <w:lang w:eastAsia="zh-CN"/>
              </w:rPr>
              <w:t>，</w:t>
            </w:r>
            <w:r>
              <w:rPr>
                <w:rFonts w:hint="eastAsia" w:ascii="Times New Roman" w:hAnsi="Times New Roman" w:eastAsia="宋体" w:cs="Times New Roman"/>
                <w:snapToGrid/>
                <w:color w:val="0000FA"/>
                <w:spacing w:val="-3"/>
                <w:kern w:val="2"/>
                <w:sz w:val="24"/>
                <w:szCs w:val="24"/>
                <w:lang w:val="en-US" w:eastAsia="zh-CN"/>
              </w:rPr>
              <w:t>在现有夏营地升压站内预留空地扩建1台125MVA的主变压器，配套建设</w:t>
            </w:r>
            <w:r>
              <w:rPr>
                <w:rFonts w:hint="eastAsia" w:ascii="Times New Roman" w:hAnsi="Times New Roman" w:eastAsia="宋体" w:cs="Times New Roman"/>
                <w:snapToGrid/>
                <w:color w:val="0000FA"/>
                <w:kern w:val="0"/>
                <w:sz w:val="24"/>
                <w:szCs w:val="24"/>
                <w:highlight w:val="none"/>
                <w:lang w:val="en-US" w:eastAsia="zh-CN" w:bidi="ar"/>
              </w:rPr>
              <w:t>4回35kV进线间隔</w:t>
            </w:r>
            <w:r>
              <w:rPr>
                <w:rFonts w:hint="eastAsia" w:ascii="Times New Roman" w:hAnsi="Times New Roman" w:eastAsia="宋体" w:cs="Times New Roman"/>
                <w:snapToGrid/>
                <w:color w:val="0000FA"/>
                <w:spacing w:val="-3"/>
                <w:kern w:val="2"/>
                <w:sz w:val="24"/>
                <w:szCs w:val="24"/>
                <w:lang w:val="en-US" w:eastAsia="zh-CN"/>
              </w:rPr>
              <w:t>，同时建设储油坑及等设施，其余均依托现有夏营地升压站</w:t>
            </w:r>
            <w:r>
              <w:rPr>
                <w:rFonts w:ascii="Times New Roman" w:hAnsi="Times New Roman" w:eastAsia="宋体" w:cs="Times New Roman"/>
                <w:snapToGrid/>
                <w:color w:val="0000FA"/>
                <w:kern w:val="0"/>
                <w:sz w:val="24"/>
                <w:szCs w:val="24"/>
                <w:highlight w:val="none"/>
                <w:lang w:eastAsia="zh-CN" w:bidi="ar"/>
              </w:rPr>
              <w:t>。</w:t>
            </w:r>
          </w:p>
          <w:p w14:paraId="22F25846">
            <w:pPr>
              <w:widowControl/>
              <w:kinsoku/>
              <w:autoSpaceDE/>
              <w:autoSpaceDN/>
              <w:adjustRightInd/>
              <w:snapToGrid/>
              <w:spacing w:line="360" w:lineRule="auto"/>
              <w:ind w:firstLine="482" w:firstLineChars="200"/>
              <w:jc w:val="both"/>
              <w:textAlignment w:val="auto"/>
              <w:rPr>
                <w:rFonts w:hint="default" w:ascii="Times New Roman" w:hAnsi="Times New Roman" w:eastAsia="宋体" w:cs="Times New Roman"/>
                <w:b/>
                <w:bCs/>
                <w:snapToGrid/>
                <w:color w:val="0000FA"/>
                <w:kern w:val="0"/>
                <w:sz w:val="24"/>
                <w:szCs w:val="24"/>
                <w:highlight w:val="none"/>
                <w:lang w:val="en-US" w:eastAsia="zh-CN" w:bidi="ar"/>
              </w:rPr>
            </w:pPr>
            <w:r>
              <w:rPr>
                <w:rFonts w:hint="eastAsia" w:ascii="Times New Roman" w:hAnsi="Times New Roman" w:eastAsia="宋体" w:cs="Times New Roman"/>
                <w:b/>
                <w:bCs/>
                <w:snapToGrid/>
                <w:color w:val="0000FA"/>
                <w:kern w:val="0"/>
                <w:sz w:val="24"/>
                <w:szCs w:val="24"/>
                <w:highlight w:val="none"/>
                <w:lang w:val="en-US" w:eastAsia="zh-CN" w:bidi="ar"/>
              </w:rPr>
              <w:t>（4）五期环评及验收升压站内容：</w:t>
            </w:r>
          </w:p>
          <w:p w14:paraId="2ACBF0E2">
            <w:pPr>
              <w:widowControl/>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0000FA"/>
                <w:kern w:val="0"/>
                <w:sz w:val="24"/>
                <w:szCs w:val="24"/>
                <w:highlight w:val="none"/>
                <w:lang w:val="en-US" w:eastAsia="zh-CN" w:bidi="ar"/>
              </w:rPr>
            </w:pPr>
            <w:r>
              <w:rPr>
                <w:rFonts w:hint="default" w:ascii="Times New Roman" w:hAnsi="Times New Roman" w:eastAsia="宋体" w:cs="Times New Roman"/>
                <w:snapToGrid/>
                <w:color w:val="0000FA"/>
                <w:kern w:val="0"/>
                <w:sz w:val="24"/>
                <w:szCs w:val="24"/>
                <w:highlight w:val="none"/>
                <w:lang w:val="en-US" w:eastAsia="zh-CN" w:bidi="ar"/>
              </w:rPr>
              <w:t>霍林河循环经济示范工程续建（第五期）200</w:t>
            </w:r>
            <w:r>
              <w:rPr>
                <w:rFonts w:hint="eastAsia" w:ascii="Times New Roman" w:hAnsi="Times New Roman" w:eastAsia="宋体" w:cs="Times New Roman"/>
                <w:snapToGrid/>
                <w:color w:val="0000FA"/>
                <w:kern w:val="0"/>
                <w:sz w:val="24"/>
                <w:szCs w:val="24"/>
                <w:highlight w:val="none"/>
                <w:lang w:val="en-US" w:eastAsia="zh-CN" w:bidi="ar"/>
              </w:rPr>
              <w:t>MW</w:t>
            </w:r>
            <w:r>
              <w:rPr>
                <w:rFonts w:hint="default" w:ascii="Times New Roman" w:hAnsi="Times New Roman" w:eastAsia="宋体" w:cs="Times New Roman"/>
                <w:snapToGrid/>
                <w:color w:val="0000FA"/>
                <w:kern w:val="0"/>
                <w:sz w:val="24"/>
                <w:szCs w:val="24"/>
                <w:highlight w:val="none"/>
                <w:lang w:val="en-US" w:eastAsia="zh-CN" w:bidi="ar"/>
              </w:rPr>
              <w:t>风电项目规划容量为200</w:t>
            </w:r>
            <w:r>
              <w:rPr>
                <w:rFonts w:hint="eastAsia" w:ascii="Times New Roman" w:hAnsi="Times New Roman" w:eastAsia="宋体" w:cs="Times New Roman"/>
                <w:snapToGrid/>
                <w:color w:val="0000FA"/>
                <w:kern w:val="0"/>
                <w:sz w:val="24"/>
                <w:szCs w:val="24"/>
                <w:highlight w:val="none"/>
                <w:lang w:val="en-US" w:eastAsia="zh-CN" w:bidi="ar"/>
              </w:rPr>
              <w:t>MW</w:t>
            </w:r>
            <w:r>
              <w:rPr>
                <w:rFonts w:hint="default" w:ascii="Times New Roman" w:hAnsi="Times New Roman" w:eastAsia="宋体" w:cs="Times New Roman"/>
                <w:snapToGrid/>
                <w:color w:val="0000FA"/>
                <w:kern w:val="0"/>
                <w:sz w:val="24"/>
                <w:szCs w:val="24"/>
                <w:highlight w:val="none"/>
                <w:lang w:val="en-US" w:eastAsia="zh-CN" w:bidi="ar"/>
              </w:rPr>
              <w:t>，由于单机容量发生变动。因此单独编制环评报告</w:t>
            </w:r>
            <w:r>
              <w:rPr>
                <w:rFonts w:hint="eastAsia" w:ascii="Times New Roman" w:hAnsi="Times New Roman" w:eastAsia="宋体" w:cs="Times New Roman"/>
                <w:snapToGrid/>
                <w:color w:val="0000FA"/>
                <w:kern w:val="0"/>
                <w:sz w:val="24"/>
                <w:szCs w:val="24"/>
                <w:highlight w:val="none"/>
                <w:lang w:val="en-US" w:eastAsia="zh-CN" w:bidi="ar"/>
              </w:rPr>
              <w:t>。2021年10月27日，通辽市生态环境局以“扎环审[2021]33号”文件对《关于内蒙古霍煤鸿骏铝电有限责任公司扎哈淖尔分公司霍林河循环经济示范工程续建(第五期)200MW风电建设项目环境影响报告表》进行了批复。2023年11月14日，内蒙古霍煤鸿骏铝电有限责任公司扎哈淖尔分公司组织有关专家对“霍林河循环经济示范工程续建(第五期)200MW风电项目工程”进行自主竣工环境保护验收，取得了验收意见。项目于2021年10月开工建设，2023年11月投入运行。</w:t>
            </w:r>
          </w:p>
          <w:p w14:paraId="19099963">
            <w:pPr>
              <w:widowControl/>
              <w:kinsoku/>
              <w:autoSpaceDE/>
              <w:autoSpaceDN/>
              <w:adjustRightInd/>
              <w:snapToGrid/>
              <w:spacing w:line="360" w:lineRule="auto"/>
              <w:ind w:firstLine="480" w:firstLineChars="200"/>
              <w:jc w:val="both"/>
              <w:textAlignment w:val="auto"/>
              <w:rPr>
                <w:rFonts w:hint="default" w:ascii="Times New Roman" w:hAnsi="Times New Roman" w:eastAsia="宋体" w:cs="Times New Roman"/>
                <w:snapToGrid/>
                <w:color w:val="0000FA"/>
                <w:kern w:val="0"/>
                <w:sz w:val="24"/>
                <w:szCs w:val="24"/>
                <w:highlight w:val="none"/>
                <w:lang w:val="en-US" w:eastAsia="zh-CN" w:bidi="ar"/>
              </w:rPr>
            </w:pPr>
            <w:r>
              <w:rPr>
                <w:rFonts w:hint="eastAsia" w:ascii="Times New Roman" w:hAnsi="Times New Roman" w:eastAsia="宋体" w:cs="Times New Roman"/>
                <w:snapToGrid/>
                <w:color w:val="0000FA"/>
                <w:kern w:val="0"/>
                <w:sz w:val="24"/>
                <w:szCs w:val="24"/>
                <w:highlight w:val="none"/>
                <w:lang w:val="en-US" w:eastAsia="zh-CN" w:bidi="ar"/>
              </w:rPr>
              <w:t>建设内容为：项目拟安装42台单机容量4.8MW风电机组，年平均上网电量为78141.63万kWh。风电场内扩建220kV夏营地升压站，占地面积向东扩建1.16hm</w:t>
            </w:r>
            <w:r>
              <w:rPr>
                <w:rFonts w:hint="eastAsia" w:ascii="Times New Roman" w:hAnsi="Times New Roman" w:eastAsia="宋体" w:cs="Times New Roman"/>
                <w:snapToGrid/>
                <w:color w:val="0000FA"/>
                <w:kern w:val="0"/>
                <w:sz w:val="24"/>
                <w:szCs w:val="24"/>
                <w:highlight w:val="none"/>
                <w:vertAlign w:val="superscript"/>
                <w:lang w:val="en-US" w:eastAsia="zh-CN" w:bidi="ar"/>
              </w:rPr>
              <w:t>2</w:t>
            </w:r>
            <w:r>
              <w:rPr>
                <w:rFonts w:hint="eastAsia" w:ascii="Times New Roman" w:hAnsi="Times New Roman" w:eastAsia="宋体" w:cs="Times New Roman"/>
                <w:snapToGrid/>
                <w:color w:val="0000FA"/>
                <w:kern w:val="0"/>
                <w:sz w:val="24"/>
                <w:szCs w:val="24"/>
                <w:highlight w:val="none"/>
                <w:lang w:val="en-US" w:eastAsia="zh-CN" w:bidi="ar"/>
              </w:rPr>
              <w:t>，站内扩建一台240MVA、1回220kV双回路出线间隔、8回35kV进线间隔，配套建设SVG室、1座事故油池及1座57m</w:t>
            </w:r>
            <w:r>
              <w:rPr>
                <w:rFonts w:hint="eastAsia" w:ascii="Times New Roman" w:hAnsi="Times New Roman" w:eastAsia="宋体" w:cs="Times New Roman"/>
                <w:snapToGrid/>
                <w:color w:val="0000FA"/>
                <w:kern w:val="0"/>
                <w:sz w:val="24"/>
                <w:szCs w:val="24"/>
                <w:highlight w:val="none"/>
                <w:vertAlign w:val="superscript"/>
                <w:lang w:val="en-US" w:eastAsia="zh-CN" w:bidi="ar"/>
              </w:rPr>
              <w:t>2</w:t>
            </w:r>
            <w:r>
              <w:rPr>
                <w:rFonts w:hint="eastAsia" w:ascii="Times New Roman" w:hAnsi="Times New Roman" w:eastAsia="宋体" w:cs="Times New Roman"/>
                <w:snapToGrid/>
                <w:color w:val="0000FA"/>
                <w:kern w:val="0"/>
                <w:sz w:val="24"/>
                <w:szCs w:val="24"/>
                <w:highlight w:val="none"/>
                <w:lang w:val="en-US" w:eastAsia="zh-CN" w:bidi="ar"/>
              </w:rPr>
              <w:t>的危废暂存间。</w:t>
            </w:r>
          </w:p>
          <w:p w14:paraId="35DB6F45">
            <w:pPr>
              <w:pStyle w:val="9"/>
              <w:spacing w:before="5" w:line="358" w:lineRule="auto"/>
              <w:ind w:left="109" w:right="103" w:firstLine="480"/>
              <w:jc w:val="both"/>
              <w:rPr>
                <w:color w:val="0000FA"/>
                <w:spacing w:val="-1"/>
              </w:rPr>
            </w:pPr>
            <w:r>
              <w:rPr>
                <w:rFonts w:hint="eastAsia" w:ascii="Times New Roman" w:hAnsi="Times New Roman" w:eastAsia="宋体" w:cs="Times New Roman"/>
                <w:snapToGrid/>
                <w:color w:val="0000FA"/>
                <w:kern w:val="0"/>
                <w:sz w:val="24"/>
                <w:szCs w:val="24"/>
                <w:highlight w:val="none"/>
                <w:lang w:val="en-US" w:eastAsia="zh-CN" w:bidi="ar"/>
              </w:rPr>
              <w:t>项目一期工程于2012年9月开工建设，2014年12月调试运行，四期工程于2019年4月开工建设，2019年10月调试运行，五期工程于于2021年10月开工建设，2023年11月投入运行。</w:t>
            </w:r>
            <w:r>
              <w:rPr>
                <w:rFonts w:ascii="Times New Roman" w:hAnsi="Times New Roman" w:eastAsia="宋体" w:cs="Times New Roman"/>
                <w:snapToGrid/>
                <w:color w:val="0000FA"/>
                <w:kern w:val="0"/>
                <w:sz w:val="24"/>
                <w:szCs w:val="24"/>
                <w:highlight w:val="none"/>
                <w:lang w:eastAsia="zh-CN" w:bidi="ar"/>
              </w:rPr>
              <w:t>220k</w:t>
            </w:r>
            <w:r>
              <w:rPr>
                <w:rFonts w:hint="eastAsia" w:ascii="Times New Roman" w:hAnsi="Times New Roman" w:eastAsia="宋体" w:cs="Times New Roman"/>
                <w:snapToGrid/>
                <w:color w:val="0000FA"/>
                <w:kern w:val="0"/>
                <w:sz w:val="24"/>
                <w:szCs w:val="24"/>
                <w:highlight w:val="none"/>
                <w:lang w:eastAsia="zh-CN" w:bidi="ar"/>
              </w:rPr>
              <w:t>V</w:t>
            </w:r>
            <w:r>
              <w:rPr>
                <w:rFonts w:ascii="Times New Roman" w:hAnsi="Times New Roman" w:eastAsia="宋体" w:cs="Times New Roman"/>
                <w:snapToGrid/>
                <w:color w:val="0000FA"/>
                <w:kern w:val="0"/>
                <w:sz w:val="24"/>
                <w:szCs w:val="24"/>
                <w:highlight w:val="none"/>
                <w:lang w:eastAsia="zh-CN" w:bidi="ar"/>
              </w:rPr>
              <w:t>升压站在运行过程中产生的电磁辐射</w:t>
            </w:r>
            <w:r>
              <w:rPr>
                <w:rFonts w:hint="eastAsia" w:ascii="Times New Roman" w:hAnsi="Times New Roman" w:eastAsia="宋体" w:cs="Times New Roman"/>
                <w:snapToGrid/>
                <w:color w:val="0000FA"/>
                <w:kern w:val="0"/>
                <w:sz w:val="24"/>
                <w:szCs w:val="24"/>
                <w:highlight w:val="none"/>
                <w:lang w:eastAsia="zh-CN" w:bidi="ar"/>
              </w:rPr>
              <w:t>，根据生态环境部令第16号《建设项目环境影响评价分类管理名录（2021年版）》要求，本项目应单独开展输变电环境影响评价</w:t>
            </w:r>
            <w:r>
              <w:rPr>
                <w:rFonts w:ascii="Times New Roman" w:hAnsi="Times New Roman" w:eastAsia="宋体" w:cs="Times New Roman"/>
                <w:snapToGrid/>
                <w:color w:val="0000FA"/>
                <w:kern w:val="0"/>
                <w:sz w:val="24"/>
                <w:szCs w:val="24"/>
                <w:highlight w:val="none"/>
                <w:lang w:eastAsia="zh-CN" w:bidi="ar"/>
              </w:rPr>
              <w:t>，本次评价重点针对升压站运行期</w:t>
            </w:r>
            <w:r>
              <w:rPr>
                <w:rFonts w:hint="eastAsia" w:ascii="Times New Roman" w:hAnsi="Times New Roman" w:eastAsia="宋体" w:cs="Times New Roman"/>
                <w:snapToGrid/>
                <w:color w:val="0000FA"/>
                <w:kern w:val="0"/>
                <w:sz w:val="24"/>
                <w:szCs w:val="24"/>
                <w:highlight w:val="none"/>
                <w:lang w:val="en-US" w:eastAsia="zh-CN" w:bidi="ar"/>
              </w:rPr>
              <w:t>产生的</w:t>
            </w:r>
            <w:r>
              <w:rPr>
                <w:rFonts w:ascii="Times New Roman" w:hAnsi="Times New Roman" w:eastAsia="宋体" w:cs="Times New Roman"/>
                <w:snapToGrid/>
                <w:color w:val="0000FA"/>
                <w:kern w:val="0"/>
                <w:sz w:val="24"/>
                <w:szCs w:val="24"/>
                <w:highlight w:val="none"/>
                <w:lang w:eastAsia="zh-CN" w:bidi="ar"/>
              </w:rPr>
              <w:t>影响进行分析评价。升压站</w:t>
            </w:r>
            <w:r>
              <w:rPr>
                <w:rFonts w:hint="eastAsia" w:ascii="Times New Roman" w:hAnsi="Times New Roman" w:eastAsia="宋体" w:cs="Times New Roman"/>
                <w:snapToGrid/>
                <w:color w:val="0000FA"/>
                <w:kern w:val="0"/>
                <w:sz w:val="24"/>
                <w:szCs w:val="24"/>
                <w:highlight w:val="none"/>
                <w:lang w:val="en-US" w:eastAsia="zh-CN" w:bidi="ar"/>
              </w:rPr>
              <w:t>目前已建设运行多年</w:t>
            </w:r>
            <w:r>
              <w:rPr>
                <w:rFonts w:hint="eastAsia" w:ascii="Times New Roman" w:hAnsi="Times New Roman" w:eastAsia="宋体" w:cs="Times New Roman"/>
                <w:snapToGrid/>
                <w:color w:val="0000FA"/>
                <w:kern w:val="0"/>
                <w:sz w:val="24"/>
                <w:szCs w:val="24"/>
                <w:highlight w:val="none"/>
                <w:lang w:eastAsia="zh-CN" w:bidi="ar"/>
              </w:rPr>
              <w:t>，</w:t>
            </w:r>
            <w:r>
              <w:rPr>
                <w:rFonts w:ascii="Times New Roman" w:hAnsi="Times New Roman" w:eastAsia="宋体" w:cs="Times New Roman"/>
                <w:snapToGrid/>
                <w:color w:val="0000FA"/>
                <w:kern w:val="0"/>
                <w:sz w:val="24"/>
                <w:szCs w:val="24"/>
                <w:highlight w:val="none"/>
                <w:lang w:eastAsia="zh-CN" w:bidi="ar"/>
              </w:rPr>
              <w:t>本次环评为</w:t>
            </w:r>
            <w:r>
              <w:rPr>
                <w:rFonts w:hint="eastAsia" w:ascii="Times New Roman" w:hAnsi="Times New Roman" w:eastAsia="宋体" w:cs="Times New Roman"/>
                <w:snapToGrid/>
                <w:color w:val="0000FA"/>
                <w:kern w:val="0"/>
                <w:sz w:val="24"/>
                <w:szCs w:val="24"/>
                <w:highlight w:val="none"/>
                <w:lang w:val="en-US" w:eastAsia="zh-CN" w:bidi="ar"/>
              </w:rPr>
              <w:t>升压站补充</w:t>
            </w:r>
            <w:r>
              <w:rPr>
                <w:rFonts w:hint="eastAsia" w:ascii="Times New Roman" w:hAnsi="Times New Roman" w:eastAsia="宋体" w:cs="Times New Roman"/>
                <w:snapToGrid/>
                <w:color w:val="0000FA"/>
                <w:kern w:val="0"/>
                <w:sz w:val="24"/>
                <w:szCs w:val="24"/>
                <w:highlight w:val="none"/>
                <w:lang w:eastAsia="zh-CN" w:bidi="ar"/>
              </w:rPr>
              <w:t>输变电环境影响评价手续，</w:t>
            </w:r>
            <w:r>
              <w:rPr>
                <w:rFonts w:hint="eastAsia" w:ascii="Times New Roman" w:hAnsi="Times New Roman" w:eastAsia="宋体" w:cs="Times New Roman"/>
                <w:snapToGrid/>
                <w:color w:val="0000FA"/>
                <w:kern w:val="0"/>
                <w:sz w:val="24"/>
                <w:szCs w:val="24"/>
                <w:highlight w:val="none"/>
                <w:lang w:val="en-US" w:eastAsia="zh-CN" w:bidi="ar"/>
              </w:rPr>
              <w:t>项目仅对升压站进行评价，外送220kV线路另行评价</w:t>
            </w:r>
            <w:r>
              <w:rPr>
                <w:rFonts w:ascii="Times New Roman" w:hAnsi="Times New Roman" w:eastAsia="宋体" w:cs="Times New Roman"/>
                <w:snapToGrid/>
                <w:color w:val="0000FA"/>
                <w:kern w:val="0"/>
                <w:sz w:val="24"/>
                <w:szCs w:val="24"/>
                <w:highlight w:val="none"/>
                <w:lang w:eastAsia="zh-CN" w:bidi="ar"/>
              </w:rPr>
              <w:t>。</w:t>
            </w:r>
          </w:p>
          <w:p w14:paraId="690878F5">
            <w:pPr>
              <w:pStyle w:val="9"/>
              <w:spacing w:line="220" w:lineRule="auto"/>
              <w:ind w:left="591"/>
            </w:pPr>
            <w:r>
              <w:rPr>
                <w:b/>
                <w:bCs/>
                <w:spacing w:val="-3"/>
              </w:rPr>
              <w:t>二、升压站与风场位置关系</w:t>
            </w:r>
          </w:p>
          <w:p w14:paraId="2E6BC78C">
            <w:pPr>
              <w:pStyle w:val="9"/>
              <w:spacing w:before="181" w:line="219" w:lineRule="auto"/>
              <w:ind w:left="589"/>
            </w:pPr>
            <w:r>
              <w:rPr>
                <w:spacing w:val="-1"/>
              </w:rPr>
              <w:t>本项目位于风场内中部，具体位置如下：</w:t>
            </w:r>
          </w:p>
        </w:tc>
      </w:tr>
    </w:tbl>
    <w:p w14:paraId="72B5E5F9">
      <w:pPr>
        <w:pStyle w:val="3"/>
      </w:pPr>
    </w:p>
    <w:p w14:paraId="67E4396F">
      <w:pPr>
        <w:sectPr>
          <w:footerReference r:id="rId18" w:type="default"/>
          <w:pgSz w:w="11906" w:h="16838"/>
          <w:pgMar w:top="1401" w:right="1414" w:bottom="1295" w:left="1414" w:header="0" w:footer="1133" w:gutter="0"/>
          <w:cols w:space="720" w:num="1"/>
        </w:sectPr>
      </w:pPr>
    </w:p>
    <w:tbl>
      <w:tblPr>
        <w:tblStyle w:val="8"/>
        <w:tblW w:w="906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76"/>
        <w:gridCol w:w="8286"/>
      </w:tblGrid>
      <w:tr w14:paraId="1591BA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814" w:hRule="atLeast"/>
        </w:trPr>
        <w:tc>
          <w:tcPr>
            <w:tcW w:w="776" w:type="dxa"/>
            <w:tcBorders>
              <w:right w:val="single" w:color="000000" w:sz="2" w:space="0"/>
            </w:tcBorders>
            <w:vAlign w:val="top"/>
          </w:tcPr>
          <w:p w14:paraId="12C5E38C">
            <w:pPr>
              <w:rPr>
                <w:rFonts w:ascii="Arial"/>
                <w:sz w:val="21"/>
              </w:rPr>
            </w:pPr>
          </w:p>
        </w:tc>
        <w:tc>
          <w:tcPr>
            <w:tcW w:w="8286" w:type="dxa"/>
            <w:tcBorders>
              <w:left w:val="single" w:color="000000" w:sz="2" w:space="0"/>
            </w:tcBorders>
            <w:vAlign w:val="top"/>
          </w:tcPr>
          <w:p w14:paraId="2A966090">
            <w:pPr>
              <w:pStyle w:val="9"/>
              <w:spacing w:line="4904" w:lineRule="exact"/>
              <w:ind w:firstLine="667"/>
            </w:pPr>
            <w:r>
              <w:rPr>
                <w:position w:val="-98"/>
              </w:rPr>
              <w:pict>
                <v:group id="_x0000_s1026" o:spid="_x0000_s1026" o:spt="203" style="height:245.4pt;width:346.8pt;" coordsize="6936,4908">
                  <o:lock v:ext="edit"/>
                  <v:shape id="_x0000_s1027" o:spid="_x0000_s1027" o:spt="75" type="#_x0000_t75" style="position:absolute;left:0;top:0;height:4908;width:6936;" filled="f" stroked="f" coordsize="21600,21600">
                    <v:path/>
                    <v:fill on="f" focussize="0,0"/>
                    <v:stroke on="f"/>
                    <v:imagedata r:id="rId222" o:title=""/>
                    <o:lock v:ext="edit" aspectratio="t"/>
                  </v:shape>
                  <v:shape id="_x0000_s1028" o:spid="_x0000_s1028" o:spt="202" type="#_x0000_t202" style="position:absolute;left:3242;top:941;height:280;width:1475;" filled="f" stroked="f" coordsize="21600,21600">
                    <v:path/>
                    <v:fill on="f" focussize="0,0"/>
                    <v:stroke on="f"/>
                    <v:imagedata o:title=""/>
                    <o:lock v:ext="edit" aspectratio="f"/>
                    <v:textbox inset="0mm,0mm,0mm,0mm">
                      <w:txbxContent>
                        <w:p w14:paraId="09A8E7A0">
                          <w:pPr>
                            <w:spacing w:before="19" w:line="219" w:lineRule="auto"/>
                            <w:ind w:left="20"/>
                            <w:rPr>
                              <w:rFonts w:ascii="宋体" w:hAnsi="宋体" w:eastAsia="宋体" w:cs="宋体"/>
                              <w:sz w:val="24"/>
                              <w:szCs w:val="24"/>
                            </w:rPr>
                          </w:pPr>
                          <w:r>
                            <w:rPr>
                              <w:rFonts w:ascii="宋体" w:hAnsi="宋体" w:eastAsia="宋体" w:cs="宋体"/>
                              <w:b/>
                              <w:bCs/>
                              <w:color w:val="FF0000"/>
                              <w:spacing w:val="-4"/>
                              <w:sz w:val="24"/>
                              <w:szCs w:val="24"/>
                            </w:rPr>
                            <w:t>本项目升压站</w:t>
                          </w:r>
                        </w:p>
                      </w:txbxContent>
                    </v:textbox>
                  </v:shape>
                  <w10:wrap type="none"/>
                  <w10:anchorlock/>
                </v:group>
              </w:pict>
            </w:r>
          </w:p>
          <w:p w14:paraId="37F36505">
            <w:pPr>
              <w:pStyle w:val="9"/>
              <w:spacing w:before="307" w:line="219" w:lineRule="auto"/>
              <w:ind w:left="2351"/>
            </w:pPr>
            <w:r>
              <w:rPr>
                <w:b/>
                <w:bCs/>
                <w:spacing w:val="-3"/>
              </w:rPr>
              <w:t>图</w:t>
            </w:r>
            <w:r>
              <w:rPr>
                <w:spacing w:val="-47"/>
              </w:rPr>
              <w:t xml:space="preserve"> </w:t>
            </w:r>
            <w:r>
              <w:rPr>
                <w:rFonts w:ascii="Times New Roman" w:hAnsi="Times New Roman" w:eastAsia="Times New Roman" w:cs="Times New Roman"/>
                <w:b/>
                <w:bCs/>
                <w:spacing w:val="-3"/>
              </w:rPr>
              <w:t xml:space="preserve">2-1      </w:t>
            </w:r>
            <w:r>
              <w:rPr>
                <w:b/>
                <w:bCs/>
                <w:spacing w:val="-3"/>
              </w:rPr>
              <w:t>本次升压站在风场范围内位置</w:t>
            </w:r>
          </w:p>
          <w:p w14:paraId="4603CEC6">
            <w:pPr>
              <w:pStyle w:val="9"/>
              <w:spacing w:before="186" w:line="220" w:lineRule="auto"/>
              <w:ind w:left="588"/>
              <w:outlineLvl w:val="1"/>
            </w:pPr>
            <w:r>
              <w:rPr>
                <w:b/>
                <w:bCs/>
                <w:spacing w:val="-3"/>
              </w:rPr>
              <w:t>三、项目组成情况</w:t>
            </w:r>
          </w:p>
          <w:p w14:paraId="5B76A107">
            <w:pPr>
              <w:pStyle w:val="9"/>
              <w:spacing w:before="175" w:line="219" w:lineRule="auto"/>
              <w:ind w:left="591"/>
            </w:pPr>
            <w:r>
              <w:rPr>
                <w:spacing w:val="-1"/>
              </w:rPr>
              <w:t>项目名称：内蒙古霍煤鸿骏铝电有限责任公司夏营地</w:t>
            </w:r>
            <w:r>
              <w:rPr>
                <w:spacing w:val="-41"/>
              </w:rPr>
              <w:t xml:space="preserve"> </w:t>
            </w:r>
            <w:r>
              <w:rPr>
                <w:rFonts w:ascii="Times New Roman" w:hAnsi="Times New Roman" w:eastAsia="Times New Roman" w:cs="Times New Roman"/>
                <w:spacing w:val="-1"/>
              </w:rPr>
              <w:t xml:space="preserve">220kV </w:t>
            </w:r>
            <w:r>
              <w:rPr>
                <w:spacing w:val="-1"/>
              </w:rPr>
              <w:t>升压站工程</w:t>
            </w:r>
          </w:p>
          <w:p w14:paraId="1AABCF56">
            <w:pPr>
              <w:pStyle w:val="9"/>
              <w:spacing w:before="176" w:line="219" w:lineRule="auto"/>
              <w:ind w:left="591"/>
            </w:pPr>
            <w:r>
              <w:rPr>
                <w:spacing w:val="-1"/>
              </w:rPr>
              <w:t>建设单位：内蒙古霍煤鸿骏铝电有限责任公司</w:t>
            </w:r>
          </w:p>
          <w:p w14:paraId="138BF147">
            <w:pPr>
              <w:pStyle w:val="9"/>
              <w:spacing w:before="173" w:line="220" w:lineRule="auto"/>
              <w:ind w:left="591"/>
              <w:rPr>
                <w:rFonts w:hint="eastAsia" w:eastAsia="宋体"/>
                <w:lang w:eastAsia="zh-CN"/>
              </w:rPr>
            </w:pPr>
            <w:r>
              <w:rPr>
                <w:spacing w:val="-2"/>
              </w:rPr>
              <w:t>建设性质：</w:t>
            </w:r>
            <w:r>
              <w:rPr>
                <w:rFonts w:hint="eastAsia"/>
                <w:color w:val="0000FF"/>
                <w:spacing w:val="-2"/>
                <w:lang w:val="en-US" w:eastAsia="zh-CN"/>
              </w:rPr>
              <w:t>已建</w:t>
            </w:r>
          </w:p>
          <w:p w14:paraId="6AF9D8FC">
            <w:pPr>
              <w:pStyle w:val="9"/>
              <w:spacing w:before="173" w:line="354" w:lineRule="auto"/>
              <w:ind w:left="111" w:right="103" w:firstLine="480"/>
            </w:pPr>
            <w:r>
              <w:rPr>
                <w:spacing w:val="-3"/>
              </w:rPr>
              <w:t>项目投资：升压站总投资</w:t>
            </w:r>
            <w:r>
              <w:rPr>
                <w:spacing w:val="-36"/>
              </w:rPr>
              <w:t xml:space="preserve"> </w:t>
            </w:r>
            <w:r>
              <w:rPr>
                <w:rFonts w:ascii="Times New Roman" w:hAnsi="Times New Roman" w:eastAsia="Times New Roman" w:cs="Times New Roman"/>
                <w:spacing w:val="-3"/>
              </w:rPr>
              <w:t>6145</w:t>
            </w:r>
            <w:r>
              <w:rPr>
                <w:rFonts w:ascii="Times New Roman" w:hAnsi="Times New Roman" w:eastAsia="Times New Roman" w:cs="Times New Roman"/>
                <w:spacing w:val="15"/>
                <w:w w:val="101"/>
              </w:rPr>
              <w:t xml:space="preserve"> </w:t>
            </w:r>
            <w:r>
              <w:rPr>
                <w:spacing w:val="-3"/>
              </w:rPr>
              <w:t>万元，其中环保投资</w:t>
            </w:r>
            <w:r>
              <w:rPr>
                <w:spacing w:val="-51"/>
              </w:rPr>
              <w:t xml:space="preserve"> </w:t>
            </w:r>
            <w:r>
              <w:rPr>
                <w:rFonts w:ascii="Times New Roman" w:hAnsi="Times New Roman" w:eastAsia="Times New Roman" w:cs="Times New Roman"/>
                <w:spacing w:val="-3"/>
              </w:rPr>
              <w:t>99.1</w:t>
            </w:r>
            <w:r>
              <w:rPr>
                <w:rFonts w:ascii="Times New Roman" w:hAnsi="Times New Roman" w:eastAsia="Times New Roman" w:cs="Times New Roman"/>
                <w:spacing w:val="15"/>
                <w:w w:val="101"/>
              </w:rPr>
              <w:t xml:space="preserve"> </w:t>
            </w:r>
            <w:r>
              <w:rPr>
                <w:spacing w:val="-3"/>
              </w:rPr>
              <w:t>万元，占工程全</w:t>
            </w:r>
            <w:r>
              <w:rPr>
                <w:spacing w:val="-5"/>
              </w:rPr>
              <w:t>部投资的</w:t>
            </w:r>
            <w:r>
              <w:rPr>
                <w:spacing w:val="-24"/>
              </w:rPr>
              <w:t xml:space="preserve"> </w:t>
            </w:r>
            <w:r>
              <w:rPr>
                <w:rFonts w:ascii="Times New Roman" w:hAnsi="Times New Roman" w:eastAsia="Times New Roman" w:cs="Times New Roman"/>
                <w:spacing w:val="-5"/>
              </w:rPr>
              <w:t>1.61%</w:t>
            </w:r>
            <w:r>
              <w:rPr>
                <w:spacing w:val="-5"/>
              </w:rPr>
              <w:t>。</w:t>
            </w:r>
          </w:p>
          <w:p w14:paraId="3A9F837C">
            <w:pPr>
              <w:pStyle w:val="9"/>
              <w:spacing w:before="1" w:line="354" w:lineRule="auto"/>
              <w:ind w:left="103" w:right="195" w:firstLine="490"/>
            </w:pPr>
            <w:r>
              <w:rPr>
                <w:spacing w:val="-1"/>
              </w:rPr>
              <w:t>劳动定员及工作制度：升压站劳动定员</w:t>
            </w:r>
            <w:r>
              <w:rPr>
                <w:rFonts w:ascii="Times New Roman" w:hAnsi="Times New Roman" w:eastAsia="Times New Roman" w:cs="Times New Roman"/>
                <w:spacing w:val="-1"/>
              </w:rPr>
              <w:t xml:space="preserve">20 </w:t>
            </w:r>
            <w:r>
              <w:rPr>
                <w:spacing w:val="-1"/>
              </w:rPr>
              <w:t>人，两班倒，年工作</w:t>
            </w:r>
            <w:r>
              <w:rPr>
                <w:spacing w:val="-40"/>
              </w:rPr>
              <w:t xml:space="preserve"> </w:t>
            </w:r>
            <w:r>
              <w:rPr>
                <w:rFonts w:ascii="Times New Roman" w:hAnsi="Times New Roman" w:eastAsia="Times New Roman" w:cs="Times New Roman"/>
                <w:spacing w:val="-1"/>
              </w:rPr>
              <w:t xml:space="preserve">365 </w:t>
            </w:r>
            <w:r>
              <w:rPr>
                <w:spacing w:val="-1"/>
              </w:rPr>
              <w:t>天，</w:t>
            </w:r>
            <w:r>
              <w:t xml:space="preserve"> </w:t>
            </w:r>
            <w:r>
              <w:rPr>
                <w:rFonts w:ascii="Times New Roman" w:hAnsi="Times New Roman" w:eastAsia="Times New Roman" w:cs="Times New Roman"/>
                <w:spacing w:val="-4"/>
              </w:rPr>
              <w:t>24</w:t>
            </w:r>
            <w:r>
              <w:rPr>
                <w:rFonts w:ascii="Times New Roman" w:hAnsi="Times New Roman" w:eastAsia="Times New Roman" w:cs="Times New Roman"/>
                <w:spacing w:val="17"/>
                <w:w w:val="101"/>
              </w:rPr>
              <w:t xml:space="preserve"> </w:t>
            </w:r>
            <w:r>
              <w:rPr>
                <w:spacing w:val="-4"/>
              </w:rPr>
              <w:t>小时制。</w:t>
            </w:r>
          </w:p>
          <w:p w14:paraId="25DC4A8F">
            <w:pPr>
              <w:pStyle w:val="9"/>
              <w:spacing w:line="219" w:lineRule="auto"/>
              <w:ind w:left="548"/>
            </w:pPr>
            <w:r>
              <w:rPr>
                <w:b/>
                <w:bCs/>
                <w:spacing w:val="-6"/>
              </w:rPr>
              <w:t>四、建设规模及内容</w:t>
            </w:r>
          </w:p>
          <w:p w14:paraId="2A65A3EC">
            <w:pPr>
              <w:pStyle w:val="9"/>
              <w:spacing w:before="174" w:line="218" w:lineRule="auto"/>
              <w:ind w:left="594"/>
            </w:pPr>
            <w:r>
              <w:rPr>
                <w:rFonts w:ascii="Times New Roman" w:hAnsi="Times New Roman" w:eastAsia="Times New Roman" w:cs="Times New Roman"/>
                <w:b/>
                <w:bCs/>
                <w:spacing w:val="-4"/>
              </w:rPr>
              <w:t>1.</w:t>
            </w:r>
            <w:r>
              <w:rPr>
                <w:b/>
                <w:bCs/>
                <w:spacing w:val="-4"/>
              </w:rPr>
              <w:t>主要评价内容</w:t>
            </w:r>
          </w:p>
          <w:p w14:paraId="0AF9285A">
            <w:pPr>
              <w:pStyle w:val="9"/>
              <w:spacing w:before="173" w:line="355" w:lineRule="auto"/>
              <w:ind w:left="110" w:right="103" w:firstLine="479"/>
              <w:jc w:val="both"/>
            </w:pPr>
            <w:r>
              <w:rPr>
                <w:spacing w:val="2"/>
              </w:rPr>
              <w:t>本升压站服务于内蒙古霍煤鸿骏铝电有限责任公司建设的风场，共以</w:t>
            </w:r>
            <w:r>
              <w:rPr>
                <w:spacing w:val="-42"/>
              </w:rPr>
              <w:t xml:space="preserve"> </w:t>
            </w:r>
            <w:r>
              <w:rPr>
                <w:rFonts w:ascii="Times New Roman" w:hAnsi="Times New Roman" w:eastAsia="Times New Roman" w:cs="Times New Roman"/>
                <w:spacing w:val="2"/>
              </w:rPr>
              <w:t>30</w:t>
            </w:r>
            <w:r>
              <w:t>回</w:t>
            </w:r>
            <w:r>
              <w:rPr>
                <w:spacing w:val="-46"/>
              </w:rPr>
              <w:t xml:space="preserve"> </w:t>
            </w:r>
            <w:r>
              <w:rPr>
                <w:rFonts w:ascii="Times New Roman" w:hAnsi="Times New Roman" w:eastAsia="Times New Roman" w:cs="Times New Roman"/>
              </w:rPr>
              <w:t xml:space="preserve">35kV </w:t>
            </w:r>
            <w:r>
              <w:t>进线接入风场范围内夏营地</w:t>
            </w:r>
            <w:r>
              <w:rPr>
                <w:spacing w:val="-51"/>
              </w:rPr>
              <w:t xml:space="preserve"> </w:t>
            </w:r>
            <w:r>
              <w:rPr>
                <w:rFonts w:ascii="Times New Roman" w:hAnsi="Times New Roman" w:eastAsia="Times New Roman" w:cs="Times New Roman"/>
              </w:rPr>
              <w:t>220kV</w:t>
            </w:r>
            <w:r>
              <w:rPr>
                <w:rFonts w:ascii="Times New Roman" w:hAnsi="Times New Roman" w:eastAsia="Times New Roman" w:cs="Times New Roman"/>
                <w:spacing w:val="16"/>
              </w:rPr>
              <w:t xml:space="preserve"> </w:t>
            </w:r>
            <w:r>
              <w:t>升压站，以</w:t>
            </w:r>
            <w:r>
              <w:rPr>
                <w:spacing w:val="-46"/>
              </w:rPr>
              <w:t xml:space="preserve"> </w:t>
            </w:r>
            <w:r>
              <w:rPr>
                <w:rFonts w:ascii="Times New Roman" w:hAnsi="Times New Roman" w:eastAsia="Times New Roman" w:cs="Times New Roman"/>
              </w:rPr>
              <w:t>3</w:t>
            </w:r>
            <w:r>
              <w:rPr>
                <w:rFonts w:ascii="Times New Roman" w:hAnsi="Times New Roman" w:eastAsia="Times New Roman" w:cs="Times New Roman"/>
                <w:spacing w:val="38"/>
              </w:rPr>
              <w:t xml:space="preserve"> </w:t>
            </w:r>
            <w:r>
              <w:t>回</w:t>
            </w:r>
            <w:r>
              <w:rPr>
                <w:spacing w:val="-50"/>
              </w:rPr>
              <w:t xml:space="preserve"> </w:t>
            </w:r>
            <w:r>
              <w:rPr>
                <w:rFonts w:ascii="Times New Roman" w:hAnsi="Times New Roman" w:eastAsia="Times New Roman" w:cs="Times New Roman"/>
              </w:rPr>
              <w:t xml:space="preserve">220kV </w:t>
            </w:r>
            <w:r>
              <w:rPr>
                <w:color w:val="0000FA"/>
              </w:rPr>
              <w:t>双回路</w:t>
            </w:r>
            <w:r>
              <w:rPr>
                <w:rFonts w:hint="eastAsia"/>
                <w:color w:val="0000FA"/>
                <w:lang w:eastAsia="zh-CN"/>
              </w:rPr>
              <w:t>出线间隔</w:t>
            </w:r>
            <w:r>
              <w:rPr>
                <w:spacing w:val="-4"/>
              </w:rPr>
              <w:t>接入扎铝三期户变</w:t>
            </w:r>
            <w:bookmarkStart w:id="0" w:name="_GoBack"/>
            <w:bookmarkEnd w:id="0"/>
            <w:r>
              <w:rPr>
                <w:spacing w:val="-4"/>
              </w:rPr>
              <w:t>电站</w:t>
            </w:r>
            <w:r>
              <w:rPr>
                <w:spacing w:val="-55"/>
              </w:rPr>
              <w:t xml:space="preserve"> </w:t>
            </w:r>
            <w:r>
              <w:rPr>
                <w:rFonts w:ascii="Times New Roman" w:hAnsi="Times New Roman" w:eastAsia="Times New Roman" w:cs="Times New Roman"/>
                <w:spacing w:val="-4"/>
              </w:rPr>
              <w:t xml:space="preserve">220 </w:t>
            </w:r>
            <w:r>
              <w:rPr>
                <w:spacing w:val="-4"/>
              </w:rPr>
              <w:t>千伏侧</w:t>
            </w:r>
            <w:r>
              <w:rPr>
                <w:rFonts w:hint="eastAsia"/>
                <w:color w:val="0000FF"/>
                <w:spacing w:val="-4"/>
              </w:rPr>
              <w:t>（</w:t>
            </w:r>
            <w:r>
              <w:rPr>
                <w:rFonts w:hint="eastAsia" w:ascii="Times New Roman" w:hAnsi="Times New Roman" w:eastAsia="Times New Roman" w:cs="Times New Roman"/>
                <w:color w:val="0000FF"/>
                <w:spacing w:val="-4"/>
              </w:rPr>
              <w:t>该220kV送出线路不在本次评价范围内）</w:t>
            </w:r>
            <w:r>
              <w:rPr>
                <w:spacing w:val="-4"/>
              </w:rPr>
              <w:t>；升压站位于风场中部，共安装</w:t>
            </w:r>
            <w:r>
              <w:rPr>
                <w:spacing w:val="-32"/>
              </w:rPr>
              <w:t xml:space="preserve"> </w:t>
            </w:r>
            <w:r>
              <w:rPr>
                <w:rFonts w:ascii="Times New Roman" w:hAnsi="Times New Roman" w:eastAsia="Times New Roman" w:cs="Times New Roman"/>
                <w:spacing w:val="-4"/>
              </w:rPr>
              <w:t>150MVA</w:t>
            </w:r>
            <w:r>
              <w:rPr>
                <w:spacing w:val="-5"/>
              </w:rPr>
              <w:t>主变压器</w:t>
            </w:r>
            <w:r>
              <w:rPr>
                <w:spacing w:val="-52"/>
              </w:rPr>
              <w:t xml:space="preserve"> </w:t>
            </w:r>
            <w:r>
              <w:rPr>
                <w:rFonts w:ascii="Times New Roman" w:hAnsi="Times New Roman" w:eastAsia="Times New Roman" w:cs="Times New Roman"/>
                <w:spacing w:val="-5"/>
              </w:rPr>
              <w:t>2</w:t>
            </w:r>
            <w:r>
              <w:rPr>
                <w:rFonts w:ascii="Times New Roman" w:hAnsi="Times New Roman" w:eastAsia="Times New Roman" w:cs="Times New Roman"/>
                <w:spacing w:val="28"/>
              </w:rPr>
              <w:t xml:space="preserve"> </w:t>
            </w:r>
            <w:r>
              <w:rPr>
                <w:spacing w:val="-5"/>
              </w:rPr>
              <w:t>台</w:t>
            </w:r>
            <w:r>
              <w:rPr>
                <w:rFonts w:ascii="Times New Roman" w:hAnsi="Times New Roman" w:eastAsia="Times New Roman" w:cs="Times New Roman"/>
                <w:spacing w:val="-5"/>
              </w:rPr>
              <w:t xml:space="preserve">125MVA </w:t>
            </w:r>
            <w:r>
              <w:rPr>
                <w:spacing w:val="-5"/>
              </w:rPr>
              <w:t>主变压器</w:t>
            </w:r>
            <w:r>
              <w:rPr>
                <w:spacing w:val="-32"/>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30"/>
                <w:w w:val="101"/>
              </w:rPr>
              <w:t xml:space="preserve"> </w:t>
            </w:r>
            <w:r>
              <w:rPr>
                <w:spacing w:val="-5"/>
              </w:rPr>
              <w:t>台及</w:t>
            </w:r>
            <w:r>
              <w:rPr>
                <w:spacing w:val="-53"/>
              </w:rPr>
              <w:t xml:space="preserve"> </w:t>
            </w:r>
            <w:r>
              <w:rPr>
                <w:rFonts w:ascii="Times New Roman" w:hAnsi="Times New Roman" w:eastAsia="Times New Roman" w:cs="Times New Roman"/>
                <w:spacing w:val="-5"/>
              </w:rPr>
              <w:t xml:space="preserve">240MVA </w:t>
            </w:r>
            <w:r>
              <w:rPr>
                <w:spacing w:val="-5"/>
              </w:rPr>
              <w:t>主变</w:t>
            </w:r>
            <w:r>
              <w:rPr>
                <w:spacing w:val="-6"/>
              </w:rPr>
              <w:t>压器</w:t>
            </w:r>
            <w:r>
              <w:rPr>
                <w:spacing w:val="-29"/>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30"/>
              </w:rPr>
              <w:t xml:space="preserve"> </w:t>
            </w:r>
            <w:r>
              <w:rPr>
                <w:spacing w:val="-6"/>
              </w:rPr>
              <w:t>台，分别是</w:t>
            </w:r>
            <w:r>
              <w:rPr>
                <w:spacing w:val="-32"/>
              </w:rPr>
              <w:t xml:space="preserve"> </w:t>
            </w:r>
            <w:r>
              <w:rPr>
                <w:rFonts w:ascii="Times New Roman" w:hAnsi="Times New Roman" w:eastAsia="Times New Roman" w:cs="Times New Roman"/>
                <w:spacing w:val="-6"/>
              </w:rPr>
              <w:t>1#</w:t>
            </w:r>
            <w:r>
              <w:rPr>
                <w:spacing w:val="1"/>
              </w:rPr>
              <w:t>主变、</w:t>
            </w:r>
            <w:r>
              <w:rPr>
                <w:rFonts w:ascii="Times New Roman" w:hAnsi="Times New Roman" w:eastAsia="Times New Roman" w:cs="Times New Roman"/>
                <w:spacing w:val="1"/>
              </w:rPr>
              <w:t>2#</w:t>
            </w:r>
            <w:r>
              <w:rPr>
                <w:spacing w:val="1"/>
              </w:rPr>
              <w:t>主变、</w:t>
            </w:r>
            <w:r>
              <w:rPr>
                <w:rFonts w:ascii="Times New Roman" w:hAnsi="Times New Roman" w:eastAsia="Times New Roman" w:cs="Times New Roman"/>
                <w:spacing w:val="1"/>
              </w:rPr>
              <w:t>3#</w:t>
            </w:r>
            <w:r>
              <w:rPr>
                <w:spacing w:val="1"/>
              </w:rPr>
              <w:t>主变及</w:t>
            </w:r>
            <w:r>
              <w:rPr>
                <w:spacing w:val="-30"/>
              </w:rPr>
              <w:t xml:space="preserve"> </w:t>
            </w:r>
            <w:r>
              <w:rPr>
                <w:rFonts w:ascii="Times New Roman" w:hAnsi="Times New Roman" w:eastAsia="Times New Roman" w:cs="Times New Roman"/>
                <w:spacing w:val="1"/>
              </w:rPr>
              <w:t>5#</w:t>
            </w:r>
            <w:r>
              <w:rPr>
                <w:spacing w:val="1"/>
              </w:rPr>
              <w:t>主变，原</w:t>
            </w:r>
            <w:r>
              <w:rPr>
                <w:spacing w:val="-54"/>
              </w:rPr>
              <w:t xml:space="preserve"> </w:t>
            </w:r>
            <w:r>
              <w:rPr>
                <w:rFonts w:ascii="Times New Roman" w:hAnsi="Times New Roman" w:eastAsia="Times New Roman" w:cs="Times New Roman"/>
                <w:spacing w:val="1"/>
              </w:rPr>
              <w:t>4#</w:t>
            </w:r>
            <w:r>
              <w:rPr>
                <w:spacing w:val="1"/>
              </w:rPr>
              <w:t>主变已拆除搬迁。配套建设</w:t>
            </w:r>
            <w:r>
              <w:rPr>
                <w:spacing w:val="-45"/>
              </w:rPr>
              <w:t xml:space="preserve"> </w:t>
            </w:r>
            <w:r>
              <w:rPr>
                <w:rFonts w:ascii="Times New Roman" w:hAnsi="Times New Roman" w:eastAsia="Times New Roman" w:cs="Times New Roman"/>
                <w:spacing w:val="1"/>
              </w:rPr>
              <w:t>35</w:t>
            </w:r>
            <w:r>
              <w:rPr>
                <w:rFonts w:ascii="Times New Roman" w:hAnsi="Times New Roman" w:eastAsia="Times New Roman" w:cs="Times New Roman"/>
              </w:rPr>
              <w:t>kV</w:t>
            </w:r>
            <w:r>
              <w:rPr>
                <w:rFonts w:ascii="Times New Roman" w:hAnsi="Times New Roman" w:eastAsia="Times New Roman" w:cs="Times New Roman"/>
                <w:spacing w:val="1"/>
              </w:rPr>
              <w:t xml:space="preserve"> </w:t>
            </w:r>
            <w:r>
              <w:rPr>
                <w:spacing w:val="1"/>
              </w:rPr>
              <w:t>配</w:t>
            </w:r>
            <w:r>
              <w:rPr>
                <w:spacing w:val="2"/>
              </w:rPr>
              <w:t>电楼、</w:t>
            </w:r>
            <w:r>
              <w:rPr>
                <w:rFonts w:ascii="Times New Roman" w:hAnsi="Times New Roman" w:eastAsia="Times New Roman" w:cs="Times New Roman"/>
              </w:rPr>
              <w:t>SVG</w:t>
            </w:r>
            <w:r>
              <w:rPr>
                <w:rFonts w:ascii="Times New Roman" w:hAnsi="Times New Roman" w:eastAsia="Times New Roman" w:cs="Times New Roman"/>
                <w:spacing w:val="2"/>
              </w:rPr>
              <w:t xml:space="preserve"> </w:t>
            </w:r>
            <w:r>
              <w:rPr>
                <w:spacing w:val="2"/>
              </w:rPr>
              <w:t>室、综合楼、水泵房、事故油池、危险废物暂存间、附属楼等建</w:t>
            </w:r>
            <w:r>
              <w:rPr>
                <w:spacing w:val="-3"/>
              </w:rPr>
              <w:t>构筑物。</w:t>
            </w:r>
          </w:p>
          <w:p w14:paraId="54C7509B">
            <w:pPr>
              <w:pStyle w:val="9"/>
              <w:spacing w:before="2" w:line="218" w:lineRule="auto"/>
              <w:ind w:left="589"/>
            </w:pPr>
            <w:r>
              <w:rPr>
                <w:spacing w:val="-3"/>
              </w:rPr>
              <w:t>本次对升压站内主变压器及其他配套设施进行评价，进站道路已在《</w:t>
            </w:r>
            <w:r>
              <w:rPr>
                <w:spacing w:val="-4"/>
              </w:rPr>
              <w:t>内蒙</w:t>
            </w:r>
          </w:p>
        </w:tc>
      </w:tr>
    </w:tbl>
    <w:p w14:paraId="73989F9D">
      <w:pPr>
        <w:pStyle w:val="3"/>
      </w:pPr>
    </w:p>
    <w:p w14:paraId="09F26595">
      <w:pPr>
        <w:sectPr>
          <w:footerReference r:id="rId19" w:type="default"/>
          <w:pgSz w:w="11906" w:h="16838"/>
          <w:pgMar w:top="1416" w:right="1414" w:bottom="1295" w:left="1414" w:header="0" w:footer="1133" w:gutter="0"/>
          <w:cols w:space="720" w:num="1"/>
        </w:sectPr>
      </w:pPr>
    </w:p>
    <w:tbl>
      <w:tblPr>
        <w:tblStyle w:val="8"/>
        <w:tblW w:w="9062"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6"/>
        <w:gridCol w:w="113"/>
        <w:gridCol w:w="404"/>
        <w:gridCol w:w="1600"/>
        <w:gridCol w:w="5222"/>
        <w:gridCol w:w="824"/>
        <w:gridCol w:w="123"/>
      </w:tblGrid>
      <w:tr w14:paraId="3F159A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91" w:hRule="atLeast"/>
        </w:trPr>
        <w:tc>
          <w:tcPr>
            <w:tcW w:w="776" w:type="dxa"/>
            <w:vMerge w:val="restart"/>
            <w:tcBorders>
              <w:top w:val="single" w:color="000000" w:sz="6" w:space="0"/>
              <w:left w:val="single" w:color="000000" w:sz="6" w:space="0"/>
              <w:bottom w:val="nil"/>
            </w:tcBorders>
            <w:vAlign w:val="top"/>
          </w:tcPr>
          <w:p w14:paraId="1E91568F">
            <w:pPr>
              <w:rPr>
                <w:rFonts w:ascii="Arial"/>
                <w:sz w:val="21"/>
              </w:rPr>
            </w:pPr>
          </w:p>
        </w:tc>
        <w:tc>
          <w:tcPr>
            <w:tcW w:w="8286" w:type="dxa"/>
            <w:gridSpan w:val="6"/>
            <w:tcBorders>
              <w:top w:val="single" w:color="000000" w:sz="6" w:space="0"/>
              <w:right w:val="single" w:color="000000" w:sz="6" w:space="0"/>
            </w:tcBorders>
            <w:vAlign w:val="top"/>
          </w:tcPr>
          <w:p w14:paraId="16E9DB50">
            <w:pPr>
              <w:pStyle w:val="9"/>
              <w:spacing w:before="168" w:line="361" w:lineRule="auto"/>
              <w:ind w:left="107" w:right="103" w:firstLine="6"/>
              <w:jc w:val="both"/>
            </w:pPr>
            <w:r>
              <w:rPr>
                <w:spacing w:val="-1"/>
              </w:rPr>
              <w:t>古霍林河循环经济示范工程</w:t>
            </w:r>
            <w:r>
              <w:rPr>
                <w:spacing w:val="-36"/>
              </w:rPr>
              <w:t xml:space="preserve"> </w:t>
            </w:r>
            <w:r>
              <w:rPr>
                <w:rFonts w:ascii="Times New Roman" w:hAnsi="Times New Roman" w:eastAsia="Times New Roman" w:cs="Times New Roman"/>
                <w:spacing w:val="-1"/>
              </w:rPr>
              <w:t>80</w:t>
            </w:r>
            <w:r>
              <w:rPr>
                <w:rFonts w:ascii="Times New Roman" w:hAnsi="Times New Roman" w:eastAsia="Times New Roman" w:cs="Times New Roman"/>
                <w:spacing w:val="18"/>
              </w:rPr>
              <w:t xml:space="preserve"> </w:t>
            </w:r>
            <w:r>
              <w:rPr>
                <w:spacing w:val="-1"/>
              </w:rPr>
              <w:t>万千瓦就地消纳风电示范项目环境影响评价》</w:t>
            </w:r>
            <w:r>
              <w:rPr>
                <w:spacing w:val="-5"/>
              </w:rPr>
              <w:t>中进行评价，并于</w:t>
            </w:r>
            <w:r>
              <w:rPr>
                <w:spacing w:val="-45"/>
              </w:rPr>
              <w:t xml:space="preserve"> </w:t>
            </w:r>
            <w:r>
              <w:rPr>
                <w:rFonts w:ascii="Times New Roman" w:hAnsi="Times New Roman" w:eastAsia="Times New Roman" w:cs="Times New Roman"/>
                <w:spacing w:val="-5"/>
              </w:rPr>
              <w:t xml:space="preserve">2015 </w:t>
            </w:r>
            <w:r>
              <w:rPr>
                <w:spacing w:val="-5"/>
              </w:rPr>
              <w:t>年</w:t>
            </w:r>
            <w:r>
              <w:rPr>
                <w:spacing w:val="-56"/>
              </w:rPr>
              <w:t xml:space="preserve"> </w:t>
            </w:r>
            <w:r>
              <w:rPr>
                <w:rFonts w:ascii="Times New Roman" w:hAnsi="Times New Roman" w:eastAsia="Times New Roman" w:cs="Times New Roman"/>
                <w:spacing w:val="-5"/>
              </w:rPr>
              <w:t>4</w:t>
            </w:r>
            <w:r>
              <w:rPr>
                <w:rFonts w:ascii="Times New Roman" w:hAnsi="Times New Roman" w:eastAsia="Times New Roman" w:cs="Times New Roman"/>
                <w:spacing w:val="15"/>
              </w:rPr>
              <w:t xml:space="preserve"> </w:t>
            </w:r>
            <w:r>
              <w:rPr>
                <w:spacing w:val="-5"/>
              </w:rPr>
              <w:t>月</w:t>
            </w:r>
            <w:r>
              <w:rPr>
                <w:spacing w:val="-55"/>
              </w:rPr>
              <w:t xml:space="preserve"> </w:t>
            </w:r>
            <w:r>
              <w:rPr>
                <w:rFonts w:ascii="Times New Roman" w:hAnsi="Times New Roman" w:eastAsia="Times New Roman" w:cs="Times New Roman"/>
                <w:spacing w:val="-5"/>
              </w:rPr>
              <w:t xml:space="preserve">24  </w:t>
            </w:r>
            <w:r>
              <w:rPr>
                <w:spacing w:val="-5"/>
              </w:rPr>
              <w:t>日取得通辽市环境保护局《通辽市环境保护</w:t>
            </w:r>
            <w:r>
              <w:rPr>
                <w:spacing w:val="6"/>
              </w:rPr>
              <w:t>局关于内蒙古霍林河循环经济示范工程</w:t>
            </w:r>
            <w:r>
              <w:rPr>
                <w:spacing w:val="-19"/>
              </w:rPr>
              <w:t xml:space="preserve"> </w:t>
            </w:r>
            <w:r>
              <w:rPr>
                <w:rFonts w:ascii="Times New Roman" w:hAnsi="Times New Roman" w:eastAsia="Times New Roman" w:cs="Times New Roman"/>
                <w:spacing w:val="6"/>
              </w:rPr>
              <w:t>80</w:t>
            </w:r>
            <w:r>
              <w:rPr>
                <w:rFonts w:ascii="Times New Roman" w:hAnsi="Times New Roman" w:eastAsia="Times New Roman" w:cs="Times New Roman"/>
                <w:spacing w:val="25"/>
              </w:rPr>
              <w:t xml:space="preserve"> </w:t>
            </w:r>
            <w:r>
              <w:rPr>
                <w:spacing w:val="6"/>
              </w:rPr>
              <w:t>万千瓦就地消纳风电项目（一期</w:t>
            </w:r>
            <w:r>
              <w:rPr>
                <w:rFonts w:ascii="Times New Roman" w:hAnsi="Times New Roman" w:eastAsia="Times New Roman" w:cs="Times New Roman"/>
                <w:spacing w:val="-1"/>
              </w:rPr>
              <w:t>100MW</w:t>
            </w:r>
            <w:r>
              <w:rPr>
                <w:spacing w:val="-1"/>
              </w:rPr>
              <w:t>）工程竣工环境保护验收的意见》（通环验〔</w:t>
            </w:r>
            <w:r>
              <w:rPr>
                <w:rFonts w:ascii="Times New Roman" w:hAnsi="Times New Roman" w:eastAsia="Times New Roman" w:cs="Times New Roman"/>
                <w:spacing w:val="-1"/>
              </w:rPr>
              <w:t>2015</w:t>
            </w:r>
            <w:r>
              <w:rPr>
                <w:spacing w:val="-1"/>
              </w:rPr>
              <w:t>〕</w:t>
            </w:r>
            <w:r>
              <w:rPr>
                <w:rFonts w:ascii="Times New Roman" w:hAnsi="Times New Roman" w:eastAsia="Times New Roman" w:cs="Times New Roman"/>
                <w:spacing w:val="-1"/>
              </w:rPr>
              <w:t>14</w:t>
            </w:r>
            <w:r>
              <w:rPr>
                <w:rFonts w:ascii="Times New Roman" w:hAnsi="Times New Roman" w:eastAsia="Times New Roman" w:cs="Times New Roman"/>
                <w:spacing w:val="16"/>
              </w:rPr>
              <w:t xml:space="preserve"> </w:t>
            </w:r>
            <w:r>
              <w:rPr>
                <w:spacing w:val="-1"/>
              </w:rPr>
              <w:t>号</w:t>
            </w:r>
            <w:r>
              <w:rPr>
                <w:spacing w:val="12"/>
              </w:rPr>
              <w:t>），</w:t>
            </w:r>
            <w:r>
              <w:rPr>
                <w:spacing w:val="-1"/>
              </w:rPr>
              <w:t>本次不对进站道路进行评价，外送</w:t>
            </w:r>
            <w:r>
              <w:rPr>
                <w:spacing w:val="-45"/>
              </w:rPr>
              <w:t xml:space="preserve"> </w:t>
            </w:r>
            <w:r>
              <w:rPr>
                <w:rFonts w:ascii="Times New Roman" w:hAnsi="Times New Roman" w:eastAsia="Times New Roman" w:cs="Times New Roman"/>
                <w:spacing w:val="-1"/>
              </w:rPr>
              <w:t xml:space="preserve">220kV </w:t>
            </w:r>
            <w:r>
              <w:rPr>
                <w:spacing w:val="-1"/>
              </w:rPr>
              <w:t>线路另行评价。</w:t>
            </w:r>
          </w:p>
          <w:p w14:paraId="52FAB271">
            <w:pPr>
              <w:pStyle w:val="9"/>
              <w:spacing w:line="218" w:lineRule="auto"/>
              <w:ind w:left="589"/>
            </w:pPr>
            <w:r>
              <w:rPr>
                <w:spacing w:val="-1"/>
              </w:rPr>
              <w:t>本项目主体构筑物建设内容具体见下表</w:t>
            </w:r>
            <w:r>
              <w:rPr>
                <w:spacing w:val="-52"/>
              </w:rPr>
              <w:t xml:space="preserve"> </w:t>
            </w:r>
            <w:r>
              <w:rPr>
                <w:rFonts w:ascii="Times New Roman" w:hAnsi="Times New Roman" w:eastAsia="Times New Roman" w:cs="Times New Roman"/>
                <w:spacing w:val="-1"/>
              </w:rPr>
              <w:t>2-2</w:t>
            </w:r>
            <w:r>
              <w:rPr>
                <w:spacing w:val="-1"/>
              </w:rPr>
              <w:t>。</w:t>
            </w:r>
          </w:p>
          <w:p w14:paraId="71BE3B9A">
            <w:pPr>
              <w:pStyle w:val="9"/>
              <w:spacing w:before="210" w:line="212" w:lineRule="auto"/>
              <w:ind w:left="2812"/>
              <w:outlineLvl w:val="2"/>
            </w:pPr>
            <w:r>
              <w:rPr>
                <w:b/>
                <w:bCs/>
                <w:spacing w:val="-2"/>
              </w:rPr>
              <w:t>表</w:t>
            </w:r>
            <w:r>
              <w:rPr>
                <w:spacing w:val="-52"/>
              </w:rPr>
              <w:t xml:space="preserve"> </w:t>
            </w:r>
            <w:r>
              <w:rPr>
                <w:rFonts w:ascii="Times New Roman" w:hAnsi="Times New Roman" w:eastAsia="Times New Roman" w:cs="Times New Roman"/>
                <w:b/>
                <w:bCs/>
                <w:spacing w:val="-2"/>
              </w:rPr>
              <w:t xml:space="preserve">2-2      </w:t>
            </w:r>
            <w:r>
              <w:rPr>
                <w:b/>
                <w:bCs/>
                <w:spacing w:val="-2"/>
              </w:rPr>
              <w:t>项目组成一览表</w:t>
            </w:r>
          </w:p>
          <w:tbl>
            <w:tblPr>
              <w:tblStyle w:val="8"/>
              <w:tblW w:w="8068" w:type="dxa"/>
              <w:tblInd w:w="1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3"/>
              <w:gridCol w:w="1438"/>
              <w:gridCol w:w="1875"/>
              <w:gridCol w:w="1719"/>
              <w:gridCol w:w="1719"/>
              <w:gridCol w:w="564"/>
            </w:tblGrid>
            <w:tr w14:paraId="194825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2191" w:type="dxa"/>
                  <w:gridSpan w:val="2"/>
                  <w:vAlign w:val="top"/>
                </w:tcPr>
                <w:p w14:paraId="3916CDCE">
                  <w:pPr>
                    <w:pStyle w:val="9"/>
                    <w:spacing w:before="170" w:line="228" w:lineRule="auto"/>
                    <w:ind w:left="367"/>
                    <w:rPr>
                      <w:sz w:val="20"/>
                      <w:szCs w:val="20"/>
                    </w:rPr>
                  </w:pPr>
                  <w:r>
                    <w:rPr>
                      <w:b/>
                      <w:bCs/>
                      <w:spacing w:val="6"/>
                      <w:sz w:val="20"/>
                      <w:szCs w:val="20"/>
                    </w:rPr>
                    <w:t>项目名称及分类</w:t>
                  </w:r>
                </w:p>
              </w:tc>
              <w:tc>
                <w:tcPr>
                  <w:tcW w:w="1875" w:type="dxa"/>
                  <w:vAlign w:val="top"/>
                </w:tcPr>
                <w:p w14:paraId="6B710F7A">
                  <w:pPr>
                    <w:pStyle w:val="9"/>
                    <w:spacing w:before="171" w:line="228" w:lineRule="auto"/>
                    <w:ind w:left="471"/>
                    <w:rPr>
                      <w:sz w:val="20"/>
                      <w:szCs w:val="20"/>
                    </w:rPr>
                  </w:pPr>
                  <w:r>
                    <w:rPr>
                      <w:b/>
                      <w:bCs/>
                      <w:spacing w:val="4"/>
                      <w:sz w:val="20"/>
                      <w:szCs w:val="20"/>
                    </w:rPr>
                    <w:t>一期</w:t>
                  </w:r>
                  <w:r>
                    <w:rPr>
                      <w:rFonts w:ascii="Times New Roman" w:hAnsi="Times New Roman" w:eastAsia="Times New Roman" w:cs="Times New Roman"/>
                      <w:b/>
                      <w:bCs/>
                      <w:spacing w:val="4"/>
                      <w:sz w:val="20"/>
                      <w:szCs w:val="20"/>
                    </w:rPr>
                    <w:t>~</w:t>
                  </w:r>
                  <w:r>
                    <w:rPr>
                      <w:b/>
                      <w:bCs/>
                      <w:spacing w:val="4"/>
                      <w:sz w:val="20"/>
                      <w:szCs w:val="20"/>
                    </w:rPr>
                    <w:t>三期</w:t>
                  </w:r>
                </w:p>
              </w:tc>
              <w:tc>
                <w:tcPr>
                  <w:tcW w:w="1719" w:type="dxa"/>
                  <w:vAlign w:val="top"/>
                </w:tcPr>
                <w:p w14:paraId="4FF507E7">
                  <w:pPr>
                    <w:pStyle w:val="9"/>
                    <w:spacing w:before="171" w:line="228" w:lineRule="auto"/>
                    <w:ind w:left="674"/>
                    <w:rPr>
                      <w:sz w:val="20"/>
                      <w:szCs w:val="20"/>
                    </w:rPr>
                  </w:pPr>
                  <w:r>
                    <w:rPr>
                      <w:b/>
                      <w:bCs/>
                      <w:spacing w:val="-6"/>
                      <w:sz w:val="20"/>
                      <w:szCs w:val="20"/>
                    </w:rPr>
                    <w:t>四期</w:t>
                  </w:r>
                </w:p>
              </w:tc>
              <w:tc>
                <w:tcPr>
                  <w:tcW w:w="1719" w:type="dxa"/>
                  <w:vAlign w:val="top"/>
                </w:tcPr>
                <w:p w14:paraId="1ED4346D">
                  <w:pPr>
                    <w:pStyle w:val="9"/>
                    <w:spacing w:before="171" w:line="228" w:lineRule="auto"/>
                    <w:ind w:left="659"/>
                    <w:rPr>
                      <w:sz w:val="20"/>
                      <w:szCs w:val="20"/>
                    </w:rPr>
                  </w:pPr>
                  <w:r>
                    <w:rPr>
                      <w:b/>
                      <w:bCs/>
                      <w:spacing w:val="2"/>
                      <w:sz w:val="20"/>
                      <w:szCs w:val="20"/>
                    </w:rPr>
                    <w:t>五期</w:t>
                  </w:r>
                </w:p>
              </w:tc>
              <w:tc>
                <w:tcPr>
                  <w:tcW w:w="564" w:type="dxa"/>
                  <w:textDirection w:val="tbRlV"/>
                  <w:vAlign w:val="top"/>
                </w:tcPr>
                <w:p w14:paraId="413617ED">
                  <w:pPr>
                    <w:pStyle w:val="9"/>
                    <w:spacing w:before="174" w:line="216" w:lineRule="auto"/>
                    <w:ind w:left="36"/>
                    <w:rPr>
                      <w:sz w:val="20"/>
                      <w:szCs w:val="20"/>
                    </w:rPr>
                  </w:pPr>
                  <w:r>
                    <w:rPr>
                      <w:b/>
                      <w:bCs/>
                      <w:spacing w:val="6"/>
                      <w:sz w:val="20"/>
                      <w:szCs w:val="20"/>
                    </w:rPr>
                    <w:t>性</w:t>
                  </w:r>
                  <w:r>
                    <w:rPr>
                      <w:spacing w:val="-38"/>
                      <w:sz w:val="20"/>
                      <w:szCs w:val="20"/>
                    </w:rPr>
                    <w:t xml:space="preserve"> </w:t>
                  </w:r>
                  <w:r>
                    <w:rPr>
                      <w:b/>
                      <w:bCs/>
                      <w:spacing w:val="6"/>
                      <w:sz w:val="20"/>
                      <w:szCs w:val="20"/>
                    </w:rPr>
                    <w:t>质</w:t>
                  </w:r>
                </w:p>
              </w:tc>
            </w:tr>
            <w:tr w14:paraId="286205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4" w:hRule="atLeast"/>
              </w:trPr>
              <w:tc>
                <w:tcPr>
                  <w:tcW w:w="753" w:type="dxa"/>
                  <w:vMerge w:val="restart"/>
                  <w:tcBorders>
                    <w:bottom w:val="nil"/>
                  </w:tcBorders>
                  <w:vAlign w:val="top"/>
                </w:tcPr>
                <w:p w14:paraId="38DAA88F">
                  <w:pPr>
                    <w:spacing w:line="255" w:lineRule="auto"/>
                    <w:rPr>
                      <w:rFonts w:ascii="Arial"/>
                      <w:sz w:val="21"/>
                    </w:rPr>
                  </w:pPr>
                </w:p>
                <w:p w14:paraId="2FC25957">
                  <w:pPr>
                    <w:spacing w:line="255" w:lineRule="auto"/>
                    <w:rPr>
                      <w:rFonts w:ascii="Arial"/>
                      <w:sz w:val="21"/>
                    </w:rPr>
                  </w:pPr>
                </w:p>
                <w:p w14:paraId="395C5EFF">
                  <w:pPr>
                    <w:spacing w:line="255" w:lineRule="auto"/>
                    <w:rPr>
                      <w:rFonts w:ascii="Arial"/>
                      <w:sz w:val="21"/>
                    </w:rPr>
                  </w:pPr>
                </w:p>
                <w:p w14:paraId="2A1DA70A">
                  <w:pPr>
                    <w:spacing w:line="255" w:lineRule="auto"/>
                    <w:rPr>
                      <w:rFonts w:ascii="Arial"/>
                      <w:sz w:val="21"/>
                    </w:rPr>
                  </w:pPr>
                </w:p>
                <w:p w14:paraId="5237044E">
                  <w:pPr>
                    <w:spacing w:line="255" w:lineRule="auto"/>
                    <w:rPr>
                      <w:rFonts w:ascii="Arial"/>
                      <w:sz w:val="21"/>
                    </w:rPr>
                  </w:pPr>
                </w:p>
                <w:p w14:paraId="31170FC7">
                  <w:pPr>
                    <w:spacing w:line="255" w:lineRule="auto"/>
                    <w:rPr>
                      <w:rFonts w:ascii="Arial"/>
                      <w:sz w:val="21"/>
                    </w:rPr>
                  </w:pPr>
                </w:p>
                <w:p w14:paraId="0AE5FE07">
                  <w:pPr>
                    <w:spacing w:line="255" w:lineRule="auto"/>
                    <w:rPr>
                      <w:rFonts w:ascii="Arial"/>
                      <w:sz w:val="21"/>
                    </w:rPr>
                  </w:pPr>
                </w:p>
                <w:p w14:paraId="7C1760CF">
                  <w:pPr>
                    <w:pStyle w:val="9"/>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rFonts w:ascii="宋体" w:hAnsi="宋体" w:eastAsia="宋体" w:cs="宋体"/>
                      <w:spacing w:val="6"/>
                      <w:sz w:val="20"/>
                      <w:szCs w:val="20"/>
                    </w:rPr>
                  </w:pPr>
                </w:p>
                <w:p w14:paraId="7A7FC265">
                  <w:pPr>
                    <w:pStyle w:val="9"/>
                    <w:keepNext w:val="0"/>
                    <w:keepLines w:val="0"/>
                    <w:pageBreakBefore w:val="0"/>
                    <w:widowControl/>
                    <w:kinsoku w:val="0"/>
                    <w:wordWrap/>
                    <w:overflowPunct/>
                    <w:topLinePunct w:val="0"/>
                    <w:autoSpaceDE w:val="0"/>
                    <w:autoSpaceDN w:val="0"/>
                    <w:bidi w:val="0"/>
                    <w:adjustRightInd w:val="0"/>
                    <w:snapToGrid w:val="0"/>
                    <w:spacing w:line="240" w:lineRule="auto"/>
                    <w:ind w:left="0"/>
                    <w:jc w:val="both"/>
                    <w:textAlignment w:val="baseline"/>
                    <w:rPr>
                      <w:sz w:val="20"/>
                      <w:szCs w:val="20"/>
                    </w:rPr>
                  </w:pPr>
                  <w:r>
                    <w:rPr>
                      <w:rFonts w:hint="default" w:ascii="Times New Roman" w:hAnsi="Times New Roman" w:eastAsia="宋体" w:cs="Times New Roman"/>
                      <w:spacing w:val="6"/>
                      <w:sz w:val="20"/>
                      <w:szCs w:val="20"/>
                    </w:rPr>
                    <w:t>夏营地220kV 升压站</w:t>
                  </w:r>
                </w:p>
              </w:tc>
              <w:tc>
                <w:tcPr>
                  <w:tcW w:w="1438" w:type="dxa"/>
                  <w:vAlign w:val="top"/>
                </w:tcPr>
                <w:p w14:paraId="3E217864">
                  <w:pPr>
                    <w:spacing w:line="477" w:lineRule="auto"/>
                    <w:rPr>
                      <w:rFonts w:ascii="Arial"/>
                      <w:sz w:val="21"/>
                    </w:rPr>
                  </w:pPr>
                </w:p>
                <w:p w14:paraId="2DC6F99A">
                  <w:pPr>
                    <w:pStyle w:val="9"/>
                    <w:spacing w:before="65" w:line="228" w:lineRule="auto"/>
                    <w:ind w:left="304"/>
                    <w:rPr>
                      <w:sz w:val="20"/>
                      <w:szCs w:val="20"/>
                    </w:rPr>
                  </w:pPr>
                  <w:r>
                    <w:rPr>
                      <w:spacing w:val="6"/>
                      <w:sz w:val="20"/>
                      <w:szCs w:val="20"/>
                    </w:rPr>
                    <w:t>主变容量</w:t>
                  </w:r>
                </w:p>
              </w:tc>
              <w:tc>
                <w:tcPr>
                  <w:tcW w:w="1875" w:type="dxa"/>
                  <w:vAlign w:val="top"/>
                </w:tcPr>
                <w:p w14:paraId="4B725BD1">
                  <w:pPr>
                    <w:pStyle w:val="9"/>
                    <w:spacing w:before="165" w:line="230" w:lineRule="auto"/>
                    <w:ind w:left="108"/>
                    <w:rPr>
                      <w:sz w:val="20"/>
                      <w:szCs w:val="20"/>
                    </w:rPr>
                  </w:pPr>
                  <w:r>
                    <w:rPr>
                      <w:rFonts w:ascii="Times New Roman" w:hAnsi="Times New Roman" w:eastAsia="Times New Roman" w:cs="Times New Roman"/>
                      <w:spacing w:val="4"/>
                      <w:sz w:val="20"/>
                      <w:szCs w:val="20"/>
                    </w:rPr>
                    <w:t>2×150</w:t>
                  </w:r>
                  <w:r>
                    <w:rPr>
                      <w:rFonts w:ascii="Times New Roman" w:hAnsi="Times New Roman" w:eastAsia="Times New Roman" w:cs="Times New Roman"/>
                      <w:sz w:val="20"/>
                      <w:szCs w:val="20"/>
                    </w:rPr>
                    <w:t>MVA</w:t>
                  </w:r>
                  <w:r>
                    <w:rPr>
                      <w:rFonts w:ascii="Times New Roman" w:hAnsi="Times New Roman" w:eastAsia="Times New Roman" w:cs="Times New Roman"/>
                      <w:spacing w:val="-9"/>
                      <w:sz w:val="20"/>
                      <w:szCs w:val="20"/>
                    </w:rPr>
                    <w:t xml:space="preserve"> </w:t>
                  </w:r>
                  <w:r>
                    <w:rPr>
                      <w:spacing w:val="4"/>
                      <w:sz w:val="20"/>
                      <w:szCs w:val="20"/>
                    </w:rPr>
                    <w:t>三相双</w:t>
                  </w:r>
                </w:p>
                <w:p w14:paraId="4B5DD8C5">
                  <w:pPr>
                    <w:pStyle w:val="9"/>
                    <w:spacing w:before="22" w:line="228" w:lineRule="auto"/>
                    <w:ind w:left="115"/>
                    <w:rPr>
                      <w:sz w:val="20"/>
                      <w:szCs w:val="20"/>
                    </w:rPr>
                  </w:pPr>
                  <w:r>
                    <w:rPr>
                      <w:spacing w:val="5"/>
                      <w:sz w:val="20"/>
                      <w:szCs w:val="20"/>
                    </w:rPr>
                    <w:t>绕组变压器，变比</w:t>
                  </w:r>
                </w:p>
                <w:p w14:paraId="4BDA9D99">
                  <w:pPr>
                    <w:spacing w:before="43" w:line="199" w:lineRule="auto"/>
                    <w:ind w:left="13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230±8x1.25%/38.5</w:t>
                  </w:r>
                </w:p>
                <w:p w14:paraId="2F38CF2D">
                  <w:pPr>
                    <w:spacing w:before="49" w:line="199" w:lineRule="auto"/>
                    <w:ind w:left="80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kV</w:t>
                  </w:r>
                </w:p>
              </w:tc>
              <w:tc>
                <w:tcPr>
                  <w:tcW w:w="1719" w:type="dxa"/>
                  <w:vAlign w:val="top"/>
                </w:tcPr>
                <w:p w14:paraId="213F16FB">
                  <w:pPr>
                    <w:pStyle w:val="9"/>
                    <w:spacing w:before="32" w:line="251" w:lineRule="auto"/>
                    <w:ind w:left="131" w:right="121" w:firstLine="13"/>
                    <w:rPr>
                      <w:sz w:val="20"/>
                      <w:szCs w:val="20"/>
                    </w:rPr>
                  </w:pPr>
                  <w:r>
                    <w:rPr>
                      <w:rFonts w:ascii="Times New Roman" w:hAnsi="Times New Roman" w:eastAsia="Times New Roman" w:cs="Times New Roman"/>
                      <w:spacing w:val="2"/>
                      <w:sz w:val="20"/>
                      <w:szCs w:val="20"/>
                    </w:rPr>
                    <w:t>1×125</w:t>
                  </w:r>
                  <w:r>
                    <w:rPr>
                      <w:rFonts w:ascii="Times New Roman" w:hAnsi="Times New Roman" w:eastAsia="Times New Roman" w:cs="Times New Roman"/>
                      <w:sz w:val="20"/>
                      <w:szCs w:val="20"/>
                    </w:rPr>
                    <w:t>MVA</w:t>
                  </w:r>
                  <w:r>
                    <w:rPr>
                      <w:rFonts w:ascii="Times New Roman" w:hAnsi="Times New Roman" w:eastAsia="Times New Roman" w:cs="Times New Roman"/>
                      <w:spacing w:val="2"/>
                      <w:sz w:val="20"/>
                      <w:szCs w:val="20"/>
                    </w:rPr>
                    <w:t xml:space="preserve"> </w:t>
                  </w:r>
                  <w:r>
                    <w:rPr>
                      <w:spacing w:val="2"/>
                      <w:sz w:val="20"/>
                      <w:szCs w:val="20"/>
                    </w:rPr>
                    <w:t>三相</w:t>
                  </w:r>
                  <w:r>
                    <w:rPr>
                      <w:spacing w:val="7"/>
                      <w:sz w:val="20"/>
                      <w:szCs w:val="20"/>
                    </w:rPr>
                    <w:t>双绕组变压器，</w:t>
                  </w:r>
                </w:p>
                <w:p w14:paraId="68BAAEA1">
                  <w:pPr>
                    <w:pStyle w:val="9"/>
                    <w:spacing w:line="229" w:lineRule="auto"/>
                    <w:ind w:left="656"/>
                    <w:rPr>
                      <w:sz w:val="20"/>
                      <w:szCs w:val="20"/>
                    </w:rPr>
                  </w:pPr>
                  <w:r>
                    <w:rPr>
                      <w:spacing w:val="4"/>
                      <w:sz w:val="20"/>
                      <w:szCs w:val="20"/>
                    </w:rPr>
                    <w:t>变比</w:t>
                  </w:r>
                </w:p>
                <w:p w14:paraId="3C9029D4">
                  <w:pPr>
                    <w:spacing w:before="40" w:line="199" w:lineRule="auto"/>
                    <w:ind w:left="110"/>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230±8x1.25%/38.</w:t>
                  </w:r>
                </w:p>
                <w:p w14:paraId="719A1F89">
                  <w:pPr>
                    <w:spacing w:before="49" w:line="197" w:lineRule="auto"/>
                    <w:ind w:left="687"/>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5</w:t>
                  </w:r>
                  <w:r>
                    <w:rPr>
                      <w:rFonts w:ascii="Times New Roman" w:hAnsi="Times New Roman" w:eastAsia="Times New Roman" w:cs="Times New Roman"/>
                      <w:sz w:val="20"/>
                      <w:szCs w:val="20"/>
                    </w:rPr>
                    <w:t>kV</w:t>
                  </w:r>
                </w:p>
              </w:tc>
              <w:tc>
                <w:tcPr>
                  <w:tcW w:w="1719" w:type="dxa"/>
                  <w:vAlign w:val="top"/>
                </w:tcPr>
                <w:p w14:paraId="20880401">
                  <w:pPr>
                    <w:pStyle w:val="9"/>
                    <w:spacing w:before="32" w:line="251" w:lineRule="auto"/>
                    <w:ind w:left="130" w:right="122" w:firstLine="16"/>
                    <w:rPr>
                      <w:sz w:val="20"/>
                      <w:szCs w:val="20"/>
                    </w:rPr>
                  </w:pPr>
                  <w:r>
                    <w:rPr>
                      <w:rFonts w:ascii="Times New Roman" w:hAnsi="Times New Roman" w:eastAsia="Times New Roman" w:cs="Times New Roman"/>
                      <w:spacing w:val="1"/>
                      <w:sz w:val="20"/>
                      <w:szCs w:val="20"/>
                    </w:rPr>
                    <w:t>1×240</w:t>
                  </w:r>
                  <w:r>
                    <w:rPr>
                      <w:rFonts w:ascii="Times New Roman" w:hAnsi="Times New Roman" w:eastAsia="Times New Roman" w:cs="Times New Roman"/>
                      <w:sz w:val="20"/>
                      <w:szCs w:val="20"/>
                    </w:rPr>
                    <w:t>MVA</w:t>
                  </w:r>
                  <w:r>
                    <w:rPr>
                      <w:rFonts w:ascii="Times New Roman" w:hAnsi="Times New Roman" w:eastAsia="Times New Roman" w:cs="Times New Roman"/>
                      <w:spacing w:val="1"/>
                      <w:sz w:val="20"/>
                      <w:szCs w:val="20"/>
                    </w:rPr>
                    <w:t xml:space="preserve"> </w:t>
                  </w:r>
                  <w:r>
                    <w:rPr>
                      <w:spacing w:val="1"/>
                      <w:sz w:val="20"/>
                      <w:szCs w:val="20"/>
                    </w:rPr>
                    <w:t>三相</w:t>
                  </w:r>
                  <w:r>
                    <w:rPr>
                      <w:spacing w:val="7"/>
                      <w:sz w:val="20"/>
                      <w:szCs w:val="20"/>
                    </w:rPr>
                    <w:t>双绕组变压器，</w:t>
                  </w:r>
                </w:p>
                <w:p w14:paraId="5FC84949">
                  <w:pPr>
                    <w:pStyle w:val="9"/>
                    <w:spacing w:line="229" w:lineRule="auto"/>
                    <w:ind w:left="656"/>
                    <w:rPr>
                      <w:sz w:val="20"/>
                      <w:szCs w:val="20"/>
                    </w:rPr>
                  </w:pPr>
                  <w:r>
                    <w:rPr>
                      <w:spacing w:val="6"/>
                      <w:sz w:val="20"/>
                      <w:szCs w:val="20"/>
                    </w:rPr>
                    <w:t>变比</w:t>
                  </w:r>
                </w:p>
                <w:p w14:paraId="76B64D56">
                  <w:pPr>
                    <w:spacing w:before="40" w:line="199" w:lineRule="auto"/>
                    <w:ind w:left="110"/>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230±8x1.25%/38.</w:t>
                  </w:r>
                </w:p>
                <w:p w14:paraId="7095D5D4">
                  <w:pPr>
                    <w:spacing w:before="49" w:line="197" w:lineRule="auto"/>
                    <w:ind w:left="687"/>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5</w:t>
                  </w:r>
                  <w:r>
                    <w:rPr>
                      <w:rFonts w:ascii="Times New Roman" w:hAnsi="Times New Roman" w:eastAsia="Times New Roman" w:cs="Times New Roman"/>
                      <w:sz w:val="20"/>
                      <w:szCs w:val="20"/>
                    </w:rPr>
                    <w:t>kV</w:t>
                  </w:r>
                </w:p>
              </w:tc>
              <w:tc>
                <w:tcPr>
                  <w:tcW w:w="564" w:type="dxa"/>
                  <w:vMerge w:val="restart"/>
                  <w:tcBorders>
                    <w:bottom w:val="nil"/>
                  </w:tcBorders>
                  <w:textDirection w:val="tbRlV"/>
                  <w:vAlign w:val="top"/>
                </w:tcPr>
                <w:p w14:paraId="796CA35C">
                  <w:pPr>
                    <w:pStyle w:val="9"/>
                    <w:spacing w:before="174" w:line="215" w:lineRule="auto"/>
                    <w:ind w:left="1402"/>
                    <w:rPr>
                      <w:sz w:val="20"/>
                      <w:szCs w:val="20"/>
                    </w:rPr>
                  </w:pPr>
                  <w:r>
                    <w:rPr>
                      <w:spacing w:val="8"/>
                      <w:sz w:val="20"/>
                      <w:szCs w:val="20"/>
                    </w:rPr>
                    <w:t>已</w:t>
                  </w:r>
                  <w:r>
                    <w:rPr>
                      <w:spacing w:val="-38"/>
                      <w:sz w:val="20"/>
                      <w:szCs w:val="20"/>
                    </w:rPr>
                    <w:t xml:space="preserve"> </w:t>
                  </w:r>
                  <w:r>
                    <w:rPr>
                      <w:spacing w:val="8"/>
                      <w:sz w:val="20"/>
                      <w:szCs w:val="20"/>
                    </w:rPr>
                    <w:t>建</w:t>
                  </w:r>
                </w:p>
              </w:tc>
            </w:tr>
            <w:tr w14:paraId="0D5233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753" w:type="dxa"/>
                  <w:vMerge w:val="continue"/>
                  <w:tcBorders>
                    <w:top w:val="nil"/>
                    <w:bottom w:val="nil"/>
                  </w:tcBorders>
                  <w:vAlign w:val="top"/>
                </w:tcPr>
                <w:p w14:paraId="77DEB535">
                  <w:pPr>
                    <w:rPr>
                      <w:rFonts w:ascii="Arial"/>
                      <w:sz w:val="21"/>
                    </w:rPr>
                  </w:pPr>
                </w:p>
              </w:tc>
              <w:tc>
                <w:tcPr>
                  <w:tcW w:w="1438" w:type="dxa"/>
                  <w:vAlign w:val="top"/>
                </w:tcPr>
                <w:p w14:paraId="21CB592D">
                  <w:pPr>
                    <w:pStyle w:val="9"/>
                    <w:spacing w:before="33" w:line="216" w:lineRule="auto"/>
                    <w:ind w:left="327"/>
                    <w:rPr>
                      <w:sz w:val="20"/>
                      <w:szCs w:val="20"/>
                    </w:rPr>
                  </w:pPr>
                  <w:r>
                    <w:rPr>
                      <w:spacing w:val="1"/>
                      <w:sz w:val="20"/>
                      <w:szCs w:val="20"/>
                    </w:rPr>
                    <w:t>电压等级</w:t>
                  </w:r>
                </w:p>
              </w:tc>
              <w:tc>
                <w:tcPr>
                  <w:tcW w:w="5313" w:type="dxa"/>
                  <w:gridSpan w:val="3"/>
                  <w:vAlign w:val="top"/>
                </w:tcPr>
                <w:p w14:paraId="2E1C7FCE">
                  <w:pPr>
                    <w:spacing w:before="65" w:line="199" w:lineRule="auto"/>
                    <w:ind w:left="2110"/>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220</w:t>
                  </w:r>
                  <w:r>
                    <w:rPr>
                      <w:rFonts w:ascii="Times New Roman" w:hAnsi="Times New Roman" w:eastAsia="Times New Roman" w:cs="Times New Roman"/>
                      <w:sz w:val="20"/>
                      <w:szCs w:val="20"/>
                    </w:rPr>
                    <w:t>kV</w:t>
                  </w:r>
                  <w:r>
                    <w:rPr>
                      <w:rFonts w:ascii="Times New Roman" w:hAnsi="Times New Roman" w:eastAsia="Times New Roman" w:cs="Times New Roman"/>
                      <w:spacing w:val="7"/>
                      <w:sz w:val="20"/>
                      <w:szCs w:val="20"/>
                    </w:rPr>
                    <w:t>/35</w:t>
                  </w:r>
                  <w:r>
                    <w:rPr>
                      <w:rFonts w:ascii="Times New Roman" w:hAnsi="Times New Roman" w:eastAsia="Times New Roman" w:cs="Times New Roman"/>
                      <w:sz w:val="20"/>
                      <w:szCs w:val="20"/>
                    </w:rPr>
                    <w:t>kV</w:t>
                  </w:r>
                </w:p>
              </w:tc>
              <w:tc>
                <w:tcPr>
                  <w:tcW w:w="564" w:type="dxa"/>
                  <w:vMerge w:val="continue"/>
                  <w:tcBorders>
                    <w:top w:val="nil"/>
                    <w:bottom w:val="nil"/>
                  </w:tcBorders>
                  <w:textDirection w:val="tbRlV"/>
                  <w:vAlign w:val="top"/>
                </w:tcPr>
                <w:p w14:paraId="2C0FE870">
                  <w:pPr>
                    <w:rPr>
                      <w:rFonts w:ascii="Arial"/>
                      <w:sz w:val="21"/>
                    </w:rPr>
                  </w:pPr>
                </w:p>
              </w:tc>
            </w:tr>
            <w:tr w14:paraId="30E6F8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753" w:type="dxa"/>
                  <w:vMerge w:val="continue"/>
                  <w:tcBorders>
                    <w:top w:val="nil"/>
                    <w:bottom w:val="nil"/>
                  </w:tcBorders>
                  <w:vAlign w:val="top"/>
                </w:tcPr>
                <w:p w14:paraId="6ECE5EFD">
                  <w:pPr>
                    <w:rPr>
                      <w:rFonts w:ascii="Arial"/>
                      <w:sz w:val="21"/>
                    </w:rPr>
                  </w:pPr>
                </w:p>
              </w:tc>
              <w:tc>
                <w:tcPr>
                  <w:tcW w:w="1438" w:type="dxa"/>
                  <w:vAlign w:val="top"/>
                </w:tcPr>
                <w:p w14:paraId="54DFA87F">
                  <w:pPr>
                    <w:pStyle w:val="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sz w:val="20"/>
                      <w:szCs w:val="20"/>
                      <w:lang w:val="en-US"/>
                    </w:rPr>
                  </w:pPr>
                  <w:r>
                    <w:rPr>
                      <w:rFonts w:ascii="Times New Roman" w:hAnsi="Times New Roman" w:eastAsia="Times New Roman" w:cs="Times New Roman"/>
                      <w:color w:val="0000FA"/>
                      <w:spacing w:val="2"/>
                      <w:sz w:val="20"/>
                      <w:szCs w:val="20"/>
                    </w:rPr>
                    <w:t>220</w:t>
                  </w:r>
                  <w:r>
                    <w:rPr>
                      <w:rFonts w:ascii="Times New Roman" w:hAnsi="Times New Roman" w:eastAsia="Times New Roman" w:cs="Times New Roman"/>
                      <w:color w:val="0000FA"/>
                      <w:sz w:val="20"/>
                      <w:szCs w:val="20"/>
                    </w:rPr>
                    <w:t>kV</w:t>
                  </w:r>
                  <w:r>
                    <w:rPr>
                      <w:rFonts w:hint="eastAsia"/>
                      <w:color w:val="0000FA"/>
                      <w:spacing w:val="2"/>
                      <w:sz w:val="20"/>
                      <w:szCs w:val="20"/>
                      <w:lang w:eastAsia="zh-CN"/>
                    </w:rPr>
                    <w:t>出线间隔</w:t>
                  </w:r>
                  <w:r>
                    <w:rPr>
                      <w:rFonts w:hint="eastAsia"/>
                      <w:color w:val="0000FA"/>
                      <w:spacing w:val="2"/>
                      <w:sz w:val="20"/>
                      <w:szCs w:val="20"/>
                      <w:lang w:val="en-US" w:eastAsia="zh-CN"/>
                    </w:rPr>
                    <w:t>回路数</w:t>
                  </w:r>
                </w:p>
              </w:tc>
              <w:tc>
                <w:tcPr>
                  <w:tcW w:w="1875" w:type="dxa"/>
                  <w:vAlign w:val="top"/>
                </w:tcPr>
                <w:p w14:paraId="1FCA6B83">
                  <w:pPr>
                    <w:pStyle w:val="9"/>
                    <w:spacing w:before="188" w:line="228" w:lineRule="auto"/>
                    <w:ind w:left="334"/>
                    <w:rPr>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32"/>
                      <w:w w:val="101"/>
                      <w:sz w:val="20"/>
                      <w:szCs w:val="20"/>
                    </w:rPr>
                    <w:t xml:space="preserve"> </w:t>
                  </w:r>
                  <w:r>
                    <w:rPr>
                      <w:spacing w:val="3"/>
                      <w:sz w:val="20"/>
                      <w:szCs w:val="20"/>
                    </w:rPr>
                    <w:t>回，双母线</w:t>
                  </w:r>
                </w:p>
              </w:tc>
              <w:tc>
                <w:tcPr>
                  <w:tcW w:w="1719" w:type="dxa"/>
                  <w:vAlign w:val="top"/>
                </w:tcPr>
                <w:p w14:paraId="6B24595A">
                  <w:pPr>
                    <w:spacing w:before="222" w:line="199" w:lineRule="auto"/>
                    <w:ind w:left="82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719" w:type="dxa"/>
                  <w:vAlign w:val="top"/>
                </w:tcPr>
                <w:p w14:paraId="12BDA3FA">
                  <w:pPr>
                    <w:pStyle w:val="9"/>
                    <w:spacing w:before="188" w:line="228" w:lineRule="auto"/>
                    <w:ind w:left="279"/>
                    <w:rPr>
                      <w:sz w:val="20"/>
                      <w:szCs w:val="20"/>
                    </w:rPr>
                  </w:pPr>
                  <w:r>
                    <w:rPr>
                      <w:rFonts w:ascii="Times New Roman" w:hAnsi="Times New Roman" w:eastAsia="Times New Roman" w:cs="Times New Roman"/>
                      <w:sz w:val="20"/>
                      <w:szCs w:val="20"/>
                    </w:rPr>
                    <w:t>1</w:t>
                  </w:r>
                  <w:r>
                    <w:rPr>
                      <w:rFonts w:ascii="Times New Roman" w:hAnsi="Times New Roman" w:eastAsia="Times New Roman" w:cs="Times New Roman"/>
                      <w:spacing w:val="30"/>
                      <w:sz w:val="20"/>
                      <w:szCs w:val="20"/>
                    </w:rPr>
                    <w:t xml:space="preserve"> </w:t>
                  </w:r>
                  <w:r>
                    <w:rPr>
                      <w:sz w:val="20"/>
                      <w:szCs w:val="20"/>
                    </w:rPr>
                    <w:t>回，双母线</w:t>
                  </w:r>
                </w:p>
              </w:tc>
              <w:tc>
                <w:tcPr>
                  <w:tcW w:w="564" w:type="dxa"/>
                  <w:vMerge w:val="continue"/>
                  <w:tcBorders>
                    <w:top w:val="nil"/>
                    <w:bottom w:val="nil"/>
                  </w:tcBorders>
                  <w:textDirection w:val="tbRlV"/>
                  <w:vAlign w:val="top"/>
                </w:tcPr>
                <w:p w14:paraId="7A2775A7">
                  <w:pPr>
                    <w:rPr>
                      <w:rFonts w:ascii="Arial"/>
                      <w:sz w:val="21"/>
                    </w:rPr>
                  </w:pPr>
                </w:p>
              </w:tc>
            </w:tr>
            <w:tr w14:paraId="68A0DF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3" w:type="dxa"/>
                  <w:vMerge w:val="continue"/>
                  <w:tcBorders>
                    <w:top w:val="nil"/>
                    <w:bottom w:val="nil"/>
                  </w:tcBorders>
                  <w:vAlign w:val="top"/>
                </w:tcPr>
                <w:p w14:paraId="3773ACFA">
                  <w:pPr>
                    <w:rPr>
                      <w:rFonts w:ascii="Arial"/>
                      <w:sz w:val="21"/>
                    </w:rPr>
                  </w:pPr>
                </w:p>
              </w:tc>
              <w:tc>
                <w:tcPr>
                  <w:tcW w:w="1438" w:type="dxa"/>
                  <w:vAlign w:val="top"/>
                </w:tcPr>
                <w:p w14:paraId="4AFD19B0">
                  <w:pPr>
                    <w:pStyle w:val="9"/>
                    <w:spacing w:before="34" w:line="233" w:lineRule="auto"/>
                    <w:ind w:left="515" w:right="144" w:hanging="366"/>
                    <w:rPr>
                      <w:sz w:val="20"/>
                      <w:szCs w:val="20"/>
                    </w:rPr>
                  </w:pPr>
                  <w:r>
                    <w:rPr>
                      <w:rFonts w:ascii="Times New Roman" w:hAnsi="Times New Roman" w:eastAsia="Times New Roman" w:cs="Times New Roman"/>
                      <w:spacing w:val="7"/>
                      <w:sz w:val="20"/>
                      <w:szCs w:val="20"/>
                    </w:rPr>
                    <w:t>35</w:t>
                  </w:r>
                  <w:r>
                    <w:rPr>
                      <w:rFonts w:ascii="Times New Roman" w:hAnsi="Times New Roman" w:eastAsia="Times New Roman" w:cs="Times New Roman"/>
                      <w:sz w:val="20"/>
                      <w:szCs w:val="20"/>
                    </w:rPr>
                    <w:t>kV</w:t>
                  </w:r>
                  <w:r>
                    <w:rPr>
                      <w:rFonts w:ascii="Times New Roman" w:hAnsi="Times New Roman" w:eastAsia="Times New Roman" w:cs="Times New Roman"/>
                      <w:spacing w:val="7"/>
                      <w:sz w:val="20"/>
                      <w:szCs w:val="20"/>
                    </w:rPr>
                    <w:t xml:space="preserve"> </w:t>
                  </w:r>
                  <w:r>
                    <w:rPr>
                      <w:spacing w:val="7"/>
                      <w:sz w:val="20"/>
                      <w:szCs w:val="20"/>
                    </w:rPr>
                    <w:t>进线回</w:t>
                  </w:r>
                  <w:r>
                    <w:rPr>
                      <w:spacing w:val="3"/>
                      <w:sz w:val="20"/>
                      <w:szCs w:val="20"/>
                    </w:rPr>
                    <w:t>路数</w:t>
                  </w:r>
                </w:p>
              </w:tc>
              <w:tc>
                <w:tcPr>
                  <w:tcW w:w="1875" w:type="dxa"/>
                  <w:vAlign w:val="top"/>
                </w:tcPr>
                <w:p w14:paraId="20621A98">
                  <w:pPr>
                    <w:pStyle w:val="9"/>
                    <w:spacing w:before="168" w:line="228" w:lineRule="auto"/>
                    <w:ind w:left="301"/>
                    <w:rPr>
                      <w:sz w:val="20"/>
                      <w:szCs w:val="20"/>
                    </w:rPr>
                  </w:pPr>
                  <w:r>
                    <w:rPr>
                      <w:rFonts w:ascii="Times New Roman" w:hAnsi="Times New Roman" w:eastAsia="Times New Roman" w:cs="Times New Roman"/>
                      <w:sz w:val="20"/>
                      <w:szCs w:val="20"/>
                    </w:rPr>
                    <w:t>18</w:t>
                  </w:r>
                  <w:r>
                    <w:rPr>
                      <w:rFonts w:ascii="Times New Roman" w:hAnsi="Times New Roman" w:eastAsia="Times New Roman" w:cs="Times New Roman"/>
                      <w:spacing w:val="35"/>
                      <w:sz w:val="20"/>
                      <w:szCs w:val="20"/>
                    </w:rPr>
                    <w:t xml:space="preserve"> </w:t>
                  </w:r>
                  <w:r>
                    <w:rPr>
                      <w:sz w:val="20"/>
                      <w:szCs w:val="20"/>
                    </w:rPr>
                    <w:t>回，单母线</w:t>
                  </w:r>
                </w:p>
              </w:tc>
              <w:tc>
                <w:tcPr>
                  <w:tcW w:w="1719" w:type="dxa"/>
                  <w:vAlign w:val="top"/>
                </w:tcPr>
                <w:p w14:paraId="6749ED0C">
                  <w:pPr>
                    <w:pStyle w:val="9"/>
                    <w:spacing w:before="168" w:line="228" w:lineRule="auto"/>
                    <w:ind w:left="256"/>
                    <w:rPr>
                      <w:sz w:val="20"/>
                      <w:szCs w:val="20"/>
                    </w:rPr>
                  </w:pPr>
                  <w:r>
                    <w:rPr>
                      <w:rFonts w:ascii="Times New Roman" w:hAnsi="Times New Roman" w:eastAsia="Times New Roman" w:cs="Times New Roman"/>
                      <w:spacing w:val="3"/>
                      <w:sz w:val="20"/>
                      <w:szCs w:val="20"/>
                    </w:rPr>
                    <w:t>4</w:t>
                  </w:r>
                  <w:r>
                    <w:rPr>
                      <w:rFonts w:ascii="Times New Roman" w:hAnsi="Times New Roman" w:eastAsia="Times New Roman" w:cs="Times New Roman"/>
                      <w:spacing w:val="35"/>
                      <w:sz w:val="20"/>
                      <w:szCs w:val="20"/>
                    </w:rPr>
                    <w:t xml:space="preserve"> </w:t>
                  </w:r>
                  <w:r>
                    <w:rPr>
                      <w:spacing w:val="3"/>
                      <w:sz w:val="20"/>
                      <w:szCs w:val="20"/>
                    </w:rPr>
                    <w:t>回，单母线</w:t>
                  </w:r>
                </w:p>
              </w:tc>
              <w:tc>
                <w:tcPr>
                  <w:tcW w:w="1719" w:type="dxa"/>
                  <w:vAlign w:val="top"/>
                </w:tcPr>
                <w:p w14:paraId="3D80FBFB">
                  <w:pPr>
                    <w:pStyle w:val="9"/>
                    <w:spacing w:before="168" w:line="228" w:lineRule="auto"/>
                    <w:ind w:left="267"/>
                    <w:rPr>
                      <w:sz w:val="20"/>
                      <w:szCs w:val="20"/>
                    </w:rPr>
                  </w:pPr>
                  <w:r>
                    <w:rPr>
                      <w:rFonts w:ascii="Times New Roman" w:hAnsi="Times New Roman" w:eastAsia="Times New Roman" w:cs="Times New Roman"/>
                      <w:spacing w:val="2"/>
                      <w:sz w:val="20"/>
                      <w:szCs w:val="20"/>
                    </w:rPr>
                    <w:t>8</w:t>
                  </w:r>
                  <w:r>
                    <w:rPr>
                      <w:rFonts w:ascii="Times New Roman" w:hAnsi="Times New Roman" w:eastAsia="Times New Roman" w:cs="Times New Roman"/>
                      <w:spacing w:val="30"/>
                      <w:sz w:val="20"/>
                      <w:szCs w:val="20"/>
                    </w:rPr>
                    <w:t xml:space="preserve"> </w:t>
                  </w:r>
                  <w:r>
                    <w:rPr>
                      <w:spacing w:val="2"/>
                      <w:sz w:val="20"/>
                      <w:szCs w:val="20"/>
                    </w:rPr>
                    <w:t>回，单母线</w:t>
                  </w:r>
                </w:p>
              </w:tc>
              <w:tc>
                <w:tcPr>
                  <w:tcW w:w="564" w:type="dxa"/>
                  <w:vMerge w:val="continue"/>
                  <w:tcBorders>
                    <w:top w:val="nil"/>
                    <w:bottom w:val="nil"/>
                  </w:tcBorders>
                  <w:textDirection w:val="tbRlV"/>
                  <w:vAlign w:val="top"/>
                </w:tcPr>
                <w:p w14:paraId="1CE257EA">
                  <w:pPr>
                    <w:rPr>
                      <w:rFonts w:ascii="Arial"/>
                      <w:sz w:val="21"/>
                    </w:rPr>
                  </w:pPr>
                </w:p>
              </w:tc>
            </w:tr>
            <w:tr w14:paraId="0980E7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3" w:type="dxa"/>
                  <w:vMerge w:val="continue"/>
                  <w:tcBorders>
                    <w:top w:val="nil"/>
                    <w:bottom w:val="nil"/>
                  </w:tcBorders>
                  <w:vAlign w:val="top"/>
                </w:tcPr>
                <w:p w14:paraId="125F3F7A">
                  <w:pPr>
                    <w:rPr>
                      <w:rFonts w:ascii="Arial"/>
                      <w:sz w:val="21"/>
                    </w:rPr>
                  </w:pPr>
                </w:p>
              </w:tc>
              <w:tc>
                <w:tcPr>
                  <w:tcW w:w="1438" w:type="dxa"/>
                  <w:vAlign w:val="top"/>
                </w:tcPr>
                <w:p w14:paraId="4D3BC8B5">
                  <w:pPr>
                    <w:pStyle w:val="9"/>
                    <w:spacing w:before="34" w:line="233" w:lineRule="auto"/>
                    <w:ind w:left="312" w:right="300" w:hanging="8"/>
                    <w:rPr>
                      <w:sz w:val="20"/>
                      <w:szCs w:val="20"/>
                    </w:rPr>
                  </w:pPr>
                  <w:r>
                    <w:rPr>
                      <w:spacing w:val="6"/>
                      <w:sz w:val="20"/>
                      <w:szCs w:val="20"/>
                    </w:rPr>
                    <w:t>无功补偿</w:t>
                  </w:r>
                  <w:r>
                    <w:rPr>
                      <w:spacing w:val="5"/>
                      <w:sz w:val="20"/>
                      <w:szCs w:val="20"/>
                    </w:rPr>
                    <w:t>（</w:t>
                  </w:r>
                  <w:r>
                    <w:rPr>
                      <w:rFonts w:ascii="Times New Roman" w:hAnsi="Times New Roman" w:eastAsia="Times New Roman" w:cs="Times New Roman"/>
                      <w:sz w:val="20"/>
                      <w:szCs w:val="20"/>
                    </w:rPr>
                    <w:t>SVG</w:t>
                  </w:r>
                  <w:r>
                    <w:rPr>
                      <w:spacing w:val="5"/>
                      <w:sz w:val="20"/>
                      <w:szCs w:val="20"/>
                    </w:rPr>
                    <w:t>）</w:t>
                  </w:r>
                </w:p>
              </w:tc>
              <w:tc>
                <w:tcPr>
                  <w:tcW w:w="1875" w:type="dxa"/>
                  <w:vAlign w:val="top"/>
                </w:tcPr>
                <w:p w14:paraId="1E9FAC74">
                  <w:pPr>
                    <w:spacing w:before="207" w:line="195" w:lineRule="auto"/>
                    <w:ind w:left="434"/>
                    <w:rPr>
                      <w:rFonts w:ascii="Times New Roman" w:hAnsi="Times New Roman" w:eastAsia="Times New Roman" w:cs="Times New Roman"/>
                      <w:sz w:val="20"/>
                      <w:szCs w:val="20"/>
                    </w:rPr>
                  </w:pPr>
                  <w:r>
                    <w:rPr>
                      <w:rFonts w:ascii="Times New Roman" w:hAnsi="Times New Roman" w:eastAsia="Times New Roman" w:cs="Times New Roman"/>
                      <w:spacing w:val="9"/>
                      <w:sz w:val="20"/>
                      <w:szCs w:val="20"/>
                    </w:rPr>
                    <w:t>±15</w:t>
                  </w:r>
                  <w:r>
                    <w:rPr>
                      <w:rFonts w:ascii="Times New Roman" w:hAnsi="Times New Roman" w:eastAsia="Times New Roman" w:cs="Times New Roman"/>
                      <w:sz w:val="20"/>
                      <w:szCs w:val="20"/>
                    </w:rPr>
                    <w:t>Mvar</w:t>
                  </w:r>
                  <w:r>
                    <w:rPr>
                      <w:rFonts w:ascii="Times New Roman" w:hAnsi="Times New Roman" w:eastAsia="Times New Roman" w:cs="Times New Roman"/>
                      <w:spacing w:val="9"/>
                      <w:sz w:val="20"/>
                      <w:szCs w:val="20"/>
                    </w:rPr>
                    <w:t>×6</w:t>
                  </w:r>
                </w:p>
              </w:tc>
              <w:tc>
                <w:tcPr>
                  <w:tcW w:w="1719" w:type="dxa"/>
                  <w:vAlign w:val="top"/>
                </w:tcPr>
                <w:p w14:paraId="328B61D6">
                  <w:pPr>
                    <w:pStyle w:val="9"/>
                    <w:spacing w:before="85" w:line="186" w:lineRule="auto"/>
                    <w:ind w:left="251"/>
                    <w:rPr>
                      <w:sz w:val="20"/>
                      <w:szCs w:val="20"/>
                    </w:rPr>
                  </w:pPr>
                  <w:r>
                    <w:rPr>
                      <w:rFonts w:ascii="Times New Roman" w:hAnsi="Times New Roman" w:eastAsia="Times New Roman" w:cs="Times New Roman"/>
                      <w:spacing w:val="7"/>
                      <w:sz w:val="20"/>
                      <w:szCs w:val="20"/>
                    </w:rPr>
                    <w:t>±12</w:t>
                  </w:r>
                  <w:r>
                    <w:rPr>
                      <w:rFonts w:ascii="Times New Roman" w:hAnsi="Times New Roman" w:eastAsia="Times New Roman" w:cs="Times New Roman"/>
                      <w:sz w:val="20"/>
                      <w:szCs w:val="20"/>
                    </w:rPr>
                    <w:t>Mvar</w:t>
                  </w:r>
                  <w:r>
                    <w:rPr>
                      <w:rFonts w:ascii="Times New Roman" w:hAnsi="Times New Roman" w:eastAsia="Times New Roman" w:cs="Times New Roman"/>
                      <w:spacing w:val="7"/>
                      <w:sz w:val="20"/>
                      <w:szCs w:val="20"/>
                    </w:rPr>
                    <w:t>×2</w:t>
                  </w:r>
                  <w:r>
                    <w:rPr>
                      <w:spacing w:val="7"/>
                      <w:sz w:val="20"/>
                      <w:szCs w:val="20"/>
                    </w:rPr>
                    <w:t>、</w:t>
                  </w:r>
                </w:p>
                <w:p w14:paraId="49B41029">
                  <w:pPr>
                    <w:spacing w:before="55" w:line="195" w:lineRule="auto"/>
                    <w:ind w:left="469"/>
                    <w:rPr>
                      <w:rFonts w:ascii="Times New Roman" w:hAnsi="Times New Roman" w:eastAsia="Times New Roman" w:cs="Times New Roman"/>
                      <w:sz w:val="20"/>
                      <w:szCs w:val="20"/>
                    </w:rPr>
                  </w:pPr>
                  <w:r>
                    <w:rPr>
                      <w:rFonts w:ascii="Times New Roman" w:hAnsi="Times New Roman" w:eastAsia="Times New Roman" w:cs="Times New Roman"/>
                      <w:spacing w:val="11"/>
                      <w:sz w:val="20"/>
                      <w:szCs w:val="20"/>
                    </w:rPr>
                    <w:t>±10</w:t>
                  </w:r>
                  <w:r>
                    <w:rPr>
                      <w:rFonts w:ascii="Times New Roman" w:hAnsi="Times New Roman" w:eastAsia="Times New Roman" w:cs="Times New Roman"/>
                      <w:sz w:val="20"/>
                      <w:szCs w:val="20"/>
                    </w:rPr>
                    <w:t>Mvar</w:t>
                  </w:r>
                </w:p>
              </w:tc>
              <w:tc>
                <w:tcPr>
                  <w:tcW w:w="1719" w:type="dxa"/>
                  <w:vAlign w:val="top"/>
                </w:tcPr>
                <w:p w14:paraId="1930227C">
                  <w:pPr>
                    <w:pStyle w:val="9"/>
                    <w:spacing w:before="85" w:line="186" w:lineRule="auto"/>
                    <w:ind w:left="253"/>
                    <w:rPr>
                      <w:sz w:val="20"/>
                      <w:szCs w:val="20"/>
                    </w:rPr>
                  </w:pPr>
                  <w:r>
                    <w:rPr>
                      <w:rFonts w:ascii="Times New Roman" w:hAnsi="Times New Roman" w:eastAsia="Times New Roman" w:cs="Times New Roman"/>
                      <w:spacing w:val="7"/>
                      <w:sz w:val="20"/>
                      <w:szCs w:val="20"/>
                    </w:rPr>
                    <w:t>±29</w:t>
                  </w:r>
                  <w:r>
                    <w:rPr>
                      <w:rFonts w:ascii="Times New Roman" w:hAnsi="Times New Roman" w:eastAsia="Times New Roman" w:cs="Times New Roman"/>
                      <w:sz w:val="20"/>
                      <w:szCs w:val="20"/>
                    </w:rPr>
                    <w:t>Mvar</w:t>
                  </w:r>
                  <w:r>
                    <w:rPr>
                      <w:rFonts w:ascii="Times New Roman" w:hAnsi="Times New Roman" w:eastAsia="Times New Roman" w:cs="Times New Roman"/>
                      <w:spacing w:val="7"/>
                      <w:sz w:val="20"/>
                      <w:szCs w:val="20"/>
                    </w:rPr>
                    <w:t>×2</w:t>
                  </w:r>
                  <w:r>
                    <w:rPr>
                      <w:spacing w:val="7"/>
                      <w:sz w:val="20"/>
                      <w:szCs w:val="20"/>
                    </w:rPr>
                    <w:t>、</w:t>
                  </w:r>
                </w:p>
                <w:p w14:paraId="1BE72056">
                  <w:pPr>
                    <w:spacing w:before="55" w:line="195" w:lineRule="auto"/>
                    <w:ind w:left="469"/>
                    <w:rPr>
                      <w:rFonts w:ascii="Times New Roman" w:hAnsi="Times New Roman" w:eastAsia="Times New Roman" w:cs="Times New Roman"/>
                      <w:sz w:val="20"/>
                      <w:szCs w:val="20"/>
                    </w:rPr>
                  </w:pPr>
                  <w:r>
                    <w:rPr>
                      <w:rFonts w:ascii="Times New Roman" w:hAnsi="Times New Roman" w:eastAsia="Times New Roman" w:cs="Times New Roman"/>
                      <w:spacing w:val="12"/>
                      <w:sz w:val="20"/>
                      <w:szCs w:val="20"/>
                    </w:rPr>
                    <w:t>±40</w:t>
                  </w:r>
                  <w:r>
                    <w:rPr>
                      <w:rFonts w:ascii="Times New Roman" w:hAnsi="Times New Roman" w:eastAsia="Times New Roman" w:cs="Times New Roman"/>
                      <w:sz w:val="20"/>
                      <w:szCs w:val="20"/>
                    </w:rPr>
                    <w:t>Mvar</w:t>
                  </w:r>
                </w:p>
              </w:tc>
              <w:tc>
                <w:tcPr>
                  <w:tcW w:w="564" w:type="dxa"/>
                  <w:vMerge w:val="continue"/>
                  <w:tcBorders>
                    <w:top w:val="nil"/>
                  </w:tcBorders>
                  <w:textDirection w:val="tbRlV"/>
                  <w:vAlign w:val="top"/>
                </w:tcPr>
                <w:p w14:paraId="04D77AFE">
                  <w:pPr>
                    <w:rPr>
                      <w:rFonts w:ascii="Arial"/>
                      <w:sz w:val="21"/>
                    </w:rPr>
                  </w:pPr>
                </w:p>
              </w:tc>
            </w:tr>
            <w:tr w14:paraId="568D16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53" w:type="dxa"/>
                  <w:vMerge w:val="continue"/>
                  <w:tcBorders>
                    <w:top w:val="nil"/>
                    <w:bottom w:val="nil"/>
                  </w:tcBorders>
                  <w:vAlign w:val="top"/>
                </w:tcPr>
                <w:p w14:paraId="2CA5CA1D">
                  <w:pPr>
                    <w:rPr>
                      <w:rFonts w:ascii="Arial"/>
                      <w:sz w:val="21"/>
                    </w:rPr>
                  </w:pPr>
                </w:p>
              </w:tc>
              <w:tc>
                <w:tcPr>
                  <w:tcW w:w="1438" w:type="dxa"/>
                  <w:vAlign w:val="top"/>
                </w:tcPr>
                <w:p w14:paraId="4A07E4F6">
                  <w:pPr>
                    <w:pStyle w:val="9"/>
                    <w:spacing w:before="169" w:line="229" w:lineRule="auto"/>
                    <w:ind w:left="407"/>
                    <w:rPr>
                      <w:sz w:val="20"/>
                      <w:szCs w:val="20"/>
                    </w:rPr>
                  </w:pPr>
                  <w:r>
                    <w:rPr>
                      <w:spacing w:val="7"/>
                      <w:sz w:val="20"/>
                      <w:szCs w:val="20"/>
                    </w:rPr>
                    <w:t>接地变</w:t>
                  </w:r>
                </w:p>
              </w:tc>
              <w:tc>
                <w:tcPr>
                  <w:tcW w:w="5313" w:type="dxa"/>
                  <w:gridSpan w:val="3"/>
                  <w:vAlign w:val="top"/>
                </w:tcPr>
                <w:p w14:paraId="057FB4F9">
                  <w:pPr>
                    <w:pStyle w:val="9"/>
                    <w:spacing w:before="169" w:line="230" w:lineRule="auto"/>
                    <w:ind w:left="2075"/>
                    <w:rPr>
                      <w:sz w:val="20"/>
                      <w:szCs w:val="20"/>
                    </w:rPr>
                  </w:pPr>
                  <w:r>
                    <w:rPr>
                      <w:rFonts w:ascii="Times New Roman" w:hAnsi="Times New Roman" w:eastAsia="Times New Roman" w:cs="Times New Roman"/>
                      <w:sz w:val="20"/>
                      <w:szCs w:val="20"/>
                    </w:rPr>
                    <w:t>800kVA×2</w:t>
                  </w:r>
                  <w:r>
                    <w:rPr>
                      <w:rFonts w:ascii="Times New Roman" w:hAnsi="Times New Roman" w:eastAsia="Times New Roman" w:cs="Times New Roman"/>
                      <w:spacing w:val="31"/>
                      <w:sz w:val="20"/>
                      <w:szCs w:val="20"/>
                    </w:rPr>
                    <w:t xml:space="preserve"> </w:t>
                  </w:r>
                  <w:r>
                    <w:rPr>
                      <w:sz w:val="20"/>
                      <w:szCs w:val="20"/>
                    </w:rPr>
                    <w:t>台</w:t>
                  </w:r>
                </w:p>
              </w:tc>
              <w:tc>
                <w:tcPr>
                  <w:tcW w:w="564" w:type="dxa"/>
                  <w:textDirection w:val="tbRlV"/>
                  <w:vAlign w:val="top"/>
                </w:tcPr>
                <w:p w14:paraId="7E89B12E">
                  <w:pPr>
                    <w:pStyle w:val="9"/>
                    <w:spacing w:before="174" w:line="215" w:lineRule="auto"/>
                    <w:ind w:left="34"/>
                    <w:rPr>
                      <w:sz w:val="20"/>
                      <w:szCs w:val="20"/>
                    </w:rPr>
                  </w:pPr>
                  <w:r>
                    <w:rPr>
                      <w:spacing w:val="8"/>
                      <w:sz w:val="20"/>
                      <w:szCs w:val="20"/>
                    </w:rPr>
                    <w:t>已</w:t>
                  </w:r>
                  <w:r>
                    <w:rPr>
                      <w:spacing w:val="-35"/>
                      <w:sz w:val="20"/>
                      <w:szCs w:val="20"/>
                    </w:rPr>
                    <w:t xml:space="preserve"> </w:t>
                  </w:r>
                  <w:r>
                    <w:rPr>
                      <w:spacing w:val="8"/>
                      <w:sz w:val="20"/>
                      <w:szCs w:val="20"/>
                    </w:rPr>
                    <w:t>建</w:t>
                  </w:r>
                </w:p>
              </w:tc>
            </w:tr>
            <w:tr w14:paraId="74EF91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0" w:hRule="atLeast"/>
              </w:trPr>
              <w:tc>
                <w:tcPr>
                  <w:tcW w:w="753" w:type="dxa"/>
                  <w:vMerge w:val="continue"/>
                  <w:tcBorders>
                    <w:top w:val="nil"/>
                    <w:bottom w:val="nil"/>
                  </w:tcBorders>
                  <w:vAlign w:val="top"/>
                </w:tcPr>
                <w:p w14:paraId="08BDD886">
                  <w:pPr>
                    <w:rPr>
                      <w:rFonts w:ascii="Arial"/>
                      <w:sz w:val="21"/>
                    </w:rPr>
                  </w:pPr>
                </w:p>
              </w:tc>
              <w:tc>
                <w:tcPr>
                  <w:tcW w:w="1438" w:type="dxa"/>
                  <w:vAlign w:val="top"/>
                </w:tcPr>
                <w:p w14:paraId="4FC7118C">
                  <w:pPr>
                    <w:pStyle w:val="9"/>
                    <w:spacing w:before="171" w:line="229" w:lineRule="auto"/>
                    <w:ind w:left="409"/>
                    <w:rPr>
                      <w:sz w:val="20"/>
                      <w:szCs w:val="20"/>
                    </w:rPr>
                  </w:pPr>
                  <w:r>
                    <w:rPr>
                      <w:spacing w:val="6"/>
                      <w:sz w:val="20"/>
                      <w:szCs w:val="20"/>
                    </w:rPr>
                    <w:t>站用变</w:t>
                  </w:r>
                </w:p>
              </w:tc>
              <w:tc>
                <w:tcPr>
                  <w:tcW w:w="5313" w:type="dxa"/>
                  <w:gridSpan w:val="3"/>
                  <w:vAlign w:val="top"/>
                </w:tcPr>
                <w:p w14:paraId="78E8C87D">
                  <w:pPr>
                    <w:pStyle w:val="9"/>
                    <w:spacing w:before="170" w:line="230" w:lineRule="auto"/>
                    <w:ind w:left="2066"/>
                    <w:rPr>
                      <w:sz w:val="20"/>
                      <w:szCs w:val="20"/>
                    </w:rPr>
                  </w:pPr>
                  <w:r>
                    <w:rPr>
                      <w:rFonts w:ascii="Times New Roman" w:hAnsi="Times New Roman" w:eastAsia="Times New Roman" w:cs="Times New Roman"/>
                      <w:spacing w:val="2"/>
                      <w:sz w:val="20"/>
                      <w:szCs w:val="20"/>
                    </w:rPr>
                    <w:t>400</w:t>
                  </w:r>
                  <w:r>
                    <w:rPr>
                      <w:rFonts w:ascii="Times New Roman" w:hAnsi="Times New Roman" w:eastAsia="Times New Roman" w:cs="Times New Roman"/>
                      <w:sz w:val="20"/>
                      <w:szCs w:val="20"/>
                    </w:rPr>
                    <w:t>kVA</w:t>
                  </w:r>
                  <w:r>
                    <w:rPr>
                      <w:rFonts w:ascii="Times New Roman" w:hAnsi="Times New Roman" w:eastAsia="Times New Roman" w:cs="Times New Roman"/>
                      <w:spacing w:val="2"/>
                      <w:sz w:val="20"/>
                      <w:szCs w:val="20"/>
                    </w:rPr>
                    <w:t>×1</w:t>
                  </w:r>
                  <w:r>
                    <w:rPr>
                      <w:rFonts w:ascii="Times New Roman" w:hAnsi="Times New Roman" w:eastAsia="Times New Roman" w:cs="Times New Roman"/>
                      <w:spacing w:val="28"/>
                      <w:sz w:val="20"/>
                      <w:szCs w:val="20"/>
                    </w:rPr>
                    <w:t xml:space="preserve"> </w:t>
                  </w:r>
                  <w:r>
                    <w:rPr>
                      <w:spacing w:val="2"/>
                      <w:sz w:val="20"/>
                      <w:szCs w:val="20"/>
                    </w:rPr>
                    <w:t>台</w:t>
                  </w:r>
                </w:p>
              </w:tc>
              <w:tc>
                <w:tcPr>
                  <w:tcW w:w="564" w:type="dxa"/>
                  <w:textDirection w:val="tbRlV"/>
                  <w:vAlign w:val="top"/>
                </w:tcPr>
                <w:p w14:paraId="647032AC">
                  <w:pPr>
                    <w:pStyle w:val="9"/>
                    <w:spacing w:before="174" w:line="215" w:lineRule="auto"/>
                    <w:ind w:left="34"/>
                    <w:rPr>
                      <w:sz w:val="20"/>
                      <w:szCs w:val="20"/>
                    </w:rPr>
                  </w:pPr>
                  <w:r>
                    <w:rPr>
                      <w:spacing w:val="8"/>
                      <w:sz w:val="20"/>
                      <w:szCs w:val="20"/>
                    </w:rPr>
                    <w:t>已</w:t>
                  </w:r>
                  <w:r>
                    <w:rPr>
                      <w:spacing w:val="-35"/>
                      <w:sz w:val="20"/>
                      <w:szCs w:val="20"/>
                    </w:rPr>
                    <w:t xml:space="preserve"> </w:t>
                  </w:r>
                  <w:r>
                    <w:rPr>
                      <w:spacing w:val="8"/>
                      <w:sz w:val="20"/>
                      <w:szCs w:val="20"/>
                    </w:rPr>
                    <w:t>建</w:t>
                  </w:r>
                </w:p>
              </w:tc>
            </w:tr>
            <w:tr w14:paraId="127FB1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3" w:type="dxa"/>
                  <w:vMerge w:val="continue"/>
                  <w:tcBorders>
                    <w:top w:val="nil"/>
                    <w:bottom w:val="nil"/>
                  </w:tcBorders>
                  <w:vAlign w:val="top"/>
                </w:tcPr>
                <w:p w14:paraId="40702614">
                  <w:pPr>
                    <w:rPr>
                      <w:rFonts w:ascii="Arial"/>
                      <w:sz w:val="21"/>
                    </w:rPr>
                  </w:pPr>
                </w:p>
              </w:tc>
              <w:tc>
                <w:tcPr>
                  <w:tcW w:w="1438" w:type="dxa"/>
                  <w:vAlign w:val="top"/>
                </w:tcPr>
                <w:p w14:paraId="1B5DB487">
                  <w:pPr>
                    <w:pStyle w:val="9"/>
                    <w:spacing w:before="170" w:line="228" w:lineRule="auto"/>
                    <w:ind w:left="311"/>
                    <w:rPr>
                      <w:sz w:val="20"/>
                      <w:szCs w:val="20"/>
                    </w:rPr>
                  </w:pPr>
                  <w:r>
                    <w:rPr>
                      <w:spacing w:val="5"/>
                      <w:sz w:val="20"/>
                      <w:szCs w:val="20"/>
                    </w:rPr>
                    <w:t>蓄电池室</w:t>
                  </w:r>
                </w:p>
              </w:tc>
              <w:tc>
                <w:tcPr>
                  <w:tcW w:w="5313" w:type="dxa"/>
                  <w:gridSpan w:val="3"/>
                  <w:vAlign w:val="top"/>
                </w:tcPr>
                <w:p w14:paraId="218B5E94">
                  <w:pPr>
                    <w:pStyle w:val="9"/>
                    <w:spacing w:before="170" w:line="228" w:lineRule="auto"/>
                    <w:ind w:left="1063"/>
                    <w:rPr>
                      <w:sz w:val="20"/>
                      <w:szCs w:val="20"/>
                    </w:rPr>
                  </w:pPr>
                  <w:r>
                    <w:rPr>
                      <w:spacing w:val="4"/>
                      <w:sz w:val="20"/>
                      <w:szCs w:val="20"/>
                    </w:rPr>
                    <w:t>配置</w:t>
                  </w:r>
                  <w:r>
                    <w:rPr>
                      <w:spacing w:val="-34"/>
                      <w:sz w:val="20"/>
                      <w:szCs w:val="20"/>
                    </w:rPr>
                    <w:t xml:space="preserve"> </w:t>
                  </w:r>
                  <w:r>
                    <w:rPr>
                      <w:rFonts w:ascii="Times New Roman" w:hAnsi="Times New Roman" w:eastAsia="Times New Roman" w:cs="Times New Roman"/>
                      <w:spacing w:val="4"/>
                      <w:sz w:val="20"/>
                      <w:szCs w:val="20"/>
                    </w:rPr>
                    <w:t>600</w:t>
                  </w:r>
                  <w:r>
                    <w:rPr>
                      <w:rFonts w:ascii="Times New Roman" w:hAnsi="Times New Roman" w:eastAsia="Times New Roman" w:cs="Times New Roman"/>
                      <w:sz w:val="20"/>
                      <w:szCs w:val="20"/>
                    </w:rPr>
                    <w:t>Ah</w:t>
                  </w:r>
                  <w:r>
                    <w:rPr>
                      <w:rFonts w:ascii="Times New Roman" w:hAnsi="Times New Roman" w:eastAsia="Times New Roman" w:cs="Times New Roman"/>
                      <w:spacing w:val="29"/>
                      <w:sz w:val="20"/>
                      <w:szCs w:val="20"/>
                    </w:rPr>
                    <w:t xml:space="preserve"> </w:t>
                  </w:r>
                  <w:r>
                    <w:rPr>
                      <w:spacing w:val="4"/>
                      <w:sz w:val="20"/>
                      <w:szCs w:val="20"/>
                    </w:rPr>
                    <w:t>的蓄电池电瓶数</w:t>
                  </w:r>
                  <w:r>
                    <w:rPr>
                      <w:spacing w:val="-21"/>
                      <w:sz w:val="20"/>
                      <w:szCs w:val="20"/>
                    </w:rPr>
                    <w:t xml:space="preserve"> </w:t>
                  </w:r>
                  <w:r>
                    <w:rPr>
                      <w:rFonts w:ascii="Times New Roman" w:hAnsi="Times New Roman" w:eastAsia="Times New Roman" w:cs="Times New Roman"/>
                      <w:spacing w:val="4"/>
                      <w:sz w:val="20"/>
                      <w:szCs w:val="20"/>
                    </w:rPr>
                    <w:t xml:space="preserve">104 </w:t>
                  </w:r>
                  <w:r>
                    <w:rPr>
                      <w:spacing w:val="4"/>
                      <w:sz w:val="20"/>
                      <w:szCs w:val="20"/>
                    </w:rPr>
                    <w:t>组</w:t>
                  </w:r>
                </w:p>
              </w:tc>
              <w:tc>
                <w:tcPr>
                  <w:tcW w:w="564" w:type="dxa"/>
                  <w:textDirection w:val="tbRlV"/>
                  <w:vAlign w:val="top"/>
                </w:tcPr>
                <w:p w14:paraId="76740427">
                  <w:pPr>
                    <w:pStyle w:val="9"/>
                    <w:spacing w:before="174" w:line="215" w:lineRule="auto"/>
                    <w:ind w:left="33"/>
                    <w:rPr>
                      <w:sz w:val="20"/>
                      <w:szCs w:val="20"/>
                    </w:rPr>
                  </w:pPr>
                  <w:r>
                    <w:rPr>
                      <w:spacing w:val="8"/>
                      <w:sz w:val="20"/>
                      <w:szCs w:val="20"/>
                    </w:rPr>
                    <w:t>已</w:t>
                  </w:r>
                  <w:r>
                    <w:rPr>
                      <w:spacing w:val="-35"/>
                      <w:sz w:val="20"/>
                      <w:szCs w:val="20"/>
                    </w:rPr>
                    <w:t xml:space="preserve"> </w:t>
                  </w:r>
                  <w:r>
                    <w:rPr>
                      <w:spacing w:val="8"/>
                      <w:sz w:val="20"/>
                      <w:szCs w:val="20"/>
                    </w:rPr>
                    <w:t>建</w:t>
                  </w:r>
                </w:p>
              </w:tc>
            </w:tr>
            <w:tr w14:paraId="580F12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3" w:type="dxa"/>
                  <w:vMerge w:val="continue"/>
                  <w:tcBorders>
                    <w:top w:val="nil"/>
                  </w:tcBorders>
                  <w:vAlign w:val="top"/>
                </w:tcPr>
                <w:p w14:paraId="292A0FFA">
                  <w:pPr>
                    <w:rPr>
                      <w:rFonts w:ascii="Arial"/>
                      <w:sz w:val="21"/>
                    </w:rPr>
                  </w:pPr>
                </w:p>
              </w:tc>
              <w:tc>
                <w:tcPr>
                  <w:tcW w:w="1438" w:type="dxa"/>
                  <w:vAlign w:val="top"/>
                </w:tcPr>
                <w:p w14:paraId="15E25C85">
                  <w:pPr>
                    <w:pStyle w:val="9"/>
                    <w:spacing w:before="170" w:line="229" w:lineRule="auto"/>
                    <w:ind w:left="548"/>
                    <w:rPr>
                      <w:sz w:val="20"/>
                      <w:szCs w:val="20"/>
                    </w:rPr>
                  </w:pPr>
                  <w:r>
                    <w:rPr>
                      <w:spacing w:val="-13"/>
                      <w:sz w:val="20"/>
                      <w:szCs w:val="20"/>
                    </w:rPr>
                    <w:t>占地</w:t>
                  </w:r>
                </w:p>
              </w:tc>
              <w:tc>
                <w:tcPr>
                  <w:tcW w:w="5313" w:type="dxa"/>
                  <w:gridSpan w:val="3"/>
                  <w:vAlign w:val="top"/>
                </w:tcPr>
                <w:p w14:paraId="26FBCEB5">
                  <w:pPr>
                    <w:pStyle w:val="9"/>
                    <w:spacing w:before="36" w:line="232" w:lineRule="auto"/>
                    <w:ind w:left="112" w:right="103" w:firstLine="423"/>
                    <w:rPr>
                      <w:rFonts w:ascii="Times New Roman" w:hAnsi="Times New Roman" w:eastAsia="Times New Roman" w:cs="Times New Roman"/>
                      <w:sz w:val="13"/>
                      <w:szCs w:val="13"/>
                    </w:rPr>
                  </w:pPr>
                  <w:r>
                    <w:rPr>
                      <w:spacing w:val="-5"/>
                      <w:sz w:val="20"/>
                      <w:szCs w:val="20"/>
                    </w:rPr>
                    <w:t>项 目</w:t>
                  </w:r>
                  <w:r>
                    <w:rPr>
                      <w:spacing w:val="-34"/>
                      <w:sz w:val="20"/>
                      <w:szCs w:val="20"/>
                    </w:rPr>
                    <w:t xml:space="preserve"> </w:t>
                  </w:r>
                  <w:r>
                    <w:rPr>
                      <w:spacing w:val="-5"/>
                      <w:sz w:val="20"/>
                      <w:szCs w:val="20"/>
                    </w:rPr>
                    <w:t>总</w:t>
                  </w:r>
                  <w:r>
                    <w:rPr>
                      <w:spacing w:val="-19"/>
                      <w:sz w:val="20"/>
                      <w:szCs w:val="20"/>
                    </w:rPr>
                    <w:t xml:space="preserve"> </w:t>
                  </w:r>
                  <w:r>
                    <w:rPr>
                      <w:spacing w:val="-5"/>
                      <w:sz w:val="20"/>
                      <w:szCs w:val="20"/>
                    </w:rPr>
                    <w:t>占</w:t>
                  </w:r>
                  <w:r>
                    <w:rPr>
                      <w:spacing w:val="-56"/>
                      <w:sz w:val="20"/>
                      <w:szCs w:val="20"/>
                    </w:rPr>
                    <w:t xml:space="preserve"> </w:t>
                  </w:r>
                  <w:r>
                    <w:rPr>
                      <w:spacing w:val="-5"/>
                      <w:sz w:val="20"/>
                      <w:szCs w:val="20"/>
                    </w:rPr>
                    <w:t>地</w:t>
                  </w:r>
                  <w:r>
                    <w:rPr>
                      <w:spacing w:val="-55"/>
                      <w:sz w:val="20"/>
                      <w:szCs w:val="20"/>
                    </w:rPr>
                    <w:t xml:space="preserve"> </w:t>
                  </w:r>
                  <w:r>
                    <w:rPr>
                      <w:spacing w:val="-5"/>
                      <w:sz w:val="20"/>
                      <w:szCs w:val="20"/>
                    </w:rPr>
                    <w:t>面</w:t>
                  </w:r>
                  <w:r>
                    <w:rPr>
                      <w:spacing w:val="-56"/>
                      <w:sz w:val="20"/>
                      <w:szCs w:val="20"/>
                    </w:rPr>
                    <w:t xml:space="preserve"> </w:t>
                  </w:r>
                  <w:r>
                    <w:rPr>
                      <w:spacing w:val="-5"/>
                      <w:sz w:val="20"/>
                      <w:szCs w:val="20"/>
                    </w:rPr>
                    <w:t xml:space="preserve">积 </w:t>
                  </w:r>
                  <w:r>
                    <w:rPr>
                      <w:rFonts w:ascii="Times New Roman" w:hAnsi="Times New Roman" w:eastAsia="Times New Roman" w:cs="Times New Roman"/>
                      <w:spacing w:val="-5"/>
                      <w:sz w:val="20"/>
                      <w:szCs w:val="20"/>
                    </w:rPr>
                    <w:t>4.66hm</w:t>
                  </w:r>
                  <w:r>
                    <w:rPr>
                      <w:rFonts w:ascii="Times New Roman" w:hAnsi="Times New Roman" w:eastAsia="Times New Roman" w:cs="Times New Roman"/>
                      <w:spacing w:val="-5"/>
                      <w:position w:val="6"/>
                      <w:sz w:val="13"/>
                      <w:szCs w:val="13"/>
                    </w:rPr>
                    <w:t>2</w:t>
                  </w:r>
                  <w:r>
                    <w:rPr>
                      <w:rFonts w:ascii="Times New Roman" w:hAnsi="Times New Roman" w:eastAsia="Times New Roman" w:cs="Times New Roman"/>
                      <w:spacing w:val="27"/>
                      <w:w w:val="101"/>
                      <w:position w:val="6"/>
                      <w:sz w:val="13"/>
                      <w:szCs w:val="13"/>
                    </w:rPr>
                    <w:t xml:space="preserve"> </w:t>
                  </w:r>
                  <w:r>
                    <w:rPr>
                      <w:spacing w:val="-5"/>
                      <w:sz w:val="20"/>
                      <w:szCs w:val="20"/>
                    </w:rPr>
                    <w:t>，</w:t>
                  </w:r>
                  <w:r>
                    <w:rPr>
                      <w:spacing w:val="-49"/>
                      <w:sz w:val="20"/>
                      <w:szCs w:val="20"/>
                    </w:rPr>
                    <w:t xml:space="preserve"> </w:t>
                  </w:r>
                  <w:r>
                    <w:rPr>
                      <w:spacing w:val="-5"/>
                      <w:sz w:val="20"/>
                      <w:szCs w:val="20"/>
                    </w:rPr>
                    <w:t>其</w:t>
                  </w:r>
                  <w:r>
                    <w:rPr>
                      <w:spacing w:val="-36"/>
                      <w:sz w:val="20"/>
                      <w:szCs w:val="20"/>
                    </w:rPr>
                    <w:t xml:space="preserve"> </w:t>
                  </w:r>
                  <w:r>
                    <w:rPr>
                      <w:spacing w:val="-5"/>
                      <w:sz w:val="20"/>
                      <w:szCs w:val="20"/>
                    </w:rPr>
                    <w:t>中临</w:t>
                  </w:r>
                  <w:r>
                    <w:rPr>
                      <w:spacing w:val="-47"/>
                      <w:sz w:val="20"/>
                      <w:szCs w:val="20"/>
                    </w:rPr>
                    <w:t xml:space="preserve"> </w:t>
                  </w:r>
                  <w:r>
                    <w:rPr>
                      <w:spacing w:val="-5"/>
                      <w:sz w:val="20"/>
                      <w:szCs w:val="20"/>
                    </w:rPr>
                    <w:t>时</w:t>
                  </w:r>
                  <w:r>
                    <w:rPr>
                      <w:spacing w:val="-21"/>
                      <w:sz w:val="20"/>
                      <w:szCs w:val="20"/>
                    </w:rPr>
                    <w:t xml:space="preserve"> </w:t>
                  </w:r>
                  <w:r>
                    <w:rPr>
                      <w:spacing w:val="-5"/>
                      <w:sz w:val="20"/>
                      <w:szCs w:val="20"/>
                    </w:rPr>
                    <w:t>占</w:t>
                  </w:r>
                  <w:r>
                    <w:rPr>
                      <w:spacing w:val="-56"/>
                      <w:sz w:val="20"/>
                      <w:szCs w:val="20"/>
                    </w:rPr>
                    <w:t xml:space="preserve"> </w:t>
                  </w:r>
                  <w:r>
                    <w:rPr>
                      <w:spacing w:val="-5"/>
                      <w:sz w:val="20"/>
                      <w:szCs w:val="20"/>
                    </w:rPr>
                    <w:t>地</w:t>
                  </w:r>
                  <w:r>
                    <w:rPr>
                      <w:spacing w:val="-56"/>
                      <w:sz w:val="20"/>
                      <w:szCs w:val="20"/>
                    </w:rPr>
                    <w:t xml:space="preserve"> </w:t>
                  </w:r>
                  <w:r>
                    <w:rPr>
                      <w:spacing w:val="-5"/>
                      <w:sz w:val="20"/>
                      <w:szCs w:val="20"/>
                    </w:rPr>
                    <w:t>面</w:t>
                  </w:r>
                  <w:r>
                    <w:rPr>
                      <w:spacing w:val="-53"/>
                      <w:sz w:val="20"/>
                      <w:szCs w:val="20"/>
                    </w:rPr>
                    <w:t xml:space="preserve"> </w:t>
                  </w:r>
                  <w:r>
                    <w:rPr>
                      <w:spacing w:val="-5"/>
                      <w:sz w:val="20"/>
                      <w:szCs w:val="20"/>
                    </w:rPr>
                    <w:t>积</w:t>
                  </w:r>
                  <w:r>
                    <w:rPr>
                      <w:rFonts w:ascii="Times New Roman" w:hAnsi="Times New Roman" w:eastAsia="Times New Roman" w:cs="Times New Roman"/>
                      <w:spacing w:val="4"/>
                      <w:sz w:val="20"/>
                      <w:szCs w:val="20"/>
                    </w:rPr>
                    <w:t>0.5</w:t>
                  </w:r>
                  <w:r>
                    <w:rPr>
                      <w:rFonts w:ascii="Times New Roman" w:hAnsi="Times New Roman" w:eastAsia="Times New Roman" w:cs="Times New Roman"/>
                      <w:sz w:val="20"/>
                      <w:szCs w:val="20"/>
                    </w:rPr>
                    <w:t>hm</w:t>
                  </w:r>
                  <w:r>
                    <w:rPr>
                      <w:rFonts w:ascii="Times New Roman" w:hAnsi="Times New Roman" w:eastAsia="Times New Roman" w:cs="Times New Roman"/>
                      <w:spacing w:val="4"/>
                      <w:position w:val="6"/>
                      <w:sz w:val="13"/>
                      <w:szCs w:val="13"/>
                    </w:rPr>
                    <w:t>2</w:t>
                  </w:r>
                  <w:r>
                    <w:rPr>
                      <w:rFonts w:ascii="Times New Roman" w:hAnsi="Times New Roman" w:eastAsia="Times New Roman" w:cs="Times New Roman"/>
                      <w:spacing w:val="-4"/>
                      <w:position w:val="6"/>
                      <w:sz w:val="13"/>
                      <w:szCs w:val="13"/>
                    </w:rPr>
                    <w:t xml:space="preserve"> </w:t>
                  </w:r>
                  <w:r>
                    <w:rPr>
                      <w:spacing w:val="4"/>
                      <w:sz w:val="20"/>
                      <w:szCs w:val="20"/>
                    </w:rPr>
                    <w:t>，永久占地面积</w:t>
                  </w:r>
                  <w:r>
                    <w:rPr>
                      <w:spacing w:val="-42"/>
                      <w:sz w:val="20"/>
                      <w:szCs w:val="20"/>
                    </w:rPr>
                    <w:t xml:space="preserve"> </w:t>
                  </w:r>
                  <w:r>
                    <w:rPr>
                      <w:rFonts w:ascii="Times New Roman" w:hAnsi="Times New Roman" w:eastAsia="Times New Roman" w:cs="Times New Roman"/>
                      <w:spacing w:val="4"/>
                      <w:sz w:val="20"/>
                      <w:szCs w:val="20"/>
                    </w:rPr>
                    <w:t>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16</w:t>
                  </w:r>
                  <w:r>
                    <w:rPr>
                      <w:rFonts w:ascii="Times New Roman" w:hAnsi="Times New Roman" w:eastAsia="Times New Roman" w:cs="Times New Roman"/>
                      <w:sz w:val="20"/>
                      <w:szCs w:val="20"/>
                    </w:rPr>
                    <w:t>hm</w:t>
                  </w:r>
                  <w:r>
                    <w:rPr>
                      <w:rFonts w:ascii="Times New Roman" w:hAnsi="Times New Roman" w:eastAsia="Times New Roman" w:cs="Times New Roman"/>
                      <w:spacing w:val="4"/>
                      <w:position w:val="6"/>
                      <w:sz w:val="13"/>
                      <w:szCs w:val="13"/>
                    </w:rPr>
                    <w:t>2</w:t>
                  </w:r>
                </w:p>
              </w:tc>
              <w:tc>
                <w:tcPr>
                  <w:tcW w:w="564" w:type="dxa"/>
                  <w:vAlign w:val="top"/>
                </w:tcPr>
                <w:p w14:paraId="2C0BFA66">
                  <w:pPr>
                    <w:spacing w:before="295" w:line="96" w:lineRule="exact"/>
                    <w:ind w:left="219"/>
                    <w:rPr>
                      <w:rFonts w:ascii="Times New Roman" w:hAnsi="Times New Roman" w:eastAsia="Times New Roman" w:cs="Times New Roman"/>
                      <w:sz w:val="20"/>
                      <w:szCs w:val="20"/>
                    </w:rPr>
                  </w:pPr>
                  <w:r>
                    <w:rPr>
                      <w:rFonts w:ascii="Times New Roman" w:hAnsi="Times New Roman" w:eastAsia="Times New Roman" w:cs="Times New Roman"/>
                      <w:spacing w:val="-3"/>
                      <w:position w:val="-2"/>
                      <w:sz w:val="20"/>
                      <w:szCs w:val="20"/>
                    </w:rPr>
                    <w:t>--</w:t>
                  </w:r>
                </w:p>
              </w:tc>
            </w:tr>
            <w:tr w14:paraId="32169E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8068" w:type="dxa"/>
                  <w:gridSpan w:val="6"/>
                  <w:vAlign w:val="top"/>
                </w:tcPr>
                <w:p w14:paraId="6E1DF7EF">
                  <w:pPr>
                    <w:pStyle w:val="9"/>
                    <w:spacing w:before="36" w:line="227" w:lineRule="auto"/>
                    <w:ind w:left="114"/>
                    <w:rPr>
                      <w:sz w:val="20"/>
                      <w:szCs w:val="20"/>
                    </w:rPr>
                  </w:pPr>
                  <w:r>
                    <w:rPr>
                      <w:spacing w:val="7"/>
                      <w:sz w:val="20"/>
                      <w:szCs w:val="20"/>
                    </w:rPr>
                    <w:t>注：本次升压站以</w:t>
                  </w:r>
                  <w:r>
                    <w:rPr>
                      <w:spacing w:val="-37"/>
                      <w:sz w:val="20"/>
                      <w:szCs w:val="20"/>
                    </w:rPr>
                    <w:t xml:space="preserve"> </w:t>
                  </w:r>
                  <w:r>
                    <w:rPr>
                      <w:rFonts w:ascii="Times New Roman" w:hAnsi="Times New Roman" w:eastAsia="Times New Roman" w:cs="Times New Roman"/>
                      <w:spacing w:val="7"/>
                      <w:sz w:val="20"/>
                      <w:szCs w:val="20"/>
                    </w:rPr>
                    <w:t>3</w:t>
                  </w:r>
                  <w:r>
                    <w:rPr>
                      <w:rFonts w:ascii="Times New Roman" w:hAnsi="Times New Roman" w:eastAsia="Times New Roman" w:cs="Times New Roman"/>
                      <w:spacing w:val="33"/>
                      <w:sz w:val="20"/>
                      <w:szCs w:val="20"/>
                    </w:rPr>
                    <w:t xml:space="preserve"> </w:t>
                  </w:r>
                  <w:r>
                    <w:rPr>
                      <w:spacing w:val="7"/>
                      <w:sz w:val="20"/>
                      <w:szCs w:val="20"/>
                    </w:rPr>
                    <w:t>回</w:t>
                  </w:r>
                  <w:r>
                    <w:rPr>
                      <w:spacing w:val="-43"/>
                      <w:sz w:val="20"/>
                      <w:szCs w:val="20"/>
                    </w:rPr>
                    <w:t xml:space="preserve"> </w:t>
                  </w:r>
                  <w:r>
                    <w:rPr>
                      <w:rFonts w:ascii="Times New Roman" w:hAnsi="Times New Roman" w:eastAsia="Times New Roman" w:cs="Times New Roman"/>
                      <w:spacing w:val="7"/>
                      <w:sz w:val="20"/>
                      <w:szCs w:val="20"/>
                    </w:rPr>
                    <w:t>220</w:t>
                  </w:r>
                  <w:r>
                    <w:rPr>
                      <w:rFonts w:ascii="Times New Roman" w:hAnsi="Times New Roman" w:eastAsia="Times New Roman" w:cs="Times New Roman"/>
                      <w:sz w:val="20"/>
                      <w:szCs w:val="20"/>
                    </w:rPr>
                    <w:t>kV</w:t>
                  </w:r>
                  <w:r>
                    <w:rPr>
                      <w:rFonts w:ascii="Times New Roman" w:hAnsi="Times New Roman" w:eastAsia="Times New Roman" w:cs="Times New Roman"/>
                      <w:spacing w:val="16"/>
                      <w:sz w:val="20"/>
                      <w:szCs w:val="20"/>
                    </w:rPr>
                    <w:t xml:space="preserve"> </w:t>
                  </w:r>
                  <w:r>
                    <w:rPr>
                      <w:spacing w:val="7"/>
                      <w:sz w:val="20"/>
                      <w:szCs w:val="20"/>
                    </w:rPr>
                    <w:t>线路接入扎铝三期</w:t>
                  </w:r>
                  <w:r>
                    <w:rPr>
                      <w:spacing w:val="-41"/>
                      <w:sz w:val="20"/>
                      <w:szCs w:val="20"/>
                    </w:rPr>
                    <w:t xml:space="preserve"> </w:t>
                  </w:r>
                  <w:r>
                    <w:rPr>
                      <w:rFonts w:ascii="Times New Roman" w:hAnsi="Times New Roman" w:eastAsia="Times New Roman" w:cs="Times New Roman"/>
                      <w:spacing w:val="7"/>
                      <w:sz w:val="20"/>
                      <w:szCs w:val="20"/>
                    </w:rPr>
                    <w:t>2</w:t>
                  </w:r>
                  <w:r>
                    <w:rPr>
                      <w:rFonts w:ascii="Times New Roman" w:hAnsi="Times New Roman" w:eastAsia="Times New Roman" w:cs="Times New Roman"/>
                      <w:spacing w:val="6"/>
                      <w:sz w:val="20"/>
                      <w:szCs w:val="20"/>
                    </w:rPr>
                    <w:t>20</w:t>
                  </w:r>
                  <w:r>
                    <w:rPr>
                      <w:rFonts w:ascii="Times New Roman" w:hAnsi="Times New Roman" w:eastAsia="Times New Roman" w:cs="Times New Roman"/>
                      <w:sz w:val="20"/>
                      <w:szCs w:val="20"/>
                    </w:rPr>
                    <w:t>kV</w:t>
                  </w:r>
                  <w:r>
                    <w:rPr>
                      <w:rFonts w:ascii="Times New Roman" w:hAnsi="Times New Roman" w:eastAsia="Times New Roman" w:cs="Times New Roman"/>
                      <w:spacing w:val="6"/>
                      <w:sz w:val="20"/>
                      <w:szCs w:val="20"/>
                    </w:rPr>
                    <w:t xml:space="preserve"> </w:t>
                  </w:r>
                  <w:r>
                    <w:rPr>
                      <w:spacing w:val="6"/>
                      <w:sz w:val="20"/>
                      <w:szCs w:val="20"/>
                    </w:rPr>
                    <w:t>用户变电站</w:t>
                  </w:r>
                  <w:r>
                    <w:rPr>
                      <w:spacing w:val="-43"/>
                      <w:sz w:val="20"/>
                      <w:szCs w:val="20"/>
                    </w:rPr>
                    <w:t xml:space="preserve"> </w:t>
                  </w:r>
                  <w:r>
                    <w:rPr>
                      <w:rFonts w:ascii="Times New Roman" w:hAnsi="Times New Roman" w:eastAsia="Times New Roman" w:cs="Times New Roman"/>
                      <w:spacing w:val="6"/>
                      <w:sz w:val="20"/>
                      <w:szCs w:val="20"/>
                    </w:rPr>
                    <w:t xml:space="preserve">220 </w:t>
                  </w:r>
                  <w:r>
                    <w:rPr>
                      <w:spacing w:val="6"/>
                      <w:sz w:val="20"/>
                      <w:szCs w:val="20"/>
                    </w:rPr>
                    <w:t>千伏侧，该线</w:t>
                  </w:r>
                </w:p>
                <w:p w14:paraId="1A0C8D5F">
                  <w:pPr>
                    <w:pStyle w:val="9"/>
                    <w:spacing w:before="25" w:line="218" w:lineRule="auto"/>
                    <w:ind w:left="2886"/>
                    <w:rPr>
                      <w:sz w:val="20"/>
                      <w:szCs w:val="20"/>
                    </w:rPr>
                  </w:pPr>
                  <w:r>
                    <w:rPr>
                      <w:spacing w:val="9"/>
                      <w:sz w:val="20"/>
                      <w:szCs w:val="20"/>
                    </w:rPr>
                    <w:t>路不在本次评价范围之内</w:t>
                  </w:r>
                </w:p>
              </w:tc>
            </w:tr>
          </w:tbl>
          <w:p w14:paraId="3A55D380">
            <w:pPr>
              <w:pStyle w:val="9"/>
              <w:spacing w:before="161" w:line="219" w:lineRule="auto"/>
              <w:ind w:left="584"/>
              <w:outlineLvl w:val="1"/>
            </w:pPr>
            <w:r>
              <w:rPr>
                <w:rFonts w:ascii="Times New Roman" w:hAnsi="Times New Roman" w:eastAsia="Times New Roman" w:cs="Times New Roman"/>
                <w:b/>
                <w:bCs/>
                <w:spacing w:val="-2"/>
              </w:rPr>
              <w:t>2.</w:t>
            </w:r>
            <w:r>
              <w:rPr>
                <w:b/>
                <w:bCs/>
                <w:spacing w:val="-2"/>
              </w:rPr>
              <w:t>夏营地</w:t>
            </w:r>
            <w:r>
              <w:rPr>
                <w:spacing w:val="-48"/>
              </w:rPr>
              <w:t xml:space="preserve"> </w:t>
            </w:r>
            <w:r>
              <w:rPr>
                <w:rFonts w:ascii="Times New Roman" w:hAnsi="Times New Roman" w:eastAsia="Times New Roman" w:cs="Times New Roman"/>
                <w:b/>
                <w:bCs/>
                <w:spacing w:val="-2"/>
              </w:rPr>
              <w:t xml:space="preserve">220kV </w:t>
            </w:r>
            <w:r>
              <w:rPr>
                <w:b/>
                <w:bCs/>
                <w:spacing w:val="-2"/>
              </w:rPr>
              <w:t>升压站建设内容及规模</w:t>
            </w:r>
          </w:p>
          <w:p w14:paraId="5ECE29AE">
            <w:pPr>
              <w:pStyle w:val="9"/>
              <w:spacing w:before="176" w:line="219" w:lineRule="auto"/>
              <w:ind w:left="590"/>
            </w:pPr>
            <w:r>
              <w:rPr>
                <w:spacing w:val="-1"/>
              </w:rPr>
              <w:t>升压站建设内容及规模情况如下：</w:t>
            </w:r>
          </w:p>
          <w:p w14:paraId="78ED419C">
            <w:pPr>
              <w:pStyle w:val="9"/>
              <w:spacing w:before="175" w:line="215" w:lineRule="auto"/>
              <w:ind w:left="1964"/>
            </w:pPr>
            <w:r>
              <w:rPr>
                <w:b/>
                <w:bCs/>
                <w:spacing w:val="-1"/>
              </w:rPr>
              <w:t>表</w:t>
            </w:r>
            <w:r>
              <w:rPr>
                <w:spacing w:val="-55"/>
              </w:rPr>
              <w:t xml:space="preserve"> </w:t>
            </w:r>
            <w:r>
              <w:rPr>
                <w:rFonts w:ascii="Times New Roman" w:hAnsi="Times New Roman" w:eastAsia="Times New Roman" w:cs="Times New Roman"/>
                <w:b/>
                <w:bCs/>
                <w:spacing w:val="-1"/>
              </w:rPr>
              <w:t xml:space="preserve">2-2      220kV </w:t>
            </w:r>
            <w:r>
              <w:rPr>
                <w:b/>
                <w:bCs/>
                <w:spacing w:val="-1"/>
              </w:rPr>
              <w:t>升压站</w:t>
            </w:r>
            <w:r>
              <w:rPr>
                <w:b/>
                <w:bCs/>
                <w:spacing w:val="-2"/>
              </w:rPr>
              <w:t>工程内容及规模一览表</w:t>
            </w:r>
          </w:p>
        </w:tc>
      </w:tr>
      <w:tr w14:paraId="5728B2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776" w:type="dxa"/>
            <w:vMerge w:val="continue"/>
            <w:tcBorders>
              <w:top w:val="nil"/>
              <w:left w:val="single" w:color="000000" w:sz="6" w:space="0"/>
              <w:bottom w:val="nil"/>
            </w:tcBorders>
            <w:vAlign w:val="top"/>
          </w:tcPr>
          <w:p w14:paraId="5E14C565">
            <w:pPr>
              <w:rPr>
                <w:rFonts w:ascii="Arial"/>
                <w:sz w:val="21"/>
              </w:rPr>
            </w:pPr>
          </w:p>
        </w:tc>
        <w:tc>
          <w:tcPr>
            <w:tcW w:w="113" w:type="dxa"/>
            <w:tcBorders>
              <w:top w:val="nil"/>
              <w:bottom w:val="nil"/>
            </w:tcBorders>
            <w:vAlign w:val="top"/>
          </w:tcPr>
          <w:p w14:paraId="67758FB4">
            <w:pPr>
              <w:rPr>
                <w:rFonts w:ascii="Arial"/>
                <w:sz w:val="21"/>
              </w:rPr>
            </w:pPr>
          </w:p>
        </w:tc>
        <w:tc>
          <w:tcPr>
            <w:tcW w:w="404" w:type="dxa"/>
            <w:textDirection w:val="tbRlV"/>
            <w:vAlign w:val="top"/>
          </w:tcPr>
          <w:p w14:paraId="7089C22A">
            <w:pPr>
              <w:pStyle w:val="9"/>
              <w:spacing w:before="101" w:line="218" w:lineRule="auto"/>
              <w:ind w:left="70"/>
              <w:outlineLvl w:val="2"/>
              <w:rPr>
                <w:sz w:val="20"/>
                <w:szCs w:val="20"/>
              </w:rPr>
            </w:pPr>
            <w:r>
              <w:rPr>
                <w:b/>
                <w:bCs/>
                <w:spacing w:val="6"/>
                <w:sz w:val="20"/>
                <w:szCs w:val="20"/>
              </w:rPr>
              <w:t>名</w:t>
            </w:r>
            <w:r>
              <w:rPr>
                <w:spacing w:val="-35"/>
                <w:sz w:val="20"/>
                <w:szCs w:val="20"/>
              </w:rPr>
              <w:t xml:space="preserve"> </w:t>
            </w:r>
            <w:r>
              <w:rPr>
                <w:b/>
                <w:bCs/>
                <w:spacing w:val="6"/>
                <w:sz w:val="20"/>
                <w:szCs w:val="20"/>
              </w:rPr>
              <w:t>称</w:t>
            </w:r>
          </w:p>
        </w:tc>
        <w:tc>
          <w:tcPr>
            <w:tcW w:w="6822" w:type="dxa"/>
            <w:gridSpan w:val="2"/>
            <w:vAlign w:val="top"/>
          </w:tcPr>
          <w:p w14:paraId="16C76EF6">
            <w:pPr>
              <w:pStyle w:val="9"/>
              <w:spacing w:before="206" w:line="228" w:lineRule="auto"/>
              <w:ind w:left="2681"/>
              <w:outlineLvl w:val="2"/>
              <w:rPr>
                <w:sz w:val="20"/>
                <w:szCs w:val="20"/>
              </w:rPr>
            </w:pPr>
            <w:r>
              <w:rPr>
                <w:b/>
                <w:bCs/>
                <w:spacing w:val="6"/>
                <w:sz w:val="20"/>
                <w:szCs w:val="20"/>
              </w:rPr>
              <w:t>建设内容及规模</w:t>
            </w:r>
          </w:p>
        </w:tc>
        <w:tc>
          <w:tcPr>
            <w:tcW w:w="824" w:type="dxa"/>
            <w:vAlign w:val="top"/>
          </w:tcPr>
          <w:p w14:paraId="4A4FE3EF">
            <w:pPr>
              <w:pStyle w:val="9"/>
              <w:spacing w:before="207" w:line="229" w:lineRule="auto"/>
              <w:ind w:left="215"/>
              <w:rPr>
                <w:sz w:val="20"/>
                <w:szCs w:val="20"/>
              </w:rPr>
            </w:pPr>
            <w:r>
              <w:rPr>
                <w:b/>
                <w:bCs/>
                <w:spacing w:val="2"/>
                <w:sz w:val="20"/>
                <w:szCs w:val="20"/>
              </w:rPr>
              <w:t>备注</w:t>
            </w:r>
          </w:p>
        </w:tc>
        <w:tc>
          <w:tcPr>
            <w:tcW w:w="123" w:type="dxa"/>
            <w:tcBorders>
              <w:top w:val="nil"/>
              <w:bottom w:val="nil"/>
              <w:right w:val="single" w:color="000000" w:sz="6" w:space="0"/>
            </w:tcBorders>
            <w:vAlign w:val="top"/>
          </w:tcPr>
          <w:p w14:paraId="3E74596A">
            <w:pPr>
              <w:rPr>
                <w:rFonts w:ascii="Arial"/>
                <w:sz w:val="21"/>
              </w:rPr>
            </w:pPr>
          </w:p>
        </w:tc>
      </w:tr>
      <w:tr w14:paraId="174B0D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6" w:hRule="atLeast"/>
        </w:trPr>
        <w:tc>
          <w:tcPr>
            <w:tcW w:w="776" w:type="dxa"/>
            <w:vMerge w:val="continue"/>
            <w:tcBorders>
              <w:top w:val="nil"/>
              <w:left w:val="single" w:color="000000" w:sz="6" w:space="0"/>
              <w:bottom w:val="single" w:color="000000" w:sz="6" w:space="0"/>
            </w:tcBorders>
            <w:vAlign w:val="top"/>
          </w:tcPr>
          <w:p w14:paraId="56A9289E">
            <w:pPr>
              <w:rPr>
                <w:rFonts w:ascii="Arial"/>
                <w:sz w:val="21"/>
              </w:rPr>
            </w:pPr>
          </w:p>
        </w:tc>
        <w:tc>
          <w:tcPr>
            <w:tcW w:w="113" w:type="dxa"/>
            <w:tcBorders>
              <w:top w:val="nil"/>
              <w:bottom w:val="single" w:color="000000" w:sz="6" w:space="0"/>
            </w:tcBorders>
            <w:vAlign w:val="top"/>
          </w:tcPr>
          <w:p w14:paraId="49DD907B">
            <w:pPr>
              <w:rPr>
                <w:rFonts w:ascii="Arial"/>
                <w:sz w:val="21"/>
              </w:rPr>
            </w:pPr>
          </w:p>
        </w:tc>
        <w:tc>
          <w:tcPr>
            <w:tcW w:w="404" w:type="dxa"/>
            <w:textDirection w:val="tbRlV"/>
            <w:vAlign w:val="top"/>
          </w:tcPr>
          <w:p w14:paraId="13BC64E5">
            <w:pPr>
              <w:pStyle w:val="9"/>
              <w:spacing w:before="101" w:line="217" w:lineRule="auto"/>
              <w:ind w:left="343"/>
              <w:outlineLvl w:val="2"/>
              <w:rPr>
                <w:sz w:val="20"/>
                <w:szCs w:val="20"/>
              </w:rPr>
            </w:pPr>
            <w:r>
              <w:rPr>
                <w:spacing w:val="8"/>
                <w:sz w:val="20"/>
                <w:szCs w:val="20"/>
              </w:rPr>
              <w:t>主</w:t>
            </w:r>
            <w:r>
              <w:rPr>
                <w:spacing w:val="-34"/>
                <w:sz w:val="20"/>
                <w:szCs w:val="20"/>
              </w:rPr>
              <w:t xml:space="preserve"> </w:t>
            </w:r>
            <w:r>
              <w:rPr>
                <w:spacing w:val="8"/>
                <w:sz w:val="20"/>
                <w:szCs w:val="20"/>
              </w:rPr>
              <w:t>体</w:t>
            </w:r>
            <w:r>
              <w:rPr>
                <w:spacing w:val="-37"/>
                <w:sz w:val="20"/>
                <w:szCs w:val="20"/>
              </w:rPr>
              <w:t xml:space="preserve"> </w:t>
            </w:r>
            <w:r>
              <w:rPr>
                <w:spacing w:val="8"/>
                <w:sz w:val="20"/>
                <w:szCs w:val="20"/>
              </w:rPr>
              <w:t>工</w:t>
            </w:r>
            <w:r>
              <w:rPr>
                <w:spacing w:val="-35"/>
                <w:sz w:val="20"/>
                <w:szCs w:val="20"/>
              </w:rPr>
              <w:t xml:space="preserve"> </w:t>
            </w:r>
            <w:r>
              <w:rPr>
                <w:spacing w:val="8"/>
                <w:sz w:val="20"/>
                <w:szCs w:val="20"/>
              </w:rPr>
              <w:t>程</w:t>
            </w:r>
          </w:p>
        </w:tc>
        <w:tc>
          <w:tcPr>
            <w:tcW w:w="1600" w:type="dxa"/>
            <w:vAlign w:val="top"/>
          </w:tcPr>
          <w:p w14:paraId="58F7C7E5">
            <w:pPr>
              <w:spacing w:line="341" w:lineRule="auto"/>
              <w:rPr>
                <w:rFonts w:ascii="Arial"/>
                <w:sz w:val="21"/>
              </w:rPr>
            </w:pPr>
          </w:p>
          <w:p w14:paraId="3BF33BB7">
            <w:pPr>
              <w:spacing w:line="341" w:lineRule="auto"/>
              <w:rPr>
                <w:rFonts w:ascii="Arial"/>
                <w:sz w:val="21"/>
              </w:rPr>
            </w:pPr>
          </w:p>
          <w:p w14:paraId="7D1E9675">
            <w:pPr>
              <w:pStyle w:val="9"/>
              <w:spacing w:before="65" w:line="229" w:lineRule="auto"/>
              <w:ind w:left="489"/>
              <w:outlineLvl w:val="2"/>
              <w:rPr>
                <w:sz w:val="20"/>
                <w:szCs w:val="20"/>
              </w:rPr>
            </w:pPr>
            <w:r>
              <w:rPr>
                <w:spacing w:val="6"/>
                <w:sz w:val="20"/>
                <w:szCs w:val="20"/>
              </w:rPr>
              <w:t>升压站</w:t>
            </w:r>
          </w:p>
        </w:tc>
        <w:tc>
          <w:tcPr>
            <w:tcW w:w="5222" w:type="dxa"/>
            <w:vAlign w:val="top"/>
          </w:tcPr>
          <w:p w14:paraId="7879375F">
            <w:pPr>
              <w:pStyle w:val="9"/>
              <w:spacing w:before="71" w:line="250" w:lineRule="auto"/>
              <w:ind w:left="110" w:right="29" w:firstLine="421"/>
              <w:jc w:val="both"/>
              <w:rPr>
                <w:sz w:val="20"/>
                <w:szCs w:val="20"/>
              </w:rPr>
            </w:pPr>
            <w:r>
              <w:rPr>
                <w:sz w:val="20"/>
                <w:szCs w:val="20"/>
              </w:rPr>
              <w:t xml:space="preserve">新建 </w:t>
            </w:r>
            <w:r>
              <w:rPr>
                <w:rFonts w:ascii="Times New Roman" w:hAnsi="Times New Roman" w:eastAsia="Times New Roman" w:cs="Times New Roman"/>
                <w:sz w:val="20"/>
                <w:szCs w:val="20"/>
              </w:rPr>
              <w:t>1</w:t>
            </w:r>
            <w:r>
              <w:rPr>
                <w:rFonts w:ascii="Times New Roman" w:hAnsi="Times New Roman" w:eastAsia="Times New Roman" w:cs="Times New Roman"/>
                <w:spacing w:val="26"/>
                <w:w w:val="101"/>
                <w:sz w:val="20"/>
                <w:szCs w:val="20"/>
              </w:rPr>
              <w:t xml:space="preserve"> </w:t>
            </w:r>
            <w:r>
              <w:rPr>
                <w:sz w:val="20"/>
                <w:szCs w:val="20"/>
              </w:rPr>
              <w:t>座升压站，</w:t>
            </w:r>
            <w:r>
              <w:rPr>
                <w:spacing w:val="-44"/>
                <w:sz w:val="20"/>
                <w:szCs w:val="20"/>
              </w:rPr>
              <w:t xml:space="preserve"> </w:t>
            </w:r>
            <w:r>
              <w:rPr>
                <w:sz w:val="20"/>
                <w:szCs w:val="20"/>
              </w:rPr>
              <w:t>占地面积</w:t>
            </w:r>
            <w:r>
              <w:rPr>
                <w:spacing w:val="-37"/>
                <w:sz w:val="20"/>
                <w:szCs w:val="20"/>
              </w:rPr>
              <w:t xml:space="preserve"> </w:t>
            </w:r>
            <w:r>
              <w:rPr>
                <w:rFonts w:ascii="Times New Roman" w:hAnsi="Times New Roman" w:eastAsia="Times New Roman" w:cs="Times New Roman"/>
                <w:sz w:val="20"/>
                <w:szCs w:val="20"/>
              </w:rPr>
              <w:t>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z w:val="20"/>
                <w:szCs w:val="20"/>
              </w:rPr>
              <w:t>16hm</w:t>
            </w:r>
            <w:r>
              <w:rPr>
                <w:rFonts w:ascii="Times New Roman" w:hAnsi="Times New Roman" w:eastAsia="Times New Roman" w:cs="Times New Roman"/>
                <w:position w:val="6"/>
                <w:sz w:val="13"/>
                <w:szCs w:val="13"/>
              </w:rPr>
              <w:t xml:space="preserve">2 </w:t>
            </w:r>
            <w:r>
              <w:rPr>
                <w:sz w:val="20"/>
                <w:szCs w:val="20"/>
              </w:rPr>
              <w:t>，</w:t>
            </w:r>
            <w:r>
              <w:rPr>
                <w:spacing w:val="-53"/>
                <w:sz w:val="20"/>
                <w:szCs w:val="20"/>
              </w:rPr>
              <w:t xml:space="preserve"> </w:t>
            </w:r>
            <w:r>
              <w:rPr>
                <w:sz w:val="20"/>
                <w:szCs w:val="20"/>
              </w:rPr>
              <w:t>内置</w:t>
            </w:r>
            <w:r>
              <w:rPr>
                <w:spacing w:val="-36"/>
                <w:sz w:val="20"/>
                <w:szCs w:val="20"/>
              </w:rPr>
              <w:t xml:space="preserve"> </w:t>
            </w:r>
            <w:r>
              <w:rPr>
                <w:rFonts w:ascii="Times New Roman" w:hAnsi="Times New Roman" w:eastAsia="Times New Roman" w:cs="Times New Roman"/>
                <w:sz w:val="20"/>
                <w:szCs w:val="20"/>
              </w:rPr>
              <w:t>2</w:t>
            </w:r>
            <w:r>
              <w:rPr>
                <w:rFonts w:ascii="Times New Roman" w:hAnsi="Times New Roman" w:eastAsia="Times New Roman" w:cs="Times New Roman"/>
                <w:spacing w:val="36"/>
                <w:sz w:val="20"/>
                <w:szCs w:val="20"/>
              </w:rPr>
              <w:t xml:space="preserve"> </w:t>
            </w:r>
            <w:r>
              <w:rPr>
                <w:sz w:val="20"/>
                <w:szCs w:val="20"/>
              </w:rPr>
              <w:t>台</w:t>
            </w:r>
            <w:r>
              <w:rPr>
                <w:spacing w:val="-39"/>
                <w:sz w:val="20"/>
                <w:szCs w:val="20"/>
              </w:rPr>
              <w:t xml:space="preserve"> </w:t>
            </w:r>
            <w:r>
              <w:rPr>
                <w:rFonts w:ascii="Times New Roman" w:hAnsi="Times New Roman" w:eastAsia="Times New Roman" w:cs="Times New Roman"/>
                <w:sz w:val="20"/>
                <w:szCs w:val="20"/>
              </w:rPr>
              <w:t xml:space="preserve">2 </w:t>
            </w:r>
            <w:r>
              <w:rPr>
                <w:sz w:val="20"/>
                <w:szCs w:val="20"/>
              </w:rPr>
              <w:t>×</w:t>
            </w:r>
            <w:r>
              <w:rPr>
                <w:rFonts w:ascii="Times New Roman" w:hAnsi="Times New Roman" w:eastAsia="Times New Roman" w:cs="Times New Roman"/>
                <w:sz w:val="20"/>
                <w:szCs w:val="20"/>
              </w:rPr>
              <w:t xml:space="preserve">150MVA </w:t>
            </w:r>
            <w:r>
              <w:rPr>
                <w:sz w:val="20"/>
                <w:szCs w:val="20"/>
              </w:rPr>
              <w:t>主变（</w:t>
            </w:r>
            <w:r>
              <w:rPr>
                <w:rFonts w:ascii="Times New Roman" w:hAnsi="Times New Roman" w:eastAsia="Times New Roman" w:cs="Times New Roman"/>
                <w:sz w:val="20"/>
                <w:szCs w:val="20"/>
              </w:rPr>
              <w:t>1#</w:t>
            </w:r>
            <w:r>
              <w:rPr>
                <w:sz w:val="20"/>
                <w:szCs w:val="20"/>
              </w:rPr>
              <w:t>、</w:t>
            </w:r>
            <w:r>
              <w:rPr>
                <w:rFonts w:ascii="Times New Roman" w:hAnsi="Times New Roman" w:eastAsia="Times New Roman" w:cs="Times New Roman"/>
                <w:sz w:val="20"/>
                <w:szCs w:val="20"/>
              </w:rPr>
              <w:t>2#</w:t>
            </w:r>
            <w:r>
              <w:rPr>
                <w:spacing w:val="-27"/>
                <w:sz w:val="20"/>
                <w:szCs w:val="20"/>
              </w:rPr>
              <w:t>），</w:t>
            </w:r>
            <w:r>
              <w:rPr>
                <w:sz w:val="20"/>
                <w:szCs w:val="20"/>
              </w:rPr>
              <w:t>型号：</w:t>
            </w:r>
            <w:r>
              <w:rPr>
                <w:rFonts w:ascii="Times New Roman" w:hAnsi="Times New Roman" w:eastAsia="Times New Roman" w:cs="Times New Roman"/>
                <w:sz w:val="20"/>
                <w:szCs w:val="20"/>
              </w:rPr>
              <w:t>SZ11-</w:t>
            </w:r>
            <w:r>
              <w:rPr>
                <w:rFonts w:ascii="Times New Roman" w:hAnsi="Times New Roman" w:eastAsia="Times New Roman" w:cs="Times New Roman"/>
                <w:spacing w:val="-27"/>
                <w:sz w:val="20"/>
                <w:szCs w:val="20"/>
              </w:rPr>
              <w:t xml:space="preserve"> </w:t>
            </w:r>
            <w:r>
              <w:rPr>
                <w:rFonts w:ascii="Times New Roman" w:hAnsi="Times New Roman" w:eastAsia="Times New Roman" w:cs="Times New Roman"/>
                <w:sz w:val="20"/>
                <w:szCs w:val="20"/>
              </w:rPr>
              <w:t>150</w:t>
            </w:r>
            <w:r>
              <w:rPr>
                <w:rFonts w:ascii="Times New Roman" w:hAnsi="Times New Roman" w:eastAsia="Times New Roman" w:cs="Times New Roman"/>
                <w:spacing w:val="-1"/>
                <w:sz w:val="20"/>
                <w:szCs w:val="20"/>
              </w:rPr>
              <w:t>000/220kV</w:t>
            </w:r>
            <w:r>
              <w:rPr>
                <w:spacing w:val="-1"/>
                <w:sz w:val="20"/>
                <w:szCs w:val="20"/>
              </w:rPr>
              <w:t>、</w:t>
            </w:r>
            <w:r>
              <w:rPr>
                <w:sz w:val="20"/>
                <w:szCs w:val="20"/>
              </w:rPr>
              <w:t xml:space="preserve"> </w:t>
            </w:r>
            <w:r>
              <w:rPr>
                <w:rFonts w:ascii="Times New Roman" w:hAnsi="Times New Roman" w:eastAsia="Times New Roman" w:cs="Times New Roman"/>
                <w:spacing w:val="-2"/>
                <w:sz w:val="20"/>
                <w:szCs w:val="20"/>
              </w:rPr>
              <w:t>1</w:t>
            </w:r>
            <w:r>
              <w:rPr>
                <w:rFonts w:ascii="Times New Roman" w:hAnsi="Times New Roman" w:eastAsia="Times New Roman" w:cs="Times New Roman"/>
                <w:spacing w:val="29"/>
                <w:sz w:val="20"/>
                <w:szCs w:val="20"/>
              </w:rPr>
              <w:t xml:space="preserve"> </w:t>
            </w:r>
            <w:r>
              <w:rPr>
                <w:spacing w:val="-2"/>
                <w:sz w:val="20"/>
                <w:szCs w:val="20"/>
              </w:rPr>
              <w:t>台</w:t>
            </w:r>
            <w:r>
              <w:rPr>
                <w:spacing w:val="-21"/>
                <w:sz w:val="20"/>
                <w:szCs w:val="20"/>
              </w:rPr>
              <w:t xml:space="preserve"> </w:t>
            </w:r>
            <w:r>
              <w:rPr>
                <w:rFonts w:ascii="Times New Roman" w:hAnsi="Times New Roman" w:eastAsia="Times New Roman" w:cs="Times New Roman"/>
                <w:spacing w:val="-2"/>
                <w:sz w:val="20"/>
                <w:szCs w:val="20"/>
              </w:rPr>
              <w:t>1</w:t>
            </w:r>
            <w:r>
              <w:rPr>
                <w:spacing w:val="-2"/>
                <w:sz w:val="20"/>
                <w:szCs w:val="20"/>
              </w:rPr>
              <w:t>×</w:t>
            </w:r>
            <w:r>
              <w:rPr>
                <w:rFonts w:ascii="Times New Roman" w:hAnsi="Times New Roman" w:eastAsia="Times New Roman" w:cs="Times New Roman"/>
                <w:spacing w:val="-2"/>
                <w:sz w:val="20"/>
                <w:szCs w:val="20"/>
              </w:rPr>
              <w:t xml:space="preserve">125MVA </w:t>
            </w:r>
            <w:r>
              <w:rPr>
                <w:spacing w:val="-2"/>
                <w:sz w:val="20"/>
                <w:szCs w:val="20"/>
              </w:rPr>
              <w:t>主变（</w:t>
            </w:r>
            <w:r>
              <w:rPr>
                <w:rFonts w:ascii="Times New Roman" w:hAnsi="Times New Roman" w:eastAsia="Times New Roman" w:cs="Times New Roman"/>
                <w:spacing w:val="-2"/>
                <w:sz w:val="20"/>
                <w:szCs w:val="20"/>
              </w:rPr>
              <w:t>3#</w:t>
            </w:r>
            <w:r>
              <w:rPr>
                <w:spacing w:val="-49"/>
                <w:w w:val="92"/>
                <w:sz w:val="20"/>
                <w:szCs w:val="20"/>
              </w:rPr>
              <w:t>），</w:t>
            </w:r>
            <w:r>
              <w:rPr>
                <w:spacing w:val="-2"/>
                <w:sz w:val="20"/>
                <w:szCs w:val="20"/>
              </w:rPr>
              <w:t>型号：</w:t>
            </w:r>
            <w:r>
              <w:rPr>
                <w:rFonts w:ascii="Times New Roman" w:hAnsi="Times New Roman" w:eastAsia="Times New Roman" w:cs="Times New Roman"/>
                <w:spacing w:val="-2"/>
                <w:sz w:val="20"/>
                <w:szCs w:val="20"/>
              </w:rPr>
              <w:t>S</w:t>
            </w:r>
            <w:r>
              <w:rPr>
                <w:rFonts w:ascii="Times New Roman" w:hAnsi="Times New Roman" w:eastAsia="Times New Roman" w:cs="Times New Roman"/>
                <w:spacing w:val="-3"/>
                <w:sz w:val="20"/>
                <w:szCs w:val="20"/>
              </w:rPr>
              <w:t>Z11-</w:t>
            </w:r>
            <w:r>
              <w:rPr>
                <w:rFonts w:ascii="Times New Roman" w:hAnsi="Times New Roman" w:eastAsia="Times New Roman" w:cs="Times New Roman"/>
                <w:spacing w:val="-28"/>
                <w:sz w:val="20"/>
                <w:szCs w:val="20"/>
              </w:rPr>
              <w:t xml:space="preserve"> </w:t>
            </w:r>
            <w:r>
              <w:rPr>
                <w:rFonts w:ascii="Times New Roman" w:hAnsi="Times New Roman" w:eastAsia="Times New Roman" w:cs="Times New Roman"/>
                <w:spacing w:val="-3"/>
                <w:sz w:val="20"/>
                <w:szCs w:val="20"/>
              </w:rPr>
              <w:t>125000/220kV</w:t>
            </w:r>
            <w:r>
              <w:rPr>
                <w:spacing w:val="-3"/>
                <w:sz w:val="20"/>
                <w:szCs w:val="20"/>
              </w:rPr>
              <w:t>、</w:t>
            </w:r>
            <w:r>
              <w:rPr>
                <w:sz w:val="20"/>
                <w:szCs w:val="20"/>
              </w:rPr>
              <w:t xml:space="preserve"> </w:t>
            </w:r>
            <w:r>
              <w:rPr>
                <w:rFonts w:ascii="Times New Roman" w:hAnsi="Times New Roman" w:eastAsia="Times New Roman" w:cs="Times New Roman"/>
                <w:sz w:val="20"/>
                <w:szCs w:val="20"/>
              </w:rPr>
              <w:t>1</w:t>
            </w:r>
            <w:r>
              <w:rPr>
                <w:rFonts w:ascii="Times New Roman" w:hAnsi="Times New Roman" w:eastAsia="Times New Roman" w:cs="Times New Roman"/>
                <w:spacing w:val="26"/>
                <w:sz w:val="20"/>
                <w:szCs w:val="20"/>
              </w:rPr>
              <w:t xml:space="preserve"> </w:t>
            </w:r>
            <w:r>
              <w:rPr>
                <w:sz w:val="20"/>
                <w:szCs w:val="20"/>
              </w:rPr>
              <w:t>台</w:t>
            </w:r>
            <w:r>
              <w:rPr>
                <w:spacing w:val="-21"/>
                <w:sz w:val="20"/>
                <w:szCs w:val="20"/>
              </w:rPr>
              <w:t xml:space="preserve"> </w:t>
            </w:r>
            <w:r>
              <w:rPr>
                <w:rFonts w:ascii="Times New Roman" w:hAnsi="Times New Roman" w:eastAsia="Times New Roman" w:cs="Times New Roman"/>
                <w:sz w:val="20"/>
                <w:szCs w:val="20"/>
              </w:rPr>
              <w:t>1</w:t>
            </w:r>
            <w:r>
              <w:rPr>
                <w:sz w:val="20"/>
                <w:szCs w:val="20"/>
              </w:rPr>
              <w:t>×</w:t>
            </w:r>
            <w:r>
              <w:rPr>
                <w:rFonts w:ascii="Times New Roman" w:hAnsi="Times New Roman" w:eastAsia="Times New Roman" w:cs="Times New Roman"/>
                <w:sz w:val="20"/>
                <w:szCs w:val="20"/>
              </w:rPr>
              <w:t xml:space="preserve">240MVA </w:t>
            </w:r>
            <w:r>
              <w:rPr>
                <w:sz w:val="20"/>
                <w:szCs w:val="20"/>
              </w:rPr>
              <w:t>主变（</w:t>
            </w:r>
            <w:r>
              <w:rPr>
                <w:rFonts w:ascii="Times New Roman" w:hAnsi="Times New Roman" w:eastAsia="Times New Roman" w:cs="Times New Roman"/>
                <w:sz w:val="20"/>
                <w:szCs w:val="20"/>
              </w:rPr>
              <w:t>5#</w:t>
            </w:r>
            <w:r>
              <w:rPr>
                <w:spacing w:val="-30"/>
                <w:sz w:val="20"/>
                <w:szCs w:val="20"/>
              </w:rPr>
              <w:t>），</w:t>
            </w:r>
            <w:r>
              <w:rPr>
                <w:sz w:val="20"/>
                <w:szCs w:val="20"/>
              </w:rPr>
              <w:t>型号：</w:t>
            </w:r>
            <w:r>
              <w:rPr>
                <w:rFonts w:ascii="Times New Roman" w:hAnsi="Times New Roman" w:eastAsia="Times New Roman" w:cs="Times New Roman"/>
                <w:sz w:val="20"/>
                <w:szCs w:val="20"/>
              </w:rPr>
              <w:t>SFZ20-240000/2</w:t>
            </w:r>
            <w:r>
              <w:rPr>
                <w:rFonts w:ascii="Times New Roman" w:hAnsi="Times New Roman" w:eastAsia="Times New Roman" w:cs="Times New Roman"/>
                <w:spacing w:val="-1"/>
                <w:sz w:val="20"/>
                <w:szCs w:val="20"/>
              </w:rPr>
              <w:t>20</w:t>
            </w:r>
            <w:r>
              <w:rPr>
                <w:spacing w:val="-1"/>
                <w:sz w:val="20"/>
                <w:szCs w:val="20"/>
              </w:rPr>
              <w:t>，</w:t>
            </w:r>
            <w:r>
              <w:rPr>
                <w:spacing w:val="8"/>
                <w:sz w:val="20"/>
                <w:szCs w:val="20"/>
              </w:rPr>
              <w:t>采用选用油浸式三相双绕组有载调压风冷变压器。调压</w:t>
            </w:r>
            <w:r>
              <w:rPr>
                <w:spacing w:val="2"/>
                <w:sz w:val="20"/>
                <w:szCs w:val="20"/>
              </w:rPr>
              <w:t>方式：高压侧线端设有载调压分接开关；线圈联接组别：</w:t>
            </w:r>
          </w:p>
        </w:tc>
        <w:tc>
          <w:tcPr>
            <w:tcW w:w="824" w:type="dxa"/>
            <w:vAlign w:val="top"/>
          </w:tcPr>
          <w:p w14:paraId="13F62989">
            <w:pPr>
              <w:spacing w:line="341" w:lineRule="auto"/>
              <w:rPr>
                <w:rFonts w:ascii="Arial"/>
                <w:sz w:val="21"/>
              </w:rPr>
            </w:pPr>
          </w:p>
          <w:p w14:paraId="7CE32682">
            <w:pPr>
              <w:spacing w:line="341" w:lineRule="auto"/>
              <w:rPr>
                <w:rFonts w:ascii="Arial"/>
                <w:sz w:val="21"/>
              </w:rPr>
            </w:pPr>
          </w:p>
          <w:p w14:paraId="28BE23E7">
            <w:pPr>
              <w:pStyle w:val="9"/>
              <w:spacing w:before="65" w:line="229" w:lineRule="auto"/>
              <w:ind w:left="237"/>
              <w:rPr>
                <w:sz w:val="20"/>
                <w:szCs w:val="20"/>
              </w:rPr>
            </w:pPr>
            <w:r>
              <w:rPr>
                <w:spacing w:val="-7"/>
                <w:sz w:val="20"/>
                <w:szCs w:val="20"/>
              </w:rPr>
              <w:t>已建</w:t>
            </w:r>
          </w:p>
        </w:tc>
        <w:tc>
          <w:tcPr>
            <w:tcW w:w="123" w:type="dxa"/>
            <w:tcBorders>
              <w:top w:val="nil"/>
              <w:bottom w:val="single" w:color="000000" w:sz="6" w:space="0"/>
              <w:right w:val="single" w:color="000000" w:sz="6" w:space="0"/>
            </w:tcBorders>
            <w:vAlign w:val="top"/>
          </w:tcPr>
          <w:p w14:paraId="6711B765">
            <w:pPr>
              <w:rPr>
                <w:rFonts w:ascii="Arial"/>
                <w:sz w:val="21"/>
              </w:rPr>
            </w:pPr>
          </w:p>
        </w:tc>
      </w:tr>
    </w:tbl>
    <w:p w14:paraId="7C254C4F">
      <w:pPr>
        <w:pStyle w:val="3"/>
      </w:pPr>
    </w:p>
    <w:p w14:paraId="513776B2">
      <w:pPr>
        <w:sectPr>
          <w:footerReference r:id="rId20" w:type="default"/>
          <w:pgSz w:w="11906" w:h="16838"/>
          <w:pgMar w:top="1416" w:right="1414" w:bottom="1295" w:left="1414" w:header="0" w:footer="1133" w:gutter="0"/>
          <w:cols w:space="720" w:num="1"/>
        </w:sectPr>
      </w:pPr>
    </w:p>
    <w:tbl>
      <w:tblPr>
        <w:tblStyle w:val="8"/>
        <w:tblW w:w="9062"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6"/>
        <w:gridCol w:w="113"/>
        <w:gridCol w:w="404"/>
        <w:gridCol w:w="1600"/>
        <w:gridCol w:w="5222"/>
        <w:gridCol w:w="824"/>
        <w:gridCol w:w="123"/>
      </w:tblGrid>
      <w:tr w14:paraId="139761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776" w:type="dxa"/>
            <w:vMerge w:val="restart"/>
            <w:tcBorders>
              <w:top w:val="single" w:color="000000" w:sz="6" w:space="0"/>
              <w:left w:val="single" w:color="000000" w:sz="6" w:space="0"/>
              <w:bottom w:val="nil"/>
            </w:tcBorders>
            <w:vAlign w:val="top"/>
          </w:tcPr>
          <w:p w14:paraId="736F6CEC">
            <w:pPr>
              <w:rPr>
                <w:rFonts w:ascii="Arial"/>
                <w:sz w:val="21"/>
              </w:rPr>
            </w:pPr>
          </w:p>
        </w:tc>
        <w:tc>
          <w:tcPr>
            <w:tcW w:w="113" w:type="dxa"/>
            <w:tcBorders>
              <w:top w:val="single" w:color="000000" w:sz="6" w:space="0"/>
              <w:bottom w:val="nil"/>
            </w:tcBorders>
            <w:vAlign w:val="top"/>
          </w:tcPr>
          <w:p w14:paraId="617CBB20">
            <w:pPr>
              <w:rPr>
                <w:rFonts w:ascii="Arial"/>
                <w:sz w:val="21"/>
              </w:rPr>
            </w:pPr>
          </w:p>
        </w:tc>
        <w:tc>
          <w:tcPr>
            <w:tcW w:w="404" w:type="dxa"/>
            <w:vMerge w:val="restart"/>
            <w:tcBorders>
              <w:top w:val="single" w:color="000000" w:sz="6" w:space="0"/>
              <w:bottom w:val="nil"/>
            </w:tcBorders>
            <w:vAlign w:val="top"/>
          </w:tcPr>
          <w:p w14:paraId="309F937C">
            <w:pPr>
              <w:rPr>
                <w:rFonts w:ascii="Arial"/>
                <w:sz w:val="21"/>
              </w:rPr>
            </w:pPr>
          </w:p>
        </w:tc>
        <w:tc>
          <w:tcPr>
            <w:tcW w:w="1600" w:type="dxa"/>
            <w:tcBorders>
              <w:top w:val="single" w:color="000000" w:sz="6" w:space="0"/>
            </w:tcBorders>
            <w:vAlign w:val="top"/>
          </w:tcPr>
          <w:p w14:paraId="449ED37E">
            <w:pPr>
              <w:rPr>
                <w:rFonts w:ascii="Arial"/>
                <w:sz w:val="21"/>
              </w:rPr>
            </w:pPr>
          </w:p>
        </w:tc>
        <w:tc>
          <w:tcPr>
            <w:tcW w:w="5222" w:type="dxa"/>
            <w:tcBorders>
              <w:top w:val="single" w:color="000000" w:sz="6" w:space="0"/>
            </w:tcBorders>
            <w:vAlign w:val="top"/>
          </w:tcPr>
          <w:p w14:paraId="7FB385D0">
            <w:pPr>
              <w:pStyle w:val="9"/>
              <w:spacing w:before="26" w:line="255" w:lineRule="auto"/>
              <w:ind w:left="121" w:right="29" w:hanging="16"/>
              <w:rPr>
                <w:sz w:val="20"/>
                <w:szCs w:val="20"/>
              </w:rPr>
            </w:pPr>
            <w:r>
              <w:rPr>
                <w:rFonts w:ascii="Times New Roman" w:hAnsi="Times New Roman" w:eastAsia="Times New Roman" w:cs="Times New Roman"/>
                <w:sz w:val="20"/>
                <w:szCs w:val="20"/>
              </w:rPr>
              <w:t>YNd</w:t>
            </w:r>
            <w:r>
              <w:rPr>
                <w:rFonts w:ascii="Times New Roman" w:hAnsi="Times New Roman" w:eastAsia="Times New Roman" w:cs="Times New Roman"/>
                <w:spacing w:val="8"/>
                <w:sz w:val="20"/>
                <w:szCs w:val="20"/>
              </w:rPr>
              <w:t>11</w:t>
            </w:r>
            <w:r>
              <w:rPr>
                <w:spacing w:val="8"/>
                <w:sz w:val="20"/>
                <w:szCs w:val="20"/>
              </w:rPr>
              <w:t>；冷却方式：风冷；</w:t>
            </w:r>
            <w:r>
              <w:rPr>
                <w:spacing w:val="-58"/>
                <w:sz w:val="20"/>
                <w:szCs w:val="20"/>
              </w:rPr>
              <w:t xml:space="preserve"> </w:t>
            </w:r>
            <w:r>
              <w:rPr>
                <w:spacing w:val="8"/>
                <w:sz w:val="20"/>
                <w:szCs w:val="20"/>
              </w:rPr>
              <w:t>阻抗电压：</w:t>
            </w:r>
            <w:r>
              <w:rPr>
                <w:rFonts w:ascii="Times New Roman" w:hAnsi="Times New Roman" w:eastAsia="Times New Roman" w:cs="Times New Roman"/>
                <w:sz w:val="20"/>
                <w:szCs w:val="20"/>
              </w:rPr>
              <w:t>Ud</w:t>
            </w:r>
            <w:r>
              <w:rPr>
                <w:rFonts w:ascii="Times New Roman" w:hAnsi="Times New Roman" w:eastAsia="Times New Roman" w:cs="Times New Roman"/>
                <w:spacing w:val="8"/>
                <w:sz w:val="20"/>
                <w:szCs w:val="20"/>
              </w:rPr>
              <w:t>=</w:t>
            </w:r>
            <w:r>
              <w:rPr>
                <w:rFonts w:ascii="Times New Roman" w:hAnsi="Times New Roman" w:eastAsia="Times New Roman" w:cs="Times New Roman"/>
                <w:spacing w:val="-26"/>
                <w:sz w:val="20"/>
                <w:szCs w:val="20"/>
              </w:rPr>
              <w:t xml:space="preserve"> </w:t>
            </w:r>
            <w:r>
              <w:rPr>
                <w:rFonts w:ascii="Times New Roman" w:hAnsi="Times New Roman" w:eastAsia="Times New Roman" w:cs="Times New Roman"/>
                <w:spacing w:val="8"/>
                <w:sz w:val="20"/>
                <w:szCs w:val="20"/>
              </w:rPr>
              <w:t>14%</w:t>
            </w:r>
            <w:r>
              <w:rPr>
                <w:spacing w:val="8"/>
                <w:sz w:val="20"/>
                <w:szCs w:val="20"/>
              </w:rPr>
              <w:t>；</w:t>
            </w:r>
            <w:r>
              <w:rPr>
                <w:spacing w:val="-55"/>
                <w:sz w:val="20"/>
                <w:szCs w:val="20"/>
              </w:rPr>
              <w:t xml:space="preserve"> </w:t>
            </w:r>
            <w:r>
              <w:rPr>
                <w:spacing w:val="8"/>
                <w:sz w:val="20"/>
                <w:szCs w:val="20"/>
              </w:rPr>
              <w:t>中性</w:t>
            </w:r>
            <w:r>
              <w:rPr>
                <w:spacing w:val="2"/>
                <w:sz w:val="20"/>
                <w:szCs w:val="20"/>
              </w:rPr>
              <w:t>点接地：</w:t>
            </w:r>
            <w:r>
              <w:rPr>
                <w:rFonts w:ascii="Times New Roman" w:hAnsi="Times New Roman" w:eastAsia="Times New Roman" w:cs="Times New Roman"/>
                <w:spacing w:val="2"/>
                <w:sz w:val="20"/>
                <w:szCs w:val="20"/>
              </w:rPr>
              <w:t>220</w:t>
            </w:r>
            <w:r>
              <w:rPr>
                <w:rFonts w:ascii="Times New Roman" w:hAnsi="Times New Roman" w:eastAsia="Times New Roman" w:cs="Times New Roman"/>
                <w:sz w:val="20"/>
                <w:szCs w:val="20"/>
              </w:rPr>
              <w:t>kV</w:t>
            </w:r>
            <w:r>
              <w:rPr>
                <w:rFonts w:ascii="Times New Roman" w:hAnsi="Times New Roman" w:eastAsia="Times New Roman" w:cs="Times New Roman"/>
                <w:spacing w:val="2"/>
                <w:sz w:val="20"/>
                <w:szCs w:val="20"/>
              </w:rPr>
              <w:t xml:space="preserve"> </w:t>
            </w:r>
            <w:r>
              <w:rPr>
                <w:spacing w:val="2"/>
                <w:sz w:val="20"/>
                <w:szCs w:val="20"/>
              </w:rPr>
              <w:t>侧经隔离开关接地，站内配置无功补偿。</w:t>
            </w:r>
          </w:p>
        </w:tc>
        <w:tc>
          <w:tcPr>
            <w:tcW w:w="824" w:type="dxa"/>
            <w:tcBorders>
              <w:top w:val="single" w:color="000000" w:sz="6" w:space="0"/>
            </w:tcBorders>
            <w:vAlign w:val="top"/>
          </w:tcPr>
          <w:p w14:paraId="25070D34">
            <w:pPr>
              <w:rPr>
                <w:rFonts w:ascii="Arial"/>
                <w:sz w:val="21"/>
              </w:rPr>
            </w:pPr>
          </w:p>
        </w:tc>
        <w:tc>
          <w:tcPr>
            <w:tcW w:w="123" w:type="dxa"/>
            <w:tcBorders>
              <w:top w:val="single" w:color="000000" w:sz="6" w:space="0"/>
              <w:bottom w:val="nil"/>
              <w:right w:val="single" w:color="000000" w:sz="6" w:space="0"/>
            </w:tcBorders>
            <w:vAlign w:val="top"/>
          </w:tcPr>
          <w:p w14:paraId="6085150A">
            <w:pPr>
              <w:rPr>
                <w:rFonts w:ascii="Arial"/>
                <w:sz w:val="21"/>
              </w:rPr>
            </w:pPr>
          </w:p>
        </w:tc>
      </w:tr>
      <w:tr w14:paraId="732323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47" w:hRule="atLeast"/>
        </w:trPr>
        <w:tc>
          <w:tcPr>
            <w:tcW w:w="776" w:type="dxa"/>
            <w:vMerge w:val="continue"/>
            <w:tcBorders>
              <w:top w:val="nil"/>
              <w:left w:val="single" w:color="000000" w:sz="6" w:space="0"/>
              <w:bottom w:val="nil"/>
            </w:tcBorders>
            <w:vAlign w:val="top"/>
          </w:tcPr>
          <w:p w14:paraId="4A98955F">
            <w:pPr>
              <w:rPr>
                <w:rFonts w:ascii="Arial"/>
                <w:sz w:val="21"/>
              </w:rPr>
            </w:pPr>
          </w:p>
        </w:tc>
        <w:tc>
          <w:tcPr>
            <w:tcW w:w="113" w:type="dxa"/>
            <w:tcBorders>
              <w:top w:val="nil"/>
              <w:bottom w:val="nil"/>
            </w:tcBorders>
            <w:vAlign w:val="top"/>
          </w:tcPr>
          <w:p w14:paraId="05917EC6">
            <w:pPr>
              <w:rPr>
                <w:rFonts w:ascii="Arial"/>
                <w:sz w:val="21"/>
              </w:rPr>
            </w:pPr>
          </w:p>
        </w:tc>
        <w:tc>
          <w:tcPr>
            <w:tcW w:w="404" w:type="dxa"/>
            <w:vMerge w:val="continue"/>
            <w:tcBorders>
              <w:top w:val="nil"/>
              <w:bottom w:val="nil"/>
            </w:tcBorders>
            <w:vAlign w:val="top"/>
          </w:tcPr>
          <w:p w14:paraId="62C953B4">
            <w:pPr>
              <w:rPr>
                <w:rFonts w:ascii="Arial"/>
                <w:sz w:val="21"/>
              </w:rPr>
            </w:pPr>
          </w:p>
        </w:tc>
        <w:tc>
          <w:tcPr>
            <w:tcW w:w="1600" w:type="dxa"/>
            <w:vAlign w:val="top"/>
          </w:tcPr>
          <w:p w14:paraId="13A246FF">
            <w:pPr>
              <w:spacing w:line="275" w:lineRule="auto"/>
              <w:rPr>
                <w:rFonts w:ascii="Arial"/>
                <w:sz w:val="21"/>
              </w:rPr>
            </w:pPr>
          </w:p>
          <w:p w14:paraId="61D93ECB">
            <w:pPr>
              <w:spacing w:line="275" w:lineRule="auto"/>
              <w:rPr>
                <w:rFonts w:ascii="Arial"/>
                <w:sz w:val="21"/>
              </w:rPr>
            </w:pPr>
          </w:p>
          <w:p w14:paraId="6BCD5EFF">
            <w:pPr>
              <w:spacing w:line="275" w:lineRule="auto"/>
              <w:rPr>
                <w:rFonts w:ascii="Arial"/>
                <w:sz w:val="21"/>
              </w:rPr>
            </w:pPr>
          </w:p>
          <w:p w14:paraId="50F31AB0">
            <w:pPr>
              <w:pStyle w:val="9"/>
              <w:spacing w:before="65" w:line="254" w:lineRule="auto"/>
              <w:ind w:left="496" w:right="174" w:hanging="325"/>
              <w:outlineLvl w:val="2"/>
              <w:rPr>
                <w:sz w:val="20"/>
                <w:szCs w:val="20"/>
              </w:rPr>
            </w:pPr>
            <w:r>
              <w:rPr>
                <w:rFonts w:ascii="Times New Roman" w:hAnsi="Times New Roman" w:eastAsia="Times New Roman" w:cs="Times New Roman"/>
                <w:spacing w:val="7"/>
                <w:sz w:val="20"/>
                <w:szCs w:val="20"/>
              </w:rPr>
              <w:t>220</w:t>
            </w:r>
            <w:r>
              <w:rPr>
                <w:rFonts w:ascii="Times New Roman" w:hAnsi="Times New Roman" w:eastAsia="Times New Roman" w:cs="Times New Roman"/>
                <w:sz w:val="20"/>
                <w:szCs w:val="20"/>
              </w:rPr>
              <w:t>kV</w:t>
            </w:r>
            <w:r>
              <w:rPr>
                <w:rFonts w:ascii="Times New Roman" w:hAnsi="Times New Roman" w:eastAsia="Times New Roman" w:cs="Times New Roman"/>
                <w:spacing w:val="7"/>
                <w:sz w:val="20"/>
                <w:szCs w:val="20"/>
              </w:rPr>
              <w:t xml:space="preserve"> </w:t>
            </w:r>
            <w:r>
              <w:rPr>
                <w:spacing w:val="7"/>
                <w:sz w:val="20"/>
                <w:szCs w:val="20"/>
              </w:rPr>
              <w:t>进</w:t>
            </w:r>
            <w:r>
              <w:rPr>
                <w:rFonts w:hint="eastAsia"/>
                <w:spacing w:val="7"/>
                <w:sz w:val="20"/>
                <w:szCs w:val="20"/>
                <w:lang w:eastAsia="zh-CN"/>
              </w:rPr>
              <w:t>出线间隔</w:t>
            </w:r>
            <w:r>
              <w:rPr>
                <w:spacing w:val="-1"/>
                <w:sz w:val="20"/>
                <w:szCs w:val="20"/>
              </w:rPr>
              <w:t>（回）</w:t>
            </w:r>
          </w:p>
        </w:tc>
        <w:tc>
          <w:tcPr>
            <w:tcW w:w="5222" w:type="dxa"/>
            <w:vAlign w:val="top"/>
          </w:tcPr>
          <w:p w14:paraId="1A4AB248">
            <w:pPr>
              <w:pStyle w:val="9"/>
              <w:spacing w:before="82" w:line="251" w:lineRule="auto"/>
              <w:ind w:left="107" w:right="99" w:firstLine="423"/>
              <w:jc w:val="both"/>
              <w:rPr>
                <w:sz w:val="20"/>
                <w:szCs w:val="20"/>
              </w:rPr>
            </w:pPr>
            <w:r>
              <w:rPr>
                <w:spacing w:val="13"/>
                <w:sz w:val="20"/>
                <w:szCs w:val="20"/>
              </w:rPr>
              <w:t>夏营地风力发电机组出口电压为</w:t>
            </w:r>
            <w:r>
              <w:rPr>
                <w:spacing w:val="-32"/>
                <w:sz w:val="20"/>
                <w:szCs w:val="20"/>
              </w:rPr>
              <w:t xml:space="preserve"> </w:t>
            </w:r>
            <w:r>
              <w:rPr>
                <w:rFonts w:ascii="Times New Roman" w:hAnsi="Times New Roman" w:eastAsia="Times New Roman" w:cs="Times New Roman"/>
                <w:spacing w:val="13"/>
                <w:sz w:val="20"/>
                <w:szCs w:val="20"/>
              </w:rPr>
              <w:t>0.69</w:t>
            </w:r>
            <w:r>
              <w:rPr>
                <w:rFonts w:ascii="Times New Roman" w:hAnsi="Times New Roman" w:eastAsia="Times New Roman" w:cs="Times New Roman"/>
                <w:sz w:val="20"/>
                <w:szCs w:val="20"/>
              </w:rPr>
              <w:t>kV</w:t>
            </w:r>
            <w:r>
              <w:rPr>
                <w:rFonts w:ascii="Times New Roman" w:hAnsi="Times New Roman" w:eastAsia="Times New Roman" w:cs="Times New Roman"/>
                <w:spacing w:val="-14"/>
                <w:sz w:val="20"/>
                <w:szCs w:val="20"/>
              </w:rPr>
              <w:t xml:space="preserve"> </w:t>
            </w:r>
            <w:r>
              <w:rPr>
                <w:spacing w:val="13"/>
                <w:sz w:val="20"/>
                <w:szCs w:val="20"/>
              </w:rPr>
              <w:t>，在接入</w:t>
            </w:r>
            <w:r>
              <w:rPr>
                <w:rFonts w:ascii="Times New Roman" w:hAnsi="Times New Roman" w:eastAsia="Times New Roman" w:cs="Times New Roman"/>
                <w:spacing w:val="8"/>
                <w:sz w:val="20"/>
                <w:szCs w:val="20"/>
              </w:rPr>
              <w:t>220</w:t>
            </w:r>
            <w:r>
              <w:rPr>
                <w:rFonts w:ascii="Times New Roman" w:hAnsi="Times New Roman" w:eastAsia="Times New Roman" w:cs="Times New Roman"/>
                <w:sz w:val="20"/>
                <w:szCs w:val="20"/>
              </w:rPr>
              <w:t>kV</w:t>
            </w:r>
            <w:r>
              <w:rPr>
                <w:rFonts w:ascii="Times New Roman" w:hAnsi="Times New Roman" w:eastAsia="Times New Roman" w:cs="Times New Roman"/>
                <w:spacing w:val="8"/>
                <w:sz w:val="20"/>
                <w:szCs w:val="20"/>
              </w:rPr>
              <w:t xml:space="preserve"> </w:t>
            </w:r>
            <w:r>
              <w:rPr>
                <w:spacing w:val="8"/>
                <w:sz w:val="20"/>
                <w:szCs w:val="20"/>
              </w:rPr>
              <w:t>升压站之前采用两级升压方式，首级升压采用箱式变压器完成，将风机出口电压由</w:t>
            </w:r>
            <w:r>
              <w:rPr>
                <w:spacing w:val="-40"/>
                <w:sz w:val="20"/>
                <w:szCs w:val="20"/>
              </w:rPr>
              <w:t xml:space="preserve"> </w:t>
            </w:r>
            <w:r>
              <w:rPr>
                <w:rFonts w:ascii="Times New Roman" w:hAnsi="Times New Roman" w:eastAsia="Times New Roman" w:cs="Times New Roman"/>
                <w:spacing w:val="8"/>
                <w:sz w:val="20"/>
                <w:szCs w:val="20"/>
              </w:rPr>
              <w:t>0.69</w:t>
            </w:r>
            <w:r>
              <w:rPr>
                <w:rFonts w:ascii="Times New Roman" w:hAnsi="Times New Roman" w:eastAsia="Times New Roman" w:cs="Times New Roman"/>
                <w:sz w:val="20"/>
                <w:szCs w:val="20"/>
              </w:rPr>
              <w:t>kV</w:t>
            </w:r>
            <w:r>
              <w:rPr>
                <w:rFonts w:ascii="Times New Roman" w:hAnsi="Times New Roman" w:eastAsia="Times New Roman" w:cs="Times New Roman"/>
                <w:spacing w:val="8"/>
                <w:sz w:val="20"/>
                <w:szCs w:val="20"/>
              </w:rPr>
              <w:t xml:space="preserve"> </w:t>
            </w:r>
            <w:r>
              <w:rPr>
                <w:spacing w:val="7"/>
                <w:sz w:val="20"/>
                <w:szCs w:val="20"/>
              </w:rPr>
              <w:t>升至</w:t>
            </w:r>
            <w:r>
              <w:rPr>
                <w:spacing w:val="-36"/>
                <w:sz w:val="20"/>
                <w:szCs w:val="20"/>
              </w:rPr>
              <w:t xml:space="preserve"> </w:t>
            </w:r>
            <w:r>
              <w:rPr>
                <w:rFonts w:ascii="Times New Roman" w:hAnsi="Times New Roman" w:eastAsia="Times New Roman" w:cs="Times New Roman"/>
                <w:spacing w:val="7"/>
                <w:sz w:val="20"/>
                <w:szCs w:val="20"/>
              </w:rPr>
              <w:t>35</w:t>
            </w:r>
            <w:r>
              <w:rPr>
                <w:rFonts w:ascii="Times New Roman" w:hAnsi="Times New Roman" w:eastAsia="Times New Roman" w:cs="Times New Roman"/>
                <w:sz w:val="20"/>
                <w:szCs w:val="20"/>
              </w:rPr>
              <w:t>kV</w:t>
            </w:r>
            <w:r>
              <w:rPr>
                <w:spacing w:val="7"/>
                <w:sz w:val="20"/>
                <w:szCs w:val="20"/>
              </w:rPr>
              <w:t>，</w:t>
            </w:r>
            <w:r>
              <w:rPr>
                <w:spacing w:val="11"/>
                <w:sz w:val="20"/>
                <w:szCs w:val="20"/>
              </w:rPr>
              <w:t>二级升压由</w:t>
            </w:r>
            <w:r>
              <w:rPr>
                <w:rFonts w:ascii="Times New Roman" w:hAnsi="Times New Roman" w:eastAsia="Times New Roman" w:cs="Times New Roman"/>
                <w:spacing w:val="11"/>
                <w:sz w:val="20"/>
                <w:szCs w:val="20"/>
              </w:rPr>
              <w:t>220</w:t>
            </w:r>
            <w:r>
              <w:rPr>
                <w:rFonts w:ascii="Times New Roman" w:hAnsi="Times New Roman" w:eastAsia="Times New Roman" w:cs="Times New Roman"/>
                <w:sz w:val="20"/>
                <w:szCs w:val="20"/>
              </w:rPr>
              <w:t>kV</w:t>
            </w:r>
            <w:r>
              <w:rPr>
                <w:rFonts w:ascii="Times New Roman" w:hAnsi="Times New Roman" w:eastAsia="Times New Roman" w:cs="Times New Roman"/>
                <w:spacing w:val="11"/>
                <w:sz w:val="20"/>
                <w:szCs w:val="20"/>
              </w:rPr>
              <w:t xml:space="preserve"> </w:t>
            </w:r>
            <w:r>
              <w:rPr>
                <w:spacing w:val="11"/>
                <w:sz w:val="20"/>
                <w:szCs w:val="20"/>
              </w:rPr>
              <w:t>升压站完成，</w:t>
            </w:r>
          </w:p>
          <w:p w14:paraId="4069AEBA">
            <w:pPr>
              <w:pStyle w:val="9"/>
              <w:spacing w:before="1" w:line="246" w:lineRule="auto"/>
              <w:ind w:left="107" w:right="45" w:firstLine="425"/>
              <w:jc w:val="both"/>
              <w:rPr>
                <w:sz w:val="20"/>
                <w:szCs w:val="20"/>
              </w:rPr>
            </w:pPr>
            <w:r>
              <w:rPr>
                <w:spacing w:val="18"/>
                <w:sz w:val="20"/>
                <w:szCs w:val="20"/>
              </w:rPr>
              <w:t>主变进线采用架空进线方式；进</w:t>
            </w:r>
            <w:r>
              <w:rPr>
                <w:rFonts w:hint="eastAsia"/>
                <w:spacing w:val="18"/>
                <w:sz w:val="20"/>
                <w:szCs w:val="20"/>
                <w:lang w:eastAsia="zh-CN"/>
              </w:rPr>
              <w:t>出线间隔</w:t>
            </w:r>
            <w:r>
              <w:rPr>
                <w:spacing w:val="18"/>
                <w:sz w:val="20"/>
                <w:szCs w:val="20"/>
              </w:rPr>
              <w:t>门型架采用</w:t>
            </w:r>
            <w:r>
              <w:rPr>
                <w:rFonts w:ascii="Times New Roman" w:hAnsi="Times New Roman" w:eastAsia="Times New Roman" w:cs="Times New Roman"/>
                <w:spacing w:val="-1"/>
                <w:sz w:val="20"/>
                <w:szCs w:val="20"/>
              </w:rPr>
              <w:t>14m</w:t>
            </w:r>
            <w:r>
              <w:rPr>
                <w:rFonts w:ascii="Times New Roman" w:hAnsi="Times New Roman" w:eastAsia="Times New Roman" w:cs="Times New Roman"/>
                <w:spacing w:val="15"/>
                <w:sz w:val="20"/>
                <w:szCs w:val="20"/>
              </w:rPr>
              <w:t xml:space="preserve"> </w:t>
            </w:r>
            <w:r>
              <w:rPr>
                <w:spacing w:val="-1"/>
                <w:sz w:val="20"/>
                <w:szCs w:val="20"/>
              </w:rPr>
              <w:t>一跨，构架</w:t>
            </w:r>
            <w:r>
              <w:rPr>
                <w:rFonts w:hint="eastAsia"/>
                <w:spacing w:val="-1"/>
                <w:sz w:val="20"/>
                <w:szCs w:val="20"/>
                <w:lang w:eastAsia="zh-CN"/>
              </w:rPr>
              <w:t>出线间隔</w:t>
            </w:r>
            <w:r>
              <w:rPr>
                <w:spacing w:val="-1"/>
                <w:sz w:val="20"/>
                <w:szCs w:val="20"/>
              </w:rPr>
              <w:t>挂点高为</w:t>
            </w:r>
            <w:r>
              <w:rPr>
                <w:spacing w:val="-21"/>
                <w:sz w:val="20"/>
                <w:szCs w:val="20"/>
              </w:rPr>
              <w:t xml:space="preserve"> </w:t>
            </w:r>
            <w:r>
              <w:rPr>
                <w:rFonts w:ascii="Times New Roman" w:hAnsi="Times New Roman" w:eastAsia="Times New Roman" w:cs="Times New Roman"/>
                <w:spacing w:val="-1"/>
                <w:sz w:val="20"/>
                <w:szCs w:val="20"/>
              </w:rPr>
              <w:t>14m</w:t>
            </w:r>
            <w:r>
              <w:rPr>
                <w:spacing w:val="-1"/>
                <w:sz w:val="20"/>
                <w:szCs w:val="20"/>
              </w:rPr>
              <w:t>，地线挂点高度</w:t>
            </w:r>
            <w:r>
              <w:rPr>
                <w:spacing w:val="-20"/>
                <w:sz w:val="20"/>
                <w:szCs w:val="20"/>
              </w:rPr>
              <w:t xml:space="preserve"> </w:t>
            </w:r>
            <w:r>
              <w:rPr>
                <w:rFonts w:ascii="Times New Roman" w:hAnsi="Times New Roman" w:eastAsia="Times New Roman" w:cs="Times New Roman"/>
                <w:spacing w:val="-1"/>
                <w:sz w:val="20"/>
                <w:szCs w:val="20"/>
              </w:rPr>
              <w:t>18m</w:t>
            </w:r>
            <w:r>
              <w:rPr>
                <w:spacing w:val="-1"/>
                <w:sz w:val="20"/>
                <w:szCs w:val="20"/>
              </w:rPr>
              <w:t>，</w:t>
            </w:r>
            <w:r>
              <w:rPr>
                <w:sz w:val="20"/>
                <w:szCs w:val="20"/>
              </w:rPr>
              <w:t xml:space="preserve"> </w:t>
            </w:r>
            <w:r>
              <w:rPr>
                <w:rFonts w:ascii="Times New Roman" w:hAnsi="Times New Roman" w:eastAsia="Times New Roman" w:cs="Times New Roman"/>
                <w:spacing w:val="4"/>
                <w:sz w:val="20"/>
                <w:szCs w:val="20"/>
              </w:rPr>
              <w:t>220</w:t>
            </w:r>
            <w:r>
              <w:rPr>
                <w:rFonts w:ascii="Times New Roman" w:hAnsi="Times New Roman" w:eastAsia="Times New Roman" w:cs="Times New Roman"/>
                <w:sz w:val="20"/>
                <w:szCs w:val="20"/>
              </w:rPr>
              <w:t>kV</w:t>
            </w:r>
            <w:r>
              <w:rPr>
                <w:rFonts w:ascii="Times New Roman" w:hAnsi="Times New Roman" w:eastAsia="Times New Roman" w:cs="Times New Roman"/>
                <w:spacing w:val="4"/>
                <w:sz w:val="20"/>
                <w:szCs w:val="20"/>
              </w:rPr>
              <w:t xml:space="preserve"> </w:t>
            </w:r>
            <w:r>
              <w:rPr>
                <w:spacing w:val="4"/>
                <w:sz w:val="20"/>
                <w:szCs w:val="20"/>
              </w:rPr>
              <w:t>采用架空向站区北侧</w:t>
            </w:r>
            <w:r>
              <w:rPr>
                <w:rFonts w:hint="eastAsia"/>
                <w:spacing w:val="4"/>
                <w:sz w:val="20"/>
                <w:szCs w:val="20"/>
                <w:lang w:eastAsia="zh-CN"/>
              </w:rPr>
              <w:t>出线间隔</w:t>
            </w:r>
            <w:r>
              <w:rPr>
                <w:spacing w:val="4"/>
                <w:sz w:val="20"/>
                <w:szCs w:val="20"/>
              </w:rPr>
              <w:t>。共设置</w:t>
            </w:r>
            <w:r>
              <w:rPr>
                <w:spacing w:val="-40"/>
                <w:sz w:val="20"/>
                <w:szCs w:val="20"/>
              </w:rPr>
              <w:t xml:space="preserve"> </w:t>
            </w:r>
            <w:r>
              <w:rPr>
                <w:rFonts w:ascii="Times New Roman" w:hAnsi="Times New Roman" w:eastAsia="Times New Roman" w:cs="Times New Roman"/>
                <w:spacing w:val="4"/>
                <w:sz w:val="20"/>
                <w:szCs w:val="20"/>
              </w:rPr>
              <w:t>3</w:t>
            </w:r>
            <w:r>
              <w:rPr>
                <w:rFonts w:ascii="Times New Roman" w:hAnsi="Times New Roman" w:eastAsia="Times New Roman" w:cs="Times New Roman"/>
                <w:spacing w:val="25"/>
                <w:w w:val="101"/>
                <w:sz w:val="20"/>
                <w:szCs w:val="20"/>
              </w:rPr>
              <w:t xml:space="preserve"> </w:t>
            </w:r>
            <w:r>
              <w:rPr>
                <w:spacing w:val="4"/>
                <w:sz w:val="20"/>
                <w:szCs w:val="20"/>
              </w:rPr>
              <w:t>回</w:t>
            </w:r>
            <w:r>
              <w:rPr>
                <w:spacing w:val="-48"/>
                <w:sz w:val="20"/>
                <w:szCs w:val="20"/>
              </w:rPr>
              <w:t xml:space="preserve"> </w:t>
            </w:r>
            <w:r>
              <w:rPr>
                <w:rFonts w:ascii="Times New Roman" w:hAnsi="Times New Roman" w:eastAsia="Times New Roman" w:cs="Times New Roman"/>
                <w:spacing w:val="4"/>
                <w:sz w:val="20"/>
                <w:szCs w:val="20"/>
              </w:rPr>
              <w:t>220</w:t>
            </w:r>
            <w:r>
              <w:rPr>
                <w:rFonts w:ascii="Times New Roman" w:hAnsi="Times New Roman" w:eastAsia="Times New Roman" w:cs="Times New Roman"/>
                <w:sz w:val="20"/>
                <w:szCs w:val="20"/>
              </w:rPr>
              <w:t>kV</w:t>
            </w:r>
            <w:r>
              <w:rPr>
                <w:rFonts w:ascii="Times New Roman" w:hAnsi="Times New Roman" w:eastAsia="Times New Roman" w:cs="Times New Roman"/>
                <w:spacing w:val="32"/>
                <w:sz w:val="20"/>
                <w:szCs w:val="20"/>
              </w:rPr>
              <w:t xml:space="preserve"> </w:t>
            </w:r>
            <w:r>
              <w:rPr>
                <w:rFonts w:hint="eastAsia"/>
                <w:spacing w:val="4"/>
                <w:sz w:val="20"/>
                <w:szCs w:val="20"/>
                <w:lang w:eastAsia="zh-CN"/>
              </w:rPr>
              <w:t>出线间隔</w:t>
            </w:r>
            <w:r>
              <w:rPr>
                <w:spacing w:val="7"/>
                <w:sz w:val="20"/>
                <w:szCs w:val="20"/>
              </w:rPr>
              <w:t>，至扎铝三期</w:t>
            </w:r>
            <w:r>
              <w:rPr>
                <w:spacing w:val="-32"/>
                <w:sz w:val="20"/>
                <w:szCs w:val="20"/>
              </w:rPr>
              <w:t xml:space="preserve"> </w:t>
            </w:r>
            <w:r>
              <w:rPr>
                <w:rFonts w:ascii="Times New Roman" w:hAnsi="Times New Roman" w:eastAsia="Times New Roman" w:cs="Times New Roman"/>
                <w:spacing w:val="7"/>
                <w:sz w:val="20"/>
                <w:szCs w:val="20"/>
              </w:rPr>
              <w:t>220</w:t>
            </w:r>
            <w:r>
              <w:rPr>
                <w:rFonts w:ascii="Times New Roman" w:hAnsi="Times New Roman" w:eastAsia="Times New Roman" w:cs="Times New Roman"/>
                <w:sz w:val="20"/>
                <w:szCs w:val="20"/>
              </w:rPr>
              <w:t>kV</w:t>
            </w:r>
            <w:r>
              <w:rPr>
                <w:rFonts w:ascii="Times New Roman" w:hAnsi="Times New Roman" w:eastAsia="Times New Roman" w:cs="Times New Roman"/>
                <w:spacing w:val="7"/>
                <w:sz w:val="20"/>
                <w:szCs w:val="20"/>
              </w:rPr>
              <w:t xml:space="preserve"> </w:t>
            </w:r>
            <w:r>
              <w:rPr>
                <w:spacing w:val="7"/>
                <w:sz w:val="20"/>
                <w:szCs w:val="20"/>
              </w:rPr>
              <w:t>用户变电站</w:t>
            </w:r>
            <w:r>
              <w:rPr>
                <w:spacing w:val="-41"/>
                <w:sz w:val="20"/>
                <w:szCs w:val="20"/>
              </w:rPr>
              <w:t xml:space="preserve"> </w:t>
            </w:r>
            <w:r>
              <w:rPr>
                <w:rFonts w:ascii="Times New Roman" w:hAnsi="Times New Roman" w:eastAsia="Times New Roman" w:cs="Times New Roman"/>
                <w:spacing w:val="7"/>
                <w:sz w:val="20"/>
                <w:szCs w:val="20"/>
              </w:rPr>
              <w:t xml:space="preserve">220 </w:t>
            </w:r>
            <w:r>
              <w:rPr>
                <w:spacing w:val="7"/>
                <w:sz w:val="20"/>
                <w:szCs w:val="20"/>
              </w:rPr>
              <w:t>千伏侧。</w:t>
            </w:r>
          </w:p>
        </w:tc>
        <w:tc>
          <w:tcPr>
            <w:tcW w:w="824" w:type="dxa"/>
            <w:vAlign w:val="top"/>
          </w:tcPr>
          <w:p w14:paraId="5FAB19D9">
            <w:pPr>
              <w:rPr>
                <w:rFonts w:ascii="Arial"/>
                <w:sz w:val="21"/>
              </w:rPr>
            </w:pPr>
          </w:p>
          <w:p w14:paraId="2568FD2A">
            <w:pPr>
              <w:rPr>
                <w:rFonts w:ascii="Arial"/>
                <w:sz w:val="21"/>
              </w:rPr>
            </w:pPr>
          </w:p>
          <w:p w14:paraId="7FC79820">
            <w:pPr>
              <w:spacing w:line="241" w:lineRule="auto"/>
              <w:rPr>
                <w:rFonts w:ascii="Arial"/>
                <w:sz w:val="21"/>
              </w:rPr>
            </w:pPr>
          </w:p>
          <w:p w14:paraId="58A19970">
            <w:pPr>
              <w:spacing w:line="241" w:lineRule="auto"/>
              <w:rPr>
                <w:rFonts w:ascii="Arial"/>
                <w:sz w:val="21"/>
              </w:rPr>
            </w:pPr>
          </w:p>
          <w:p w14:paraId="05135151">
            <w:pPr>
              <w:pStyle w:val="9"/>
              <w:spacing w:before="65" w:line="229" w:lineRule="auto"/>
              <w:ind w:left="237"/>
              <w:rPr>
                <w:sz w:val="20"/>
                <w:szCs w:val="20"/>
              </w:rPr>
            </w:pPr>
            <w:r>
              <w:rPr>
                <w:spacing w:val="-7"/>
                <w:sz w:val="20"/>
                <w:szCs w:val="20"/>
              </w:rPr>
              <w:t>已建</w:t>
            </w:r>
          </w:p>
        </w:tc>
        <w:tc>
          <w:tcPr>
            <w:tcW w:w="123" w:type="dxa"/>
            <w:tcBorders>
              <w:top w:val="nil"/>
              <w:bottom w:val="nil"/>
              <w:right w:val="single" w:color="000000" w:sz="6" w:space="0"/>
            </w:tcBorders>
            <w:vAlign w:val="top"/>
          </w:tcPr>
          <w:p w14:paraId="4C43F1F3">
            <w:pPr>
              <w:rPr>
                <w:rFonts w:ascii="Arial"/>
                <w:sz w:val="21"/>
              </w:rPr>
            </w:pPr>
          </w:p>
        </w:tc>
      </w:tr>
      <w:tr w14:paraId="3BD983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1" w:hRule="atLeast"/>
        </w:trPr>
        <w:tc>
          <w:tcPr>
            <w:tcW w:w="776" w:type="dxa"/>
            <w:vMerge w:val="continue"/>
            <w:tcBorders>
              <w:top w:val="nil"/>
              <w:left w:val="single" w:color="000000" w:sz="6" w:space="0"/>
              <w:bottom w:val="nil"/>
            </w:tcBorders>
            <w:vAlign w:val="top"/>
          </w:tcPr>
          <w:p w14:paraId="09B50AE9">
            <w:pPr>
              <w:rPr>
                <w:rFonts w:ascii="Arial"/>
                <w:sz w:val="21"/>
              </w:rPr>
            </w:pPr>
          </w:p>
        </w:tc>
        <w:tc>
          <w:tcPr>
            <w:tcW w:w="113" w:type="dxa"/>
            <w:tcBorders>
              <w:top w:val="nil"/>
              <w:bottom w:val="nil"/>
            </w:tcBorders>
            <w:vAlign w:val="top"/>
          </w:tcPr>
          <w:p w14:paraId="0144C00B">
            <w:pPr>
              <w:rPr>
                <w:rFonts w:ascii="Arial"/>
                <w:sz w:val="21"/>
              </w:rPr>
            </w:pPr>
          </w:p>
        </w:tc>
        <w:tc>
          <w:tcPr>
            <w:tcW w:w="404" w:type="dxa"/>
            <w:vMerge w:val="continue"/>
            <w:tcBorders>
              <w:top w:val="nil"/>
            </w:tcBorders>
            <w:vAlign w:val="top"/>
          </w:tcPr>
          <w:p w14:paraId="77DFA15C">
            <w:pPr>
              <w:rPr>
                <w:rFonts w:ascii="Arial"/>
                <w:sz w:val="21"/>
              </w:rPr>
            </w:pPr>
          </w:p>
        </w:tc>
        <w:tc>
          <w:tcPr>
            <w:tcW w:w="1600" w:type="dxa"/>
            <w:vAlign w:val="top"/>
          </w:tcPr>
          <w:p w14:paraId="750E4A23">
            <w:pPr>
              <w:spacing w:line="274" w:lineRule="auto"/>
              <w:rPr>
                <w:rFonts w:ascii="Arial"/>
                <w:sz w:val="21"/>
              </w:rPr>
            </w:pPr>
          </w:p>
          <w:p w14:paraId="0D8973A8">
            <w:pPr>
              <w:spacing w:line="275" w:lineRule="auto"/>
              <w:rPr>
                <w:rFonts w:ascii="Arial"/>
                <w:sz w:val="21"/>
              </w:rPr>
            </w:pPr>
          </w:p>
          <w:p w14:paraId="4D0E47E0">
            <w:pPr>
              <w:pStyle w:val="9"/>
              <w:spacing w:before="65" w:line="228" w:lineRule="auto"/>
              <w:jc w:val="right"/>
              <w:outlineLvl w:val="2"/>
              <w:rPr>
                <w:sz w:val="20"/>
                <w:szCs w:val="20"/>
              </w:rPr>
            </w:pPr>
            <w:r>
              <w:rPr>
                <w:rFonts w:ascii="Times New Roman" w:hAnsi="Times New Roman" w:eastAsia="Times New Roman" w:cs="Times New Roman"/>
                <w:spacing w:val="-12"/>
                <w:sz w:val="20"/>
                <w:szCs w:val="20"/>
              </w:rPr>
              <w:t>35kV</w:t>
            </w:r>
            <w:r>
              <w:rPr>
                <w:rFonts w:ascii="Times New Roman" w:hAnsi="Times New Roman" w:eastAsia="Times New Roman" w:cs="Times New Roman"/>
                <w:spacing w:val="-11"/>
                <w:sz w:val="20"/>
                <w:szCs w:val="20"/>
              </w:rPr>
              <w:t xml:space="preserve"> </w:t>
            </w:r>
            <w:r>
              <w:rPr>
                <w:spacing w:val="-12"/>
                <w:sz w:val="20"/>
                <w:szCs w:val="20"/>
              </w:rPr>
              <w:t>进</w:t>
            </w:r>
            <w:r>
              <w:rPr>
                <w:rFonts w:hint="eastAsia"/>
                <w:spacing w:val="-12"/>
                <w:sz w:val="20"/>
                <w:szCs w:val="20"/>
                <w:lang w:eastAsia="zh-CN"/>
              </w:rPr>
              <w:t>出线间隔</w:t>
            </w:r>
            <w:r>
              <w:rPr>
                <w:spacing w:val="-12"/>
                <w:sz w:val="20"/>
                <w:szCs w:val="20"/>
              </w:rPr>
              <w:t>（回）</w:t>
            </w:r>
          </w:p>
        </w:tc>
        <w:tc>
          <w:tcPr>
            <w:tcW w:w="5222" w:type="dxa"/>
            <w:vAlign w:val="top"/>
          </w:tcPr>
          <w:p w14:paraId="69794E02">
            <w:pPr>
              <w:pStyle w:val="9"/>
              <w:spacing w:before="72" w:line="249" w:lineRule="auto"/>
              <w:ind w:left="109" w:right="99" w:firstLine="422"/>
              <w:jc w:val="both"/>
              <w:rPr>
                <w:sz w:val="20"/>
                <w:szCs w:val="20"/>
              </w:rPr>
            </w:pPr>
            <w:r>
              <w:rPr>
                <w:rFonts w:ascii="Times New Roman" w:hAnsi="Times New Roman" w:eastAsia="Times New Roman" w:cs="Times New Roman"/>
                <w:spacing w:val="10"/>
                <w:sz w:val="20"/>
                <w:szCs w:val="20"/>
              </w:rPr>
              <w:t>35</w:t>
            </w:r>
            <w:r>
              <w:rPr>
                <w:rFonts w:ascii="Times New Roman" w:hAnsi="Times New Roman" w:eastAsia="Times New Roman" w:cs="Times New Roman"/>
                <w:sz w:val="20"/>
                <w:szCs w:val="20"/>
              </w:rPr>
              <w:t>kV</w:t>
            </w:r>
            <w:r>
              <w:rPr>
                <w:rFonts w:ascii="Times New Roman" w:hAnsi="Times New Roman" w:eastAsia="Times New Roman" w:cs="Times New Roman"/>
                <w:spacing w:val="31"/>
                <w:sz w:val="20"/>
                <w:szCs w:val="20"/>
              </w:rPr>
              <w:t xml:space="preserve"> </w:t>
            </w:r>
            <w:r>
              <w:rPr>
                <w:spacing w:val="10"/>
                <w:sz w:val="20"/>
                <w:szCs w:val="20"/>
              </w:rPr>
              <w:t>配电装置采用户内</w:t>
            </w:r>
            <w:r>
              <w:rPr>
                <w:spacing w:val="-32"/>
                <w:sz w:val="20"/>
                <w:szCs w:val="20"/>
              </w:rPr>
              <w:t xml:space="preserve"> </w:t>
            </w:r>
            <w:r>
              <w:rPr>
                <w:rFonts w:ascii="Times New Roman" w:hAnsi="Times New Roman" w:eastAsia="Times New Roman" w:cs="Times New Roman"/>
                <w:sz w:val="20"/>
                <w:szCs w:val="20"/>
              </w:rPr>
              <w:t>SF</w:t>
            </w:r>
            <w:r>
              <w:rPr>
                <w:rFonts w:ascii="Times New Roman" w:hAnsi="Times New Roman" w:eastAsia="Times New Roman" w:cs="Times New Roman"/>
                <w:spacing w:val="10"/>
                <w:sz w:val="20"/>
                <w:szCs w:val="20"/>
              </w:rPr>
              <w:t>6</w:t>
            </w:r>
            <w:r>
              <w:rPr>
                <w:rFonts w:ascii="Times New Roman" w:hAnsi="Times New Roman" w:eastAsia="Times New Roman" w:cs="Times New Roman"/>
                <w:spacing w:val="18"/>
                <w:sz w:val="20"/>
                <w:szCs w:val="20"/>
              </w:rPr>
              <w:t xml:space="preserve"> </w:t>
            </w:r>
            <w:r>
              <w:rPr>
                <w:spacing w:val="10"/>
                <w:sz w:val="20"/>
                <w:szCs w:val="20"/>
              </w:rPr>
              <w:t>气体绝缘充气柜，采</w:t>
            </w:r>
            <w:r>
              <w:rPr>
                <w:spacing w:val="6"/>
                <w:sz w:val="20"/>
                <w:szCs w:val="20"/>
              </w:rPr>
              <w:t>用室内双列布置，布置于</w:t>
            </w:r>
            <w:r>
              <w:rPr>
                <w:spacing w:val="-33"/>
                <w:sz w:val="20"/>
                <w:szCs w:val="20"/>
              </w:rPr>
              <w:t xml:space="preserve"> </w:t>
            </w:r>
            <w:r>
              <w:rPr>
                <w:rFonts w:ascii="Times New Roman" w:hAnsi="Times New Roman" w:eastAsia="Times New Roman" w:cs="Times New Roman"/>
                <w:spacing w:val="6"/>
                <w:sz w:val="20"/>
                <w:szCs w:val="20"/>
              </w:rPr>
              <w:t>35</w:t>
            </w:r>
            <w:r>
              <w:rPr>
                <w:rFonts w:ascii="Times New Roman" w:hAnsi="Times New Roman" w:eastAsia="Times New Roman" w:cs="Times New Roman"/>
                <w:sz w:val="20"/>
                <w:szCs w:val="20"/>
              </w:rPr>
              <w:t>kV</w:t>
            </w:r>
            <w:r>
              <w:rPr>
                <w:rFonts w:ascii="Times New Roman" w:hAnsi="Times New Roman" w:eastAsia="Times New Roman" w:cs="Times New Roman"/>
                <w:spacing w:val="6"/>
                <w:sz w:val="20"/>
                <w:szCs w:val="20"/>
              </w:rPr>
              <w:t xml:space="preserve"> </w:t>
            </w:r>
            <w:r>
              <w:rPr>
                <w:spacing w:val="6"/>
                <w:sz w:val="20"/>
                <w:szCs w:val="20"/>
              </w:rPr>
              <w:t>配电装置室内。</w:t>
            </w:r>
            <w:r>
              <w:rPr>
                <w:rFonts w:ascii="Times New Roman" w:hAnsi="Times New Roman" w:eastAsia="Times New Roman" w:cs="Times New Roman"/>
                <w:spacing w:val="6"/>
                <w:sz w:val="20"/>
                <w:szCs w:val="20"/>
              </w:rPr>
              <w:t>35</w:t>
            </w:r>
            <w:r>
              <w:rPr>
                <w:rFonts w:ascii="Times New Roman" w:hAnsi="Times New Roman" w:eastAsia="Times New Roman" w:cs="Times New Roman"/>
                <w:sz w:val="20"/>
                <w:szCs w:val="20"/>
              </w:rPr>
              <w:t>kV</w:t>
            </w:r>
            <w:r>
              <w:rPr>
                <w:rFonts w:ascii="Times New Roman" w:hAnsi="Times New Roman" w:eastAsia="Times New Roman" w:cs="Times New Roman"/>
                <w:spacing w:val="6"/>
                <w:sz w:val="20"/>
                <w:szCs w:val="20"/>
              </w:rPr>
              <w:t xml:space="preserve"> </w:t>
            </w:r>
            <w:r>
              <w:rPr>
                <w:spacing w:val="6"/>
                <w:sz w:val="20"/>
                <w:szCs w:val="20"/>
              </w:rPr>
              <w:t>进</w:t>
            </w:r>
            <w:r>
              <w:rPr>
                <w:spacing w:val="12"/>
                <w:sz w:val="20"/>
                <w:szCs w:val="20"/>
              </w:rPr>
              <w:t>线采用户外全绝缘管母线形式，</w:t>
            </w:r>
            <w:r>
              <w:rPr>
                <w:rFonts w:ascii="Times New Roman" w:hAnsi="Times New Roman" w:eastAsia="Times New Roman" w:cs="Times New Roman"/>
                <w:spacing w:val="12"/>
                <w:sz w:val="20"/>
                <w:szCs w:val="20"/>
              </w:rPr>
              <w:t>35</w:t>
            </w:r>
            <w:r>
              <w:rPr>
                <w:rFonts w:ascii="Times New Roman" w:hAnsi="Times New Roman" w:eastAsia="Times New Roman" w:cs="Times New Roman"/>
                <w:sz w:val="20"/>
                <w:szCs w:val="20"/>
              </w:rPr>
              <w:t>kV</w:t>
            </w:r>
            <w:r>
              <w:rPr>
                <w:rFonts w:ascii="Times New Roman" w:hAnsi="Times New Roman" w:eastAsia="Times New Roman" w:cs="Times New Roman"/>
                <w:spacing w:val="35"/>
                <w:w w:val="101"/>
                <w:sz w:val="20"/>
                <w:szCs w:val="20"/>
              </w:rPr>
              <w:t xml:space="preserve"> </w:t>
            </w:r>
            <w:r>
              <w:rPr>
                <w:rFonts w:hint="eastAsia"/>
                <w:spacing w:val="12"/>
                <w:sz w:val="20"/>
                <w:szCs w:val="20"/>
                <w:lang w:eastAsia="zh-CN"/>
              </w:rPr>
              <w:t>出线间隔</w:t>
            </w:r>
            <w:r>
              <w:rPr>
                <w:spacing w:val="12"/>
                <w:sz w:val="20"/>
                <w:szCs w:val="20"/>
              </w:rPr>
              <w:t>采用电缆出</w:t>
            </w:r>
            <w:r>
              <w:rPr>
                <w:spacing w:val="2"/>
                <w:sz w:val="20"/>
                <w:szCs w:val="20"/>
              </w:rPr>
              <w:t>线。</w:t>
            </w:r>
            <w:r>
              <w:rPr>
                <w:rFonts w:ascii="Times New Roman" w:hAnsi="Times New Roman" w:eastAsia="Times New Roman" w:cs="Times New Roman"/>
                <w:spacing w:val="2"/>
                <w:sz w:val="20"/>
                <w:szCs w:val="20"/>
              </w:rPr>
              <w:t>35</w:t>
            </w:r>
            <w:r>
              <w:rPr>
                <w:rFonts w:ascii="Times New Roman" w:hAnsi="Times New Roman" w:eastAsia="Times New Roman" w:cs="Times New Roman"/>
                <w:sz w:val="20"/>
                <w:szCs w:val="20"/>
              </w:rPr>
              <w:t>kV</w:t>
            </w:r>
            <w:r>
              <w:rPr>
                <w:rFonts w:ascii="Times New Roman" w:hAnsi="Times New Roman" w:eastAsia="Times New Roman" w:cs="Times New Roman"/>
                <w:spacing w:val="2"/>
                <w:sz w:val="20"/>
                <w:szCs w:val="20"/>
              </w:rPr>
              <w:t xml:space="preserve"> </w:t>
            </w:r>
            <w:r>
              <w:rPr>
                <w:spacing w:val="2"/>
                <w:sz w:val="20"/>
                <w:szCs w:val="20"/>
              </w:rPr>
              <w:t>采用电缆向站区东侧出线。共设置</w:t>
            </w:r>
            <w:r>
              <w:rPr>
                <w:spacing w:val="-27"/>
                <w:sz w:val="20"/>
                <w:szCs w:val="20"/>
              </w:rPr>
              <w:t xml:space="preserve"> </w:t>
            </w:r>
            <w:r>
              <w:rPr>
                <w:rFonts w:ascii="Times New Roman" w:hAnsi="Times New Roman" w:eastAsia="Times New Roman" w:cs="Times New Roman"/>
                <w:spacing w:val="2"/>
                <w:sz w:val="20"/>
                <w:szCs w:val="20"/>
              </w:rPr>
              <w:t>30</w:t>
            </w:r>
            <w:r>
              <w:rPr>
                <w:rFonts w:ascii="Times New Roman" w:hAnsi="Times New Roman" w:eastAsia="Times New Roman" w:cs="Times New Roman"/>
                <w:spacing w:val="30"/>
                <w:sz w:val="20"/>
                <w:szCs w:val="20"/>
              </w:rPr>
              <w:t xml:space="preserve"> </w:t>
            </w:r>
            <w:r>
              <w:rPr>
                <w:spacing w:val="2"/>
                <w:sz w:val="20"/>
                <w:szCs w:val="20"/>
              </w:rPr>
              <w:t>回</w:t>
            </w:r>
            <w:r>
              <w:rPr>
                <w:spacing w:val="-37"/>
                <w:sz w:val="20"/>
                <w:szCs w:val="20"/>
              </w:rPr>
              <w:t xml:space="preserve"> </w:t>
            </w:r>
            <w:r>
              <w:rPr>
                <w:rFonts w:ascii="Times New Roman" w:hAnsi="Times New Roman" w:eastAsia="Times New Roman" w:cs="Times New Roman"/>
                <w:spacing w:val="2"/>
                <w:sz w:val="20"/>
                <w:szCs w:val="20"/>
              </w:rPr>
              <w:t>35</w:t>
            </w:r>
            <w:r>
              <w:rPr>
                <w:rFonts w:ascii="Times New Roman" w:hAnsi="Times New Roman" w:eastAsia="Times New Roman" w:cs="Times New Roman"/>
                <w:sz w:val="20"/>
                <w:szCs w:val="20"/>
              </w:rPr>
              <w:t>kV</w:t>
            </w:r>
            <w:r>
              <w:rPr>
                <w:spacing w:val="12"/>
                <w:sz w:val="20"/>
                <w:szCs w:val="20"/>
              </w:rPr>
              <w:t>进线，接入站内</w:t>
            </w:r>
            <w:r>
              <w:rPr>
                <w:rFonts w:ascii="Times New Roman" w:hAnsi="Times New Roman" w:eastAsia="Times New Roman" w:cs="Times New Roman"/>
                <w:spacing w:val="12"/>
                <w:sz w:val="20"/>
                <w:szCs w:val="20"/>
              </w:rPr>
              <w:t>35</w:t>
            </w:r>
            <w:r>
              <w:rPr>
                <w:rFonts w:ascii="Times New Roman" w:hAnsi="Times New Roman" w:eastAsia="Times New Roman" w:cs="Times New Roman"/>
                <w:sz w:val="20"/>
                <w:szCs w:val="20"/>
              </w:rPr>
              <w:t>kV</w:t>
            </w:r>
            <w:r>
              <w:rPr>
                <w:rFonts w:ascii="Times New Roman" w:hAnsi="Times New Roman" w:eastAsia="Times New Roman" w:cs="Times New Roman"/>
                <w:spacing w:val="12"/>
                <w:sz w:val="20"/>
                <w:szCs w:val="20"/>
              </w:rPr>
              <w:t xml:space="preserve"> </w:t>
            </w:r>
            <w:r>
              <w:rPr>
                <w:spacing w:val="12"/>
                <w:sz w:val="20"/>
                <w:szCs w:val="20"/>
              </w:rPr>
              <w:t>进线侧。</w:t>
            </w:r>
          </w:p>
        </w:tc>
        <w:tc>
          <w:tcPr>
            <w:tcW w:w="824" w:type="dxa"/>
            <w:vAlign w:val="top"/>
          </w:tcPr>
          <w:p w14:paraId="0AC911AE">
            <w:pPr>
              <w:spacing w:line="274" w:lineRule="auto"/>
              <w:rPr>
                <w:rFonts w:ascii="Arial"/>
                <w:sz w:val="21"/>
              </w:rPr>
            </w:pPr>
          </w:p>
          <w:p w14:paraId="2D50B4F7">
            <w:pPr>
              <w:spacing w:line="274" w:lineRule="auto"/>
              <w:rPr>
                <w:rFonts w:ascii="Arial"/>
                <w:sz w:val="21"/>
              </w:rPr>
            </w:pPr>
          </w:p>
          <w:p w14:paraId="0E8A26FB">
            <w:pPr>
              <w:pStyle w:val="9"/>
              <w:spacing w:before="65" w:line="229" w:lineRule="auto"/>
              <w:ind w:left="237"/>
              <w:rPr>
                <w:sz w:val="20"/>
                <w:szCs w:val="20"/>
              </w:rPr>
            </w:pPr>
            <w:r>
              <w:rPr>
                <w:spacing w:val="-7"/>
                <w:sz w:val="20"/>
                <w:szCs w:val="20"/>
              </w:rPr>
              <w:t>已建</w:t>
            </w:r>
          </w:p>
        </w:tc>
        <w:tc>
          <w:tcPr>
            <w:tcW w:w="123" w:type="dxa"/>
            <w:tcBorders>
              <w:top w:val="nil"/>
              <w:bottom w:val="nil"/>
              <w:right w:val="single" w:color="000000" w:sz="6" w:space="0"/>
            </w:tcBorders>
            <w:vAlign w:val="top"/>
          </w:tcPr>
          <w:p w14:paraId="42212A13">
            <w:pPr>
              <w:rPr>
                <w:rFonts w:ascii="Arial"/>
                <w:sz w:val="21"/>
              </w:rPr>
            </w:pPr>
          </w:p>
        </w:tc>
      </w:tr>
      <w:tr w14:paraId="62025D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0" w:hRule="atLeast"/>
        </w:trPr>
        <w:tc>
          <w:tcPr>
            <w:tcW w:w="776" w:type="dxa"/>
            <w:vMerge w:val="continue"/>
            <w:tcBorders>
              <w:top w:val="nil"/>
              <w:left w:val="single" w:color="000000" w:sz="6" w:space="0"/>
              <w:bottom w:val="nil"/>
            </w:tcBorders>
            <w:vAlign w:val="top"/>
          </w:tcPr>
          <w:p w14:paraId="398080D7">
            <w:pPr>
              <w:rPr>
                <w:rFonts w:ascii="Arial"/>
                <w:sz w:val="21"/>
              </w:rPr>
            </w:pPr>
          </w:p>
        </w:tc>
        <w:tc>
          <w:tcPr>
            <w:tcW w:w="113" w:type="dxa"/>
            <w:tcBorders>
              <w:top w:val="nil"/>
              <w:bottom w:val="nil"/>
            </w:tcBorders>
            <w:vAlign w:val="top"/>
          </w:tcPr>
          <w:p w14:paraId="1D1C2B72">
            <w:pPr>
              <w:rPr>
                <w:rFonts w:ascii="Arial"/>
                <w:sz w:val="21"/>
              </w:rPr>
            </w:pPr>
          </w:p>
        </w:tc>
        <w:tc>
          <w:tcPr>
            <w:tcW w:w="404" w:type="dxa"/>
            <w:vMerge w:val="restart"/>
            <w:tcBorders>
              <w:bottom w:val="nil"/>
            </w:tcBorders>
            <w:textDirection w:val="tbRlV"/>
            <w:vAlign w:val="top"/>
          </w:tcPr>
          <w:p w14:paraId="1967A081">
            <w:pPr>
              <w:pStyle w:val="9"/>
              <w:spacing w:before="91" w:line="217" w:lineRule="auto"/>
              <w:ind w:left="4151"/>
              <w:outlineLvl w:val="2"/>
              <w:rPr>
                <w:sz w:val="20"/>
                <w:szCs w:val="20"/>
              </w:rPr>
            </w:pPr>
            <w:r>
              <w:rPr>
                <w:spacing w:val="8"/>
                <w:sz w:val="20"/>
                <w:szCs w:val="20"/>
              </w:rPr>
              <w:t>辅</w:t>
            </w:r>
            <w:r>
              <w:rPr>
                <w:spacing w:val="-36"/>
                <w:sz w:val="20"/>
                <w:szCs w:val="20"/>
              </w:rPr>
              <w:t xml:space="preserve"> </w:t>
            </w:r>
            <w:r>
              <w:rPr>
                <w:spacing w:val="8"/>
                <w:sz w:val="20"/>
                <w:szCs w:val="20"/>
              </w:rPr>
              <w:t>助</w:t>
            </w:r>
            <w:r>
              <w:rPr>
                <w:spacing w:val="-35"/>
                <w:sz w:val="20"/>
                <w:szCs w:val="20"/>
              </w:rPr>
              <w:t xml:space="preserve"> </w:t>
            </w:r>
            <w:r>
              <w:rPr>
                <w:spacing w:val="8"/>
                <w:sz w:val="20"/>
                <w:szCs w:val="20"/>
              </w:rPr>
              <w:t>工</w:t>
            </w:r>
            <w:r>
              <w:rPr>
                <w:spacing w:val="-38"/>
                <w:sz w:val="20"/>
                <w:szCs w:val="20"/>
              </w:rPr>
              <w:t xml:space="preserve"> </w:t>
            </w:r>
            <w:r>
              <w:rPr>
                <w:spacing w:val="8"/>
                <w:sz w:val="20"/>
                <w:szCs w:val="20"/>
              </w:rPr>
              <w:t>程</w:t>
            </w:r>
          </w:p>
        </w:tc>
        <w:tc>
          <w:tcPr>
            <w:tcW w:w="1600" w:type="dxa"/>
            <w:vAlign w:val="top"/>
          </w:tcPr>
          <w:p w14:paraId="24C950FB">
            <w:pPr>
              <w:spacing w:line="378" w:lineRule="auto"/>
              <w:rPr>
                <w:rFonts w:ascii="Arial"/>
                <w:sz w:val="21"/>
              </w:rPr>
            </w:pPr>
          </w:p>
          <w:p w14:paraId="74DEDE08">
            <w:pPr>
              <w:pStyle w:val="9"/>
              <w:spacing w:before="65" w:line="228" w:lineRule="auto"/>
              <w:ind w:left="490"/>
              <w:outlineLvl w:val="2"/>
              <w:rPr>
                <w:sz w:val="20"/>
                <w:szCs w:val="20"/>
              </w:rPr>
            </w:pPr>
            <w:r>
              <w:rPr>
                <w:spacing w:val="6"/>
                <w:sz w:val="20"/>
                <w:szCs w:val="20"/>
              </w:rPr>
              <w:t>综合楼</w:t>
            </w:r>
          </w:p>
        </w:tc>
        <w:tc>
          <w:tcPr>
            <w:tcW w:w="5222" w:type="dxa"/>
            <w:vAlign w:val="top"/>
          </w:tcPr>
          <w:p w14:paraId="3C03EB1F">
            <w:pPr>
              <w:pStyle w:val="9"/>
              <w:spacing w:before="38" w:line="250" w:lineRule="auto"/>
              <w:ind w:left="114" w:right="99" w:firstLine="417"/>
              <w:outlineLvl w:val="2"/>
              <w:rPr>
                <w:sz w:val="20"/>
                <w:szCs w:val="20"/>
              </w:rPr>
            </w:pPr>
            <w:r>
              <w:rPr>
                <w:spacing w:val="9"/>
                <w:sz w:val="20"/>
                <w:szCs w:val="20"/>
              </w:rPr>
              <w:t>位于升压站西侧及西北侧，</w:t>
            </w:r>
            <w:r>
              <w:rPr>
                <w:rFonts w:ascii="Times New Roman" w:hAnsi="Times New Roman" w:eastAsia="Times New Roman" w:cs="Times New Roman"/>
                <w:spacing w:val="9"/>
                <w:sz w:val="20"/>
                <w:szCs w:val="20"/>
              </w:rPr>
              <w:t>2</w:t>
            </w:r>
            <w:r>
              <w:rPr>
                <w:rFonts w:ascii="Times New Roman" w:hAnsi="Times New Roman" w:eastAsia="Times New Roman" w:cs="Times New Roman"/>
                <w:spacing w:val="18"/>
                <w:sz w:val="20"/>
                <w:szCs w:val="20"/>
              </w:rPr>
              <w:t xml:space="preserve"> </w:t>
            </w:r>
            <w:r>
              <w:rPr>
                <w:spacing w:val="9"/>
                <w:sz w:val="20"/>
                <w:szCs w:val="20"/>
              </w:rPr>
              <w:t>座，均为主体</w:t>
            </w:r>
            <w:r>
              <w:rPr>
                <w:spacing w:val="-41"/>
                <w:sz w:val="20"/>
                <w:szCs w:val="20"/>
              </w:rPr>
              <w:t xml:space="preserve"> </w:t>
            </w:r>
            <w:r>
              <w:rPr>
                <w:rFonts w:ascii="Times New Roman" w:hAnsi="Times New Roman" w:eastAsia="Times New Roman" w:cs="Times New Roman"/>
                <w:spacing w:val="9"/>
                <w:sz w:val="20"/>
                <w:szCs w:val="20"/>
              </w:rPr>
              <w:t xml:space="preserve">2 </w:t>
            </w:r>
            <w:r>
              <w:rPr>
                <w:spacing w:val="9"/>
                <w:sz w:val="20"/>
                <w:szCs w:val="20"/>
              </w:rPr>
              <w:t>层局</w:t>
            </w:r>
            <w:r>
              <w:rPr>
                <w:spacing w:val="5"/>
                <w:sz w:val="20"/>
                <w:szCs w:val="20"/>
              </w:rPr>
              <w:t>部</w:t>
            </w:r>
            <w:r>
              <w:rPr>
                <w:spacing w:val="-38"/>
                <w:sz w:val="20"/>
                <w:szCs w:val="20"/>
              </w:rPr>
              <w:t xml:space="preserve"> </w:t>
            </w:r>
            <w:r>
              <w:rPr>
                <w:rFonts w:ascii="Times New Roman" w:hAnsi="Times New Roman" w:eastAsia="Times New Roman" w:cs="Times New Roman"/>
                <w:spacing w:val="5"/>
                <w:sz w:val="20"/>
                <w:szCs w:val="20"/>
              </w:rPr>
              <w:t xml:space="preserve">3 </w:t>
            </w:r>
            <w:r>
              <w:rPr>
                <w:spacing w:val="5"/>
                <w:sz w:val="20"/>
                <w:szCs w:val="20"/>
              </w:rPr>
              <w:t>层机构，建筑面积分别为</w:t>
            </w:r>
            <w:r>
              <w:rPr>
                <w:spacing w:val="-41"/>
                <w:sz w:val="20"/>
                <w:szCs w:val="20"/>
              </w:rPr>
              <w:t xml:space="preserve"> </w:t>
            </w:r>
            <w:r>
              <w:rPr>
                <w:rFonts w:ascii="Times New Roman" w:hAnsi="Times New Roman" w:eastAsia="Times New Roman" w:cs="Times New Roman"/>
                <w:spacing w:val="5"/>
                <w:sz w:val="20"/>
                <w:szCs w:val="20"/>
              </w:rPr>
              <w:t>2562m</w:t>
            </w:r>
            <w:r>
              <w:rPr>
                <w:rFonts w:ascii="Times New Roman" w:hAnsi="Times New Roman" w:eastAsia="Times New Roman" w:cs="Times New Roman"/>
                <w:spacing w:val="5"/>
                <w:position w:val="6"/>
                <w:sz w:val="13"/>
                <w:szCs w:val="13"/>
              </w:rPr>
              <w:t>2</w:t>
            </w:r>
            <w:r>
              <w:rPr>
                <w:rFonts w:ascii="Times New Roman" w:hAnsi="Times New Roman" w:eastAsia="Times New Roman" w:cs="Times New Roman"/>
                <w:spacing w:val="10"/>
                <w:position w:val="6"/>
                <w:sz w:val="13"/>
                <w:szCs w:val="13"/>
              </w:rPr>
              <w:t xml:space="preserve"> </w:t>
            </w:r>
            <w:r>
              <w:rPr>
                <w:spacing w:val="5"/>
                <w:sz w:val="20"/>
                <w:szCs w:val="20"/>
              </w:rPr>
              <w:t>及</w:t>
            </w:r>
            <w:r>
              <w:rPr>
                <w:spacing w:val="-23"/>
                <w:sz w:val="20"/>
                <w:szCs w:val="20"/>
              </w:rPr>
              <w:t xml:space="preserve"> </w:t>
            </w:r>
            <w:r>
              <w:rPr>
                <w:rFonts w:ascii="Times New Roman" w:hAnsi="Times New Roman" w:eastAsia="Times New Roman" w:cs="Times New Roman"/>
                <w:spacing w:val="5"/>
                <w:sz w:val="20"/>
                <w:szCs w:val="20"/>
              </w:rPr>
              <w:t>150</w:t>
            </w:r>
            <w:r>
              <w:rPr>
                <w:rFonts w:ascii="Times New Roman" w:hAnsi="Times New Roman" w:eastAsia="Times New Roman" w:cs="Times New Roman"/>
                <w:spacing w:val="4"/>
                <w:sz w:val="20"/>
                <w:szCs w:val="20"/>
              </w:rPr>
              <w:t>0m</w:t>
            </w:r>
            <w:r>
              <w:rPr>
                <w:rFonts w:ascii="Times New Roman" w:hAnsi="Times New Roman" w:eastAsia="Times New Roman" w:cs="Times New Roman"/>
                <w:spacing w:val="4"/>
                <w:position w:val="6"/>
                <w:sz w:val="13"/>
                <w:szCs w:val="13"/>
              </w:rPr>
              <w:t>2</w:t>
            </w:r>
            <w:r>
              <w:rPr>
                <w:rFonts w:ascii="Times New Roman" w:hAnsi="Times New Roman" w:eastAsia="Times New Roman" w:cs="Times New Roman"/>
                <w:spacing w:val="-6"/>
                <w:position w:val="6"/>
                <w:sz w:val="13"/>
                <w:szCs w:val="13"/>
              </w:rPr>
              <w:t xml:space="preserve"> </w:t>
            </w:r>
            <w:r>
              <w:rPr>
                <w:spacing w:val="4"/>
                <w:sz w:val="20"/>
                <w:szCs w:val="20"/>
              </w:rPr>
              <w:t>，有办</w:t>
            </w:r>
          </w:p>
          <w:p w14:paraId="397F23EA">
            <w:pPr>
              <w:pStyle w:val="9"/>
              <w:spacing w:line="226" w:lineRule="auto"/>
              <w:ind w:left="112" w:right="99" w:firstLine="5"/>
              <w:rPr>
                <w:sz w:val="20"/>
                <w:szCs w:val="20"/>
              </w:rPr>
            </w:pPr>
            <w:r>
              <w:rPr>
                <w:spacing w:val="8"/>
                <w:sz w:val="20"/>
                <w:szCs w:val="20"/>
              </w:rPr>
              <w:t>公室、主控室、会议室等，不设置食堂，钢筋混凝土框</w:t>
            </w:r>
            <w:r>
              <w:rPr>
                <w:spacing w:val="6"/>
                <w:sz w:val="20"/>
                <w:szCs w:val="20"/>
              </w:rPr>
              <w:t>架结构，建筑高度</w:t>
            </w:r>
            <w:r>
              <w:rPr>
                <w:spacing w:val="-31"/>
                <w:sz w:val="20"/>
                <w:szCs w:val="20"/>
              </w:rPr>
              <w:t xml:space="preserve"> </w:t>
            </w:r>
            <w:r>
              <w:rPr>
                <w:rFonts w:ascii="Times New Roman" w:hAnsi="Times New Roman" w:eastAsia="Times New Roman" w:cs="Times New Roman"/>
                <w:spacing w:val="6"/>
                <w:sz w:val="20"/>
                <w:szCs w:val="20"/>
              </w:rPr>
              <w:t>8m</w:t>
            </w:r>
            <w:r>
              <w:rPr>
                <w:spacing w:val="6"/>
                <w:sz w:val="20"/>
                <w:szCs w:val="20"/>
              </w:rPr>
              <w:t>。</w:t>
            </w:r>
          </w:p>
        </w:tc>
        <w:tc>
          <w:tcPr>
            <w:tcW w:w="824" w:type="dxa"/>
            <w:vAlign w:val="top"/>
          </w:tcPr>
          <w:p w14:paraId="67436501">
            <w:pPr>
              <w:spacing w:line="378" w:lineRule="auto"/>
              <w:rPr>
                <w:rFonts w:ascii="Arial"/>
                <w:sz w:val="21"/>
              </w:rPr>
            </w:pPr>
          </w:p>
          <w:p w14:paraId="0BD7E8F8">
            <w:pPr>
              <w:pStyle w:val="9"/>
              <w:spacing w:before="65" w:line="229" w:lineRule="auto"/>
              <w:ind w:left="237"/>
              <w:rPr>
                <w:sz w:val="20"/>
                <w:szCs w:val="20"/>
              </w:rPr>
            </w:pPr>
            <w:r>
              <w:rPr>
                <w:spacing w:val="-7"/>
                <w:sz w:val="20"/>
                <w:szCs w:val="20"/>
              </w:rPr>
              <w:t>已建</w:t>
            </w:r>
          </w:p>
        </w:tc>
        <w:tc>
          <w:tcPr>
            <w:tcW w:w="123" w:type="dxa"/>
            <w:tcBorders>
              <w:top w:val="nil"/>
              <w:bottom w:val="nil"/>
              <w:right w:val="single" w:color="000000" w:sz="6" w:space="0"/>
            </w:tcBorders>
            <w:vAlign w:val="top"/>
          </w:tcPr>
          <w:p w14:paraId="1BB547A1">
            <w:pPr>
              <w:rPr>
                <w:rFonts w:ascii="Arial"/>
                <w:sz w:val="21"/>
              </w:rPr>
            </w:pPr>
          </w:p>
        </w:tc>
      </w:tr>
      <w:tr w14:paraId="22E874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2" w:hRule="atLeast"/>
        </w:trPr>
        <w:tc>
          <w:tcPr>
            <w:tcW w:w="776" w:type="dxa"/>
            <w:vMerge w:val="continue"/>
            <w:tcBorders>
              <w:top w:val="nil"/>
              <w:left w:val="single" w:color="000000" w:sz="6" w:space="0"/>
              <w:bottom w:val="nil"/>
            </w:tcBorders>
            <w:vAlign w:val="top"/>
          </w:tcPr>
          <w:p w14:paraId="6A3C23FC">
            <w:pPr>
              <w:rPr>
                <w:rFonts w:ascii="Arial"/>
                <w:sz w:val="21"/>
              </w:rPr>
            </w:pPr>
          </w:p>
        </w:tc>
        <w:tc>
          <w:tcPr>
            <w:tcW w:w="113" w:type="dxa"/>
            <w:tcBorders>
              <w:top w:val="nil"/>
              <w:bottom w:val="nil"/>
            </w:tcBorders>
            <w:vAlign w:val="top"/>
          </w:tcPr>
          <w:p w14:paraId="79B01534">
            <w:pPr>
              <w:rPr>
                <w:rFonts w:ascii="Arial"/>
                <w:sz w:val="21"/>
              </w:rPr>
            </w:pPr>
          </w:p>
        </w:tc>
        <w:tc>
          <w:tcPr>
            <w:tcW w:w="404" w:type="dxa"/>
            <w:vMerge w:val="continue"/>
            <w:tcBorders>
              <w:top w:val="nil"/>
              <w:bottom w:val="nil"/>
            </w:tcBorders>
            <w:textDirection w:val="tbRlV"/>
            <w:vAlign w:val="top"/>
          </w:tcPr>
          <w:p w14:paraId="4739E557">
            <w:pPr>
              <w:rPr>
                <w:rFonts w:ascii="Arial"/>
                <w:sz w:val="21"/>
              </w:rPr>
            </w:pPr>
          </w:p>
        </w:tc>
        <w:tc>
          <w:tcPr>
            <w:tcW w:w="1600" w:type="dxa"/>
            <w:vAlign w:val="top"/>
          </w:tcPr>
          <w:p w14:paraId="67D3AC04">
            <w:pPr>
              <w:spacing w:line="392" w:lineRule="auto"/>
              <w:rPr>
                <w:rFonts w:ascii="Arial"/>
                <w:sz w:val="21"/>
              </w:rPr>
            </w:pPr>
          </w:p>
          <w:p w14:paraId="63498C4E">
            <w:pPr>
              <w:pStyle w:val="9"/>
              <w:spacing w:before="65" w:line="252" w:lineRule="auto"/>
              <w:ind w:left="487" w:right="124" w:hanging="364"/>
              <w:outlineLvl w:val="2"/>
              <w:rPr>
                <w:sz w:val="20"/>
                <w:szCs w:val="20"/>
              </w:rPr>
            </w:pPr>
            <w:r>
              <w:rPr>
                <w:rFonts w:ascii="Times New Roman" w:hAnsi="Times New Roman" w:eastAsia="Times New Roman" w:cs="Times New Roman"/>
                <w:spacing w:val="6"/>
                <w:sz w:val="20"/>
                <w:szCs w:val="20"/>
              </w:rPr>
              <w:t>35</w:t>
            </w:r>
            <w:r>
              <w:rPr>
                <w:rFonts w:ascii="Times New Roman" w:hAnsi="Times New Roman" w:eastAsia="Times New Roman" w:cs="Times New Roman"/>
                <w:sz w:val="20"/>
                <w:szCs w:val="20"/>
              </w:rPr>
              <w:t>kV</w:t>
            </w:r>
            <w:r>
              <w:rPr>
                <w:rFonts w:ascii="Times New Roman" w:hAnsi="Times New Roman" w:eastAsia="Times New Roman" w:cs="Times New Roman"/>
                <w:spacing w:val="16"/>
                <w:sz w:val="20"/>
                <w:szCs w:val="20"/>
              </w:rPr>
              <w:t xml:space="preserve"> </w:t>
            </w:r>
            <w:r>
              <w:rPr>
                <w:spacing w:val="6"/>
                <w:sz w:val="20"/>
                <w:szCs w:val="20"/>
              </w:rPr>
              <w:t>室内配电装置室</w:t>
            </w:r>
          </w:p>
        </w:tc>
        <w:tc>
          <w:tcPr>
            <w:tcW w:w="5222" w:type="dxa"/>
            <w:vAlign w:val="top"/>
          </w:tcPr>
          <w:p w14:paraId="06288F04">
            <w:pPr>
              <w:pStyle w:val="9"/>
              <w:spacing w:before="52" w:line="250" w:lineRule="auto"/>
              <w:ind w:left="111" w:right="99" w:firstLine="420"/>
              <w:outlineLvl w:val="2"/>
              <w:rPr>
                <w:sz w:val="20"/>
                <w:szCs w:val="20"/>
              </w:rPr>
            </w:pPr>
            <w:r>
              <w:rPr>
                <w:spacing w:val="4"/>
                <w:sz w:val="20"/>
                <w:szCs w:val="20"/>
              </w:rPr>
              <w:t>位于升压站南侧，共设置</w:t>
            </w:r>
            <w:r>
              <w:rPr>
                <w:spacing w:val="-38"/>
                <w:sz w:val="20"/>
                <w:szCs w:val="20"/>
              </w:rPr>
              <w:t xml:space="preserve"> </w:t>
            </w:r>
            <w:r>
              <w:rPr>
                <w:rFonts w:ascii="Times New Roman" w:hAnsi="Times New Roman" w:eastAsia="Times New Roman" w:cs="Times New Roman"/>
                <w:spacing w:val="4"/>
                <w:sz w:val="20"/>
                <w:szCs w:val="20"/>
              </w:rPr>
              <w:t xml:space="preserve">4 </w:t>
            </w:r>
            <w:r>
              <w:rPr>
                <w:spacing w:val="4"/>
                <w:sz w:val="20"/>
                <w:szCs w:val="20"/>
              </w:rPr>
              <w:t>座，</w:t>
            </w:r>
            <w:r>
              <w:rPr>
                <w:rFonts w:ascii="Times New Roman" w:hAnsi="Times New Roman" w:eastAsia="Times New Roman" w:cs="Times New Roman"/>
                <w:spacing w:val="4"/>
                <w:sz w:val="20"/>
                <w:szCs w:val="20"/>
              </w:rPr>
              <w:t>1#</w:t>
            </w:r>
            <w:r>
              <w:rPr>
                <w:rFonts w:ascii="Times New Roman" w:hAnsi="Times New Roman" w:eastAsia="Times New Roman" w:cs="Times New Roman"/>
                <w:spacing w:val="-29"/>
                <w:sz w:val="20"/>
                <w:szCs w:val="20"/>
              </w:rPr>
              <w:t xml:space="preserve"> </w:t>
            </w:r>
            <w:r>
              <w:rPr>
                <w:spacing w:val="4"/>
                <w:sz w:val="20"/>
                <w:szCs w:val="20"/>
              </w:rPr>
              <w:t>、</w:t>
            </w:r>
            <w:r>
              <w:rPr>
                <w:rFonts w:ascii="Times New Roman" w:hAnsi="Times New Roman" w:eastAsia="Times New Roman" w:cs="Times New Roman"/>
                <w:spacing w:val="4"/>
                <w:sz w:val="20"/>
                <w:szCs w:val="20"/>
              </w:rPr>
              <w:t>2#</w:t>
            </w:r>
            <w:r>
              <w:rPr>
                <w:rFonts w:ascii="Times New Roman" w:hAnsi="Times New Roman" w:eastAsia="Times New Roman" w:cs="Times New Roman"/>
                <w:spacing w:val="-28"/>
                <w:sz w:val="20"/>
                <w:szCs w:val="20"/>
              </w:rPr>
              <w:t xml:space="preserve"> </w:t>
            </w:r>
            <w:r>
              <w:rPr>
                <w:spacing w:val="4"/>
                <w:sz w:val="20"/>
                <w:szCs w:val="20"/>
              </w:rPr>
              <w:t>、</w:t>
            </w:r>
            <w:r>
              <w:rPr>
                <w:rFonts w:ascii="Times New Roman" w:hAnsi="Times New Roman" w:eastAsia="Times New Roman" w:cs="Times New Roman"/>
                <w:spacing w:val="4"/>
                <w:sz w:val="20"/>
                <w:szCs w:val="20"/>
              </w:rPr>
              <w:t>3#</w:t>
            </w:r>
            <w:r>
              <w:rPr>
                <w:rFonts w:ascii="Times New Roman" w:hAnsi="Times New Roman" w:eastAsia="Times New Roman" w:cs="Times New Roman"/>
                <w:spacing w:val="-29"/>
                <w:sz w:val="20"/>
                <w:szCs w:val="20"/>
              </w:rPr>
              <w:t xml:space="preserve"> </w:t>
            </w:r>
            <w:r>
              <w:rPr>
                <w:spacing w:val="4"/>
                <w:sz w:val="20"/>
                <w:szCs w:val="20"/>
              </w:rPr>
              <w:t>、</w:t>
            </w:r>
            <w:r>
              <w:rPr>
                <w:rFonts w:ascii="Times New Roman" w:hAnsi="Times New Roman" w:eastAsia="Times New Roman" w:cs="Times New Roman"/>
                <w:spacing w:val="4"/>
                <w:sz w:val="20"/>
                <w:szCs w:val="20"/>
              </w:rPr>
              <w:t>5#</w:t>
            </w:r>
            <w:r>
              <w:rPr>
                <w:spacing w:val="4"/>
                <w:sz w:val="20"/>
                <w:szCs w:val="20"/>
              </w:rPr>
              <w:t>主</w:t>
            </w:r>
            <w:r>
              <w:rPr>
                <w:spacing w:val="8"/>
                <w:sz w:val="20"/>
                <w:szCs w:val="20"/>
              </w:rPr>
              <w:t>变分别配备</w:t>
            </w:r>
            <w:r>
              <w:rPr>
                <w:spacing w:val="-4"/>
                <w:sz w:val="20"/>
                <w:szCs w:val="20"/>
              </w:rPr>
              <w:t xml:space="preserve"> </w:t>
            </w:r>
            <w:r>
              <w:rPr>
                <w:rFonts w:ascii="Times New Roman" w:hAnsi="Times New Roman" w:eastAsia="Times New Roman" w:cs="Times New Roman"/>
                <w:spacing w:val="8"/>
                <w:sz w:val="20"/>
                <w:szCs w:val="20"/>
              </w:rPr>
              <w:t xml:space="preserve">1 </w:t>
            </w:r>
            <w:r>
              <w:rPr>
                <w:spacing w:val="8"/>
                <w:sz w:val="20"/>
                <w:szCs w:val="20"/>
              </w:rPr>
              <w:t>座</w:t>
            </w:r>
            <w:r>
              <w:rPr>
                <w:spacing w:val="-36"/>
                <w:sz w:val="20"/>
                <w:szCs w:val="20"/>
              </w:rPr>
              <w:t xml:space="preserve"> </w:t>
            </w:r>
            <w:r>
              <w:rPr>
                <w:rFonts w:ascii="Times New Roman" w:hAnsi="Times New Roman" w:eastAsia="Times New Roman" w:cs="Times New Roman"/>
                <w:spacing w:val="8"/>
                <w:sz w:val="20"/>
                <w:szCs w:val="20"/>
              </w:rPr>
              <w:t>35</w:t>
            </w:r>
            <w:r>
              <w:rPr>
                <w:rFonts w:ascii="Times New Roman" w:hAnsi="Times New Roman" w:eastAsia="Times New Roman" w:cs="Times New Roman"/>
                <w:sz w:val="20"/>
                <w:szCs w:val="20"/>
              </w:rPr>
              <w:t>kV</w:t>
            </w:r>
            <w:r>
              <w:rPr>
                <w:rFonts w:ascii="Times New Roman" w:hAnsi="Times New Roman" w:eastAsia="Times New Roman" w:cs="Times New Roman"/>
                <w:spacing w:val="8"/>
                <w:sz w:val="20"/>
                <w:szCs w:val="20"/>
              </w:rPr>
              <w:t xml:space="preserve"> </w:t>
            </w:r>
            <w:r>
              <w:rPr>
                <w:spacing w:val="8"/>
                <w:sz w:val="20"/>
                <w:szCs w:val="20"/>
              </w:rPr>
              <w:t>配电装置室为单层框架结构，屋</w:t>
            </w:r>
          </w:p>
          <w:p w14:paraId="12EB74E6">
            <w:pPr>
              <w:pStyle w:val="9"/>
              <w:spacing w:line="233" w:lineRule="auto"/>
              <w:ind w:left="111" w:right="99"/>
              <w:jc w:val="both"/>
              <w:rPr>
                <w:sz w:val="20"/>
                <w:szCs w:val="20"/>
              </w:rPr>
            </w:pPr>
            <w:r>
              <w:rPr>
                <w:spacing w:val="6"/>
                <w:sz w:val="20"/>
                <w:szCs w:val="20"/>
              </w:rPr>
              <w:t>面板为现浇混凝土板。建筑面积：</w:t>
            </w:r>
            <w:r>
              <w:rPr>
                <w:rFonts w:ascii="Times New Roman" w:hAnsi="Times New Roman" w:eastAsia="Times New Roman" w:cs="Times New Roman"/>
                <w:spacing w:val="6"/>
                <w:sz w:val="20"/>
                <w:szCs w:val="20"/>
              </w:rPr>
              <w:t>957.34</w:t>
            </w:r>
            <w:r>
              <w:rPr>
                <w:rFonts w:ascii="Times New Roman" w:hAnsi="Times New Roman" w:eastAsia="Times New Roman" w:cs="Times New Roman"/>
                <w:spacing w:val="5"/>
                <w:sz w:val="20"/>
                <w:szCs w:val="20"/>
              </w:rPr>
              <w:t>m</w:t>
            </w:r>
            <w:r>
              <w:rPr>
                <w:rFonts w:ascii="Times New Roman" w:hAnsi="Times New Roman" w:eastAsia="Times New Roman" w:cs="Times New Roman"/>
                <w:spacing w:val="5"/>
                <w:position w:val="6"/>
                <w:sz w:val="13"/>
                <w:szCs w:val="13"/>
              </w:rPr>
              <w:t>2</w:t>
            </w:r>
            <w:r>
              <w:rPr>
                <w:rFonts w:ascii="Times New Roman" w:hAnsi="Times New Roman" w:eastAsia="Times New Roman" w:cs="Times New Roman"/>
                <w:spacing w:val="-5"/>
                <w:position w:val="6"/>
                <w:sz w:val="13"/>
                <w:szCs w:val="13"/>
              </w:rPr>
              <w:t xml:space="preserve"> </w:t>
            </w:r>
            <w:r>
              <w:rPr>
                <w:spacing w:val="5"/>
                <w:sz w:val="20"/>
                <w:szCs w:val="20"/>
              </w:rPr>
              <w:t>。</w:t>
            </w:r>
            <w:r>
              <w:rPr>
                <w:spacing w:val="-58"/>
                <w:sz w:val="20"/>
                <w:szCs w:val="20"/>
              </w:rPr>
              <w:t xml:space="preserve"> </w:t>
            </w:r>
            <w:r>
              <w:rPr>
                <w:spacing w:val="5"/>
                <w:sz w:val="20"/>
                <w:szCs w:val="20"/>
              </w:rPr>
              <w:t>内外墙墙</w:t>
            </w:r>
            <w:r>
              <w:rPr>
                <w:spacing w:val="9"/>
                <w:sz w:val="20"/>
                <w:szCs w:val="20"/>
              </w:rPr>
              <w:t>体采用加气混凝土砌块砌筑，外墙为</w:t>
            </w:r>
            <w:r>
              <w:rPr>
                <w:spacing w:val="-30"/>
                <w:sz w:val="20"/>
                <w:szCs w:val="20"/>
              </w:rPr>
              <w:t xml:space="preserve"> </w:t>
            </w:r>
            <w:r>
              <w:rPr>
                <w:rFonts w:ascii="Times New Roman" w:hAnsi="Times New Roman" w:eastAsia="Times New Roman" w:cs="Times New Roman"/>
                <w:spacing w:val="9"/>
                <w:sz w:val="20"/>
                <w:szCs w:val="20"/>
              </w:rPr>
              <w:t>300</w:t>
            </w:r>
            <w:r>
              <w:rPr>
                <w:rFonts w:ascii="Times New Roman" w:hAnsi="Times New Roman" w:eastAsia="Times New Roman" w:cs="Times New Roman"/>
                <w:sz w:val="20"/>
                <w:szCs w:val="20"/>
              </w:rPr>
              <w:t>mm</w:t>
            </w:r>
            <w:r>
              <w:rPr>
                <w:rFonts w:ascii="Times New Roman" w:hAnsi="Times New Roman" w:eastAsia="Times New Roman" w:cs="Times New Roman"/>
                <w:spacing w:val="21"/>
                <w:w w:val="101"/>
                <w:sz w:val="20"/>
                <w:szCs w:val="20"/>
              </w:rPr>
              <w:t xml:space="preserve"> </w:t>
            </w:r>
            <w:r>
              <w:rPr>
                <w:spacing w:val="9"/>
                <w:sz w:val="20"/>
                <w:szCs w:val="20"/>
              </w:rPr>
              <w:t>厚，</w:t>
            </w:r>
            <w:r>
              <w:rPr>
                <w:spacing w:val="-56"/>
                <w:sz w:val="20"/>
                <w:szCs w:val="20"/>
              </w:rPr>
              <w:t xml:space="preserve"> </w:t>
            </w:r>
            <w:r>
              <w:rPr>
                <w:spacing w:val="9"/>
                <w:sz w:val="20"/>
                <w:szCs w:val="20"/>
              </w:rPr>
              <w:t>内墙</w:t>
            </w:r>
            <w:r>
              <w:rPr>
                <w:spacing w:val="7"/>
                <w:sz w:val="20"/>
                <w:szCs w:val="20"/>
              </w:rPr>
              <w:t>为</w:t>
            </w:r>
            <w:r>
              <w:rPr>
                <w:spacing w:val="-34"/>
                <w:sz w:val="20"/>
                <w:szCs w:val="20"/>
              </w:rPr>
              <w:t xml:space="preserve"> </w:t>
            </w:r>
            <w:r>
              <w:rPr>
                <w:rFonts w:ascii="Times New Roman" w:hAnsi="Times New Roman" w:eastAsia="Times New Roman" w:cs="Times New Roman"/>
                <w:spacing w:val="7"/>
                <w:sz w:val="20"/>
                <w:szCs w:val="20"/>
              </w:rPr>
              <w:t>200</w:t>
            </w:r>
            <w:r>
              <w:rPr>
                <w:rFonts w:ascii="Times New Roman" w:hAnsi="Times New Roman" w:eastAsia="Times New Roman" w:cs="Times New Roman"/>
                <w:sz w:val="20"/>
                <w:szCs w:val="20"/>
              </w:rPr>
              <w:t>mm</w:t>
            </w:r>
            <w:r>
              <w:rPr>
                <w:rFonts w:ascii="Times New Roman" w:hAnsi="Times New Roman" w:eastAsia="Times New Roman" w:cs="Times New Roman"/>
                <w:spacing w:val="17"/>
                <w:w w:val="101"/>
                <w:sz w:val="20"/>
                <w:szCs w:val="20"/>
              </w:rPr>
              <w:t xml:space="preserve"> </w:t>
            </w:r>
            <w:r>
              <w:rPr>
                <w:spacing w:val="7"/>
                <w:sz w:val="20"/>
                <w:szCs w:val="20"/>
              </w:rPr>
              <w:t>厚，基础为混凝土独立基础。</w:t>
            </w:r>
          </w:p>
        </w:tc>
        <w:tc>
          <w:tcPr>
            <w:tcW w:w="824" w:type="dxa"/>
            <w:vAlign w:val="top"/>
          </w:tcPr>
          <w:p w14:paraId="1E8F101F">
            <w:pPr>
              <w:spacing w:line="263" w:lineRule="auto"/>
              <w:rPr>
                <w:rFonts w:ascii="Arial"/>
                <w:sz w:val="21"/>
              </w:rPr>
            </w:pPr>
          </w:p>
          <w:p w14:paraId="1D13CFB7">
            <w:pPr>
              <w:spacing w:line="263" w:lineRule="auto"/>
              <w:rPr>
                <w:rFonts w:ascii="Arial"/>
                <w:sz w:val="21"/>
              </w:rPr>
            </w:pPr>
          </w:p>
          <w:p w14:paraId="033162CC">
            <w:pPr>
              <w:pStyle w:val="9"/>
              <w:spacing w:before="65" w:line="229" w:lineRule="auto"/>
              <w:ind w:left="237"/>
              <w:rPr>
                <w:sz w:val="20"/>
                <w:szCs w:val="20"/>
              </w:rPr>
            </w:pPr>
            <w:r>
              <w:rPr>
                <w:spacing w:val="-7"/>
                <w:sz w:val="20"/>
                <w:szCs w:val="20"/>
              </w:rPr>
              <w:t>已建</w:t>
            </w:r>
          </w:p>
        </w:tc>
        <w:tc>
          <w:tcPr>
            <w:tcW w:w="123" w:type="dxa"/>
            <w:tcBorders>
              <w:top w:val="nil"/>
              <w:bottom w:val="nil"/>
              <w:right w:val="single" w:color="000000" w:sz="6" w:space="0"/>
            </w:tcBorders>
            <w:vAlign w:val="top"/>
          </w:tcPr>
          <w:p w14:paraId="408569A7">
            <w:pPr>
              <w:rPr>
                <w:rFonts w:ascii="Arial"/>
                <w:sz w:val="21"/>
              </w:rPr>
            </w:pPr>
          </w:p>
        </w:tc>
      </w:tr>
      <w:tr w14:paraId="141D1B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3" w:hRule="atLeast"/>
        </w:trPr>
        <w:tc>
          <w:tcPr>
            <w:tcW w:w="776" w:type="dxa"/>
            <w:vMerge w:val="continue"/>
            <w:tcBorders>
              <w:top w:val="nil"/>
              <w:left w:val="single" w:color="000000" w:sz="6" w:space="0"/>
              <w:bottom w:val="nil"/>
            </w:tcBorders>
            <w:vAlign w:val="top"/>
          </w:tcPr>
          <w:p w14:paraId="40245BD5">
            <w:pPr>
              <w:rPr>
                <w:rFonts w:ascii="Arial"/>
                <w:sz w:val="21"/>
              </w:rPr>
            </w:pPr>
          </w:p>
        </w:tc>
        <w:tc>
          <w:tcPr>
            <w:tcW w:w="113" w:type="dxa"/>
            <w:tcBorders>
              <w:top w:val="nil"/>
              <w:bottom w:val="nil"/>
            </w:tcBorders>
            <w:vAlign w:val="top"/>
          </w:tcPr>
          <w:p w14:paraId="7C0E4361">
            <w:pPr>
              <w:rPr>
                <w:rFonts w:ascii="Arial"/>
                <w:sz w:val="21"/>
              </w:rPr>
            </w:pPr>
          </w:p>
        </w:tc>
        <w:tc>
          <w:tcPr>
            <w:tcW w:w="404" w:type="dxa"/>
            <w:vMerge w:val="continue"/>
            <w:tcBorders>
              <w:top w:val="nil"/>
              <w:bottom w:val="nil"/>
            </w:tcBorders>
            <w:textDirection w:val="tbRlV"/>
            <w:vAlign w:val="top"/>
          </w:tcPr>
          <w:p w14:paraId="71C2ED49">
            <w:pPr>
              <w:rPr>
                <w:rFonts w:ascii="Arial"/>
                <w:sz w:val="21"/>
              </w:rPr>
            </w:pPr>
          </w:p>
        </w:tc>
        <w:tc>
          <w:tcPr>
            <w:tcW w:w="1600" w:type="dxa"/>
            <w:vAlign w:val="top"/>
          </w:tcPr>
          <w:p w14:paraId="1F07FB07">
            <w:pPr>
              <w:spacing w:line="241" w:lineRule="auto"/>
              <w:rPr>
                <w:rFonts w:ascii="Arial"/>
                <w:sz w:val="21"/>
              </w:rPr>
            </w:pPr>
          </w:p>
          <w:p w14:paraId="410D9AC9">
            <w:pPr>
              <w:spacing w:line="242" w:lineRule="auto"/>
              <w:rPr>
                <w:rFonts w:ascii="Arial"/>
                <w:sz w:val="21"/>
              </w:rPr>
            </w:pPr>
          </w:p>
          <w:p w14:paraId="6DAE8F12">
            <w:pPr>
              <w:spacing w:line="242" w:lineRule="auto"/>
              <w:rPr>
                <w:rFonts w:ascii="Arial"/>
                <w:sz w:val="21"/>
              </w:rPr>
            </w:pPr>
          </w:p>
          <w:p w14:paraId="587B8DEF">
            <w:pPr>
              <w:spacing w:line="242" w:lineRule="auto"/>
              <w:rPr>
                <w:rFonts w:ascii="Arial"/>
                <w:sz w:val="21"/>
              </w:rPr>
            </w:pPr>
          </w:p>
          <w:p w14:paraId="6DC1F223">
            <w:pPr>
              <w:spacing w:line="242" w:lineRule="auto"/>
              <w:rPr>
                <w:rFonts w:ascii="Arial"/>
                <w:sz w:val="21"/>
              </w:rPr>
            </w:pPr>
          </w:p>
          <w:p w14:paraId="6D1D49D3">
            <w:pPr>
              <w:pStyle w:val="9"/>
              <w:spacing w:before="65" w:line="229" w:lineRule="auto"/>
              <w:ind w:left="360"/>
              <w:outlineLvl w:val="2"/>
              <w:rPr>
                <w:sz w:val="20"/>
                <w:szCs w:val="20"/>
              </w:rPr>
            </w:pPr>
            <w:r>
              <w:rPr>
                <w:rFonts w:ascii="Times New Roman" w:hAnsi="Times New Roman" w:eastAsia="Times New Roman" w:cs="Times New Roman"/>
                <w:sz w:val="20"/>
                <w:szCs w:val="20"/>
              </w:rPr>
              <w:t>SVG</w:t>
            </w:r>
            <w:r>
              <w:rPr>
                <w:rFonts w:ascii="Times New Roman" w:hAnsi="Times New Roman" w:eastAsia="Times New Roman" w:cs="Times New Roman"/>
                <w:spacing w:val="18"/>
                <w:sz w:val="20"/>
                <w:szCs w:val="20"/>
              </w:rPr>
              <w:t xml:space="preserve"> </w:t>
            </w:r>
            <w:r>
              <w:rPr>
                <w:spacing w:val="4"/>
                <w:sz w:val="20"/>
                <w:szCs w:val="20"/>
              </w:rPr>
              <w:t>系统</w:t>
            </w:r>
          </w:p>
        </w:tc>
        <w:tc>
          <w:tcPr>
            <w:tcW w:w="5222" w:type="dxa"/>
            <w:vAlign w:val="top"/>
          </w:tcPr>
          <w:p w14:paraId="49BCF302">
            <w:pPr>
              <w:pStyle w:val="9"/>
              <w:spacing w:before="56" w:line="251" w:lineRule="auto"/>
              <w:ind w:left="113" w:right="98" w:firstLine="418"/>
              <w:outlineLvl w:val="2"/>
              <w:rPr>
                <w:sz w:val="20"/>
                <w:szCs w:val="20"/>
              </w:rPr>
            </w:pPr>
            <w:r>
              <w:rPr>
                <w:spacing w:val="8"/>
                <w:sz w:val="20"/>
                <w:szCs w:val="20"/>
              </w:rPr>
              <w:t>位于升压站南侧，共设置</w:t>
            </w:r>
            <w:r>
              <w:rPr>
                <w:spacing w:val="-17"/>
                <w:sz w:val="20"/>
                <w:szCs w:val="20"/>
              </w:rPr>
              <w:t xml:space="preserve"> </w:t>
            </w:r>
            <w:r>
              <w:rPr>
                <w:rFonts w:ascii="Times New Roman" w:hAnsi="Times New Roman" w:eastAsia="Times New Roman" w:cs="Times New Roman"/>
                <w:spacing w:val="8"/>
                <w:sz w:val="20"/>
                <w:szCs w:val="20"/>
              </w:rPr>
              <w:t>5</w:t>
            </w:r>
            <w:r>
              <w:rPr>
                <w:rFonts w:ascii="Times New Roman" w:hAnsi="Times New Roman" w:eastAsia="Times New Roman" w:cs="Times New Roman"/>
                <w:spacing w:val="19"/>
                <w:sz w:val="20"/>
                <w:szCs w:val="20"/>
              </w:rPr>
              <w:t xml:space="preserve"> </w:t>
            </w:r>
            <w:r>
              <w:rPr>
                <w:spacing w:val="8"/>
                <w:sz w:val="20"/>
                <w:szCs w:val="20"/>
              </w:rPr>
              <w:t>座，其中</w:t>
            </w:r>
            <w:r>
              <w:rPr>
                <w:spacing w:val="-16"/>
                <w:sz w:val="20"/>
                <w:szCs w:val="20"/>
              </w:rPr>
              <w:t xml:space="preserve"> </w:t>
            </w:r>
            <w:r>
              <w:rPr>
                <w:rFonts w:ascii="Times New Roman" w:hAnsi="Times New Roman" w:eastAsia="Times New Roman" w:cs="Times New Roman"/>
                <w:spacing w:val="8"/>
                <w:sz w:val="20"/>
                <w:szCs w:val="20"/>
              </w:rPr>
              <w:t>1#</w:t>
            </w:r>
            <w:r>
              <w:rPr>
                <w:rFonts w:ascii="Times New Roman" w:hAnsi="Times New Roman" w:eastAsia="Times New Roman" w:cs="Times New Roman"/>
                <w:spacing w:val="-21"/>
                <w:sz w:val="20"/>
                <w:szCs w:val="20"/>
              </w:rPr>
              <w:t xml:space="preserve"> </w:t>
            </w:r>
            <w:r>
              <w:rPr>
                <w:spacing w:val="8"/>
                <w:sz w:val="20"/>
                <w:szCs w:val="20"/>
              </w:rPr>
              <w:t>、</w:t>
            </w:r>
            <w:r>
              <w:rPr>
                <w:rFonts w:ascii="Times New Roman" w:hAnsi="Times New Roman" w:eastAsia="Times New Roman" w:cs="Times New Roman"/>
                <w:spacing w:val="8"/>
                <w:sz w:val="20"/>
                <w:szCs w:val="20"/>
              </w:rPr>
              <w:t>2#</w:t>
            </w:r>
            <w:r>
              <w:rPr>
                <w:rFonts w:ascii="Times New Roman" w:hAnsi="Times New Roman" w:eastAsia="Times New Roman" w:cs="Times New Roman"/>
                <w:spacing w:val="-22"/>
                <w:sz w:val="20"/>
                <w:szCs w:val="20"/>
              </w:rPr>
              <w:t xml:space="preserve"> </w:t>
            </w:r>
            <w:r>
              <w:rPr>
                <w:spacing w:val="8"/>
                <w:sz w:val="20"/>
                <w:szCs w:val="20"/>
              </w:rPr>
              <w:t>、</w:t>
            </w:r>
            <w:r>
              <w:rPr>
                <w:rFonts w:ascii="Times New Roman" w:hAnsi="Times New Roman" w:eastAsia="Times New Roman" w:cs="Times New Roman"/>
                <w:spacing w:val="8"/>
                <w:sz w:val="20"/>
                <w:szCs w:val="20"/>
              </w:rPr>
              <w:t>3#</w:t>
            </w:r>
            <w:r>
              <w:rPr>
                <w:spacing w:val="9"/>
                <w:sz w:val="20"/>
                <w:szCs w:val="20"/>
              </w:rPr>
              <w:t>主变分别配备</w:t>
            </w:r>
            <w:r>
              <w:rPr>
                <w:spacing w:val="-5"/>
                <w:sz w:val="20"/>
                <w:szCs w:val="20"/>
              </w:rPr>
              <w:t xml:space="preserve"> </w:t>
            </w:r>
            <w:r>
              <w:rPr>
                <w:rFonts w:ascii="Times New Roman" w:hAnsi="Times New Roman" w:eastAsia="Times New Roman" w:cs="Times New Roman"/>
                <w:spacing w:val="9"/>
                <w:sz w:val="20"/>
                <w:szCs w:val="20"/>
              </w:rPr>
              <w:t>1</w:t>
            </w:r>
            <w:r>
              <w:rPr>
                <w:rFonts w:ascii="Times New Roman" w:hAnsi="Times New Roman" w:eastAsia="Times New Roman" w:cs="Times New Roman"/>
                <w:spacing w:val="16"/>
                <w:w w:val="101"/>
                <w:sz w:val="20"/>
                <w:szCs w:val="20"/>
              </w:rPr>
              <w:t xml:space="preserve"> </w:t>
            </w:r>
            <w:r>
              <w:rPr>
                <w:spacing w:val="9"/>
                <w:sz w:val="20"/>
                <w:szCs w:val="20"/>
              </w:rPr>
              <w:t>座户外</w:t>
            </w:r>
            <w:r>
              <w:rPr>
                <w:spacing w:val="-30"/>
                <w:sz w:val="20"/>
                <w:szCs w:val="20"/>
              </w:rPr>
              <w:t xml:space="preserve"> </w:t>
            </w:r>
            <w:r>
              <w:rPr>
                <w:rFonts w:ascii="Times New Roman" w:hAnsi="Times New Roman" w:eastAsia="Times New Roman" w:cs="Times New Roman"/>
                <w:sz w:val="20"/>
                <w:szCs w:val="20"/>
              </w:rPr>
              <w:t>SVG</w:t>
            </w:r>
            <w:r>
              <w:rPr>
                <w:rFonts w:ascii="Times New Roman" w:hAnsi="Times New Roman" w:eastAsia="Times New Roman" w:cs="Times New Roman"/>
                <w:spacing w:val="18"/>
                <w:w w:val="101"/>
                <w:sz w:val="20"/>
                <w:szCs w:val="20"/>
              </w:rPr>
              <w:t xml:space="preserve"> </w:t>
            </w:r>
            <w:r>
              <w:rPr>
                <w:spacing w:val="9"/>
                <w:sz w:val="20"/>
                <w:szCs w:val="20"/>
              </w:rPr>
              <w:t>成套装置，直挂水冷式，</w:t>
            </w:r>
          </w:p>
          <w:p w14:paraId="043026A2">
            <w:pPr>
              <w:pStyle w:val="9"/>
              <w:spacing w:before="1" w:line="251" w:lineRule="auto"/>
              <w:ind w:left="116" w:right="98"/>
              <w:jc w:val="both"/>
              <w:rPr>
                <w:sz w:val="20"/>
                <w:szCs w:val="20"/>
              </w:rPr>
            </w:pPr>
            <w:r>
              <w:rPr>
                <w:rFonts w:ascii="Times New Roman" w:hAnsi="Times New Roman" w:eastAsia="Times New Roman" w:cs="Times New Roman"/>
                <w:sz w:val="20"/>
                <w:szCs w:val="20"/>
              </w:rPr>
              <w:t>SVG</w:t>
            </w:r>
            <w:r>
              <w:rPr>
                <w:rFonts w:ascii="Times New Roman" w:hAnsi="Times New Roman" w:eastAsia="Times New Roman" w:cs="Times New Roman"/>
                <w:spacing w:val="39"/>
                <w:sz w:val="20"/>
                <w:szCs w:val="20"/>
              </w:rPr>
              <w:t xml:space="preserve"> </w:t>
            </w:r>
            <w:r>
              <w:rPr>
                <w:spacing w:val="5"/>
                <w:sz w:val="20"/>
                <w:szCs w:val="20"/>
              </w:rPr>
              <w:t>的功率元件布置于户外集装箱内，前置串联电抗器</w:t>
            </w:r>
            <w:r>
              <w:rPr>
                <w:spacing w:val="3"/>
                <w:sz w:val="20"/>
                <w:szCs w:val="20"/>
              </w:rPr>
              <w:t>紧邻布置于室外。本工程</w:t>
            </w:r>
            <w:r>
              <w:rPr>
                <w:spacing w:val="-21"/>
                <w:sz w:val="20"/>
                <w:szCs w:val="20"/>
              </w:rPr>
              <w:t xml:space="preserve"> </w:t>
            </w:r>
            <w:r>
              <w:rPr>
                <w:rFonts w:ascii="Times New Roman" w:hAnsi="Times New Roman" w:eastAsia="Times New Roman" w:cs="Times New Roman"/>
                <w:spacing w:val="3"/>
                <w:sz w:val="20"/>
                <w:szCs w:val="20"/>
              </w:rPr>
              <w:t>1#</w:t>
            </w:r>
            <w:r>
              <w:rPr>
                <w:spacing w:val="3"/>
                <w:sz w:val="20"/>
                <w:szCs w:val="20"/>
              </w:rPr>
              <w:t>、</w:t>
            </w:r>
            <w:r>
              <w:rPr>
                <w:rFonts w:ascii="Times New Roman" w:hAnsi="Times New Roman" w:eastAsia="Times New Roman" w:cs="Times New Roman"/>
                <w:spacing w:val="3"/>
                <w:sz w:val="20"/>
                <w:szCs w:val="20"/>
              </w:rPr>
              <w:t>2#</w:t>
            </w:r>
            <w:r>
              <w:rPr>
                <w:spacing w:val="3"/>
                <w:sz w:val="20"/>
                <w:szCs w:val="20"/>
              </w:rPr>
              <w:t>主变选用</w:t>
            </w:r>
            <w:r>
              <w:rPr>
                <w:spacing w:val="-36"/>
                <w:sz w:val="20"/>
                <w:szCs w:val="20"/>
              </w:rPr>
              <w:t xml:space="preserve"> </w:t>
            </w:r>
            <w:r>
              <w:rPr>
                <w:rFonts w:ascii="Times New Roman" w:hAnsi="Times New Roman" w:eastAsia="Times New Roman" w:cs="Times New Roman"/>
                <w:spacing w:val="3"/>
                <w:sz w:val="20"/>
                <w:szCs w:val="20"/>
              </w:rPr>
              <w:t xml:space="preserve">3 </w:t>
            </w:r>
            <w:r>
              <w:rPr>
                <w:spacing w:val="2"/>
                <w:sz w:val="20"/>
                <w:szCs w:val="20"/>
              </w:rPr>
              <w:t>套±</w:t>
            </w:r>
            <w:r>
              <w:rPr>
                <w:rFonts w:ascii="Times New Roman" w:hAnsi="Times New Roman" w:eastAsia="Times New Roman" w:cs="Times New Roman"/>
                <w:spacing w:val="2"/>
                <w:sz w:val="20"/>
                <w:szCs w:val="20"/>
              </w:rPr>
              <w:t>15</w:t>
            </w:r>
            <w:r>
              <w:rPr>
                <w:rFonts w:ascii="Times New Roman" w:hAnsi="Times New Roman" w:eastAsia="Times New Roman" w:cs="Times New Roman"/>
                <w:sz w:val="20"/>
                <w:szCs w:val="20"/>
              </w:rPr>
              <w:t xml:space="preserve">Mvar </w:t>
            </w:r>
            <w:r>
              <w:rPr>
                <w:rFonts w:ascii="Times New Roman" w:hAnsi="Times New Roman" w:eastAsia="Times New Roman" w:cs="Times New Roman"/>
                <w:spacing w:val="-2"/>
                <w:sz w:val="20"/>
                <w:szCs w:val="20"/>
              </w:rPr>
              <w:t>SVG</w:t>
            </w:r>
            <w:r>
              <w:rPr>
                <w:rFonts w:ascii="Times New Roman" w:hAnsi="Times New Roman" w:eastAsia="Times New Roman" w:cs="Times New Roman"/>
                <w:spacing w:val="47"/>
                <w:sz w:val="20"/>
                <w:szCs w:val="20"/>
              </w:rPr>
              <w:t xml:space="preserve"> </w:t>
            </w:r>
            <w:r>
              <w:rPr>
                <w:spacing w:val="-2"/>
                <w:sz w:val="20"/>
                <w:szCs w:val="20"/>
              </w:rPr>
              <w:t>，</w:t>
            </w:r>
            <w:r>
              <w:rPr>
                <w:spacing w:val="-35"/>
                <w:sz w:val="20"/>
                <w:szCs w:val="20"/>
              </w:rPr>
              <w:t xml:space="preserve"> </w:t>
            </w:r>
            <w:r>
              <w:rPr>
                <w:rFonts w:ascii="Times New Roman" w:hAnsi="Times New Roman" w:eastAsia="Times New Roman" w:cs="Times New Roman"/>
                <w:spacing w:val="-2"/>
                <w:sz w:val="20"/>
                <w:szCs w:val="20"/>
              </w:rPr>
              <w:t>3#</w:t>
            </w:r>
            <w:r>
              <w:rPr>
                <w:rFonts w:ascii="Times New Roman" w:hAnsi="Times New Roman" w:eastAsia="Times New Roman" w:cs="Times New Roman"/>
                <w:spacing w:val="14"/>
                <w:w w:val="101"/>
                <w:sz w:val="20"/>
                <w:szCs w:val="20"/>
              </w:rPr>
              <w:t xml:space="preserve"> </w:t>
            </w:r>
            <w:r>
              <w:rPr>
                <w:spacing w:val="-2"/>
                <w:sz w:val="20"/>
                <w:szCs w:val="20"/>
              </w:rPr>
              <w:t>主</w:t>
            </w:r>
            <w:r>
              <w:rPr>
                <w:spacing w:val="-40"/>
                <w:sz w:val="20"/>
                <w:szCs w:val="20"/>
              </w:rPr>
              <w:t xml:space="preserve"> </w:t>
            </w:r>
            <w:r>
              <w:rPr>
                <w:spacing w:val="-2"/>
                <w:sz w:val="20"/>
                <w:szCs w:val="20"/>
              </w:rPr>
              <w:t>变</w:t>
            </w:r>
            <w:r>
              <w:rPr>
                <w:spacing w:val="-40"/>
                <w:sz w:val="20"/>
                <w:szCs w:val="20"/>
              </w:rPr>
              <w:t xml:space="preserve"> </w:t>
            </w:r>
            <w:r>
              <w:rPr>
                <w:spacing w:val="-2"/>
                <w:sz w:val="20"/>
                <w:szCs w:val="20"/>
              </w:rPr>
              <w:t>选</w:t>
            </w:r>
            <w:r>
              <w:rPr>
                <w:spacing w:val="-37"/>
                <w:sz w:val="20"/>
                <w:szCs w:val="20"/>
              </w:rPr>
              <w:t xml:space="preserve"> </w:t>
            </w:r>
            <w:r>
              <w:rPr>
                <w:spacing w:val="-2"/>
                <w:sz w:val="20"/>
                <w:szCs w:val="20"/>
              </w:rPr>
              <w:t xml:space="preserve">用 </w:t>
            </w:r>
            <w:r>
              <w:rPr>
                <w:rFonts w:ascii="Times New Roman" w:hAnsi="Times New Roman" w:eastAsia="Times New Roman" w:cs="Times New Roman"/>
                <w:spacing w:val="-2"/>
                <w:sz w:val="20"/>
                <w:szCs w:val="20"/>
              </w:rPr>
              <w:t xml:space="preserve">2  </w:t>
            </w:r>
            <w:r>
              <w:rPr>
                <w:spacing w:val="-2"/>
                <w:sz w:val="20"/>
                <w:szCs w:val="20"/>
              </w:rPr>
              <w:t>套 ±</w:t>
            </w:r>
            <w:r>
              <w:rPr>
                <w:spacing w:val="-23"/>
                <w:sz w:val="20"/>
                <w:szCs w:val="20"/>
              </w:rPr>
              <w:t xml:space="preserve"> </w:t>
            </w:r>
            <w:r>
              <w:rPr>
                <w:rFonts w:ascii="Times New Roman" w:hAnsi="Times New Roman" w:eastAsia="Times New Roman" w:cs="Times New Roman"/>
                <w:spacing w:val="-2"/>
                <w:sz w:val="20"/>
                <w:szCs w:val="20"/>
              </w:rPr>
              <w:t xml:space="preserve">12MvarSVG  </w:t>
            </w:r>
            <w:r>
              <w:rPr>
                <w:spacing w:val="-2"/>
                <w:sz w:val="20"/>
                <w:szCs w:val="20"/>
              </w:rPr>
              <w:t>及</w:t>
            </w:r>
            <w:r>
              <w:rPr>
                <w:spacing w:val="30"/>
                <w:sz w:val="20"/>
                <w:szCs w:val="20"/>
              </w:rPr>
              <w:t xml:space="preserve"> </w:t>
            </w:r>
            <w:r>
              <w:rPr>
                <w:rFonts w:ascii="Times New Roman" w:hAnsi="Times New Roman" w:eastAsia="Times New Roman" w:cs="Times New Roman"/>
                <w:spacing w:val="-2"/>
                <w:sz w:val="20"/>
                <w:szCs w:val="20"/>
              </w:rPr>
              <w:t>1</w:t>
            </w:r>
            <w:r>
              <w:rPr>
                <w:rFonts w:ascii="Times New Roman" w:hAnsi="Times New Roman" w:eastAsia="Times New Roman" w:cs="Times New Roman"/>
                <w:spacing w:val="7"/>
                <w:sz w:val="20"/>
                <w:szCs w:val="20"/>
              </w:rPr>
              <w:t xml:space="preserve">  </w:t>
            </w:r>
            <w:r>
              <w:rPr>
                <w:spacing w:val="-2"/>
                <w:sz w:val="20"/>
                <w:szCs w:val="20"/>
              </w:rPr>
              <w:t>套 ±</w:t>
            </w:r>
            <w:r>
              <w:rPr>
                <w:spacing w:val="1"/>
                <w:sz w:val="20"/>
                <w:szCs w:val="20"/>
              </w:rPr>
              <w:t xml:space="preserve"> </w:t>
            </w:r>
            <w:r>
              <w:rPr>
                <w:rFonts w:ascii="Times New Roman" w:hAnsi="Times New Roman" w:eastAsia="Times New Roman" w:cs="Times New Roman"/>
                <w:spacing w:val="8"/>
                <w:sz w:val="20"/>
                <w:szCs w:val="20"/>
              </w:rPr>
              <w:t>10</w:t>
            </w:r>
            <w:r>
              <w:rPr>
                <w:rFonts w:ascii="Times New Roman" w:hAnsi="Times New Roman" w:eastAsia="Times New Roman" w:cs="Times New Roman"/>
                <w:sz w:val="20"/>
                <w:szCs w:val="20"/>
              </w:rPr>
              <w:t>MvarSVG</w:t>
            </w:r>
            <w:r>
              <w:rPr>
                <w:rFonts w:ascii="Times New Roman" w:hAnsi="Times New Roman" w:eastAsia="Times New Roman" w:cs="Times New Roman"/>
                <w:spacing w:val="-16"/>
                <w:sz w:val="20"/>
                <w:szCs w:val="20"/>
              </w:rPr>
              <w:t xml:space="preserve"> </w:t>
            </w:r>
            <w:r>
              <w:rPr>
                <w:spacing w:val="8"/>
                <w:sz w:val="20"/>
                <w:szCs w:val="20"/>
              </w:rPr>
              <w:t>，站内均选择直挂式</w:t>
            </w:r>
            <w:r>
              <w:rPr>
                <w:spacing w:val="-34"/>
                <w:sz w:val="20"/>
                <w:szCs w:val="20"/>
              </w:rPr>
              <w:t xml:space="preserve"> </w:t>
            </w:r>
            <w:r>
              <w:rPr>
                <w:rFonts w:ascii="Times New Roman" w:hAnsi="Times New Roman" w:eastAsia="Times New Roman" w:cs="Times New Roman"/>
                <w:sz w:val="20"/>
                <w:szCs w:val="20"/>
              </w:rPr>
              <w:t>SVG</w:t>
            </w:r>
            <w:r>
              <w:rPr>
                <w:spacing w:val="8"/>
                <w:sz w:val="20"/>
                <w:szCs w:val="20"/>
              </w:rPr>
              <w:t>。</w:t>
            </w:r>
          </w:p>
          <w:p w14:paraId="223566B4">
            <w:pPr>
              <w:pStyle w:val="9"/>
              <w:spacing w:line="251" w:lineRule="auto"/>
              <w:ind w:left="116" w:right="45" w:firstLine="416"/>
              <w:outlineLvl w:val="2"/>
              <w:rPr>
                <w:sz w:val="20"/>
                <w:szCs w:val="20"/>
              </w:rPr>
            </w:pPr>
            <w:r>
              <w:rPr>
                <w:rFonts w:ascii="Times New Roman" w:hAnsi="Times New Roman" w:eastAsia="Times New Roman" w:cs="Times New Roman"/>
                <w:spacing w:val="4"/>
                <w:sz w:val="20"/>
                <w:szCs w:val="20"/>
              </w:rPr>
              <w:t>5#</w:t>
            </w:r>
            <w:r>
              <w:rPr>
                <w:spacing w:val="4"/>
                <w:sz w:val="20"/>
                <w:szCs w:val="20"/>
              </w:rPr>
              <w:t>主变配备</w:t>
            </w:r>
            <w:r>
              <w:rPr>
                <w:spacing w:val="-32"/>
                <w:sz w:val="20"/>
                <w:szCs w:val="20"/>
              </w:rPr>
              <w:t xml:space="preserve"> </w:t>
            </w:r>
            <w:r>
              <w:rPr>
                <w:rFonts w:ascii="Times New Roman" w:hAnsi="Times New Roman" w:eastAsia="Times New Roman" w:cs="Times New Roman"/>
                <w:spacing w:val="4"/>
                <w:sz w:val="20"/>
                <w:szCs w:val="20"/>
              </w:rPr>
              <w:t xml:space="preserve">2 </w:t>
            </w:r>
            <w:r>
              <w:rPr>
                <w:spacing w:val="4"/>
                <w:sz w:val="20"/>
                <w:szCs w:val="20"/>
              </w:rPr>
              <w:t>座户外</w:t>
            </w:r>
            <w:r>
              <w:rPr>
                <w:spacing w:val="-35"/>
                <w:sz w:val="20"/>
                <w:szCs w:val="20"/>
              </w:rPr>
              <w:t xml:space="preserve"> </w:t>
            </w:r>
            <w:r>
              <w:rPr>
                <w:rFonts w:ascii="Times New Roman" w:hAnsi="Times New Roman" w:eastAsia="Times New Roman" w:cs="Times New Roman"/>
                <w:sz w:val="20"/>
                <w:szCs w:val="20"/>
              </w:rPr>
              <w:t>SVG</w:t>
            </w:r>
            <w:r>
              <w:rPr>
                <w:rFonts w:ascii="Times New Roman" w:hAnsi="Times New Roman" w:eastAsia="Times New Roman" w:cs="Times New Roman"/>
                <w:spacing w:val="16"/>
                <w:sz w:val="20"/>
                <w:szCs w:val="20"/>
              </w:rPr>
              <w:t xml:space="preserve"> </w:t>
            </w:r>
            <w:r>
              <w:rPr>
                <w:spacing w:val="4"/>
                <w:sz w:val="20"/>
                <w:szCs w:val="20"/>
              </w:rPr>
              <w:t>成套装置，直挂水冷式，</w:t>
            </w:r>
            <w:r>
              <w:rPr>
                <w:sz w:val="20"/>
                <w:szCs w:val="20"/>
              </w:rPr>
              <w:t xml:space="preserve"> </w:t>
            </w:r>
            <w:r>
              <w:rPr>
                <w:rFonts w:ascii="Times New Roman" w:hAnsi="Times New Roman" w:eastAsia="Times New Roman" w:cs="Times New Roman"/>
                <w:sz w:val="20"/>
                <w:szCs w:val="20"/>
              </w:rPr>
              <w:t>SVG</w:t>
            </w:r>
            <w:r>
              <w:rPr>
                <w:rFonts w:ascii="Times New Roman" w:hAnsi="Times New Roman" w:eastAsia="Times New Roman" w:cs="Times New Roman"/>
                <w:spacing w:val="39"/>
                <w:sz w:val="20"/>
                <w:szCs w:val="20"/>
              </w:rPr>
              <w:t xml:space="preserve"> </w:t>
            </w:r>
            <w:r>
              <w:rPr>
                <w:spacing w:val="5"/>
                <w:sz w:val="20"/>
                <w:szCs w:val="20"/>
              </w:rPr>
              <w:t>的功率元件布置于户外集装箱内，前置串联电抗器</w:t>
            </w:r>
          </w:p>
          <w:p w14:paraId="26F90920">
            <w:pPr>
              <w:pStyle w:val="9"/>
              <w:spacing w:before="1" w:line="220" w:lineRule="auto"/>
              <w:ind w:left="112" w:right="98" w:firstLine="4"/>
              <w:rPr>
                <w:sz w:val="20"/>
                <w:szCs w:val="20"/>
              </w:rPr>
            </w:pPr>
            <w:r>
              <w:rPr>
                <w:spacing w:val="10"/>
                <w:sz w:val="20"/>
                <w:szCs w:val="20"/>
              </w:rPr>
              <w:t>紧邻布置于室外。</w:t>
            </w:r>
            <w:r>
              <w:rPr>
                <w:rFonts w:ascii="Times New Roman" w:hAnsi="Times New Roman" w:eastAsia="Times New Roman" w:cs="Times New Roman"/>
                <w:spacing w:val="10"/>
                <w:sz w:val="20"/>
                <w:szCs w:val="20"/>
              </w:rPr>
              <w:t>5#</w:t>
            </w:r>
            <w:r>
              <w:rPr>
                <w:spacing w:val="10"/>
                <w:sz w:val="20"/>
                <w:szCs w:val="20"/>
              </w:rPr>
              <w:t>主变选用</w:t>
            </w:r>
            <w:r>
              <w:rPr>
                <w:spacing w:val="-33"/>
                <w:sz w:val="20"/>
                <w:szCs w:val="20"/>
              </w:rPr>
              <w:t xml:space="preserve"> </w:t>
            </w:r>
            <w:r>
              <w:rPr>
                <w:rFonts w:ascii="Times New Roman" w:hAnsi="Times New Roman" w:eastAsia="Times New Roman" w:cs="Times New Roman"/>
                <w:spacing w:val="10"/>
                <w:sz w:val="20"/>
                <w:szCs w:val="20"/>
              </w:rPr>
              <w:t>2</w:t>
            </w:r>
            <w:r>
              <w:rPr>
                <w:rFonts w:ascii="Times New Roman" w:hAnsi="Times New Roman" w:eastAsia="Times New Roman" w:cs="Times New Roman"/>
                <w:spacing w:val="18"/>
                <w:sz w:val="20"/>
                <w:szCs w:val="20"/>
              </w:rPr>
              <w:t xml:space="preserve"> </w:t>
            </w:r>
            <w:r>
              <w:rPr>
                <w:spacing w:val="10"/>
                <w:sz w:val="20"/>
                <w:szCs w:val="20"/>
              </w:rPr>
              <w:t>套±</w:t>
            </w:r>
            <w:r>
              <w:rPr>
                <w:rFonts w:ascii="Times New Roman" w:hAnsi="Times New Roman" w:eastAsia="Times New Roman" w:cs="Times New Roman"/>
                <w:spacing w:val="10"/>
                <w:sz w:val="20"/>
                <w:szCs w:val="20"/>
              </w:rPr>
              <w:t>29</w:t>
            </w:r>
            <w:r>
              <w:rPr>
                <w:rFonts w:ascii="Times New Roman" w:hAnsi="Times New Roman" w:eastAsia="Times New Roman" w:cs="Times New Roman"/>
                <w:sz w:val="20"/>
                <w:szCs w:val="20"/>
              </w:rPr>
              <w:t>Mvar</w:t>
            </w:r>
            <w:r>
              <w:rPr>
                <w:rFonts w:ascii="Times New Roman" w:hAnsi="Times New Roman" w:eastAsia="Times New Roman" w:cs="Times New Roman"/>
                <w:spacing w:val="19"/>
                <w:w w:val="101"/>
                <w:sz w:val="20"/>
                <w:szCs w:val="20"/>
              </w:rPr>
              <w:t xml:space="preserve"> </w:t>
            </w:r>
            <w:r>
              <w:rPr>
                <w:rFonts w:ascii="Times New Roman" w:hAnsi="Times New Roman" w:eastAsia="Times New Roman" w:cs="Times New Roman"/>
                <w:sz w:val="20"/>
                <w:szCs w:val="20"/>
              </w:rPr>
              <w:t>SVG</w:t>
            </w:r>
            <w:r>
              <w:rPr>
                <w:rFonts w:ascii="Times New Roman" w:hAnsi="Times New Roman" w:eastAsia="Times New Roman" w:cs="Times New Roman"/>
                <w:spacing w:val="18"/>
                <w:sz w:val="20"/>
                <w:szCs w:val="20"/>
              </w:rPr>
              <w:t xml:space="preserve"> </w:t>
            </w:r>
            <w:r>
              <w:rPr>
                <w:spacing w:val="10"/>
                <w:sz w:val="20"/>
                <w:szCs w:val="20"/>
              </w:rPr>
              <w:t>及</w:t>
            </w:r>
            <w:r>
              <w:rPr>
                <w:spacing w:val="-16"/>
                <w:sz w:val="20"/>
                <w:szCs w:val="20"/>
              </w:rPr>
              <w:t xml:space="preserve"> </w:t>
            </w:r>
            <w:r>
              <w:rPr>
                <w:rFonts w:ascii="Times New Roman" w:hAnsi="Times New Roman" w:eastAsia="Times New Roman" w:cs="Times New Roman"/>
                <w:spacing w:val="10"/>
                <w:sz w:val="20"/>
                <w:szCs w:val="20"/>
              </w:rPr>
              <w:t>1</w:t>
            </w:r>
            <w:r>
              <w:rPr>
                <w:spacing w:val="7"/>
                <w:sz w:val="20"/>
                <w:szCs w:val="20"/>
              </w:rPr>
              <w:t>套±</w:t>
            </w:r>
            <w:r>
              <w:rPr>
                <w:rFonts w:ascii="Times New Roman" w:hAnsi="Times New Roman" w:eastAsia="Times New Roman" w:cs="Times New Roman"/>
                <w:spacing w:val="7"/>
                <w:sz w:val="20"/>
                <w:szCs w:val="20"/>
              </w:rPr>
              <w:t>40</w:t>
            </w:r>
            <w:r>
              <w:rPr>
                <w:rFonts w:ascii="Times New Roman" w:hAnsi="Times New Roman" w:eastAsia="Times New Roman" w:cs="Times New Roman"/>
                <w:sz w:val="20"/>
                <w:szCs w:val="20"/>
              </w:rPr>
              <w:t>Mvar</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z w:val="20"/>
                <w:szCs w:val="20"/>
              </w:rPr>
              <w:t>SVG</w:t>
            </w:r>
            <w:r>
              <w:rPr>
                <w:rFonts w:ascii="Times New Roman" w:hAnsi="Times New Roman" w:eastAsia="Times New Roman" w:cs="Times New Roman"/>
                <w:spacing w:val="-22"/>
                <w:sz w:val="20"/>
                <w:szCs w:val="20"/>
              </w:rPr>
              <w:t xml:space="preserve"> </w:t>
            </w:r>
            <w:r>
              <w:rPr>
                <w:spacing w:val="7"/>
                <w:sz w:val="20"/>
                <w:szCs w:val="20"/>
              </w:rPr>
              <w:t>，选择直挂式</w:t>
            </w:r>
            <w:r>
              <w:rPr>
                <w:spacing w:val="-35"/>
                <w:sz w:val="20"/>
                <w:szCs w:val="20"/>
              </w:rPr>
              <w:t xml:space="preserve"> </w:t>
            </w:r>
            <w:r>
              <w:rPr>
                <w:rFonts w:ascii="Times New Roman" w:hAnsi="Times New Roman" w:eastAsia="Times New Roman" w:cs="Times New Roman"/>
                <w:sz w:val="20"/>
                <w:szCs w:val="20"/>
              </w:rPr>
              <w:t>SVG</w:t>
            </w:r>
            <w:r>
              <w:rPr>
                <w:spacing w:val="7"/>
                <w:sz w:val="20"/>
                <w:szCs w:val="20"/>
              </w:rPr>
              <w:t>。</w:t>
            </w:r>
          </w:p>
        </w:tc>
        <w:tc>
          <w:tcPr>
            <w:tcW w:w="824" w:type="dxa"/>
            <w:vAlign w:val="top"/>
          </w:tcPr>
          <w:p w14:paraId="07E05CA2">
            <w:pPr>
              <w:spacing w:line="241" w:lineRule="auto"/>
              <w:rPr>
                <w:rFonts w:ascii="Arial"/>
                <w:sz w:val="21"/>
              </w:rPr>
            </w:pPr>
          </w:p>
          <w:p w14:paraId="0297EB4C">
            <w:pPr>
              <w:spacing w:line="242" w:lineRule="auto"/>
              <w:rPr>
                <w:rFonts w:ascii="Arial"/>
                <w:sz w:val="21"/>
              </w:rPr>
            </w:pPr>
          </w:p>
          <w:p w14:paraId="675093D0">
            <w:pPr>
              <w:spacing w:line="242" w:lineRule="auto"/>
              <w:rPr>
                <w:rFonts w:ascii="Arial"/>
                <w:sz w:val="21"/>
              </w:rPr>
            </w:pPr>
          </w:p>
          <w:p w14:paraId="7A582E17">
            <w:pPr>
              <w:spacing w:line="242" w:lineRule="auto"/>
              <w:rPr>
                <w:rFonts w:ascii="Arial"/>
                <w:sz w:val="21"/>
              </w:rPr>
            </w:pPr>
          </w:p>
          <w:p w14:paraId="79CB5F3B">
            <w:pPr>
              <w:spacing w:line="242" w:lineRule="auto"/>
              <w:rPr>
                <w:rFonts w:ascii="Arial"/>
                <w:sz w:val="21"/>
              </w:rPr>
            </w:pPr>
          </w:p>
          <w:p w14:paraId="2D6E124E">
            <w:pPr>
              <w:pStyle w:val="9"/>
              <w:spacing w:before="65" w:line="229" w:lineRule="auto"/>
              <w:ind w:left="237"/>
              <w:rPr>
                <w:sz w:val="20"/>
                <w:szCs w:val="20"/>
              </w:rPr>
            </w:pPr>
            <w:r>
              <w:rPr>
                <w:spacing w:val="-7"/>
                <w:sz w:val="20"/>
                <w:szCs w:val="20"/>
              </w:rPr>
              <w:t>已建</w:t>
            </w:r>
          </w:p>
        </w:tc>
        <w:tc>
          <w:tcPr>
            <w:tcW w:w="123" w:type="dxa"/>
            <w:tcBorders>
              <w:top w:val="nil"/>
              <w:bottom w:val="nil"/>
              <w:right w:val="single" w:color="000000" w:sz="6" w:space="0"/>
            </w:tcBorders>
            <w:vAlign w:val="top"/>
          </w:tcPr>
          <w:p w14:paraId="3EAACD56">
            <w:pPr>
              <w:rPr>
                <w:rFonts w:ascii="Arial"/>
                <w:sz w:val="21"/>
              </w:rPr>
            </w:pPr>
          </w:p>
        </w:tc>
      </w:tr>
      <w:tr w14:paraId="1E8DAD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776" w:type="dxa"/>
            <w:vMerge w:val="continue"/>
            <w:tcBorders>
              <w:top w:val="nil"/>
              <w:left w:val="single" w:color="000000" w:sz="6" w:space="0"/>
              <w:bottom w:val="nil"/>
            </w:tcBorders>
            <w:vAlign w:val="top"/>
          </w:tcPr>
          <w:p w14:paraId="2B5C3DA1">
            <w:pPr>
              <w:rPr>
                <w:rFonts w:ascii="Arial"/>
                <w:sz w:val="21"/>
              </w:rPr>
            </w:pPr>
          </w:p>
        </w:tc>
        <w:tc>
          <w:tcPr>
            <w:tcW w:w="113" w:type="dxa"/>
            <w:tcBorders>
              <w:top w:val="nil"/>
              <w:bottom w:val="nil"/>
            </w:tcBorders>
            <w:vAlign w:val="top"/>
          </w:tcPr>
          <w:p w14:paraId="033DDA7A">
            <w:pPr>
              <w:rPr>
                <w:rFonts w:ascii="Arial"/>
                <w:sz w:val="21"/>
              </w:rPr>
            </w:pPr>
          </w:p>
        </w:tc>
        <w:tc>
          <w:tcPr>
            <w:tcW w:w="404" w:type="dxa"/>
            <w:vMerge w:val="continue"/>
            <w:tcBorders>
              <w:top w:val="nil"/>
              <w:bottom w:val="nil"/>
            </w:tcBorders>
            <w:textDirection w:val="tbRlV"/>
            <w:vAlign w:val="top"/>
          </w:tcPr>
          <w:p w14:paraId="1E724816">
            <w:pPr>
              <w:rPr>
                <w:rFonts w:ascii="Arial"/>
                <w:sz w:val="21"/>
              </w:rPr>
            </w:pPr>
          </w:p>
        </w:tc>
        <w:tc>
          <w:tcPr>
            <w:tcW w:w="1600" w:type="dxa"/>
            <w:vAlign w:val="top"/>
          </w:tcPr>
          <w:p w14:paraId="782C6EE7">
            <w:pPr>
              <w:pStyle w:val="9"/>
              <w:spacing w:before="195" w:line="227" w:lineRule="auto"/>
              <w:ind w:left="381"/>
              <w:outlineLvl w:val="2"/>
              <w:rPr>
                <w:sz w:val="20"/>
                <w:szCs w:val="20"/>
              </w:rPr>
            </w:pPr>
            <w:r>
              <w:rPr>
                <w:spacing w:val="7"/>
                <w:sz w:val="20"/>
                <w:szCs w:val="20"/>
              </w:rPr>
              <w:t>材料库房</w:t>
            </w:r>
          </w:p>
        </w:tc>
        <w:tc>
          <w:tcPr>
            <w:tcW w:w="5222" w:type="dxa"/>
            <w:vAlign w:val="top"/>
          </w:tcPr>
          <w:p w14:paraId="71B68068">
            <w:pPr>
              <w:pStyle w:val="9"/>
              <w:spacing w:before="61" w:line="227" w:lineRule="auto"/>
              <w:ind w:left="114" w:right="153" w:firstLine="418"/>
              <w:outlineLvl w:val="2"/>
              <w:rPr>
                <w:rFonts w:ascii="Times New Roman" w:hAnsi="Times New Roman" w:eastAsia="Times New Roman" w:cs="Times New Roman"/>
                <w:sz w:val="13"/>
                <w:szCs w:val="13"/>
              </w:rPr>
            </w:pPr>
            <w:r>
              <w:rPr>
                <w:spacing w:val="6"/>
                <w:sz w:val="20"/>
                <w:szCs w:val="20"/>
              </w:rPr>
              <w:t>站内北侧设置</w:t>
            </w:r>
            <w:r>
              <w:rPr>
                <w:spacing w:val="-14"/>
                <w:sz w:val="20"/>
                <w:szCs w:val="20"/>
              </w:rPr>
              <w:t xml:space="preserve"> </w:t>
            </w:r>
            <w:r>
              <w:rPr>
                <w:rFonts w:ascii="Times New Roman" w:hAnsi="Times New Roman" w:eastAsia="Times New Roman" w:cs="Times New Roman"/>
                <w:spacing w:val="6"/>
                <w:sz w:val="20"/>
                <w:szCs w:val="20"/>
              </w:rPr>
              <w:t xml:space="preserve">1 </w:t>
            </w:r>
            <w:r>
              <w:rPr>
                <w:spacing w:val="6"/>
                <w:sz w:val="20"/>
                <w:szCs w:val="20"/>
              </w:rPr>
              <w:t>座材料库房，</w:t>
            </w:r>
            <w:r>
              <w:rPr>
                <w:rFonts w:ascii="Times New Roman" w:hAnsi="Times New Roman" w:eastAsia="Times New Roman" w:cs="Times New Roman"/>
                <w:spacing w:val="6"/>
                <w:sz w:val="20"/>
                <w:szCs w:val="20"/>
              </w:rPr>
              <w:t xml:space="preserve">1 </w:t>
            </w:r>
            <w:r>
              <w:rPr>
                <w:spacing w:val="6"/>
                <w:sz w:val="20"/>
                <w:szCs w:val="20"/>
              </w:rPr>
              <w:t>层筋混凝土结构，</w:t>
            </w:r>
            <w:r>
              <w:rPr>
                <w:spacing w:val="5"/>
                <w:sz w:val="20"/>
                <w:szCs w:val="20"/>
              </w:rPr>
              <w:t>建筑面积</w:t>
            </w:r>
            <w:r>
              <w:rPr>
                <w:spacing w:val="-39"/>
                <w:sz w:val="20"/>
                <w:szCs w:val="20"/>
              </w:rPr>
              <w:t xml:space="preserve"> </w:t>
            </w:r>
            <w:r>
              <w:rPr>
                <w:rFonts w:ascii="Times New Roman" w:hAnsi="Times New Roman" w:eastAsia="Times New Roman" w:cs="Times New Roman"/>
                <w:spacing w:val="5"/>
                <w:sz w:val="20"/>
                <w:szCs w:val="20"/>
              </w:rPr>
              <w:t>20m</w:t>
            </w:r>
            <w:r>
              <w:rPr>
                <w:rFonts w:ascii="Times New Roman" w:hAnsi="Times New Roman" w:eastAsia="Times New Roman" w:cs="Times New Roman"/>
                <w:spacing w:val="5"/>
                <w:position w:val="6"/>
                <w:sz w:val="13"/>
                <w:szCs w:val="13"/>
              </w:rPr>
              <w:t>2</w:t>
            </w:r>
          </w:p>
        </w:tc>
        <w:tc>
          <w:tcPr>
            <w:tcW w:w="824" w:type="dxa"/>
            <w:vAlign w:val="top"/>
          </w:tcPr>
          <w:p w14:paraId="69F7A911">
            <w:pPr>
              <w:pStyle w:val="9"/>
              <w:spacing w:before="195" w:line="229" w:lineRule="auto"/>
              <w:ind w:left="237"/>
              <w:rPr>
                <w:sz w:val="20"/>
                <w:szCs w:val="20"/>
              </w:rPr>
            </w:pPr>
            <w:r>
              <w:rPr>
                <w:spacing w:val="-7"/>
                <w:sz w:val="20"/>
                <w:szCs w:val="20"/>
              </w:rPr>
              <w:t>已建</w:t>
            </w:r>
          </w:p>
        </w:tc>
        <w:tc>
          <w:tcPr>
            <w:tcW w:w="123" w:type="dxa"/>
            <w:tcBorders>
              <w:top w:val="nil"/>
              <w:bottom w:val="nil"/>
              <w:right w:val="single" w:color="000000" w:sz="6" w:space="0"/>
            </w:tcBorders>
            <w:vAlign w:val="top"/>
          </w:tcPr>
          <w:p w14:paraId="68599213">
            <w:pPr>
              <w:rPr>
                <w:rFonts w:ascii="Arial"/>
                <w:sz w:val="21"/>
              </w:rPr>
            </w:pPr>
          </w:p>
        </w:tc>
      </w:tr>
      <w:tr w14:paraId="7988BE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776" w:type="dxa"/>
            <w:vMerge w:val="continue"/>
            <w:tcBorders>
              <w:top w:val="nil"/>
              <w:left w:val="single" w:color="000000" w:sz="6" w:space="0"/>
              <w:bottom w:val="nil"/>
            </w:tcBorders>
            <w:vAlign w:val="top"/>
          </w:tcPr>
          <w:p w14:paraId="6F547F67">
            <w:pPr>
              <w:rPr>
                <w:rFonts w:ascii="Arial"/>
                <w:sz w:val="21"/>
              </w:rPr>
            </w:pPr>
          </w:p>
        </w:tc>
        <w:tc>
          <w:tcPr>
            <w:tcW w:w="113" w:type="dxa"/>
            <w:tcBorders>
              <w:top w:val="nil"/>
              <w:bottom w:val="nil"/>
            </w:tcBorders>
            <w:vAlign w:val="top"/>
          </w:tcPr>
          <w:p w14:paraId="11D2D9A7">
            <w:pPr>
              <w:rPr>
                <w:rFonts w:ascii="Arial"/>
                <w:sz w:val="21"/>
              </w:rPr>
            </w:pPr>
          </w:p>
        </w:tc>
        <w:tc>
          <w:tcPr>
            <w:tcW w:w="404" w:type="dxa"/>
            <w:vMerge w:val="continue"/>
            <w:tcBorders>
              <w:top w:val="nil"/>
              <w:bottom w:val="nil"/>
            </w:tcBorders>
            <w:textDirection w:val="tbRlV"/>
            <w:vAlign w:val="top"/>
          </w:tcPr>
          <w:p w14:paraId="0AFC5142">
            <w:pPr>
              <w:rPr>
                <w:rFonts w:ascii="Arial"/>
                <w:sz w:val="21"/>
              </w:rPr>
            </w:pPr>
          </w:p>
        </w:tc>
        <w:tc>
          <w:tcPr>
            <w:tcW w:w="1600" w:type="dxa"/>
            <w:vAlign w:val="top"/>
          </w:tcPr>
          <w:p w14:paraId="52758308">
            <w:pPr>
              <w:spacing w:line="254" w:lineRule="auto"/>
              <w:rPr>
                <w:rFonts w:ascii="Arial"/>
                <w:sz w:val="21"/>
              </w:rPr>
            </w:pPr>
          </w:p>
          <w:p w14:paraId="734BD4BD">
            <w:pPr>
              <w:pStyle w:val="9"/>
              <w:spacing w:before="65" w:line="228" w:lineRule="auto"/>
              <w:ind w:left="592"/>
              <w:outlineLvl w:val="2"/>
              <w:rPr>
                <w:sz w:val="20"/>
                <w:szCs w:val="20"/>
              </w:rPr>
            </w:pPr>
            <w:r>
              <w:rPr>
                <w:spacing w:val="3"/>
                <w:sz w:val="20"/>
                <w:szCs w:val="20"/>
              </w:rPr>
              <w:t>车库</w:t>
            </w:r>
          </w:p>
        </w:tc>
        <w:tc>
          <w:tcPr>
            <w:tcW w:w="5222" w:type="dxa"/>
            <w:vAlign w:val="top"/>
          </w:tcPr>
          <w:p w14:paraId="124C6CD7">
            <w:pPr>
              <w:pStyle w:val="9"/>
              <w:spacing w:before="48" w:line="251" w:lineRule="auto"/>
              <w:ind w:left="114" w:right="99" w:firstLine="418"/>
              <w:outlineLvl w:val="2"/>
              <w:rPr>
                <w:sz w:val="20"/>
                <w:szCs w:val="20"/>
              </w:rPr>
            </w:pPr>
            <w:r>
              <w:rPr>
                <w:spacing w:val="9"/>
                <w:sz w:val="20"/>
                <w:szCs w:val="20"/>
              </w:rPr>
              <w:t>站内设置</w:t>
            </w:r>
            <w:r>
              <w:rPr>
                <w:spacing w:val="-33"/>
                <w:sz w:val="20"/>
                <w:szCs w:val="20"/>
              </w:rPr>
              <w:t xml:space="preserve"> </w:t>
            </w:r>
            <w:r>
              <w:rPr>
                <w:rFonts w:ascii="Times New Roman" w:hAnsi="Times New Roman" w:eastAsia="Times New Roman" w:cs="Times New Roman"/>
                <w:spacing w:val="9"/>
                <w:sz w:val="20"/>
                <w:szCs w:val="20"/>
              </w:rPr>
              <w:t xml:space="preserve">3 </w:t>
            </w:r>
            <w:r>
              <w:rPr>
                <w:spacing w:val="9"/>
                <w:sz w:val="20"/>
                <w:szCs w:val="20"/>
              </w:rPr>
              <w:t>座车库，其中</w:t>
            </w:r>
            <w:r>
              <w:rPr>
                <w:rFonts w:ascii="Times New Roman" w:hAnsi="Times New Roman" w:eastAsia="Times New Roman" w:cs="Times New Roman"/>
                <w:spacing w:val="9"/>
                <w:sz w:val="20"/>
                <w:szCs w:val="20"/>
              </w:rPr>
              <w:t xml:space="preserve">2 </w:t>
            </w:r>
            <w:r>
              <w:rPr>
                <w:spacing w:val="9"/>
                <w:sz w:val="20"/>
                <w:szCs w:val="20"/>
              </w:rPr>
              <w:t>座位于站内北侧，两栋</w:t>
            </w:r>
            <w:r>
              <w:rPr>
                <w:spacing w:val="10"/>
                <w:sz w:val="20"/>
                <w:szCs w:val="20"/>
              </w:rPr>
              <w:t>综合楼中间，另外一座位于站内东南角，</w:t>
            </w:r>
            <w:r>
              <w:rPr>
                <w:rFonts w:ascii="Times New Roman" w:hAnsi="Times New Roman" w:eastAsia="Times New Roman" w:cs="Times New Roman"/>
                <w:spacing w:val="10"/>
                <w:sz w:val="20"/>
                <w:szCs w:val="20"/>
              </w:rPr>
              <w:t xml:space="preserve">1 </w:t>
            </w:r>
            <w:r>
              <w:rPr>
                <w:spacing w:val="10"/>
                <w:sz w:val="20"/>
                <w:szCs w:val="20"/>
              </w:rPr>
              <w:t>层筋混凝土</w:t>
            </w:r>
          </w:p>
          <w:p w14:paraId="4FB63906">
            <w:pPr>
              <w:pStyle w:val="9"/>
              <w:spacing w:line="203" w:lineRule="auto"/>
              <w:ind w:left="116"/>
              <w:rPr>
                <w:sz w:val="20"/>
                <w:szCs w:val="20"/>
              </w:rPr>
            </w:pPr>
            <w:r>
              <w:rPr>
                <w:spacing w:val="2"/>
                <w:sz w:val="20"/>
                <w:szCs w:val="20"/>
              </w:rPr>
              <w:t>结构，</w:t>
            </w:r>
            <w:r>
              <w:rPr>
                <w:spacing w:val="-44"/>
                <w:sz w:val="20"/>
                <w:szCs w:val="20"/>
              </w:rPr>
              <w:t xml:space="preserve"> </w:t>
            </w:r>
            <w:r>
              <w:rPr>
                <w:spacing w:val="2"/>
                <w:sz w:val="20"/>
                <w:szCs w:val="20"/>
              </w:rPr>
              <w:t>占地面积均为</w:t>
            </w:r>
            <w:r>
              <w:rPr>
                <w:spacing w:val="-35"/>
                <w:sz w:val="20"/>
                <w:szCs w:val="20"/>
              </w:rPr>
              <w:t xml:space="preserve"> </w:t>
            </w:r>
            <w:r>
              <w:rPr>
                <w:rFonts w:ascii="Times New Roman" w:hAnsi="Times New Roman" w:eastAsia="Times New Roman" w:cs="Times New Roman"/>
                <w:spacing w:val="2"/>
                <w:sz w:val="20"/>
                <w:szCs w:val="20"/>
              </w:rPr>
              <w:t>80m</w:t>
            </w:r>
            <w:r>
              <w:rPr>
                <w:rFonts w:ascii="Times New Roman" w:hAnsi="Times New Roman" w:eastAsia="Times New Roman" w:cs="Times New Roman"/>
                <w:spacing w:val="2"/>
                <w:position w:val="6"/>
                <w:sz w:val="13"/>
                <w:szCs w:val="13"/>
              </w:rPr>
              <w:t>2</w:t>
            </w:r>
            <w:r>
              <w:rPr>
                <w:spacing w:val="2"/>
                <w:sz w:val="20"/>
                <w:szCs w:val="20"/>
              </w:rPr>
              <w:t>。</w:t>
            </w:r>
          </w:p>
        </w:tc>
        <w:tc>
          <w:tcPr>
            <w:tcW w:w="824" w:type="dxa"/>
            <w:vAlign w:val="top"/>
          </w:tcPr>
          <w:p w14:paraId="7987EE16">
            <w:pPr>
              <w:spacing w:line="254" w:lineRule="auto"/>
              <w:rPr>
                <w:rFonts w:ascii="Arial"/>
                <w:sz w:val="21"/>
              </w:rPr>
            </w:pPr>
          </w:p>
          <w:p w14:paraId="41DA1279">
            <w:pPr>
              <w:pStyle w:val="9"/>
              <w:spacing w:before="65" w:line="229" w:lineRule="auto"/>
              <w:ind w:left="237"/>
              <w:rPr>
                <w:sz w:val="20"/>
                <w:szCs w:val="20"/>
              </w:rPr>
            </w:pPr>
            <w:r>
              <w:rPr>
                <w:spacing w:val="-7"/>
                <w:sz w:val="20"/>
                <w:szCs w:val="20"/>
              </w:rPr>
              <w:t>已建</w:t>
            </w:r>
          </w:p>
        </w:tc>
        <w:tc>
          <w:tcPr>
            <w:tcW w:w="123" w:type="dxa"/>
            <w:tcBorders>
              <w:top w:val="nil"/>
              <w:bottom w:val="nil"/>
              <w:right w:val="single" w:color="000000" w:sz="6" w:space="0"/>
            </w:tcBorders>
            <w:vAlign w:val="top"/>
          </w:tcPr>
          <w:p w14:paraId="60A6ACC4">
            <w:pPr>
              <w:rPr>
                <w:rFonts w:ascii="Arial"/>
                <w:sz w:val="21"/>
              </w:rPr>
            </w:pPr>
          </w:p>
        </w:tc>
      </w:tr>
      <w:tr w14:paraId="455415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3" w:hRule="atLeast"/>
        </w:trPr>
        <w:tc>
          <w:tcPr>
            <w:tcW w:w="776" w:type="dxa"/>
            <w:vMerge w:val="continue"/>
            <w:tcBorders>
              <w:top w:val="nil"/>
              <w:left w:val="single" w:color="000000" w:sz="6" w:space="0"/>
              <w:bottom w:val="nil"/>
            </w:tcBorders>
            <w:vAlign w:val="top"/>
          </w:tcPr>
          <w:p w14:paraId="5E8EC5D6">
            <w:pPr>
              <w:rPr>
                <w:rFonts w:ascii="Arial"/>
                <w:sz w:val="21"/>
              </w:rPr>
            </w:pPr>
          </w:p>
        </w:tc>
        <w:tc>
          <w:tcPr>
            <w:tcW w:w="113" w:type="dxa"/>
            <w:tcBorders>
              <w:top w:val="nil"/>
              <w:bottom w:val="nil"/>
            </w:tcBorders>
            <w:vAlign w:val="top"/>
          </w:tcPr>
          <w:p w14:paraId="62429EA9">
            <w:pPr>
              <w:rPr>
                <w:rFonts w:ascii="Arial"/>
                <w:sz w:val="21"/>
              </w:rPr>
            </w:pPr>
          </w:p>
        </w:tc>
        <w:tc>
          <w:tcPr>
            <w:tcW w:w="404" w:type="dxa"/>
            <w:vMerge w:val="continue"/>
            <w:tcBorders>
              <w:top w:val="nil"/>
              <w:bottom w:val="nil"/>
            </w:tcBorders>
            <w:textDirection w:val="tbRlV"/>
            <w:vAlign w:val="top"/>
          </w:tcPr>
          <w:p w14:paraId="4466ED4B">
            <w:pPr>
              <w:rPr>
                <w:rFonts w:ascii="Arial"/>
                <w:sz w:val="21"/>
              </w:rPr>
            </w:pPr>
          </w:p>
        </w:tc>
        <w:tc>
          <w:tcPr>
            <w:tcW w:w="1600" w:type="dxa"/>
            <w:vAlign w:val="top"/>
          </w:tcPr>
          <w:p w14:paraId="0B9AC07B">
            <w:pPr>
              <w:spacing w:line="309" w:lineRule="auto"/>
              <w:rPr>
                <w:rFonts w:ascii="Arial"/>
                <w:sz w:val="21"/>
              </w:rPr>
            </w:pPr>
          </w:p>
          <w:p w14:paraId="012FA891">
            <w:pPr>
              <w:spacing w:line="310" w:lineRule="auto"/>
              <w:rPr>
                <w:rFonts w:ascii="Arial"/>
                <w:sz w:val="21"/>
              </w:rPr>
            </w:pPr>
          </w:p>
          <w:p w14:paraId="1382058B">
            <w:pPr>
              <w:spacing w:line="310" w:lineRule="auto"/>
              <w:rPr>
                <w:rFonts w:ascii="Arial"/>
                <w:sz w:val="21"/>
              </w:rPr>
            </w:pPr>
          </w:p>
          <w:p w14:paraId="57AC3DA4">
            <w:pPr>
              <w:pStyle w:val="9"/>
              <w:spacing w:before="65" w:line="228" w:lineRule="auto"/>
              <w:ind w:left="172"/>
              <w:outlineLvl w:val="2"/>
              <w:rPr>
                <w:sz w:val="20"/>
                <w:szCs w:val="20"/>
              </w:rPr>
            </w:pPr>
            <w:r>
              <w:rPr>
                <w:spacing w:val="7"/>
                <w:sz w:val="20"/>
                <w:szCs w:val="20"/>
              </w:rPr>
              <w:t>污水处理设施</w:t>
            </w:r>
          </w:p>
        </w:tc>
        <w:tc>
          <w:tcPr>
            <w:tcW w:w="5222" w:type="dxa"/>
            <w:vAlign w:val="top"/>
          </w:tcPr>
          <w:p w14:paraId="53FEA23E">
            <w:pPr>
              <w:pStyle w:val="9"/>
              <w:spacing w:before="47" w:line="251" w:lineRule="auto"/>
              <w:ind w:left="110" w:right="99" w:firstLine="422"/>
              <w:jc w:val="both"/>
              <w:rPr>
                <w:sz w:val="20"/>
                <w:szCs w:val="20"/>
              </w:rPr>
            </w:pPr>
            <w:r>
              <w:rPr>
                <w:spacing w:val="12"/>
                <w:sz w:val="20"/>
                <w:szCs w:val="20"/>
              </w:rPr>
              <w:t>升压站内设置</w:t>
            </w:r>
            <w:r>
              <w:rPr>
                <w:rFonts w:ascii="Times New Roman" w:hAnsi="Times New Roman" w:eastAsia="Times New Roman" w:cs="Times New Roman"/>
                <w:spacing w:val="12"/>
                <w:sz w:val="20"/>
                <w:szCs w:val="20"/>
              </w:rPr>
              <w:t>1</w:t>
            </w:r>
            <w:r>
              <w:rPr>
                <w:spacing w:val="12"/>
                <w:sz w:val="20"/>
                <w:szCs w:val="20"/>
              </w:rPr>
              <w:t>座地埋式污水一体化处理设施，生</w:t>
            </w:r>
            <w:r>
              <w:rPr>
                <w:spacing w:val="6"/>
                <w:sz w:val="20"/>
                <w:szCs w:val="20"/>
              </w:rPr>
              <w:t>活污水经</w:t>
            </w:r>
            <w:r>
              <w:rPr>
                <w:rFonts w:ascii="Times New Roman" w:hAnsi="Times New Roman" w:eastAsia="Times New Roman" w:cs="Times New Roman"/>
                <w:spacing w:val="6"/>
                <w:sz w:val="20"/>
                <w:szCs w:val="20"/>
              </w:rPr>
              <w:t>2</w:t>
            </w:r>
            <w:r>
              <w:rPr>
                <w:spacing w:val="6"/>
                <w:sz w:val="20"/>
                <w:szCs w:val="20"/>
              </w:rPr>
              <w:t>个</w:t>
            </w:r>
            <w:r>
              <w:rPr>
                <w:rFonts w:ascii="Times New Roman" w:hAnsi="Times New Roman" w:eastAsia="Times New Roman" w:cs="Times New Roman"/>
                <w:spacing w:val="6"/>
                <w:sz w:val="20"/>
                <w:szCs w:val="20"/>
              </w:rPr>
              <w:t>5m</w:t>
            </w:r>
            <w:r>
              <w:rPr>
                <w:rFonts w:ascii="Times New Roman" w:hAnsi="Times New Roman" w:eastAsia="Times New Roman" w:cs="Times New Roman"/>
                <w:spacing w:val="6"/>
                <w:position w:val="6"/>
                <w:sz w:val="13"/>
                <w:szCs w:val="13"/>
              </w:rPr>
              <w:t>3</w:t>
            </w:r>
            <w:r>
              <w:rPr>
                <w:spacing w:val="6"/>
                <w:sz w:val="20"/>
                <w:szCs w:val="20"/>
              </w:rPr>
              <w:t>化粪池（渗透系数</w:t>
            </w:r>
            <w:r>
              <w:rPr>
                <w:rFonts w:ascii="Times New Roman" w:hAnsi="Times New Roman" w:eastAsia="Times New Roman" w:cs="Times New Roman"/>
                <w:spacing w:val="6"/>
                <w:sz w:val="20"/>
                <w:szCs w:val="20"/>
              </w:rPr>
              <w:t>≤10</w:t>
            </w:r>
            <w:r>
              <w:rPr>
                <w:rFonts w:ascii="Times New Roman" w:hAnsi="Times New Roman" w:eastAsia="Times New Roman" w:cs="Times New Roman"/>
                <w:spacing w:val="6"/>
                <w:position w:val="6"/>
                <w:sz w:val="13"/>
                <w:szCs w:val="13"/>
              </w:rPr>
              <w:t>-7</w:t>
            </w:r>
            <w:r>
              <w:rPr>
                <w:rFonts w:ascii="Times New Roman" w:hAnsi="Times New Roman" w:eastAsia="Times New Roman" w:cs="Times New Roman"/>
                <w:sz w:val="20"/>
                <w:szCs w:val="20"/>
              </w:rPr>
              <w:t>cm</w:t>
            </w:r>
            <w:r>
              <w:rPr>
                <w:rFonts w:ascii="Times New Roman" w:hAnsi="Times New Roman" w:eastAsia="Times New Roman" w:cs="Times New Roman"/>
                <w:spacing w:val="6"/>
                <w:sz w:val="20"/>
                <w:szCs w:val="20"/>
              </w:rPr>
              <w:t>/s</w:t>
            </w:r>
            <w:r>
              <w:rPr>
                <w:spacing w:val="6"/>
                <w:sz w:val="20"/>
                <w:szCs w:val="20"/>
              </w:rPr>
              <w:t>）处理后排</w:t>
            </w:r>
            <w:r>
              <w:rPr>
                <w:spacing w:val="8"/>
                <w:sz w:val="20"/>
                <w:szCs w:val="20"/>
              </w:rPr>
              <w:t>入地埋式污水一体化处理设施。</w:t>
            </w:r>
          </w:p>
          <w:p w14:paraId="13CC94E2">
            <w:pPr>
              <w:pStyle w:val="9"/>
              <w:spacing w:line="251" w:lineRule="auto"/>
              <w:ind w:left="112" w:right="99" w:firstLine="419"/>
              <w:outlineLvl w:val="2"/>
              <w:rPr>
                <w:sz w:val="20"/>
                <w:szCs w:val="20"/>
              </w:rPr>
            </w:pPr>
            <w:r>
              <w:rPr>
                <w:spacing w:val="4"/>
                <w:sz w:val="20"/>
                <w:szCs w:val="20"/>
              </w:rPr>
              <w:t>地埋式处理设备处理能力为</w:t>
            </w:r>
            <w:r>
              <w:rPr>
                <w:spacing w:val="-5"/>
                <w:sz w:val="20"/>
                <w:szCs w:val="20"/>
              </w:rPr>
              <w:t xml:space="preserve"> </w:t>
            </w:r>
            <w:r>
              <w:rPr>
                <w:rFonts w:ascii="Times New Roman" w:hAnsi="Times New Roman" w:eastAsia="Times New Roman" w:cs="Times New Roman"/>
                <w:spacing w:val="4"/>
                <w:sz w:val="20"/>
                <w:szCs w:val="20"/>
              </w:rPr>
              <w:t>1m</w:t>
            </w:r>
            <w:r>
              <w:rPr>
                <w:rFonts w:ascii="Times New Roman" w:hAnsi="Times New Roman" w:eastAsia="Times New Roman" w:cs="Times New Roman"/>
                <w:spacing w:val="4"/>
                <w:position w:val="6"/>
                <w:sz w:val="13"/>
                <w:szCs w:val="13"/>
              </w:rPr>
              <w:t>3</w:t>
            </w:r>
            <w:r>
              <w:rPr>
                <w:rFonts w:ascii="Times New Roman" w:hAnsi="Times New Roman" w:eastAsia="Times New Roman" w:cs="Times New Roman"/>
                <w:spacing w:val="4"/>
                <w:sz w:val="20"/>
                <w:szCs w:val="20"/>
              </w:rPr>
              <w:t>/h</w:t>
            </w:r>
            <w:r>
              <w:rPr>
                <w:spacing w:val="4"/>
                <w:sz w:val="20"/>
                <w:szCs w:val="20"/>
              </w:rPr>
              <w:t>，通过调节</w:t>
            </w:r>
            <w:r>
              <w:rPr>
                <w:rFonts w:ascii="Times New Roman" w:hAnsi="Times New Roman" w:eastAsia="Times New Roman" w:cs="Times New Roman"/>
                <w:spacing w:val="4"/>
                <w:sz w:val="20"/>
                <w:szCs w:val="20"/>
              </w:rPr>
              <w:t>+</w:t>
            </w:r>
            <w:r>
              <w:rPr>
                <w:spacing w:val="4"/>
                <w:sz w:val="20"/>
                <w:szCs w:val="20"/>
              </w:rPr>
              <w:t>接触</w:t>
            </w:r>
            <w:r>
              <w:rPr>
                <w:spacing w:val="7"/>
                <w:sz w:val="20"/>
                <w:szCs w:val="20"/>
              </w:rPr>
              <w:t>氧化</w:t>
            </w:r>
            <w:r>
              <w:rPr>
                <w:rFonts w:ascii="Times New Roman" w:hAnsi="Times New Roman" w:eastAsia="Times New Roman" w:cs="Times New Roman"/>
                <w:spacing w:val="7"/>
                <w:sz w:val="20"/>
                <w:szCs w:val="20"/>
              </w:rPr>
              <w:t>+</w:t>
            </w:r>
            <w:r>
              <w:rPr>
                <w:spacing w:val="7"/>
                <w:sz w:val="20"/>
                <w:szCs w:val="20"/>
              </w:rPr>
              <w:t>沉淀</w:t>
            </w:r>
            <w:r>
              <w:rPr>
                <w:rFonts w:ascii="Times New Roman" w:hAnsi="Times New Roman" w:eastAsia="Times New Roman" w:cs="Times New Roman"/>
                <w:spacing w:val="7"/>
                <w:sz w:val="20"/>
                <w:szCs w:val="20"/>
              </w:rPr>
              <w:t>+</w:t>
            </w:r>
            <w:r>
              <w:rPr>
                <w:spacing w:val="7"/>
                <w:sz w:val="20"/>
                <w:szCs w:val="20"/>
              </w:rPr>
              <w:t>消毒处理后达到《城市污水再生利用城市杂</w:t>
            </w:r>
          </w:p>
          <w:p w14:paraId="0BDBDF17">
            <w:pPr>
              <w:pStyle w:val="9"/>
              <w:spacing w:line="235" w:lineRule="auto"/>
              <w:ind w:left="110" w:right="31" w:firstLine="2"/>
              <w:jc w:val="both"/>
              <w:rPr>
                <w:sz w:val="20"/>
                <w:szCs w:val="20"/>
              </w:rPr>
            </w:pPr>
            <w:r>
              <w:rPr>
                <w:spacing w:val="2"/>
                <w:sz w:val="20"/>
                <w:szCs w:val="20"/>
              </w:rPr>
              <w:t>用水水质标准》（</w:t>
            </w:r>
            <w:r>
              <w:rPr>
                <w:rFonts w:ascii="Times New Roman" w:hAnsi="Times New Roman" w:eastAsia="Times New Roman" w:cs="Times New Roman"/>
                <w:sz w:val="20"/>
                <w:szCs w:val="20"/>
              </w:rPr>
              <w:t>GB</w:t>
            </w:r>
            <w:r>
              <w:rPr>
                <w:rFonts w:ascii="Times New Roman" w:hAnsi="Times New Roman" w:eastAsia="Times New Roman" w:cs="Times New Roman"/>
                <w:spacing w:val="2"/>
                <w:sz w:val="20"/>
                <w:szCs w:val="20"/>
              </w:rPr>
              <w:t>/T18920-202</w:t>
            </w:r>
            <w:r>
              <w:rPr>
                <w:rFonts w:ascii="Times New Roman" w:hAnsi="Times New Roman" w:eastAsia="Times New Roman" w:cs="Times New Roman"/>
                <w:spacing w:val="1"/>
                <w:sz w:val="20"/>
                <w:szCs w:val="20"/>
              </w:rPr>
              <w:t>0</w:t>
            </w:r>
            <w:r>
              <w:rPr>
                <w:spacing w:val="1"/>
                <w:sz w:val="20"/>
                <w:szCs w:val="20"/>
              </w:rPr>
              <w:t>）后，用于厂区绿化、</w:t>
            </w:r>
            <w:r>
              <w:rPr>
                <w:spacing w:val="8"/>
                <w:sz w:val="20"/>
                <w:szCs w:val="20"/>
              </w:rPr>
              <w:t>道路抑尘等，站内建设</w:t>
            </w:r>
            <w:r>
              <w:rPr>
                <w:spacing w:val="-17"/>
                <w:sz w:val="20"/>
                <w:szCs w:val="20"/>
              </w:rPr>
              <w:t xml:space="preserve"> </w:t>
            </w:r>
            <w:r>
              <w:rPr>
                <w:rFonts w:ascii="Times New Roman" w:hAnsi="Times New Roman" w:eastAsia="Times New Roman" w:cs="Times New Roman"/>
                <w:spacing w:val="8"/>
                <w:sz w:val="20"/>
                <w:szCs w:val="20"/>
              </w:rPr>
              <w:t>1</w:t>
            </w:r>
            <w:r>
              <w:rPr>
                <w:rFonts w:ascii="Times New Roman" w:hAnsi="Times New Roman" w:eastAsia="Times New Roman" w:cs="Times New Roman"/>
                <w:spacing w:val="16"/>
                <w:w w:val="101"/>
                <w:sz w:val="20"/>
                <w:szCs w:val="20"/>
              </w:rPr>
              <w:t xml:space="preserve"> </w:t>
            </w:r>
            <w:r>
              <w:rPr>
                <w:spacing w:val="8"/>
                <w:sz w:val="20"/>
                <w:szCs w:val="20"/>
              </w:rPr>
              <w:t>座</w:t>
            </w:r>
            <w:r>
              <w:rPr>
                <w:spacing w:val="-30"/>
                <w:sz w:val="20"/>
                <w:szCs w:val="20"/>
              </w:rPr>
              <w:t xml:space="preserve"> </w:t>
            </w:r>
            <w:r>
              <w:rPr>
                <w:rFonts w:ascii="Times New Roman" w:hAnsi="Times New Roman" w:eastAsia="Times New Roman" w:cs="Times New Roman"/>
                <w:spacing w:val="8"/>
                <w:sz w:val="20"/>
                <w:szCs w:val="20"/>
              </w:rPr>
              <w:t>80m</w:t>
            </w:r>
            <w:r>
              <w:rPr>
                <w:rFonts w:ascii="Times New Roman" w:hAnsi="Times New Roman" w:eastAsia="Times New Roman" w:cs="Times New Roman"/>
                <w:spacing w:val="8"/>
                <w:position w:val="6"/>
                <w:sz w:val="13"/>
                <w:szCs w:val="13"/>
              </w:rPr>
              <w:t>3</w:t>
            </w:r>
            <w:r>
              <w:rPr>
                <w:rFonts w:ascii="Times New Roman" w:hAnsi="Times New Roman" w:eastAsia="Times New Roman" w:cs="Times New Roman"/>
                <w:spacing w:val="32"/>
                <w:w w:val="102"/>
                <w:position w:val="6"/>
                <w:sz w:val="13"/>
                <w:szCs w:val="13"/>
              </w:rPr>
              <w:t xml:space="preserve"> </w:t>
            </w:r>
            <w:r>
              <w:rPr>
                <w:spacing w:val="8"/>
                <w:sz w:val="20"/>
                <w:szCs w:val="20"/>
              </w:rPr>
              <w:t>的蓄水池，冬季在蓄水池内暂存，冬储夏用。</w:t>
            </w:r>
          </w:p>
        </w:tc>
        <w:tc>
          <w:tcPr>
            <w:tcW w:w="824" w:type="dxa"/>
            <w:vAlign w:val="top"/>
          </w:tcPr>
          <w:p w14:paraId="07650670">
            <w:pPr>
              <w:spacing w:line="309" w:lineRule="auto"/>
              <w:rPr>
                <w:rFonts w:ascii="Arial"/>
                <w:sz w:val="21"/>
              </w:rPr>
            </w:pPr>
          </w:p>
          <w:p w14:paraId="6E091574">
            <w:pPr>
              <w:spacing w:line="310" w:lineRule="auto"/>
              <w:rPr>
                <w:rFonts w:ascii="Arial"/>
                <w:sz w:val="21"/>
              </w:rPr>
            </w:pPr>
          </w:p>
          <w:p w14:paraId="4051E562">
            <w:pPr>
              <w:spacing w:line="310" w:lineRule="auto"/>
              <w:rPr>
                <w:rFonts w:ascii="Arial"/>
                <w:sz w:val="21"/>
              </w:rPr>
            </w:pPr>
          </w:p>
          <w:p w14:paraId="5E642BCE">
            <w:pPr>
              <w:pStyle w:val="9"/>
              <w:spacing w:before="65" w:line="229" w:lineRule="auto"/>
              <w:ind w:left="237"/>
              <w:rPr>
                <w:sz w:val="20"/>
                <w:szCs w:val="20"/>
              </w:rPr>
            </w:pPr>
            <w:r>
              <w:rPr>
                <w:spacing w:val="-7"/>
                <w:sz w:val="20"/>
                <w:szCs w:val="20"/>
              </w:rPr>
              <w:t>已建</w:t>
            </w:r>
          </w:p>
        </w:tc>
        <w:tc>
          <w:tcPr>
            <w:tcW w:w="123" w:type="dxa"/>
            <w:tcBorders>
              <w:top w:val="nil"/>
              <w:bottom w:val="nil"/>
              <w:right w:val="single" w:color="000000" w:sz="6" w:space="0"/>
            </w:tcBorders>
            <w:vAlign w:val="top"/>
          </w:tcPr>
          <w:p w14:paraId="0B8D6778">
            <w:pPr>
              <w:rPr>
                <w:rFonts w:ascii="Arial"/>
                <w:sz w:val="21"/>
              </w:rPr>
            </w:pPr>
          </w:p>
        </w:tc>
      </w:tr>
      <w:tr w14:paraId="114487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776" w:type="dxa"/>
            <w:vMerge w:val="continue"/>
            <w:tcBorders>
              <w:top w:val="nil"/>
              <w:left w:val="single" w:color="000000" w:sz="6" w:space="0"/>
              <w:bottom w:val="single" w:color="000000" w:sz="6" w:space="0"/>
            </w:tcBorders>
            <w:vAlign w:val="top"/>
          </w:tcPr>
          <w:p w14:paraId="5E347B1D">
            <w:pPr>
              <w:rPr>
                <w:rFonts w:ascii="Arial"/>
                <w:sz w:val="21"/>
              </w:rPr>
            </w:pPr>
          </w:p>
        </w:tc>
        <w:tc>
          <w:tcPr>
            <w:tcW w:w="113" w:type="dxa"/>
            <w:tcBorders>
              <w:top w:val="nil"/>
              <w:bottom w:val="single" w:color="000000" w:sz="6" w:space="0"/>
            </w:tcBorders>
            <w:vAlign w:val="top"/>
          </w:tcPr>
          <w:p w14:paraId="6B4AF9D1">
            <w:pPr>
              <w:rPr>
                <w:rFonts w:ascii="Arial"/>
                <w:sz w:val="21"/>
              </w:rPr>
            </w:pPr>
          </w:p>
        </w:tc>
        <w:tc>
          <w:tcPr>
            <w:tcW w:w="404" w:type="dxa"/>
            <w:vMerge w:val="continue"/>
            <w:tcBorders>
              <w:top w:val="nil"/>
              <w:bottom w:val="single" w:color="000000" w:sz="6" w:space="0"/>
            </w:tcBorders>
            <w:textDirection w:val="tbRlV"/>
            <w:vAlign w:val="top"/>
          </w:tcPr>
          <w:p w14:paraId="6AEDCD4D">
            <w:pPr>
              <w:rPr>
                <w:rFonts w:ascii="Arial"/>
                <w:sz w:val="21"/>
              </w:rPr>
            </w:pPr>
          </w:p>
        </w:tc>
        <w:tc>
          <w:tcPr>
            <w:tcW w:w="1600" w:type="dxa"/>
            <w:tcBorders>
              <w:bottom w:val="single" w:color="000000" w:sz="6" w:space="0"/>
            </w:tcBorders>
            <w:vAlign w:val="top"/>
          </w:tcPr>
          <w:p w14:paraId="67E562D7">
            <w:pPr>
              <w:pStyle w:val="9"/>
              <w:spacing w:before="182" w:line="228" w:lineRule="auto"/>
              <w:ind w:left="490"/>
              <w:outlineLvl w:val="2"/>
              <w:rPr>
                <w:sz w:val="20"/>
                <w:szCs w:val="20"/>
              </w:rPr>
            </w:pPr>
            <w:r>
              <w:rPr>
                <w:spacing w:val="6"/>
                <w:sz w:val="20"/>
                <w:szCs w:val="20"/>
              </w:rPr>
              <w:t>水泵房</w:t>
            </w:r>
          </w:p>
        </w:tc>
        <w:tc>
          <w:tcPr>
            <w:tcW w:w="5222" w:type="dxa"/>
            <w:tcBorders>
              <w:bottom w:val="single" w:color="000000" w:sz="6" w:space="0"/>
            </w:tcBorders>
            <w:vAlign w:val="top"/>
          </w:tcPr>
          <w:p w14:paraId="774D7742">
            <w:pPr>
              <w:pStyle w:val="9"/>
              <w:spacing w:before="49" w:line="233" w:lineRule="auto"/>
              <w:ind w:left="114" w:right="99" w:firstLine="417"/>
              <w:outlineLvl w:val="2"/>
              <w:rPr>
                <w:sz w:val="20"/>
                <w:szCs w:val="20"/>
              </w:rPr>
            </w:pPr>
            <w:r>
              <w:rPr>
                <w:spacing w:val="4"/>
                <w:sz w:val="20"/>
                <w:szCs w:val="20"/>
              </w:rPr>
              <w:t>站内设置</w:t>
            </w:r>
            <w:r>
              <w:rPr>
                <w:spacing w:val="-25"/>
                <w:sz w:val="20"/>
                <w:szCs w:val="20"/>
              </w:rPr>
              <w:t xml:space="preserve"> </w:t>
            </w:r>
            <w:r>
              <w:rPr>
                <w:rFonts w:ascii="Times New Roman" w:hAnsi="Times New Roman" w:eastAsia="Times New Roman" w:cs="Times New Roman"/>
                <w:spacing w:val="4"/>
                <w:sz w:val="20"/>
                <w:szCs w:val="20"/>
              </w:rPr>
              <w:t xml:space="preserve">2 </w:t>
            </w:r>
            <w:r>
              <w:rPr>
                <w:spacing w:val="4"/>
                <w:sz w:val="20"/>
                <w:szCs w:val="20"/>
              </w:rPr>
              <w:t>座水泵房，占地面积均为</w:t>
            </w:r>
            <w:r>
              <w:rPr>
                <w:spacing w:val="-40"/>
                <w:sz w:val="20"/>
                <w:szCs w:val="20"/>
              </w:rPr>
              <w:t xml:space="preserve"> </w:t>
            </w:r>
            <w:r>
              <w:rPr>
                <w:rFonts w:ascii="Times New Roman" w:hAnsi="Times New Roman" w:eastAsia="Times New Roman" w:cs="Times New Roman"/>
                <w:spacing w:val="4"/>
                <w:sz w:val="20"/>
                <w:szCs w:val="20"/>
              </w:rPr>
              <w:t>20m</w:t>
            </w:r>
            <w:r>
              <w:rPr>
                <w:rFonts w:ascii="Times New Roman" w:hAnsi="Times New Roman" w:eastAsia="Times New Roman" w:cs="Times New Roman"/>
                <w:spacing w:val="4"/>
                <w:position w:val="6"/>
                <w:sz w:val="13"/>
                <w:szCs w:val="13"/>
              </w:rPr>
              <w:t>2</w:t>
            </w:r>
            <w:r>
              <w:rPr>
                <w:rFonts w:ascii="Times New Roman" w:hAnsi="Times New Roman" w:eastAsia="Times New Roman" w:cs="Times New Roman"/>
                <w:spacing w:val="-9"/>
                <w:position w:val="6"/>
                <w:sz w:val="13"/>
                <w:szCs w:val="13"/>
              </w:rPr>
              <w:t xml:space="preserve"> </w:t>
            </w:r>
            <w:r>
              <w:rPr>
                <w:spacing w:val="4"/>
                <w:sz w:val="20"/>
                <w:szCs w:val="20"/>
              </w:rPr>
              <w:t>，</w:t>
            </w:r>
            <w:r>
              <w:rPr>
                <w:rFonts w:ascii="Times New Roman" w:hAnsi="Times New Roman" w:eastAsia="Times New Roman" w:cs="Times New Roman"/>
                <w:spacing w:val="4"/>
                <w:sz w:val="20"/>
                <w:szCs w:val="20"/>
              </w:rPr>
              <w:t xml:space="preserve">1 </w:t>
            </w:r>
            <w:r>
              <w:rPr>
                <w:spacing w:val="4"/>
                <w:sz w:val="20"/>
                <w:szCs w:val="20"/>
              </w:rPr>
              <w:t>层钢</w:t>
            </w:r>
            <w:r>
              <w:rPr>
                <w:spacing w:val="7"/>
                <w:sz w:val="20"/>
                <w:szCs w:val="20"/>
              </w:rPr>
              <w:t>筋混凝土结构</w:t>
            </w:r>
          </w:p>
        </w:tc>
        <w:tc>
          <w:tcPr>
            <w:tcW w:w="824" w:type="dxa"/>
            <w:tcBorders>
              <w:bottom w:val="single" w:color="000000" w:sz="6" w:space="0"/>
            </w:tcBorders>
            <w:vAlign w:val="top"/>
          </w:tcPr>
          <w:p w14:paraId="750701E2">
            <w:pPr>
              <w:pStyle w:val="9"/>
              <w:spacing w:before="182" w:line="229" w:lineRule="auto"/>
              <w:ind w:left="237"/>
              <w:rPr>
                <w:sz w:val="20"/>
                <w:szCs w:val="20"/>
              </w:rPr>
            </w:pPr>
            <w:r>
              <w:rPr>
                <w:spacing w:val="-7"/>
                <w:sz w:val="20"/>
                <w:szCs w:val="20"/>
              </w:rPr>
              <w:t>已建</w:t>
            </w:r>
          </w:p>
        </w:tc>
        <w:tc>
          <w:tcPr>
            <w:tcW w:w="123" w:type="dxa"/>
            <w:tcBorders>
              <w:top w:val="nil"/>
              <w:bottom w:val="single" w:color="000000" w:sz="6" w:space="0"/>
              <w:right w:val="single" w:color="000000" w:sz="6" w:space="0"/>
            </w:tcBorders>
            <w:vAlign w:val="top"/>
          </w:tcPr>
          <w:p w14:paraId="7203BE4B">
            <w:pPr>
              <w:rPr>
                <w:rFonts w:ascii="Arial"/>
                <w:sz w:val="21"/>
              </w:rPr>
            </w:pPr>
          </w:p>
        </w:tc>
      </w:tr>
    </w:tbl>
    <w:p w14:paraId="58B69B23">
      <w:pPr>
        <w:pStyle w:val="3"/>
      </w:pPr>
    </w:p>
    <w:p w14:paraId="7168494B">
      <w:pPr>
        <w:sectPr>
          <w:footerReference r:id="rId21" w:type="default"/>
          <w:pgSz w:w="11906" w:h="16838"/>
          <w:pgMar w:top="1416" w:right="1414" w:bottom="1295" w:left="1414" w:header="0" w:footer="1133" w:gutter="0"/>
          <w:cols w:space="720" w:num="1"/>
        </w:sectPr>
      </w:pPr>
    </w:p>
    <w:tbl>
      <w:tblPr>
        <w:tblStyle w:val="8"/>
        <w:tblW w:w="9062"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6"/>
        <w:gridCol w:w="113"/>
        <w:gridCol w:w="404"/>
        <w:gridCol w:w="385"/>
        <w:gridCol w:w="1215"/>
        <w:gridCol w:w="5222"/>
        <w:gridCol w:w="824"/>
        <w:gridCol w:w="123"/>
      </w:tblGrid>
      <w:tr w14:paraId="418AB1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1" w:hRule="atLeast"/>
        </w:trPr>
        <w:tc>
          <w:tcPr>
            <w:tcW w:w="776" w:type="dxa"/>
            <w:vMerge w:val="restart"/>
            <w:tcBorders>
              <w:top w:val="single" w:color="000000" w:sz="6" w:space="0"/>
              <w:left w:val="single" w:color="000000" w:sz="6" w:space="0"/>
              <w:bottom w:val="nil"/>
            </w:tcBorders>
            <w:vAlign w:val="top"/>
          </w:tcPr>
          <w:p w14:paraId="3D77E6B6">
            <w:pPr>
              <w:rPr>
                <w:rFonts w:ascii="Arial"/>
                <w:sz w:val="21"/>
              </w:rPr>
            </w:pPr>
          </w:p>
        </w:tc>
        <w:tc>
          <w:tcPr>
            <w:tcW w:w="113" w:type="dxa"/>
            <w:tcBorders>
              <w:top w:val="single" w:color="000000" w:sz="6" w:space="0"/>
              <w:bottom w:val="nil"/>
            </w:tcBorders>
            <w:vAlign w:val="top"/>
          </w:tcPr>
          <w:p w14:paraId="46A91D18">
            <w:pPr>
              <w:rPr>
                <w:rFonts w:ascii="Arial"/>
                <w:sz w:val="21"/>
              </w:rPr>
            </w:pPr>
          </w:p>
        </w:tc>
        <w:tc>
          <w:tcPr>
            <w:tcW w:w="404" w:type="dxa"/>
            <w:vMerge w:val="restart"/>
            <w:tcBorders>
              <w:top w:val="single" w:color="000000" w:sz="6" w:space="0"/>
              <w:bottom w:val="nil"/>
            </w:tcBorders>
            <w:textDirection w:val="tbRlV"/>
            <w:vAlign w:val="top"/>
          </w:tcPr>
          <w:p w14:paraId="3AF98398">
            <w:pPr>
              <w:pStyle w:val="9"/>
              <w:spacing w:before="91" w:line="217" w:lineRule="auto"/>
              <w:ind w:left="74"/>
              <w:outlineLvl w:val="2"/>
              <w:rPr>
                <w:sz w:val="20"/>
                <w:szCs w:val="20"/>
              </w:rPr>
            </w:pPr>
            <w:r>
              <w:rPr>
                <w:spacing w:val="8"/>
                <w:sz w:val="20"/>
                <w:szCs w:val="20"/>
              </w:rPr>
              <w:t>储</w:t>
            </w:r>
            <w:r>
              <w:rPr>
                <w:spacing w:val="-36"/>
                <w:sz w:val="20"/>
                <w:szCs w:val="20"/>
              </w:rPr>
              <w:t xml:space="preserve"> </w:t>
            </w:r>
            <w:r>
              <w:rPr>
                <w:spacing w:val="8"/>
                <w:sz w:val="20"/>
                <w:szCs w:val="20"/>
              </w:rPr>
              <w:t>运</w:t>
            </w:r>
            <w:r>
              <w:rPr>
                <w:spacing w:val="-35"/>
                <w:sz w:val="20"/>
                <w:szCs w:val="20"/>
              </w:rPr>
              <w:t xml:space="preserve"> </w:t>
            </w:r>
            <w:r>
              <w:rPr>
                <w:spacing w:val="8"/>
                <w:sz w:val="20"/>
                <w:szCs w:val="20"/>
              </w:rPr>
              <w:t>工</w:t>
            </w:r>
            <w:r>
              <w:rPr>
                <w:spacing w:val="-38"/>
                <w:sz w:val="20"/>
                <w:szCs w:val="20"/>
              </w:rPr>
              <w:t xml:space="preserve"> </w:t>
            </w:r>
            <w:r>
              <w:rPr>
                <w:spacing w:val="8"/>
                <w:sz w:val="20"/>
                <w:szCs w:val="20"/>
              </w:rPr>
              <w:t>程</w:t>
            </w:r>
          </w:p>
        </w:tc>
        <w:tc>
          <w:tcPr>
            <w:tcW w:w="1600" w:type="dxa"/>
            <w:gridSpan w:val="2"/>
            <w:tcBorders>
              <w:top w:val="single" w:color="000000" w:sz="6" w:space="0"/>
            </w:tcBorders>
            <w:vAlign w:val="top"/>
          </w:tcPr>
          <w:p w14:paraId="6FF33396">
            <w:pPr>
              <w:pStyle w:val="9"/>
              <w:spacing w:before="69" w:line="228" w:lineRule="auto"/>
              <w:ind w:left="380"/>
              <w:outlineLvl w:val="2"/>
              <w:rPr>
                <w:sz w:val="20"/>
                <w:szCs w:val="20"/>
              </w:rPr>
            </w:pPr>
            <w:r>
              <w:rPr>
                <w:spacing w:val="7"/>
                <w:sz w:val="20"/>
                <w:szCs w:val="20"/>
              </w:rPr>
              <w:t>进站道路</w:t>
            </w:r>
          </w:p>
        </w:tc>
        <w:tc>
          <w:tcPr>
            <w:tcW w:w="5222" w:type="dxa"/>
            <w:tcBorders>
              <w:top w:val="single" w:color="000000" w:sz="6" w:space="0"/>
            </w:tcBorders>
            <w:vAlign w:val="top"/>
          </w:tcPr>
          <w:p w14:paraId="076F9642">
            <w:pPr>
              <w:pStyle w:val="9"/>
              <w:spacing w:before="69" w:line="227" w:lineRule="auto"/>
              <w:ind w:left="533"/>
              <w:outlineLvl w:val="2"/>
              <w:rPr>
                <w:sz w:val="20"/>
                <w:szCs w:val="20"/>
              </w:rPr>
            </w:pPr>
            <w:r>
              <w:rPr>
                <w:spacing w:val="6"/>
                <w:sz w:val="20"/>
                <w:szCs w:val="20"/>
              </w:rPr>
              <w:t>依托风场已批的进站道路长</w:t>
            </w:r>
            <w:r>
              <w:rPr>
                <w:spacing w:val="-37"/>
                <w:sz w:val="20"/>
                <w:szCs w:val="20"/>
              </w:rPr>
              <w:t xml:space="preserve"> </w:t>
            </w:r>
            <w:r>
              <w:rPr>
                <w:rFonts w:ascii="Times New Roman" w:hAnsi="Times New Roman" w:eastAsia="Times New Roman" w:cs="Times New Roman"/>
                <w:spacing w:val="6"/>
                <w:sz w:val="20"/>
                <w:szCs w:val="20"/>
              </w:rPr>
              <w:t>543m</w:t>
            </w:r>
            <w:r>
              <w:rPr>
                <w:rFonts w:ascii="Times New Roman" w:hAnsi="Times New Roman" w:eastAsia="Times New Roman" w:cs="Times New Roman"/>
                <w:spacing w:val="-24"/>
                <w:sz w:val="20"/>
                <w:szCs w:val="20"/>
              </w:rPr>
              <w:t xml:space="preserve"> </w:t>
            </w:r>
            <w:r>
              <w:rPr>
                <w:spacing w:val="6"/>
                <w:sz w:val="20"/>
                <w:szCs w:val="20"/>
              </w:rPr>
              <w:t>，路面宽</w:t>
            </w:r>
            <w:r>
              <w:rPr>
                <w:spacing w:val="-36"/>
                <w:sz w:val="20"/>
                <w:szCs w:val="20"/>
              </w:rPr>
              <w:t xml:space="preserve"> </w:t>
            </w:r>
            <w:r>
              <w:rPr>
                <w:rFonts w:ascii="Times New Roman" w:hAnsi="Times New Roman" w:eastAsia="Times New Roman" w:cs="Times New Roman"/>
                <w:spacing w:val="6"/>
                <w:sz w:val="20"/>
                <w:szCs w:val="20"/>
              </w:rPr>
              <w:t>6</w:t>
            </w:r>
            <w:r>
              <w:rPr>
                <w:rFonts w:ascii="Times New Roman" w:hAnsi="Times New Roman" w:eastAsia="Times New Roman" w:cs="Times New Roman"/>
                <w:spacing w:val="5"/>
                <w:sz w:val="20"/>
                <w:szCs w:val="20"/>
              </w:rPr>
              <w:t>m</w:t>
            </w:r>
            <w:r>
              <w:rPr>
                <w:spacing w:val="5"/>
                <w:sz w:val="20"/>
                <w:szCs w:val="20"/>
              </w:rPr>
              <w:t>。</w:t>
            </w:r>
          </w:p>
        </w:tc>
        <w:tc>
          <w:tcPr>
            <w:tcW w:w="824" w:type="dxa"/>
            <w:tcBorders>
              <w:top w:val="single" w:color="000000" w:sz="6" w:space="0"/>
            </w:tcBorders>
            <w:vAlign w:val="top"/>
          </w:tcPr>
          <w:p w14:paraId="7FD8FA9E">
            <w:pPr>
              <w:pStyle w:val="9"/>
              <w:spacing w:before="69" w:line="227" w:lineRule="auto"/>
              <w:ind w:left="216"/>
              <w:rPr>
                <w:sz w:val="20"/>
                <w:szCs w:val="20"/>
              </w:rPr>
            </w:pPr>
            <w:r>
              <w:rPr>
                <w:spacing w:val="3"/>
                <w:sz w:val="20"/>
                <w:szCs w:val="20"/>
              </w:rPr>
              <w:t>依托</w:t>
            </w:r>
          </w:p>
        </w:tc>
        <w:tc>
          <w:tcPr>
            <w:tcW w:w="123" w:type="dxa"/>
            <w:tcBorders>
              <w:top w:val="single" w:color="000000" w:sz="6" w:space="0"/>
              <w:bottom w:val="nil"/>
              <w:right w:val="single" w:color="000000" w:sz="6" w:space="0"/>
            </w:tcBorders>
            <w:vAlign w:val="top"/>
          </w:tcPr>
          <w:p w14:paraId="3CEBBB40">
            <w:pPr>
              <w:rPr>
                <w:rFonts w:ascii="Arial"/>
                <w:sz w:val="21"/>
              </w:rPr>
            </w:pPr>
          </w:p>
        </w:tc>
      </w:tr>
      <w:tr w14:paraId="0F8727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0" w:hRule="atLeast"/>
        </w:trPr>
        <w:tc>
          <w:tcPr>
            <w:tcW w:w="776" w:type="dxa"/>
            <w:vMerge w:val="continue"/>
            <w:tcBorders>
              <w:top w:val="nil"/>
              <w:left w:val="single" w:color="000000" w:sz="6" w:space="0"/>
              <w:bottom w:val="nil"/>
            </w:tcBorders>
            <w:vAlign w:val="top"/>
          </w:tcPr>
          <w:p w14:paraId="5266EDD0">
            <w:pPr>
              <w:rPr>
                <w:rFonts w:ascii="Arial"/>
                <w:sz w:val="21"/>
              </w:rPr>
            </w:pPr>
          </w:p>
        </w:tc>
        <w:tc>
          <w:tcPr>
            <w:tcW w:w="113" w:type="dxa"/>
            <w:tcBorders>
              <w:top w:val="nil"/>
              <w:bottom w:val="nil"/>
            </w:tcBorders>
            <w:vAlign w:val="top"/>
          </w:tcPr>
          <w:p w14:paraId="4B820237">
            <w:pPr>
              <w:rPr>
                <w:rFonts w:ascii="Arial"/>
                <w:sz w:val="21"/>
              </w:rPr>
            </w:pPr>
          </w:p>
        </w:tc>
        <w:tc>
          <w:tcPr>
            <w:tcW w:w="404" w:type="dxa"/>
            <w:vMerge w:val="continue"/>
            <w:tcBorders>
              <w:top w:val="nil"/>
            </w:tcBorders>
            <w:textDirection w:val="tbRlV"/>
            <w:vAlign w:val="top"/>
          </w:tcPr>
          <w:p w14:paraId="3AA1DE61">
            <w:pPr>
              <w:rPr>
                <w:rFonts w:ascii="Arial"/>
                <w:sz w:val="21"/>
              </w:rPr>
            </w:pPr>
          </w:p>
        </w:tc>
        <w:tc>
          <w:tcPr>
            <w:tcW w:w="1600" w:type="dxa"/>
            <w:gridSpan w:val="2"/>
            <w:vAlign w:val="top"/>
          </w:tcPr>
          <w:p w14:paraId="3806ECB4">
            <w:pPr>
              <w:pStyle w:val="9"/>
              <w:spacing w:before="176" w:line="252" w:lineRule="auto"/>
              <w:ind w:left="697" w:right="174" w:hanging="525"/>
              <w:rPr>
                <w:sz w:val="20"/>
                <w:szCs w:val="20"/>
              </w:rPr>
            </w:pPr>
            <w:r>
              <w:rPr>
                <w:spacing w:val="7"/>
                <w:sz w:val="20"/>
                <w:szCs w:val="20"/>
              </w:rPr>
              <w:t>升压站内部道</w:t>
            </w:r>
            <w:r>
              <w:rPr>
                <w:sz w:val="20"/>
                <w:szCs w:val="20"/>
              </w:rPr>
              <w:t>路</w:t>
            </w:r>
          </w:p>
        </w:tc>
        <w:tc>
          <w:tcPr>
            <w:tcW w:w="5222" w:type="dxa"/>
            <w:vAlign w:val="top"/>
          </w:tcPr>
          <w:p w14:paraId="3DAC3F74">
            <w:pPr>
              <w:pStyle w:val="9"/>
              <w:spacing w:before="40"/>
              <w:ind w:left="110" w:right="99" w:firstLine="421"/>
              <w:jc w:val="both"/>
              <w:rPr>
                <w:sz w:val="20"/>
                <w:szCs w:val="20"/>
              </w:rPr>
            </w:pPr>
            <w:r>
              <w:rPr>
                <w:spacing w:val="5"/>
                <w:sz w:val="20"/>
                <w:szCs w:val="20"/>
              </w:rPr>
              <w:t>站内道路围绕</w:t>
            </w:r>
            <w:r>
              <w:rPr>
                <w:spacing w:val="-36"/>
                <w:sz w:val="20"/>
                <w:szCs w:val="20"/>
              </w:rPr>
              <w:t xml:space="preserve"> </w:t>
            </w:r>
            <w:r>
              <w:rPr>
                <w:rFonts w:ascii="Times New Roman" w:hAnsi="Times New Roman" w:eastAsia="Times New Roman" w:cs="Times New Roman"/>
                <w:spacing w:val="5"/>
                <w:sz w:val="20"/>
                <w:szCs w:val="20"/>
              </w:rPr>
              <w:t>220</w:t>
            </w:r>
            <w:r>
              <w:rPr>
                <w:rFonts w:ascii="Times New Roman" w:hAnsi="Times New Roman" w:eastAsia="Times New Roman" w:cs="Times New Roman"/>
                <w:sz w:val="20"/>
                <w:szCs w:val="20"/>
              </w:rPr>
              <w:t>kV</w:t>
            </w:r>
            <w:r>
              <w:rPr>
                <w:rFonts w:ascii="Times New Roman" w:hAnsi="Times New Roman" w:eastAsia="Times New Roman" w:cs="Times New Roman"/>
                <w:spacing w:val="15"/>
                <w:sz w:val="20"/>
                <w:szCs w:val="20"/>
              </w:rPr>
              <w:t xml:space="preserve"> </w:t>
            </w:r>
            <w:r>
              <w:rPr>
                <w:spacing w:val="5"/>
                <w:sz w:val="20"/>
                <w:szCs w:val="20"/>
              </w:rPr>
              <w:t>开关场做成一环形道路，作为</w:t>
            </w:r>
            <w:r>
              <w:rPr>
                <w:spacing w:val="8"/>
                <w:sz w:val="20"/>
                <w:szCs w:val="20"/>
              </w:rPr>
              <w:t>主要交通运输和防火通道。站内道路采用郊区型混凝土</w:t>
            </w:r>
            <w:r>
              <w:rPr>
                <w:spacing w:val="4"/>
                <w:sz w:val="20"/>
                <w:szCs w:val="20"/>
              </w:rPr>
              <w:t>道路，长</w:t>
            </w:r>
            <w:r>
              <w:rPr>
                <w:spacing w:val="-33"/>
                <w:sz w:val="20"/>
                <w:szCs w:val="20"/>
              </w:rPr>
              <w:t xml:space="preserve"> </w:t>
            </w:r>
            <w:r>
              <w:rPr>
                <w:rFonts w:ascii="Times New Roman" w:hAnsi="Times New Roman" w:eastAsia="Times New Roman" w:cs="Times New Roman"/>
                <w:spacing w:val="4"/>
                <w:sz w:val="20"/>
                <w:szCs w:val="20"/>
              </w:rPr>
              <w:t>789m</w:t>
            </w:r>
            <w:r>
              <w:rPr>
                <w:rFonts w:ascii="Times New Roman" w:hAnsi="Times New Roman" w:eastAsia="Times New Roman" w:cs="Times New Roman"/>
                <w:spacing w:val="-24"/>
                <w:sz w:val="20"/>
                <w:szCs w:val="20"/>
              </w:rPr>
              <w:t xml:space="preserve"> </w:t>
            </w:r>
            <w:r>
              <w:rPr>
                <w:spacing w:val="4"/>
                <w:sz w:val="20"/>
                <w:szCs w:val="20"/>
              </w:rPr>
              <w:t>，道路宽</w:t>
            </w:r>
            <w:r>
              <w:rPr>
                <w:spacing w:val="-41"/>
                <w:sz w:val="20"/>
                <w:szCs w:val="20"/>
              </w:rPr>
              <w:t xml:space="preserve"> </w:t>
            </w:r>
            <w:r>
              <w:rPr>
                <w:rFonts w:ascii="Times New Roman" w:hAnsi="Times New Roman" w:eastAsia="Times New Roman" w:cs="Times New Roman"/>
                <w:spacing w:val="4"/>
                <w:sz w:val="20"/>
                <w:szCs w:val="20"/>
              </w:rPr>
              <w:t>4.0m</w:t>
            </w:r>
            <w:r>
              <w:rPr>
                <w:rFonts w:ascii="Times New Roman" w:hAnsi="Times New Roman" w:eastAsia="Times New Roman" w:cs="Times New Roman"/>
                <w:spacing w:val="-27"/>
                <w:sz w:val="20"/>
                <w:szCs w:val="20"/>
              </w:rPr>
              <w:t xml:space="preserve"> </w:t>
            </w:r>
            <w:r>
              <w:rPr>
                <w:spacing w:val="4"/>
                <w:sz w:val="20"/>
                <w:szCs w:val="20"/>
              </w:rPr>
              <w:t>，转弯半径</w:t>
            </w:r>
            <w:r>
              <w:rPr>
                <w:spacing w:val="-36"/>
                <w:sz w:val="20"/>
                <w:szCs w:val="20"/>
              </w:rPr>
              <w:t xml:space="preserve"> </w:t>
            </w:r>
            <w:r>
              <w:rPr>
                <w:rFonts w:ascii="Times New Roman" w:hAnsi="Times New Roman" w:eastAsia="Times New Roman" w:cs="Times New Roman"/>
                <w:spacing w:val="4"/>
                <w:sz w:val="20"/>
                <w:szCs w:val="20"/>
              </w:rPr>
              <w:t>9.0m</w:t>
            </w:r>
            <w:r>
              <w:rPr>
                <w:spacing w:val="4"/>
                <w:sz w:val="20"/>
                <w:szCs w:val="20"/>
              </w:rPr>
              <w:t>。</w:t>
            </w:r>
          </w:p>
        </w:tc>
        <w:tc>
          <w:tcPr>
            <w:tcW w:w="824" w:type="dxa"/>
            <w:vAlign w:val="top"/>
          </w:tcPr>
          <w:p w14:paraId="3D64EC96">
            <w:pPr>
              <w:spacing w:line="245" w:lineRule="auto"/>
              <w:rPr>
                <w:rFonts w:ascii="Arial"/>
                <w:sz w:val="21"/>
              </w:rPr>
            </w:pPr>
          </w:p>
          <w:p w14:paraId="778DAD79">
            <w:pPr>
              <w:pStyle w:val="9"/>
              <w:spacing w:before="65" w:line="229" w:lineRule="auto"/>
              <w:ind w:left="237"/>
              <w:rPr>
                <w:sz w:val="20"/>
                <w:szCs w:val="20"/>
              </w:rPr>
            </w:pPr>
            <w:r>
              <w:rPr>
                <w:spacing w:val="-7"/>
                <w:sz w:val="20"/>
                <w:szCs w:val="20"/>
              </w:rPr>
              <w:t>已建</w:t>
            </w:r>
          </w:p>
        </w:tc>
        <w:tc>
          <w:tcPr>
            <w:tcW w:w="123" w:type="dxa"/>
            <w:tcBorders>
              <w:top w:val="nil"/>
              <w:bottom w:val="nil"/>
              <w:right w:val="single" w:color="000000" w:sz="6" w:space="0"/>
            </w:tcBorders>
            <w:vAlign w:val="top"/>
          </w:tcPr>
          <w:p w14:paraId="2828E4ED">
            <w:pPr>
              <w:rPr>
                <w:rFonts w:ascii="Arial"/>
                <w:sz w:val="21"/>
              </w:rPr>
            </w:pPr>
          </w:p>
        </w:tc>
      </w:tr>
      <w:tr w14:paraId="551B3C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6" w:hRule="atLeast"/>
        </w:trPr>
        <w:tc>
          <w:tcPr>
            <w:tcW w:w="776" w:type="dxa"/>
            <w:vMerge w:val="continue"/>
            <w:tcBorders>
              <w:top w:val="nil"/>
              <w:left w:val="single" w:color="000000" w:sz="6" w:space="0"/>
              <w:bottom w:val="nil"/>
            </w:tcBorders>
            <w:vAlign w:val="top"/>
          </w:tcPr>
          <w:p w14:paraId="4B455104">
            <w:pPr>
              <w:rPr>
                <w:rFonts w:ascii="Arial"/>
                <w:sz w:val="21"/>
              </w:rPr>
            </w:pPr>
          </w:p>
        </w:tc>
        <w:tc>
          <w:tcPr>
            <w:tcW w:w="113" w:type="dxa"/>
            <w:tcBorders>
              <w:top w:val="nil"/>
              <w:bottom w:val="nil"/>
            </w:tcBorders>
            <w:vAlign w:val="top"/>
          </w:tcPr>
          <w:p w14:paraId="66CD6832">
            <w:pPr>
              <w:rPr>
                <w:rFonts w:ascii="Arial"/>
                <w:sz w:val="21"/>
              </w:rPr>
            </w:pPr>
          </w:p>
        </w:tc>
        <w:tc>
          <w:tcPr>
            <w:tcW w:w="404" w:type="dxa"/>
            <w:vMerge w:val="restart"/>
            <w:tcBorders>
              <w:bottom w:val="nil"/>
            </w:tcBorders>
            <w:textDirection w:val="tbRlV"/>
            <w:vAlign w:val="top"/>
          </w:tcPr>
          <w:p w14:paraId="591F96ED">
            <w:pPr>
              <w:pStyle w:val="9"/>
              <w:spacing w:before="91" w:line="217" w:lineRule="auto"/>
              <w:ind w:left="1758"/>
              <w:outlineLvl w:val="2"/>
              <w:rPr>
                <w:sz w:val="20"/>
                <w:szCs w:val="20"/>
              </w:rPr>
            </w:pPr>
            <w:r>
              <w:rPr>
                <w:spacing w:val="8"/>
                <w:sz w:val="20"/>
                <w:szCs w:val="20"/>
              </w:rPr>
              <w:t>公</w:t>
            </w:r>
            <w:r>
              <w:rPr>
                <w:spacing w:val="-36"/>
                <w:sz w:val="20"/>
                <w:szCs w:val="20"/>
              </w:rPr>
              <w:t xml:space="preserve"> </w:t>
            </w:r>
            <w:r>
              <w:rPr>
                <w:spacing w:val="8"/>
                <w:sz w:val="20"/>
                <w:szCs w:val="20"/>
              </w:rPr>
              <w:t>用</w:t>
            </w:r>
            <w:r>
              <w:rPr>
                <w:spacing w:val="-38"/>
                <w:sz w:val="20"/>
                <w:szCs w:val="20"/>
              </w:rPr>
              <w:t xml:space="preserve"> </w:t>
            </w:r>
            <w:r>
              <w:rPr>
                <w:spacing w:val="8"/>
                <w:sz w:val="20"/>
                <w:szCs w:val="20"/>
              </w:rPr>
              <w:t>工</w:t>
            </w:r>
            <w:r>
              <w:rPr>
                <w:spacing w:val="-35"/>
                <w:sz w:val="20"/>
                <w:szCs w:val="20"/>
              </w:rPr>
              <w:t xml:space="preserve"> </w:t>
            </w:r>
            <w:r>
              <w:rPr>
                <w:spacing w:val="8"/>
                <w:sz w:val="20"/>
                <w:szCs w:val="20"/>
              </w:rPr>
              <w:t>程</w:t>
            </w:r>
          </w:p>
        </w:tc>
        <w:tc>
          <w:tcPr>
            <w:tcW w:w="1600" w:type="dxa"/>
            <w:gridSpan w:val="2"/>
            <w:vAlign w:val="top"/>
          </w:tcPr>
          <w:p w14:paraId="351FA618">
            <w:pPr>
              <w:spacing w:line="253" w:lineRule="auto"/>
              <w:rPr>
                <w:rFonts w:ascii="Arial"/>
                <w:sz w:val="21"/>
              </w:rPr>
            </w:pPr>
          </w:p>
          <w:p w14:paraId="52821437">
            <w:pPr>
              <w:spacing w:line="254" w:lineRule="auto"/>
              <w:rPr>
                <w:rFonts w:ascii="Arial"/>
                <w:sz w:val="21"/>
              </w:rPr>
            </w:pPr>
          </w:p>
          <w:p w14:paraId="32EEE976">
            <w:pPr>
              <w:pStyle w:val="9"/>
              <w:spacing w:before="65" w:line="228" w:lineRule="auto"/>
              <w:ind w:left="382"/>
              <w:outlineLvl w:val="2"/>
              <w:rPr>
                <w:sz w:val="20"/>
                <w:szCs w:val="20"/>
              </w:rPr>
            </w:pPr>
            <w:r>
              <w:rPr>
                <w:spacing w:val="7"/>
                <w:sz w:val="20"/>
                <w:szCs w:val="20"/>
              </w:rPr>
              <w:t>给水系统</w:t>
            </w:r>
          </w:p>
        </w:tc>
        <w:tc>
          <w:tcPr>
            <w:tcW w:w="5222" w:type="dxa"/>
            <w:vAlign w:val="top"/>
          </w:tcPr>
          <w:p w14:paraId="48F2EB7A">
            <w:pPr>
              <w:pStyle w:val="9"/>
              <w:spacing w:before="33" w:line="250" w:lineRule="auto"/>
              <w:ind w:left="111" w:right="99" w:firstLine="420"/>
              <w:outlineLvl w:val="2"/>
              <w:rPr>
                <w:sz w:val="20"/>
                <w:szCs w:val="20"/>
              </w:rPr>
            </w:pPr>
            <w:r>
              <w:rPr>
                <w:spacing w:val="8"/>
                <w:sz w:val="20"/>
                <w:szCs w:val="20"/>
              </w:rPr>
              <w:t>本工程升压站消防和生活用水由深井泵取水供应，</w:t>
            </w:r>
            <w:r>
              <w:rPr>
                <w:spacing w:val="3"/>
                <w:sz w:val="20"/>
                <w:szCs w:val="20"/>
              </w:rPr>
              <w:t>夏营地升压站已于</w:t>
            </w:r>
            <w:r>
              <w:rPr>
                <w:spacing w:val="-38"/>
                <w:sz w:val="20"/>
                <w:szCs w:val="20"/>
              </w:rPr>
              <w:t xml:space="preserve"> </w:t>
            </w:r>
            <w:r>
              <w:rPr>
                <w:rFonts w:ascii="Times New Roman" w:hAnsi="Times New Roman" w:eastAsia="Times New Roman" w:cs="Times New Roman"/>
                <w:spacing w:val="3"/>
                <w:sz w:val="20"/>
                <w:szCs w:val="20"/>
              </w:rPr>
              <w:t xml:space="preserve">2025 </w:t>
            </w:r>
            <w:r>
              <w:rPr>
                <w:spacing w:val="3"/>
                <w:sz w:val="20"/>
                <w:szCs w:val="20"/>
              </w:rPr>
              <w:t>年</w:t>
            </w:r>
            <w:r>
              <w:rPr>
                <w:spacing w:val="-39"/>
                <w:sz w:val="20"/>
                <w:szCs w:val="20"/>
              </w:rPr>
              <w:t xml:space="preserve"> </w:t>
            </w:r>
            <w:r>
              <w:rPr>
                <w:rFonts w:ascii="Times New Roman" w:hAnsi="Times New Roman" w:eastAsia="Times New Roman" w:cs="Times New Roman"/>
                <w:spacing w:val="3"/>
                <w:sz w:val="20"/>
                <w:szCs w:val="20"/>
              </w:rPr>
              <w:t>9</w:t>
            </w:r>
            <w:r>
              <w:rPr>
                <w:rFonts w:ascii="Times New Roman" w:hAnsi="Times New Roman" w:eastAsia="Times New Roman" w:cs="Times New Roman"/>
                <w:spacing w:val="17"/>
                <w:w w:val="101"/>
                <w:sz w:val="20"/>
                <w:szCs w:val="20"/>
              </w:rPr>
              <w:t xml:space="preserve"> </w:t>
            </w:r>
            <w:r>
              <w:rPr>
                <w:spacing w:val="3"/>
                <w:sz w:val="20"/>
                <w:szCs w:val="20"/>
              </w:rPr>
              <w:t>月</w:t>
            </w:r>
            <w:r>
              <w:rPr>
                <w:spacing w:val="-23"/>
                <w:sz w:val="20"/>
                <w:szCs w:val="20"/>
              </w:rPr>
              <w:t xml:space="preserve"> </w:t>
            </w:r>
            <w:r>
              <w:rPr>
                <w:rFonts w:ascii="Times New Roman" w:hAnsi="Times New Roman" w:eastAsia="Times New Roman" w:cs="Times New Roman"/>
                <w:spacing w:val="3"/>
                <w:sz w:val="20"/>
                <w:szCs w:val="20"/>
              </w:rPr>
              <w:t xml:space="preserve">12  </w:t>
            </w:r>
            <w:r>
              <w:rPr>
                <w:spacing w:val="3"/>
                <w:sz w:val="20"/>
                <w:szCs w:val="20"/>
              </w:rPr>
              <w:t>日取得了《取水许可</w:t>
            </w:r>
          </w:p>
          <w:p w14:paraId="4B996023">
            <w:pPr>
              <w:pStyle w:val="9"/>
              <w:spacing w:line="237" w:lineRule="auto"/>
              <w:ind w:left="114" w:right="98" w:hanging="3"/>
              <w:jc w:val="both"/>
              <w:rPr>
                <w:sz w:val="20"/>
                <w:szCs w:val="20"/>
              </w:rPr>
            </w:pPr>
            <w:r>
              <w:rPr>
                <w:spacing w:val="4"/>
                <w:sz w:val="20"/>
                <w:szCs w:val="20"/>
              </w:rPr>
              <w:t xml:space="preserve">证》（编号 </w:t>
            </w:r>
            <w:r>
              <w:rPr>
                <w:rFonts w:ascii="Times New Roman" w:hAnsi="Times New Roman" w:eastAsia="Times New Roman" w:cs="Times New Roman"/>
                <w:spacing w:val="4"/>
                <w:sz w:val="20"/>
                <w:szCs w:val="20"/>
              </w:rPr>
              <w:t>D150526G2021-0085</w:t>
            </w:r>
            <w:r>
              <w:rPr>
                <w:spacing w:val="4"/>
                <w:sz w:val="20"/>
                <w:szCs w:val="20"/>
              </w:rPr>
              <w:t>）。升压站内设</w:t>
            </w:r>
            <w:r>
              <w:rPr>
                <w:spacing w:val="-11"/>
                <w:sz w:val="20"/>
                <w:szCs w:val="20"/>
              </w:rPr>
              <w:t xml:space="preserve"> </w:t>
            </w:r>
            <w:r>
              <w:rPr>
                <w:rFonts w:ascii="Times New Roman" w:hAnsi="Times New Roman" w:eastAsia="Times New Roman" w:cs="Times New Roman"/>
                <w:spacing w:val="4"/>
                <w:sz w:val="20"/>
                <w:szCs w:val="20"/>
              </w:rPr>
              <w:t>100m</w:t>
            </w:r>
            <w:r>
              <w:rPr>
                <w:rFonts w:ascii="Times New Roman" w:hAnsi="Times New Roman" w:eastAsia="Times New Roman" w:cs="Times New Roman"/>
                <w:spacing w:val="4"/>
                <w:position w:val="6"/>
                <w:sz w:val="13"/>
                <w:szCs w:val="13"/>
              </w:rPr>
              <w:t>3</w:t>
            </w:r>
            <w:r>
              <w:rPr>
                <w:spacing w:val="7"/>
                <w:sz w:val="20"/>
                <w:szCs w:val="20"/>
              </w:rPr>
              <w:t>的消防水池</w:t>
            </w:r>
            <w:r>
              <w:rPr>
                <w:spacing w:val="-23"/>
                <w:sz w:val="20"/>
                <w:szCs w:val="20"/>
              </w:rPr>
              <w:t xml:space="preserve"> </w:t>
            </w:r>
            <w:r>
              <w:rPr>
                <w:rFonts w:ascii="Times New Roman" w:hAnsi="Times New Roman" w:eastAsia="Times New Roman" w:cs="Times New Roman"/>
                <w:spacing w:val="7"/>
                <w:sz w:val="20"/>
                <w:szCs w:val="20"/>
              </w:rPr>
              <w:t xml:space="preserve">1 </w:t>
            </w:r>
            <w:r>
              <w:rPr>
                <w:spacing w:val="7"/>
                <w:sz w:val="20"/>
                <w:szCs w:val="20"/>
              </w:rPr>
              <w:t>座和生活水池一座。生活水池提供升压站</w:t>
            </w:r>
            <w:r>
              <w:rPr>
                <w:spacing w:val="6"/>
                <w:sz w:val="20"/>
                <w:szCs w:val="20"/>
              </w:rPr>
              <w:t>室内生活用水。</w:t>
            </w:r>
          </w:p>
        </w:tc>
        <w:tc>
          <w:tcPr>
            <w:tcW w:w="824" w:type="dxa"/>
            <w:vAlign w:val="top"/>
          </w:tcPr>
          <w:p w14:paraId="626D46DA">
            <w:pPr>
              <w:spacing w:line="253" w:lineRule="auto"/>
              <w:rPr>
                <w:rFonts w:ascii="Arial"/>
                <w:sz w:val="21"/>
              </w:rPr>
            </w:pPr>
          </w:p>
          <w:p w14:paraId="1C111284">
            <w:pPr>
              <w:spacing w:line="254" w:lineRule="auto"/>
              <w:rPr>
                <w:rFonts w:ascii="Arial"/>
                <w:sz w:val="21"/>
              </w:rPr>
            </w:pPr>
          </w:p>
          <w:p w14:paraId="115B2A3E">
            <w:pPr>
              <w:pStyle w:val="9"/>
              <w:spacing w:before="65" w:line="229" w:lineRule="auto"/>
              <w:ind w:left="237"/>
              <w:rPr>
                <w:sz w:val="20"/>
                <w:szCs w:val="20"/>
              </w:rPr>
            </w:pPr>
            <w:r>
              <w:rPr>
                <w:spacing w:val="-7"/>
                <w:sz w:val="20"/>
                <w:szCs w:val="20"/>
              </w:rPr>
              <w:t>已建</w:t>
            </w:r>
          </w:p>
        </w:tc>
        <w:tc>
          <w:tcPr>
            <w:tcW w:w="123" w:type="dxa"/>
            <w:tcBorders>
              <w:top w:val="nil"/>
              <w:bottom w:val="nil"/>
              <w:right w:val="single" w:color="000000" w:sz="6" w:space="0"/>
            </w:tcBorders>
            <w:vAlign w:val="top"/>
          </w:tcPr>
          <w:p w14:paraId="1E2588FF">
            <w:pPr>
              <w:rPr>
                <w:rFonts w:ascii="Arial"/>
                <w:sz w:val="21"/>
              </w:rPr>
            </w:pPr>
          </w:p>
        </w:tc>
      </w:tr>
      <w:tr w14:paraId="547E13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2" w:hRule="atLeast"/>
        </w:trPr>
        <w:tc>
          <w:tcPr>
            <w:tcW w:w="776" w:type="dxa"/>
            <w:vMerge w:val="continue"/>
            <w:tcBorders>
              <w:top w:val="nil"/>
              <w:left w:val="single" w:color="000000" w:sz="6" w:space="0"/>
              <w:bottom w:val="nil"/>
            </w:tcBorders>
            <w:vAlign w:val="top"/>
          </w:tcPr>
          <w:p w14:paraId="66DF50A1">
            <w:pPr>
              <w:rPr>
                <w:rFonts w:ascii="Arial"/>
                <w:sz w:val="21"/>
              </w:rPr>
            </w:pPr>
          </w:p>
        </w:tc>
        <w:tc>
          <w:tcPr>
            <w:tcW w:w="113" w:type="dxa"/>
            <w:tcBorders>
              <w:top w:val="nil"/>
              <w:bottom w:val="nil"/>
            </w:tcBorders>
            <w:vAlign w:val="top"/>
          </w:tcPr>
          <w:p w14:paraId="4EFC4E2D">
            <w:pPr>
              <w:rPr>
                <w:rFonts w:ascii="Arial"/>
                <w:sz w:val="21"/>
              </w:rPr>
            </w:pPr>
          </w:p>
        </w:tc>
        <w:tc>
          <w:tcPr>
            <w:tcW w:w="404" w:type="dxa"/>
            <w:vMerge w:val="continue"/>
            <w:tcBorders>
              <w:top w:val="nil"/>
              <w:bottom w:val="nil"/>
            </w:tcBorders>
            <w:textDirection w:val="tbRlV"/>
            <w:vAlign w:val="top"/>
          </w:tcPr>
          <w:p w14:paraId="271D9713">
            <w:pPr>
              <w:rPr>
                <w:rFonts w:ascii="Arial"/>
                <w:sz w:val="21"/>
              </w:rPr>
            </w:pPr>
          </w:p>
        </w:tc>
        <w:tc>
          <w:tcPr>
            <w:tcW w:w="1600" w:type="dxa"/>
            <w:gridSpan w:val="2"/>
            <w:vAlign w:val="top"/>
          </w:tcPr>
          <w:p w14:paraId="32820B09">
            <w:pPr>
              <w:spacing w:line="259" w:lineRule="auto"/>
              <w:rPr>
                <w:rFonts w:ascii="Arial"/>
                <w:sz w:val="21"/>
              </w:rPr>
            </w:pPr>
          </w:p>
          <w:p w14:paraId="712BF333">
            <w:pPr>
              <w:spacing w:line="259" w:lineRule="auto"/>
              <w:rPr>
                <w:rFonts w:ascii="Arial"/>
                <w:sz w:val="21"/>
              </w:rPr>
            </w:pPr>
          </w:p>
          <w:p w14:paraId="078CC003">
            <w:pPr>
              <w:pStyle w:val="9"/>
              <w:spacing w:before="65" w:line="228" w:lineRule="auto"/>
              <w:ind w:left="381"/>
              <w:outlineLvl w:val="2"/>
              <w:rPr>
                <w:sz w:val="20"/>
                <w:szCs w:val="20"/>
              </w:rPr>
            </w:pPr>
            <w:r>
              <w:rPr>
                <w:spacing w:val="7"/>
                <w:sz w:val="20"/>
                <w:szCs w:val="20"/>
              </w:rPr>
              <w:t>排水系统</w:t>
            </w:r>
          </w:p>
        </w:tc>
        <w:tc>
          <w:tcPr>
            <w:tcW w:w="5222" w:type="dxa"/>
            <w:vAlign w:val="top"/>
          </w:tcPr>
          <w:p w14:paraId="749B82E2">
            <w:pPr>
              <w:pStyle w:val="9"/>
              <w:spacing w:before="43" w:line="251" w:lineRule="auto"/>
              <w:ind w:left="119" w:right="108" w:firstLine="414"/>
              <w:outlineLvl w:val="2"/>
              <w:rPr>
                <w:sz w:val="20"/>
                <w:szCs w:val="20"/>
              </w:rPr>
            </w:pPr>
            <w:r>
              <w:rPr>
                <w:spacing w:val="7"/>
                <w:sz w:val="20"/>
                <w:szCs w:val="20"/>
              </w:rPr>
              <w:t>厂区排水系统分为</w:t>
            </w:r>
            <w:r>
              <w:rPr>
                <w:spacing w:val="-38"/>
                <w:sz w:val="20"/>
                <w:szCs w:val="20"/>
              </w:rPr>
              <w:t xml:space="preserve"> </w:t>
            </w:r>
            <w:r>
              <w:rPr>
                <w:rFonts w:ascii="Times New Roman" w:hAnsi="Times New Roman" w:eastAsia="Times New Roman" w:cs="Times New Roman"/>
                <w:spacing w:val="7"/>
                <w:sz w:val="20"/>
                <w:szCs w:val="20"/>
              </w:rPr>
              <w:t xml:space="preserve">2 </w:t>
            </w:r>
            <w:r>
              <w:rPr>
                <w:spacing w:val="7"/>
                <w:sz w:val="20"/>
                <w:szCs w:val="20"/>
              </w:rPr>
              <w:t>个系统：生活污水排水系统、</w:t>
            </w:r>
            <w:r>
              <w:rPr>
                <w:spacing w:val="5"/>
                <w:sz w:val="20"/>
                <w:szCs w:val="20"/>
              </w:rPr>
              <w:t>雨水排水系统。</w:t>
            </w:r>
          </w:p>
          <w:p w14:paraId="1380334A">
            <w:pPr>
              <w:pStyle w:val="9"/>
              <w:spacing w:line="251" w:lineRule="auto"/>
              <w:ind w:left="112" w:right="99" w:firstLine="418"/>
              <w:outlineLvl w:val="2"/>
              <w:rPr>
                <w:sz w:val="20"/>
                <w:szCs w:val="20"/>
              </w:rPr>
            </w:pPr>
            <w:r>
              <w:rPr>
                <w:spacing w:val="8"/>
                <w:sz w:val="20"/>
                <w:szCs w:val="20"/>
              </w:rPr>
              <w:t>①生活污水经化粪池沉淀后，排入站内地埋式一体化设施处置后，用于厂区绿化、道路抑尘等。</w:t>
            </w:r>
          </w:p>
          <w:p w14:paraId="4682DB37">
            <w:pPr>
              <w:pStyle w:val="9"/>
              <w:spacing w:line="202" w:lineRule="auto"/>
              <w:ind w:left="529"/>
              <w:outlineLvl w:val="2"/>
              <w:rPr>
                <w:sz w:val="20"/>
                <w:szCs w:val="20"/>
              </w:rPr>
            </w:pPr>
            <w:r>
              <w:rPr>
                <w:spacing w:val="8"/>
                <w:sz w:val="20"/>
                <w:szCs w:val="20"/>
              </w:rPr>
              <w:t>②本工程雨水系统采用自然散排。</w:t>
            </w:r>
          </w:p>
        </w:tc>
        <w:tc>
          <w:tcPr>
            <w:tcW w:w="824" w:type="dxa"/>
            <w:vAlign w:val="top"/>
          </w:tcPr>
          <w:p w14:paraId="69102431">
            <w:pPr>
              <w:spacing w:line="259" w:lineRule="auto"/>
              <w:rPr>
                <w:rFonts w:ascii="Arial"/>
                <w:sz w:val="21"/>
              </w:rPr>
            </w:pPr>
          </w:p>
          <w:p w14:paraId="5D0370AB">
            <w:pPr>
              <w:spacing w:line="260" w:lineRule="auto"/>
              <w:rPr>
                <w:rFonts w:ascii="Arial"/>
                <w:sz w:val="21"/>
              </w:rPr>
            </w:pPr>
          </w:p>
          <w:p w14:paraId="6431D7D8">
            <w:pPr>
              <w:pStyle w:val="9"/>
              <w:spacing w:before="65" w:line="229" w:lineRule="auto"/>
              <w:ind w:left="237"/>
              <w:rPr>
                <w:sz w:val="20"/>
                <w:szCs w:val="20"/>
              </w:rPr>
            </w:pPr>
            <w:r>
              <w:rPr>
                <w:spacing w:val="-7"/>
                <w:sz w:val="20"/>
                <w:szCs w:val="20"/>
              </w:rPr>
              <w:t>已建</w:t>
            </w:r>
          </w:p>
        </w:tc>
        <w:tc>
          <w:tcPr>
            <w:tcW w:w="123" w:type="dxa"/>
            <w:tcBorders>
              <w:top w:val="nil"/>
              <w:bottom w:val="nil"/>
              <w:right w:val="single" w:color="000000" w:sz="6" w:space="0"/>
            </w:tcBorders>
            <w:vAlign w:val="top"/>
          </w:tcPr>
          <w:p w14:paraId="7D1F5EB6">
            <w:pPr>
              <w:rPr>
                <w:rFonts w:ascii="Arial"/>
                <w:sz w:val="21"/>
              </w:rPr>
            </w:pPr>
          </w:p>
        </w:tc>
      </w:tr>
      <w:tr w14:paraId="2719CA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776" w:type="dxa"/>
            <w:vMerge w:val="continue"/>
            <w:tcBorders>
              <w:top w:val="nil"/>
              <w:left w:val="single" w:color="000000" w:sz="6" w:space="0"/>
              <w:bottom w:val="nil"/>
            </w:tcBorders>
            <w:vAlign w:val="top"/>
          </w:tcPr>
          <w:p w14:paraId="516AE424">
            <w:pPr>
              <w:rPr>
                <w:rFonts w:ascii="Arial"/>
                <w:sz w:val="21"/>
              </w:rPr>
            </w:pPr>
          </w:p>
        </w:tc>
        <w:tc>
          <w:tcPr>
            <w:tcW w:w="113" w:type="dxa"/>
            <w:tcBorders>
              <w:top w:val="nil"/>
              <w:bottom w:val="nil"/>
            </w:tcBorders>
            <w:vAlign w:val="top"/>
          </w:tcPr>
          <w:p w14:paraId="18DDBD98">
            <w:pPr>
              <w:rPr>
                <w:rFonts w:ascii="Arial"/>
                <w:sz w:val="21"/>
              </w:rPr>
            </w:pPr>
          </w:p>
        </w:tc>
        <w:tc>
          <w:tcPr>
            <w:tcW w:w="404" w:type="dxa"/>
            <w:vMerge w:val="continue"/>
            <w:tcBorders>
              <w:top w:val="nil"/>
              <w:bottom w:val="nil"/>
            </w:tcBorders>
            <w:textDirection w:val="tbRlV"/>
            <w:vAlign w:val="top"/>
          </w:tcPr>
          <w:p w14:paraId="7CD30818">
            <w:pPr>
              <w:rPr>
                <w:rFonts w:ascii="Arial"/>
                <w:sz w:val="21"/>
              </w:rPr>
            </w:pPr>
          </w:p>
        </w:tc>
        <w:tc>
          <w:tcPr>
            <w:tcW w:w="1600" w:type="dxa"/>
            <w:gridSpan w:val="2"/>
            <w:vAlign w:val="top"/>
          </w:tcPr>
          <w:p w14:paraId="2020CAEB">
            <w:pPr>
              <w:pStyle w:val="9"/>
              <w:spacing w:before="183" w:line="228" w:lineRule="auto"/>
              <w:ind w:left="382"/>
              <w:outlineLvl w:val="2"/>
              <w:rPr>
                <w:sz w:val="20"/>
                <w:szCs w:val="20"/>
              </w:rPr>
            </w:pPr>
            <w:r>
              <w:rPr>
                <w:spacing w:val="7"/>
                <w:sz w:val="20"/>
                <w:szCs w:val="20"/>
              </w:rPr>
              <w:t>站场用电</w:t>
            </w:r>
          </w:p>
        </w:tc>
        <w:tc>
          <w:tcPr>
            <w:tcW w:w="5222" w:type="dxa"/>
            <w:vAlign w:val="top"/>
          </w:tcPr>
          <w:p w14:paraId="13DCF26E">
            <w:pPr>
              <w:pStyle w:val="9"/>
              <w:spacing w:before="48" w:line="224" w:lineRule="auto"/>
              <w:ind w:left="116" w:right="99" w:firstLine="415"/>
              <w:outlineLvl w:val="2"/>
              <w:rPr>
                <w:sz w:val="20"/>
                <w:szCs w:val="20"/>
              </w:rPr>
            </w:pPr>
            <w:r>
              <w:rPr>
                <w:spacing w:val="10"/>
                <w:sz w:val="20"/>
                <w:szCs w:val="20"/>
              </w:rPr>
              <w:t xml:space="preserve">站用电电压为 </w:t>
            </w:r>
            <w:r>
              <w:rPr>
                <w:rFonts w:ascii="Times New Roman" w:hAnsi="Times New Roman" w:eastAsia="Times New Roman" w:cs="Times New Roman"/>
                <w:spacing w:val="10"/>
                <w:sz w:val="20"/>
                <w:szCs w:val="20"/>
              </w:rPr>
              <w:t>380/220V</w:t>
            </w:r>
            <w:r>
              <w:rPr>
                <w:rFonts w:ascii="Times New Roman" w:hAnsi="Times New Roman" w:eastAsia="Times New Roman" w:cs="Times New Roman"/>
                <w:spacing w:val="-22"/>
                <w:sz w:val="20"/>
                <w:szCs w:val="20"/>
              </w:rPr>
              <w:t xml:space="preserve"> </w:t>
            </w:r>
            <w:r>
              <w:rPr>
                <w:spacing w:val="10"/>
                <w:sz w:val="20"/>
                <w:szCs w:val="20"/>
              </w:rPr>
              <w:t>，采用中性点</w:t>
            </w:r>
            <w:r>
              <w:rPr>
                <w:spacing w:val="9"/>
                <w:sz w:val="20"/>
                <w:szCs w:val="20"/>
              </w:rPr>
              <w:t>直接接地系</w:t>
            </w:r>
            <w:r>
              <w:rPr>
                <w:spacing w:val="-3"/>
                <w:sz w:val="20"/>
                <w:szCs w:val="20"/>
              </w:rPr>
              <w:t>统。</w:t>
            </w:r>
          </w:p>
        </w:tc>
        <w:tc>
          <w:tcPr>
            <w:tcW w:w="824" w:type="dxa"/>
            <w:vAlign w:val="top"/>
          </w:tcPr>
          <w:p w14:paraId="0EEE3397">
            <w:pPr>
              <w:pStyle w:val="9"/>
              <w:spacing w:before="182" w:line="229" w:lineRule="auto"/>
              <w:ind w:left="237"/>
              <w:rPr>
                <w:sz w:val="20"/>
                <w:szCs w:val="20"/>
              </w:rPr>
            </w:pPr>
            <w:r>
              <w:rPr>
                <w:spacing w:val="-7"/>
                <w:sz w:val="20"/>
                <w:szCs w:val="20"/>
              </w:rPr>
              <w:t>已建</w:t>
            </w:r>
          </w:p>
        </w:tc>
        <w:tc>
          <w:tcPr>
            <w:tcW w:w="123" w:type="dxa"/>
            <w:tcBorders>
              <w:top w:val="nil"/>
              <w:bottom w:val="nil"/>
              <w:right w:val="single" w:color="000000" w:sz="6" w:space="0"/>
            </w:tcBorders>
            <w:vAlign w:val="top"/>
          </w:tcPr>
          <w:p w14:paraId="40E42BD6">
            <w:pPr>
              <w:rPr>
                <w:rFonts w:ascii="Arial"/>
                <w:sz w:val="21"/>
              </w:rPr>
            </w:pPr>
          </w:p>
        </w:tc>
      </w:tr>
      <w:tr w14:paraId="756DB7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6" w:hRule="atLeast"/>
        </w:trPr>
        <w:tc>
          <w:tcPr>
            <w:tcW w:w="776" w:type="dxa"/>
            <w:vMerge w:val="continue"/>
            <w:tcBorders>
              <w:top w:val="nil"/>
              <w:left w:val="single" w:color="000000" w:sz="6" w:space="0"/>
              <w:bottom w:val="nil"/>
            </w:tcBorders>
            <w:vAlign w:val="top"/>
          </w:tcPr>
          <w:p w14:paraId="2A2905E7">
            <w:pPr>
              <w:rPr>
                <w:rFonts w:ascii="Arial"/>
                <w:sz w:val="21"/>
              </w:rPr>
            </w:pPr>
          </w:p>
        </w:tc>
        <w:tc>
          <w:tcPr>
            <w:tcW w:w="113" w:type="dxa"/>
            <w:tcBorders>
              <w:top w:val="nil"/>
              <w:bottom w:val="nil"/>
            </w:tcBorders>
            <w:vAlign w:val="top"/>
          </w:tcPr>
          <w:p w14:paraId="681863AB">
            <w:pPr>
              <w:rPr>
                <w:rFonts w:ascii="Arial"/>
                <w:sz w:val="21"/>
              </w:rPr>
            </w:pPr>
          </w:p>
        </w:tc>
        <w:tc>
          <w:tcPr>
            <w:tcW w:w="404" w:type="dxa"/>
            <w:vMerge w:val="continue"/>
            <w:tcBorders>
              <w:top w:val="nil"/>
              <w:bottom w:val="nil"/>
            </w:tcBorders>
            <w:textDirection w:val="tbRlV"/>
            <w:vAlign w:val="top"/>
          </w:tcPr>
          <w:p w14:paraId="4215B0AC">
            <w:pPr>
              <w:rPr>
                <w:rFonts w:ascii="Arial"/>
                <w:sz w:val="21"/>
              </w:rPr>
            </w:pPr>
          </w:p>
        </w:tc>
        <w:tc>
          <w:tcPr>
            <w:tcW w:w="1600" w:type="dxa"/>
            <w:gridSpan w:val="2"/>
            <w:vAlign w:val="top"/>
          </w:tcPr>
          <w:p w14:paraId="2AFA4EAF">
            <w:pPr>
              <w:pStyle w:val="9"/>
              <w:spacing w:before="87" w:line="227" w:lineRule="auto"/>
              <w:ind w:left="381"/>
              <w:outlineLvl w:val="2"/>
              <w:rPr>
                <w:sz w:val="20"/>
                <w:szCs w:val="20"/>
              </w:rPr>
            </w:pPr>
            <w:r>
              <w:rPr>
                <w:spacing w:val="7"/>
                <w:sz w:val="20"/>
                <w:szCs w:val="20"/>
              </w:rPr>
              <w:t>供暖系统</w:t>
            </w:r>
          </w:p>
        </w:tc>
        <w:tc>
          <w:tcPr>
            <w:tcW w:w="5222" w:type="dxa"/>
            <w:vAlign w:val="top"/>
          </w:tcPr>
          <w:p w14:paraId="258B3D2A">
            <w:pPr>
              <w:pStyle w:val="9"/>
              <w:spacing w:before="87" w:line="227" w:lineRule="auto"/>
              <w:ind w:left="530"/>
              <w:outlineLvl w:val="2"/>
              <w:rPr>
                <w:sz w:val="20"/>
                <w:szCs w:val="20"/>
              </w:rPr>
            </w:pPr>
            <w:r>
              <w:rPr>
                <w:spacing w:val="7"/>
                <w:sz w:val="20"/>
                <w:szCs w:val="20"/>
              </w:rPr>
              <w:t>选用电暖器供暖。</w:t>
            </w:r>
          </w:p>
        </w:tc>
        <w:tc>
          <w:tcPr>
            <w:tcW w:w="824" w:type="dxa"/>
            <w:vAlign w:val="top"/>
          </w:tcPr>
          <w:p w14:paraId="25E84D40">
            <w:pPr>
              <w:pStyle w:val="9"/>
              <w:spacing w:before="87" w:line="229" w:lineRule="auto"/>
              <w:ind w:left="237"/>
              <w:rPr>
                <w:sz w:val="20"/>
                <w:szCs w:val="20"/>
              </w:rPr>
            </w:pPr>
            <w:r>
              <w:rPr>
                <w:spacing w:val="-7"/>
                <w:sz w:val="20"/>
                <w:szCs w:val="20"/>
              </w:rPr>
              <w:t>已建</w:t>
            </w:r>
          </w:p>
        </w:tc>
        <w:tc>
          <w:tcPr>
            <w:tcW w:w="123" w:type="dxa"/>
            <w:tcBorders>
              <w:top w:val="nil"/>
              <w:bottom w:val="nil"/>
              <w:right w:val="single" w:color="000000" w:sz="6" w:space="0"/>
            </w:tcBorders>
            <w:vAlign w:val="top"/>
          </w:tcPr>
          <w:p w14:paraId="36A66C56">
            <w:pPr>
              <w:rPr>
                <w:rFonts w:ascii="Arial"/>
                <w:sz w:val="21"/>
              </w:rPr>
            </w:pPr>
          </w:p>
        </w:tc>
      </w:tr>
      <w:tr w14:paraId="1BB424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776" w:type="dxa"/>
            <w:vMerge w:val="continue"/>
            <w:tcBorders>
              <w:top w:val="nil"/>
              <w:left w:val="single" w:color="000000" w:sz="6" w:space="0"/>
              <w:bottom w:val="nil"/>
            </w:tcBorders>
            <w:vAlign w:val="top"/>
          </w:tcPr>
          <w:p w14:paraId="7169143C">
            <w:pPr>
              <w:rPr>
                <w:rFonts w:ascii="Arial"/>
                <w:sz w:val="21"/>
              </w:rPr>
            </w:pPr>
          </w:p>
        </w:tc>
        <w:tc>
          <w:tcPr>
            <w:tcW w:w="113" w:type="dxa"/>
            <w:tcBorders>
              <w:top w:val="nil"/>
              <w:bottom w:val="nil"/>
            </w:tcBorders>
            <w:vAlign w:val="top"/>
          </w:tcPr>
          <w:p w14:paraId="177B2F74">
            <w:pPr>
              <w:rPr>
                <w:rFonts w:ascii="Arial"/>
                <w:sz w:val="21"/>
              </w:rPr>
            </w:pPr>
          </w:p>
        </w:tc>
        <w:tc>
          <w:tcPr>
            <w:tcW w:w="404" w:type="dxa"/>
            <w:vMerge w:val="continue"/>
            <w:tcBorders>
              <w:top w:val="nil"/>
              <w:bottom w:val="nil"/>
            </w:tcBorders>
            <w:textDirection w:val="tbRlV"/>
            <w:vAlign w:val="top"/>
          </w:tcPr>
          <w:p w14:paraId="7A88A2EA">
            <w:pPr>
              <w:rPr>
                <w:rFonts w:ascii="Arial"/>
                <w:sz w:val="21"/>
              </w:rPr>
            </w:pPr>
          </w:p>
        </w:tc>
        <w:tc>
          <w:tcPr>
            <w:tcW w:w="1600" w:type="dxa"/>
            <w:gridSpan w:val="2"/>
            <w:vAlign w:val="top"/>
          </w:tcPr>
          <w:p w14:paraId="15395D83">
            <w:pPr>
              <w:pStyle w:val="9"/>
              <w:spacing w:before="74" w:line="228" w:lineRule="auto"/>
              <w:ind w:left="381"/>
              <w:outlineLvl w:val="2"/>
              <w:rPr>
                <w:sz w:val="20"/>
                <w:szCs w:val="20"/>
              </w:rPr>
            </w:pPr>
            <w:r>
              <w:rPr>
                <w:spacing w:val="7"/>
                <w:sz w:val="20"/>
                <w:szCs w:val="20"/>
              </w:rPr>
              <w:t>通风系统</w:t>
            </w:r>
          </w:p>
        </w:tc>
        <w:tc>
          <w:tcPr>
            <w:tcW w:w="5222" w:type="dxa"/>
            <w:vAlign w:val="top"/>
          </w:tcPr>
          <w:p w14:paraId="2CC3D1B4">
            <w:pPr>
              <w:pStyle w:val="9"/>
              <w:spacing w:before="74" w:line="227" w:lineRule="auto"/>
              <w:ind w:left="530"/>
              <w:outlineLvl w:val="2"/>
              <w:rPr>
                <w:sz w:val="20"/>
                <w:szCs w:val="20"/>
              </w:rPr>
            </w:pPr>
            <w:r>
              <w:rPr>
                <w:spacing w:val="9"/>
                <w:sz w:val="20"/>
                <w:szCs w:val="20"/>
              </w:rPr>
              <w:t>采用自然排风、机械排风相结合的通风方式。</w:t>
            </w:r>
          </w:p>
        </w:tc>
        <w:tc>
          <w:tcPr>
            <w:tcW w:w="824" w:type="dxa"/>
            <w:vAlign w:val="top"/>
          </w:tcPr>
          <w:p w14:paraId="79006DF4">
            <w:pPr>
              <w:pStyle w:val="9"/>
              <w:spacing w:before="74" w:line="229" w:lineRule="auto"/>
              <w:ind w:left="237"/>
              <w:rPr>
                <w:sz w:val="20"/>
                <w:szCs w:val="20"/>
              </w:rPr>
            </w:pPr>
            <w:r>
              <w:rPr>
                <w:spacing w:val="-7"/>
                <w:sz w:val="20"/>
                <w:szCs w:val="20"/>
              </w:rPr>
              <w:t>已建</w:t>
            </w:r>
          </w:p>
        </w:tc>
        <w:tc>
          <w:tcPr>
            <w:tcW w:w="123" w:type="dxa"/>
            <w:tcBorders>
              <w:top w:val="nil"/>
              <w:bottom w:val="nil"/>
              <w:right w:val="single" w:color="000000" w:sz="6" w:space="0"/>
            </w:tcBorders>
            <w:vAlign w:val="top"/>
          </w:tcPr>
          <w:p w14:paraId="5152AA78">
            <w:pPr>
              <w:rPr>
                <w:rFonts w:ascii="Arial"/>
                <w:sz w:val="21"/>
              </w:rPr>
            </w:pPr>
          </w:p>
        </w:tc>
      </w:tr>
      <w:tr w14:paraId="5D98EA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76" w:type="dxa"/>
            <w:vMerge w:val="continue"/>
            <w:tcBorders>
              <w:top w:val="nil"/>
              <w:left w:val="single" w:color="000000" w:sz="6" w:space="0"/>
              <w:bottom w:val="nil"/>
            </w:tcBorders>
            <w:vAlign w:val="top"/>
          </w:tcPr>
          <w:p w14:paraId="11D35BFE">
            <w:pPr>
              <w:rPr>
                <w:rFonts w:ascii="Arial"/>
                <w:sz w:val="21"/>
              </w:rPr>
            </w:pPr>
          </w:p>
        </w:tc>
        <w:tc>
          <w:tcPr>
            <w:tcW w:w="113" w:type="dxa"/>
            <w:tcBorders>
              <w:top w:val="nil"/>
              <w:bottom w:val="nil"/>
            </w:tcBorders>
            <w:vAlign w:val="top"/>
          </w:tcPr>
          <w:p w14:paraId="5F13B11D">
            <w:pPr>
              <w:rPr>
                <w:rFonts w:ascii="Arial"/>
                <w:sz w:val="21"/>
              </w:rPr>
            </w:pPr>
          </w:p>
        </w:tc>
        <w:tc>
          <w:tcPr>
            <w:tcW w:w="404" w:type="dxa"/>
            <w:vMerge w:val="continue"/>
            <w:tcBorders>
              <w:top w:val="nil"/>
            </w:tcBorders>
            <w:textDirection w:val="tbRlV"/>
            <w:vAlign w:val="top"/>
          </w:tcPr>
          <w:p w14:paraId="73825F08">
            <w:pPr>
              <w:rPr>
                <w:rFonts w:ascii="Arial"/>
                <w:sz w:val="21"/>
              </w:rPr>
            </w:pPr>
          </w:p>
        </w:tc>
        <w:tc>
          <w:tcPr>
            <w:tcW w:w="1600" w:type="dxa"/>
            <w:gridSpan w:val="2"/>
            <w:vAlign w:val="top"/>
          </w:tcPr>
          <w:p w14:paraId="45228B1A">
            <w:pPr>
              <w:pStyle w:val="9"/>
              <w:spacing w:before="185" w:line="228" w:lineRule="auto"/>
              <w:ind w:left="386"/>
              <w:outlineLvl w:val="2"/>
              <w:rPr>
                <w:sz w:val="20"/>
                <w:szCs w:val="20"/>
              </w:rPr>
            </w:pPr>
            <w:r>
              <w:rPr>
                <w:spacing w:val="6"/>
                <w:sz w:val="20"/>
                <w:szCs w:val="20"/>
              </w:rPr>
              <w:t>消防系统</w:t>
            </w:r>
          </w:p>
        </w:tc>
        <w:tc>
          <w:tcPr>
            <w:tcW w:w="5222" w:type="dxa"/>
            <w:vAlign w:val="top"/>
          </w:tcPr>
          <w:p w14:paraId="3D808EEF">
            <w:pPr>
              <w:pStyle w:val="9"/>
              <w:spacing w:before="48" w:line="232" w:lineRule="auto"/>
              <w:ind w:left="112" w:right="99" w:firstLine="420"/>
              <w:outlineLvl w:val="3"/>
              <w:rPr>
                <w:sz w:val="20"/>
                <w:szCs w:val="20"/>
              </w:rPr>
            </w:pPr>
            <w:r>
              <w:rPr>
                <w:spacing w:val="8"/>
                <w:sz w:val="20"/>
                <w:szCs w:val="20"/>
              </w:rPr>
              <w:t>升压站按规范配置火灾自动报警系统、常规消火栓给水系统、移动式灭火器及其它消防设施。</w:t>
            </w:r>
          </w:p>
        </w:tc>
        <w:tc>
          <w:tcPr>
            <w:tcW w:w="824" w:type="dxa"/>
            <w:vAlign w:val="top"/>
          </w:tcPr>
          <w:p w14:paraId="7FA9BA83">
            <w:pPr>
              <w:pStyle w:val="9"/>
              <w:spacing w:before="185" w:line="229" w:lineRule="auto"/>
              <w:ind w:left="237"/>
              <w:rPr>
                <w:sz w:val="20"/>
                <w:szCs w:val="20"/>
              </w:rPr>
            </w:pPr>
            <w:r>
              <w:rPr>
                <w:spacing w:val="-7"/>
                <w:sz w:val="20"/>
                <w:szCs w:val="20"/>
              </w:rPr>
              <w:t>已建</w:t>
            </w:r>
          </w:p>
        </w:tc>
        <w:tc>
          <w:tcPr>
            <w:tcW w:w="123" w:type="dxa"/>
            <w:tcBorders>
              <w:top w:val="nil"/>
              <w:bottom w:val="nil"/>
              <w:right w:val="single" w:color="000000" w:sz="6" w:space="0"/>
            </w:tcBorders>
            <w:vAlign w:val="top"/>
          </w:tcPr>
          <w:p w14:paraId="76E6708D">
            <w:pPr>
              <w:rPr>
                <w:rFonts w:ascii="Arial"/>
                <w:sz w:val="21"/>
              </w:rPr>
            </w:pPr>
          </w:p>
        </w:tc>
      </w:tr>
      <w:tr w14:paraId="59408E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6" w:hRule="atLeast"/>
        </w:trPr>
        <w:tc>
          <w:tcPr>
            <w:tcW w:w="776" w:type="dxa"/>
            <w:vMerge w:val="continue"/>
            <w:tcBorders>
              <w:top w:val="nil"/>
              <w:left w:val="single" w:color="000000" w:sz="6" w:space="0"/>
              <w:bottom w:val="nil"/>
            </w:tcBorders>
            <w:vAlign w:val="top"/>
          </w:tcPr>
          <w:p w14:paraId="3ACE0A56">
            <w:pPr>
              <w:rPr>
                <w:rFonts w:ascii="Arial"/>
                <w:sz w:val="21"/>
              </w:rPr>
            </w:pPr>
          </w:p>
        </w:tc>
        <w:tc>
          <w:tcPr>
            <w:tcW w:w="113" w:type="dxa"/>
            <w:tcBorders>
              <w:top w:val="nil"/>
              <w:bottom w:val="nil"/>
            </w:tcBorders>
            <w:vAlign w:val="top"/>
          </w:tcPr>
          <w:p w14:paraId="14741054">
            <w:pPr>
              <w:rPr>
                <w:rFonts w:ascii="Arial"/>
                <w:sz w:val="21"/>
              </w:rPr>
            </w:pPr>
          </w:p>
        </w:tc>
        <w:tc>
          <w:tcPr>
            <w:tcW w:w="404" w:type="dxa"/>
            <w:vMerge w:val="restart"/>
            <w:tcBorders>
              <w:bottom w:val="nil"/>
            </w:tcBorders>
            <w:textDirection w:val="tbRlV"/>
            <w:vAlign w:val="top"/>
          </w:tcPr>
          <w:p w14:paraId="3A931598">
            <w:pPr>
              <w:pStyle w:val="9"/>
              <w:spacing w:before="91" w:line="217" w:lineRule="auto"/>
              <w:ind w:left="3430"/>
              <w:outlineLvl w:val="2"/>
              <w:rPr>
                <w:sz w:val="20"/>
                <w:szCs w:val="20"/>
              </w:rPr>
            </w:pPr>
            <w:r>
              <w:rPr>
                <w:spacing w:val="8"/>
                <w:sz w:val="20"/>
                <w:szCs w:val="20"/>
              </w:rPr>
              <w:t>环</w:t>
            </w:r>
            <w:r>
              <w:rPr>
                <w:spacing w:val="-36"/>
                <w:sz w:val="20"/>
                <w:szCs w:val="20"/>
              </w:rPr>
              <w:t xml:space="preserve"> </w:t>
            </w:r>
            <w:r>
              <w:rPr>
                <w:spacing w:val="8"/>
                <w:sz w:val="20"/>
                <w:szCs w:val="20"/>
              </w:rPr>
              <w:t>保</w:t>
            </w:r>
            <w:r>
              <w:rPr>
                <w:spacing w:val="-38"/>
                <w:sz w:val="20"/>
                <w:szCs w:val="20"/>
              </w:rPr>
              <w:t xml:space="preserve"> </w:t>
            </w:r>
            <w:r>
              <w:rPr>
                <w:spacing w:val="8"/>
                <w:sz w:val="20"/>
                <w:szCs w:val="20"/>
              </w:rPr>
              <w:t>措</w:t>
            </w:r>
            <w:r>
              <w:rPr>
                <w:spacing w:val="-35"/>
                <w:sz w:val="20"/>
                <w:szCs w:val="20"/>
              </w:rPr>
              <w:t xml:space="preserve"> </w:t>
            </w:r>
            <w:r>
              <w:rPr>
                <w:spacing w:val="8"/>
                <w:sz w:val="20"/>
                <w:szCs w:val="20"/>
              </w:rPr>
              <w:t>施</w:t>
            </w:r>
          </w:p>
        </w:tc>
        <w:tc>
          <w:tcPr>
            <w:tcW w:w="1600" w:type="dxa"/>
            <w:gridSpan w:val="2"/>
            <w:vAlign w:val="top"/>
          </w:tcPr>
          <w:p w14:paraId="7AE06C83">
            <w:pPr>
              <w:spacing w:line="244" w:lineRule="auto"/>
              <w:rPr>
                <w:rFonts w:ascii="Arial"/>
                <w:sz w:val="21"/>
              </w:rPr>
            </w:pPr>
          </w:p>
          <w:p w14:paraId="29FDAE94">
            <w:pPr>
              <w:pStyle w:val="9"/>
              <w:spacing w:before="65" w:line="233" w:lineRule="auto"/>
              <w:ind w:left="615"/>
              <w:rPr>
                <w:sz w:val="20"/>
                <w:szCs w:val="20"/>
              </w:rPr>
            </w:pPr>
            <w:r>
              <w:rPr>
                <w:spacing w:val="-8"/>
                <w:sz w:val="20"/>
                <w:szCs w:val="20"/>
              </w:rPr>
              <w:t>电磁</w:t>
            </w:r>
          </w:p>
        </w:tc>
        <w:tc>
          <w:tcPr>
            <w:tcW w:w="5222" w:type="dxa"/>
            <w:vAlign w:val="top"/>
          </w:tcPr>
          <w:p w14:paraId="37F9F09C">
            <w:pPr>
              <w:pStyle w:val="9"/>
              <w:spacing w:before="35" w:line="234" w:lineRule="auto"/>
              <w:ind w:left="111" w:right="99" w:firstLine="420"/>
              <w:jc w:val="both"/>
              <w:rPr>
                <w:sz w:val="20"/>
                <w:szCs w:val="20"/>
              </w:rPr>
            </w:pPr>
            <w:r>
              <w:rPr>
                <w:spacing w:val="8"/>
                <w:sz w:val="20"/>
                <w:szCs w:val="20"/>
              </w:rPr>
              <w:t>本项目运营期电磁的产生主要来源于变压器、断路器、互感器等，采取加强变压器及其他电力设施运行管</w:t>
            </w:r>
            <w:r>
              <w:rPr>
                <w:spacing w:val="5"/>
                <w:sz w:val="20"/>
                <w:szCs w:val="20"/>
              </w:rPr>
              <w:t>理的措施。</w:t>
            </w:r>
          </w:p>
        </w:tc>
        <w:tc>
          <w:tcPr>
            <w:tcW w:w="824" w:type="dxa"/>
            <w:vAlign w:val="top"/>
          </w:tcPr>
          <w:p w14:paraId="746751A0">
            <w:pPr>
              <w:spacing w:line="243" w:lineRule="auto"/>
              <w:rPr>
                <w:rFonts w:ascii="Arial"/>
                <w:sz w:val="21"/>
              </w:rPr>
            </w:pPr>
          </w:p>
          <w:p w14:paraId="3BFA8890">
            <w:pPr>
              <w:pStyle w:val="9"/>
              <w:spacing w:before="65" w:line="229" w:lineRule="auto"/>
              <w:ind w:left="237"/>
              <w:rPr>
                <w:sz w:val="20"/>
                <w:szCs w:val="20"/>
              </w:rPr>
            </w:pPr>
            <w:r>
              <w:rPr>
                <w:spacing w:val="-7"/>
                <w:sz w:val="20"/>
                <w:szCs w:val="20"/>
              </w:rPr>
              <w:t>已建</w:t>
            </w:r>
          </w:p>
        </w:tc>
        <w:tc>
          <w:tcPr>
            <w:tcW w:w="123" w:type="dxa"/>
            <w:tcBorders>
              <w:top w:val="nil"/>
              <w:bottom w:val="nil"/>
              <w:right w:val="single" w:color="000000" w:sz="6" w:space="0"/>
            </w:tcBorders>
            <w:vAlign w:val="top"/>
          </w:tcPr>
          <w:p w14:paraId="6A9CA565">
            <w:pPr>
              <w:rPr>
                <w:rFonts w:ascii="Arial"/>
                <w:sz w:val="21"/>
              </w:rPr>
            </w:pPr>
          </w:p>
        </w:tc>
      </w:tr>
      <w:tr w14:paraId="6522AC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01" w:hRule="atLeast"/>
        </w:trPr>
        <w:tc>
          <w:tcPr>
            <w:tcW w:w="776" w:type="dxa"/>
            <w:vMerge w:val="continue"/>
            <w:tcBorders>
              <w:top w:val="nil"/>
              <w:left w:val="single" w:color="000000" w:sz="6" w:space="0"/>
              <w:bottom w:val="nil"/>
            </w:tcBorders>
            <w:vAlign w:val="top"/>
          </w:tcPr>
          <w:p w14:paraId="423E8223">
            <w:pPr>
              <w:rPr>
                <w:rFonts w:ascii="Arial"/>
                <w:sz w:val="21"/>
              </w:rPr>
            </w:pPr>
          </w:p>
        </w:tc>
        <w:tc>
          <w:tcPr>
            <w:tcW w:w="113" w:type="dxa"/>
            <w:tcBorders>
              <w:top w:val="nil"/>
              <w:bottom w:val="nil"/>
            </w:tcBorders>
            <w:vAlign w:val="top"/>
          </w:tcPr>
          <w:p w14:paraId="7B93B6E9">
            <w:pPr>
              <w:rPr>
                <w:rFonts w:ascii="Arial"/>
                <w:sz w:val="21"/>
              </w:rPr>
            </w:pPr>
          </w:p>
        </w:tc>
        <w:tc>
          <w:tcPr>
            <w:tcW w:w="404" w:type="dxa"/>
            <w:vMerge w:val="continue"/>
            <w:tcBorders>
              <w:top w:val="nil"/>
              <w:bottom w:val="nil"/>
            </w:tcBorders>
            <w:textDirection w:val="tbRlV"/>
            <w:vAlign w:val="top"/>
          </w:tcPr>
          <w:p w14:paraId="7547A40A">
            <w:pPr>
              <w:rPr>
                <w:rFonts w:ascii="Arial"/>
                <w:sz w:val="21"/>
              </w:rPr>
            </w:pPr>
          </w:p>
        </w:tc>
        <w:tc>
          <w:tcPr>
            <w:tcW w:w="1600" w:type="dxa"/>
            <w:gridSpan w:val="2"/>
            <w:vAlign w:val="top"/>
          </w:tcPr>
          <w:p w14:paraId="7D8386AB">
            <w:pPr>
              <w:spacing w:line="394" w:lineRule="auto"/>
              <w:rPr>
                <w:rFonts w:ascii="Arial"/>
                <w:sz w:val="21"/>
              </w:rPr>
            </w:pPr>
          </w:p>
          <w:p w14:paraId="2971727A">
            <w:pPr>
              <w:pStyle w:val="9"/>
              <w:spacing w:before="65" w:line="228" w:lineRule="auto"/>
              <w:ind w:left="381"/>
              <w:rPr>
                <w:sz w:val="20"/>
                <w:szCs w:val="20"/>
              </w:rPr>
            </w:pPr>
            <w:r>
              <w:rPr>
                <w:spacing w:val="7"/>
                <w:sz w:val="20"/>
                <w:szCs w:val="20"/>
              </w:rPr>
              <w:t>环境风险</w:t>
            </w:r>
          </w:p>
        </w:tc>
        <w:tc>
          <w:tcPr>
            <w:tcW w:w="5222" w:type="dxa"/>
            <w:vAlign w:val="top"/>
          </w:tcPr>
          <w:p w14:paraId="67FC9015">
            <w:pPr>
              <w:pStyle w:val="9"/>
              <w:spacing w:before="53" w:line="237" w:lineRule="auto"/>
              <w:ind w:left="111" w:right="99" w:firstLine="421"/>
              <w:jc w:val="both"/>
              <w:rPr>
                <w:sz w:val="20"/>
                <w:szCs w:val="20"/>
              </w:rPr>
            </w:pPr>
            <w:r>
              <w:rPr>
                <w:spacing w:val="18"/>
                <w:sz w:val="20"/>
                <w:szCs w:val="20"/>
              </w:rPr>
              <w:t>主变压器发生故障时泄漏的废变压器油经自流式</w:t>
            </w:r>
            <w:r>
              <w:rPr>
                <w:spacing w:val="4"/>
                <w:sz w:val="20"/>
                <w:szCs w:val="20"/>
              </w:rPr>
              <w:t>事故油池（容量约为</w:t>
            </w:r>
            <w:r>
              <w:rPr>
                <w:spacing w:val="-20"/>
                <w:sz w:val="20"/>
                <w:szCs w:val="20"/>
              </w:rPr>
              <w:t xml:space="preserve"> </w:t>
            </w:r>
            <w:r>
              <w:rPr>
                <w:rFonts w:ascii="Times New Roman" w:hAnsi="Times New Roman" w:eastAsia="Times New Roman" w:cs="Times New Roman"/>
                <w:spacing w:val="4"/>
                <w:sz w:val="20"/>
                <w:szCs w:val="20"/>
              </w:rPr>
              <w:t>60m</w:t>
            </w:r>
            <w:r>
              <w:rPr>
                <w:rFonts w:ascii="Times New Roman" w:hAnsi="Times New Roman" w:eastAsia="Times New Roman" w:cs="Times New Roman"/>
                <w:spacing w:val="4"/>
                <w:position w:val="1"/>
                <w:sz w:val="13"/>
                <w:szCs w:val="13"/>
              </w:rPr>
              <w:t>3</w:t>
            </w:r>
            <w:r>
              <w:rPr>
                <w:spacing w:val="4"/>
                <w:position w:val="1"/>
                <w:sz w:val="20"/>
                <w:szCs w:val="20"/>
              </w:rPr>
              <w:t>）</w:t>
            </w:r>
            <w:r>
              <w:rPr>
                <w:spacing w:val="4"/>
                <w:sz w:val="20"/>
                <w:szCs w:val="20"/>
              </w:rPr>
              <w:t>收集，交有危险废物处置资</w:t>
            </w:r>
            <w:r>
              <w:rPr>
                <w:spacing w:val="8"/>
                <w:sz w:val="20"/>
                <w:szCs w:val="20"/>
              </w:rPr>
              <w:t>质的单位定期进行安全处置，采用</w:t>
            </w:r>
            <w:r>
              <w:rPr>
                <w:spacing w:val="-22"/>
                <w:sz w:val="20"/>
                <w:szCs w:val="20"/>
              </w:rPr>
              <w:t xml:space="preserve"> </w:t>
            </w:r>
            <w:r>
              <w:rPr>
                <w:rFonts w:ascii="Times New Roman" w:hAnsi="Times New Roman" w:eastAsia="Times New Roman" w:cs="Times New Roman"/>
                <w:spacing w:val="8"/>
                <w:sz w:val="20"/>
                <w:szCs w:val="20"/>
              </w:rPr>
              <w:t>200</w:t>
            </w:r>
            <w:r>
              <w:rPr>
                <w:rFonts w:ascii="Times New Roman" w:hAnsi="Times New Roman" w:eastAsia="Times New Roman" w:cs="Times New Roman"/>
                <w:sz w:val="20"/>
                <w:szCs w:val="20"/>
              </w:rPr>
              <w:t>mm</w:t>
            </w:r>
            <w:r>
              <w:rPr>
                <w:rFonts w:ascii="Times New Roman" w:hAnsi="Times New Roman" w:eastAsia="Times New Roman" w:cs="Times New Roman"/>
                <w:spacing w:val="19"/>
                <w:w w:val="101"/>
                <w:sz w:val="20"/>
                <w:szCs w:val="20"/>
              </w:rPr>
              <w:t xml:space="preserve"> </w:t>
            </w:r>
            <w:r>
              <w:rPr>
                <w:spacing w:val="8"/>
                <w:sz w:val="20"/>
                <w:szCs w:val="20"/>
              </w:rPr>
              <w:t>厚</w:t>
            </w:r>
            <w:r>
              <w:rPr>
                <w:spacing w:val="-38"/>
                <w:sz w:val="20"/>
                <w:szCs w:val="20"/>
              </w:rPr>
              <w:t xml:space="preserve"> </w:t>
            </w:r>
            <w:r>
              <w:rPr>
                <w:rFonts w:ascii="Times New Roman" w:hAnsi="Times New Roman" w:eastAsia="Times New Roman" w:cs="Times New Roman"/>
                <w:spacing w:val="8"/>
                <w:sz w:val="20"/>
                <w:szCs w:val="20"/>
              </w:rPr>
              <w:t xml:space="preserve">C30 </w:t>
            </w:r>
            <w:r>
              <w:rPr>
                <w:spacing w:val="8"/>
                <w:sz w:val="20"/>
                <w:szCs w:val="20"/>
              </w:rPr>
              <w:t>抗渗</w:t>
            </w:r>
            <w:r>
              <w:rPr>
                <w:spacing w:val="7"/>
                <w:sz w:val="20"/>
                <w:szCs w:val="20"/>
              </w:rPr>
              <w:t>混凝土浇筑，抗渗等级</w:t>
            </w:r>
            <w:r>
              <w:rPr>
                <w:spacing w:val="-39"/>
                <w:sz w:val="20"/>
                <w:szCs w:val="20"/>
              </w:rPr>
              <w:t xml:space="preserve"> </w:t>
            </w:r>
            <w:r>
              <w:rPr>
                <w:rFonts w:ascii="Times New Roman" w:hAnsi="Times New Roman" w:eastAsia="Times New Roman" w:cs="Times New Roman"/>
                <w:spacing w:val="7"/>
                <w:sz w:val="20"/>
                <w:szCs w:val="20"/>
              </w:rPr>
              <w:t>P8</w:t>
            </w:r>
            <w:r>
              <w:rPr>
                <w:spacing w:val="7"/>
                <w:sz w:val="20"/>
                <w:szCs w:val="20"/>
              </w:rPr>
              <w:t>。</w:t>
            </w:r>
          </w:p>
        </w:tc>
        <w:tc>
          <w:tcPr>
            <w:tcW w:w="824" w:type="dxa"/>
            <w:vAlign w:val="top"/>
          </w:tcPr>
          <w:p w14:paraId="0277B36A">
            <w:pPr>
              <w:spacing w:line="394" w:lineRule="auto"/>
              <w:rPr>
                <w:rFonts w:ascii="Arial"/>
                <w:sz w:val="21"/>
              </w:rPr>
            </w:pPr>
          </w:p>
          <w:p w14:paraId="2A641811">
            <w:pPr>
              <w:pStyle w:val="9"/>
              <w:spacing w:before="65" w:line="229" w:lineRule="auto"/>
              <w:ind w:left="237"/>
              <w:rPr>
                <w:sz w:val="20"/>
                <w:szCs w:val="20"/>
              </w:rPr>
            </w:pPr>
            <w:r>
              <w:rPr>
                <w:spacing w:val="-7"/>
                <w:sz w:val="20"/>
                <w:szCs w:val="20"/>
              </w:rPr>
              <w:t>已建</w:t>
            </w:r>
          </w:p>
        </w:tc>
        <w:tc>
          <w:tcPr>
            <w:tcW w:w="123" w:type="dxa"/>
            <w:tcBorders>
              <w:top w:val="nil"/>
              <w:bottom w:val="nil"/>
              <w:right w:val="single" w:color="000000" w:sz="6" w:space="0"/>
            </w:tcBorders>
            <w:vAlign w:val="top"/>
          </w:tcPr>
          <w:p w14:paraId="4E95A352">
            <w:pPr>
              <w:rPr>
                <w:rFonts w:ascii="Arial"/>
                <w:sz w:val="21"/>
              </w:rPr>
            </w:pPr>
          </w:p>
        </w:tc>
      </w:tr>
      <w:tr w14:paraId="235656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776" w:type="dxa"/>
            <w:vMerge w:val="continue"/>
            <w:tcBorders>
              <w:top w:val="nil"/>
              <w:left w:val="single" w:color="000000" w:sz="6" w:space="0"/>
              <w:bottom w:val="nil"/>
            </w:tcBorders>
            <w:vAlign w:val="top"/>
          </w:tcPr>
          <w:p w14:paraId="3CC464BE">
            <w:pPr>
              <w:rPr>
                <w:rFonts w:ascii="Arial"/>
                <w:sz w:val="21"/>
              </w:rPr>
            </w:pPr>
          </w:p>
        </w:tc>
        <w:tc>
          <w:tcPr>
            <w:tcW w:w="113" w:type="dxa"/>
            <w:tcBorders>
              <w:top w:val="nil"/>
              <w:bottom w:val="nil"/>
            </w:tcBorders>
            <w:vAlign w:val="top"/>
          </w:tcPr>
          <w:p w14:paraId="1D5CD447">
            <w:pPr>
              <w:rPr>
                <w:rFonts w:ascii="Arial"/>
                <w:sz w:val="21"/>
              </w:rPr>
            </w:pPr>
          </w:p>
        </w:tc>
        <w:tc>
          <w:tcPr>
            <w:tcW w:w="404" w:type="dxa"/>
            <w:vMerge w:val="continue"/>
            <w:tcBorders>
              <w:top w:val="nil"/>
              <w:bottom w:val="nil"/>
            </w:tcBorders>
            <w:textDirection w:val="tbRlV"/>
            <w:vAlign w:val="top"/>
          </w:tcPr>
          <w:p w14:paraId="046BE324">
            <w:pPr>
              <w:rPr>
                <w:rFonts w:ascii="Arial"/>
                <w:sz w:val="21"/>
              </w:rPr>
            </w:pPr>
          </w:p>
        </w:tc>
        <w:tc>
          <w:tcPr>
            <w:tcW w:w="1600" w:type="dxa"/>
            <w:gridSpan w:val="2"/>
            <w:vAlign w:val="top"/>
          </w:tcPr>
          <w:p w14:paraId="788925E4">
            <w:pPr>
              <w:spacing w:line="253" w:lineRule="auto"/>
              <w:rPr>
                <w:rFonts w:ascii="Arial"/>
                <w:sz w:val="21"/>
              </w:rPr>
            </w:pPr>
          </w:p>
          <w:p w14:paraId="77D77ECC">
            <w:pPr>
              <w:pStyle w:val="9"/>
              <w:spacing w:before="65" w:line="228" w:lineRule="auto"/>
              <w:ind w:left="169"/>
              <w:rPr>
                <w:sz w:val="20"/>
                <w:szCs w:val="20"/>
              </w:rPr>
            </w:pPr>
            <w:r>
              <w:rPr>
                <w:spacing w:val="8"/>
                <w:sz w:val="20"/>
                <w:szCs w:val="20"/>
              </w:rPr>
              <w:t>废水治理措施</w:t>
            </w:r>
          </w:p>
        </w:tc>
        <w:tc>
          <w:tcPr>
            <w:tcW w:w="5222" w:type="dxa"/>
            <w:vAlign w:val="top"/>
          </w:tcPr>
          <w:p w14:paraId="632B85F6">
            <w:pPr>
              <w:pStyle w:val="9"/>
              <w:spacing w:before="45" w:line="233" w:lineRule="auto"/>
              <w:ind w:left="114" w:right="99" w:firstLine="419"/>
              <w:jc w:val="both"/>
              <w:rPr>
                <w:sz w:val="20"/>
                <w:szCs w:val="20"/>
              </w:rPr>
            </w:pPr>
            <w:r>
              <w:rPr>
                <w:spacing w:val="6"/>
                <w:sz w:val="20"/>
                <w:szCs w:val="20"/>
              </w:rPr>
              <w:t>生活污水经化粪池（</w:t>
            </w:r>
            <w:r>
              <w:rPr>
                <w:rFonts w:ascii="Times New Roman" w:hAnsi="Times New Roman" w:eastAsia="Times New Roman" w:cs="Times New Roman"/>
                <w:spacing w:val="6"/>
                <w:sz w:val="20"/>
                <w:szCs w:val="20"/>
              </w:rPr>
              <w:t>5m</w:t>
            </w:r>
            <w:r>
              <w:rPr>
                <w:rFonts w:ascii="Times New Roman" w:hAnsi="Times New Roman" w:eastAsia="Times New Roman" w:cs="Times New Roman"/>
                <w:spacing w:val="6"/>
                <w:position w:val="1"/>
                <w:sz w:val="13"/>
                <w:szCs w:val="13"/>
              </w:rPr>
              <w:t>3</w:t>
            </w:r>
            <w:r>
              <w:rPr>
                <w:spacing w:val="6"/>
                <w:position w:val="1"/>
                <w:sz w:val="20"/>
                <w:szCs w:val="20"/>
              </w:rPr>
              <w:t>）</w:t>
            </w:r>
            <w:r>
              <w:rPr>
                <w:rFonts w:ascii="Times New Roman" w:hAnsi="Times New Roman" w:eastAsia="Times New Roman" w:cs="Times New Roman"/>
                <w:spacing w:val="6"/>
                <w:sz w:val="20"/>
                <w:szCs w:val="20"/>
              </w:rPr>
              <w:t>+</w:t>
            </w:r>
            <w:r>
              <w:rPr>
                <w:spacing w:val="6"/>
                <w:sz w:val="20"/>
                <w:szCs w:val="20"/>
              </w:rPr>
              <w:t>站内地埋式一体化设施</w:t>
            </w:r>
            <w:r>
              <w:rPr>
                <w:spacing w:val="8"/>
                <w:sz w:val="20"/>
                <w:szCs w:val="20"/>
              </w:rPr>
              <w:t>处置后，暂存于蓄水池，冬储夏用，用于厂区绿化及洒</w:t>
            </w:r>
            <w:r>
              <w:rPr>
                <w:spacing w:val="4"/>
                <w:sz w:val="20"/>
                <w:szCs w:val="20"/>
              </w:rPr>
              <w:t>水抑尘。</w:t>
            </w:r>
          </w:p>
        </w:tc>
        <w:tc>
          <w:tcPr>
            <w:tcW w:w="824" w:type="dxa"/>
            <w:vAlign w:val="top"/>
          </w:tcPr>
          <w:p w14:paraId="3E4DACD7">
            <w:pPr>
              <w:spacing w:line="253" w:lineRule="auto"/>
              <w:rPr>
                <w:rFonts w:ascii="Arial"/>
                <w:sz w:val="21"/>
              </w:rPr>
            </w:pPr>
          </w:p>
          <w:p w14:paraId="1F1774C3">
            <w:pPr>
              <w:pStyle w:val="9"/>
              <w:spacing w:before="65" w:line="229" w:lineRule="auto"/>
              <w:ind w:left="237"/>
              <w:rPr>
                <w:sz w:val="20"/>
                <w:szCs w:val="20"/>
              </w:rPr>
            </w:pPr>
            <w:r>
              <w:rPr>
                <w:spacing w:val="-7"/>
                <w:sz w:val="20"/>
                <w:szCs w:val="20"/>
              </w:rPr>
              <w:t>已建</w:t>
            </w:r>
          </w:p>
        </w:tc>
        <w:tc>
          <w:tcPr>
            <w:tcW w:w="123" w:type="dxa"/>
            <w:tcBorders>
              <w:top w:val="nil"/>
              <w:bottom w:val="nil"/>
              <w:right w:val="single" w:color="000000" w:sz="6" w:space="0"/>
            </w:tcBorders>
            <w:vAlign w:val="top"/>
          </w:tcPr>
          <w:p w14:paraId="325E225F">
            <w:pPr>
              <w:rPr>
                <w:rFonts w:ascii="Arial"/>
                <w:sz w:val="21"/>
              </w:rPr>
            </w:pPr>
          </w:p>
        </w:tc>
      </w:tr>
      <w:tr w14:paraId="2C143D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trPr>
        <w:tc>
          <w:tcPr>
            <w:tcW w:w="776" w:type="dxa"/>
            <w:vMerge w:val="continue"/>
            <w:tcBorders>
              <w:top w:val="nil"/>
              <w:left w:val="single" w:color="000000" w:sz="6" w:space="0"/>
              <w:bottom w:val="nil"/>
            </w:tcBorders>
            <w:vAlign w:val="top"/>
          </w:tcPr>
          <w:p w14:paraId="5D06F132">
            <w:pPr>
              <w:rPr>
                <w:rFonts w:ascii="Arial"/>
                <w:sz w:val="21"/>
              </w:rPr>
            </w:pPr>
          </w:p>
        </w:tc>
        <w:tc>
          <w:tcPr>
            <w:tcW w:w="113" w:type="dxa"/>
            <w:tcBorders>
              <w:top w:val="nil"/>
              <w:bottom w:val="nil"/>
            </w:tcBorders>
            <w:vAlign w:val="top"/>
          </w:tcPr>
          <w:p w14:paraId="27275CE7">
            <w:pPr>
              <w:rPr>
                <w:rFonts w:ascii="Arial"/>
                <w:sz w:val="21"/>
              </w:rPr>
            </w:pPr>
          </w:p>
        </w:tc>
        <w:tc>
          <w:tcPr>
            <w:tcW w:w="404" w:type="dxa"/>
            <w:vMerge w:val="continue"/>
            <w:tcBorders>
              <w:top w:val="nil"/>
              <w:bottom w:val="nil"/>
            </w:tcBorders>
            <w:textDirection w:val="tbRlV"/>
            <w:vAlign w:val="top"/>
          </w:tcPr>
          <w:p w14:paraId="23440539">
            <w:pPr>
              <w:rPr>
                <w:rFonts w:ascii="Arial"/>
                <w:sz w:val="21"/>
              </w:rPr>
            </w:pPr>
          </w:p>
        </w:tc>
        <w:tc>
          <w:tcPr>
            <w:tcW w:w="1600" w:type="dxa"/>
            <w:gridSpan w:val="2"/>
            <w:vAlign w:val="top"/>
          </w:tcPr>
          <w:p w14:paraId="23A98D0D">
            <w:pPr>
              <w:pStyle w:val="9"/>
              <w:spacing w:before="181" w:line="228" w:lineRule="auto"/>
              <w:ind w:left="600"/>
              <w:outlineLvl w:val="2"/>
              <w:rPr>
                <w:sz w:val="20"/>
                <w:szCs w:val="20"/>
              </w:rPr>
            </w:pPr>
            <w:r>
              <w:rPr>
                <w:spacing w:val="-1"/>
                <w:sz w:val="20"/>
                <w:szCs w:val="20"/>
              </w:rPr>
              <w:t>噪声</w:t>
            </w:r>
          </w:p>
        </w:tc>
        <w:tc>
          <w:tcPr>
            <w:tcW w:w="5222" w:type="dxa"/>
            <w:vAlign w:val="top"/>
          </w:tcPr>
          <w:p w14:paraId="3B9CDCD0">
            <w:pPr>
              <w:pStyle w:val="9"/>
              <w:spacing w:before="46" w:line="225" w:lineRule="auto"/>
              <w:ind w:left="110" w:right="99" w:firstLine="420"/>
              <w:outlineLvl w:val="2"/>
              <w:rPr>
                <w:sz w:val="20"/>
                <w:szCs w:val="20"/>
              </w:rPr>
            </w:pPr>
            <w:r>
              <w:rPr>
                <w:spacing w:val="8"/>
                <w:sz w:val="20"/>
                <w:szCs w:val="20"/>
              </w:rPr>
              <w:t>选用低噪声设备，合理进行平面布局，设置全封闭控制室，设置减噪隔声门等。</w:t>
            </w:r>
          </w:p>
        </w:tc>
        <w:tc>
          <w:tcPr>
            <w:tcW w:w="824" w:type="dxa"/>
            <w:vAlign w:val="top"/>
          </w:tcPr>
          <w:p w14:paraId="59E3F77C">
            <w:pPr>
              <w:pStyle w:val="9"/>
              <w:spacing w:before="181" w:line="229" w:lineRule="auto"/>
              <w:ind w:left="237"/>
              <w:rPr>
                <w:sz w:val="20"/>
                <w:szCs w:val="20"/>
              </w:rPr>
            </w:pPr>
            <w:r>
              <w:rPr>
                <w:spacing w:val="-7"/>
                <w:sz w:val="20"/>
                <w:szCs w:val="20"/>
              </w:rPr>
              <w:t>已建</w:t>
            </w:r>
          </w:p>
        </w:tc>
        <w:tc>
          <w:tcPr>
            <w:tcW w:w="123" w:type="dxa"/>
            <w:tcBorders>
              <w:top w:val="nil"/>
              <w:bottom w:val="nil"/>
              <w:right w:val="single" w:color="000000" w:sz="6" w:space="0"/>
            </w:tcBorders>
            <w:vAlign w:val="top"/>
          </w:tcPr>
          <w:p w14:paraId="6C7D8339">
            <w:pPr>
              <w:rPr>
                <w:rFonts w:ascii="Arial"/>
                <w:sz w:val="21"/>
              </w:rPr>
            </w:pPr>
          </w:p>
        </w:tc>
      </w:tr>
      <w:tr w14:paraId="6AEE9D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6" w:hRule="atLeast"/>
        </w:trPr>
        <w:tc>
          <w:tcPr>
            <w:tcW w:w="776" w:type="dxa"/>
            <w:vMerge w:val="continue"/>
            <w:tcBorders>
              <w:top w:val="nil"/>
              <w:left w:val="single" w:color="000000" w:sz="6" w:space="0"/>
              <w:bottom w:val="nil"/>
            </w:tcBorders>
            <w:vAlign w:val="top"/>
          </w:tcPr>
          <w:p w14:paraId="0357381A">
            <w:pPr>
              <w:rPr>
                <w:rFonts w:ascii="Arial"/>
                <w:sz w:val="21"/>
              </w:rPr>
            </w:pPr>
          </w:p>
        </w:tc>
        <w:tc>
          <w:tcPr>
            <w:tcW w:w="113" w:type="dxa"/>
            <w:tcBorders>
              <w:top w:val="nil"/>
              <w:bottom w:val="nil"/>
            </w:tcBorders>
            <w:vAlign w:val="top"/>
          </w:tcPr>
          <w:p w14:paraId="20C75318">
            <w:pPr>
              <w:rPr>
                <w:rFonts w:ascii="Arial"/>
                <w:sz w:val="21"/>
              </w:rPr>
            </w:pPr>
          </w:p>
        </w:tc>
        <w:tc>
          <w:tcPr>
            <w:tcW w:w="404" w:type="dxa"/>
            <w:vMerge w:val="continue"/>
            <w:tcBorders>
              <w:top w:val="nil"/>
              <w:bottom w:val="nil"/>
            </w:tcBorders>
            <w:textDirection w:val="tbRlV"/>
            <w:vAlign w:val="top"/>
          </w:tcPr>
          <w:p w14:paraId="79D634A4">
            <w:pPr>
              <w:rPr>
                <w:rFonts w:ascii="Arial"/>
                <w:sz w:val="21"/>
              </w:rPr>
            </w:pPr>
          </w:p>
        </w:tc>
        <w:tc>
          <w:tcPr>
            <w:tcW w:w="385" w:type="dxa"/>
            <w:vMerge w:val="restart"/>
            <w:tcBorders>
              <w:bottom w:val="nil"/>
            </w:tcBorders>
            <w:textDirection w:val="tbRlV"/>
            <w:vAlign w:val="top"/>
          </w:tcPr>
          <w:p w14:paraId="036B5D77">
            <w:pPr>
              <w:pStyle w:val="9"/>
              <w:spacing w:before="70" w:line="217" w:lineRule="auto"/>
              <w:ind w:left="829"/>
              <w:outlineLvl w:val="2"/>
              <w:rPr>
                <w:sz w:val="20"/>
                <w:szCs w:val="20"/>
              </w:rPr>
            </w:pPr>
            <w:r>
              <w:rPr>
                <w:spacing w:val="8"/>
                <w:sz w:val="20"/>
                <w:szCs w:val="20"/>
              </w:rPr>
              <w:t>固</w:t>
            </w:r>
            <w:r>
              <w:rPr>
                <w:spacing w:val="-32"/>
                <w:sz w:val="20"/>
                <w:szCs w:val="20"/>
              </w:rPr>
              <w:t xml:space="preserve"> </w:t>
            </w:r>
            <w:r>
              <w:rPr>
                <w:spacing w:val="8"/>
                <w:sz w:val="20"/>
                <w:szCs w:val="20"/>
              </w:rPr>
              <w:t>体</w:t>
            </w:r>
            <w:r>
              <w:rPr>
                <w:spacing w:val="-38"/>
                <w:sz w:val="20"/>
                <w:szCs w:val="20"/>
              </w:rPr>
              <w:t xml:space="preserve"> </w:t>
            </w:r>
            <w:r>
              <w:rPr>
                <w:spacing w:val="8"/>
                <w:sz w:val="20"/>
                <w:szCs w:val="20"/>
              </w:rPr>
              <w:t>废</w:t>
            </w:r>
            <w:r>
              <w:rPr>
                <w:spacing w:val="-35"/>
                <w:sz w:val="20"/>
                <w:szCs w:val="20"/>
              </w:rPr>
              <w:t xml:space="preserve"> </w:t>
            </w:r>
            <w:r>
              <w:rPr>
                <w:spacing w:val="8"/>
                <w:sz w:val="20"/>
                <w:szCs w:val="20"/>
              </w:rPr>
              <w:t>物</w:t>
            </w:r>
            <w:r>
              <w:rPr>
                <w:spacing w:val="-37"/>
                <w:sz w:val="20"/>
                <w:szCs w:val="20"/>
              </w:rPr>
              <w:t xml:space="preserve"> </w:t>
            </w:r>
            <w:r>
              <w:rPr>
                <w:spacing w:val="8"/>
                <w:sz w:val="20"/>
                <w:szCs w:val="20"/>
              </w:rPr>
              <w:t>处</w:t>
            </w:r>
            <w:r>
              <w:rPr>
                <w:spacing w:val="-38"/>
                <w:sz w:val="20"/>
                <w:szCs w:val="20"/>
              </w:rPr>
              <w:t xml:space="preserve"> </w:t>
            </w:r>
            <w:r>
              <w:rPr>
                <w:spacing w:val="8"/>
                <w:sz w:val="20"/>
                <w:szCs w:val="20"/>
              </w:rPr>
              <w:t>理</w:t>
            </w:r>
          </w:p>
        </w:tc>
        <w:tc>
          <w:tcPr>
            <w:tcW w:w="1215" w:type="dxa"/>
            <w:vAlign w:val="top"/>
          </w:tcPr>
          <w:p w14:paraId="3E69D35F">
            <w:pPr>
              <w:pStyle w:val="9"/>
              <w:spacing w:before="280" w:line="229" w:lineRule="auto"/>
              <w:ind w:left="403"/>
              <w:outlineLvl w:val="2"/>
              <w:rPr>
                <w:sz w:val="20"/>
                <w:szCs w:val="20"/>
              </w:rPr>
            </w:pPr>
            <w:r>
              <w:rPr>
                <w:spacing w:val="3"/>
                <w:sz w:val="20"/>
                <w:szCs w:val="20"/>
              </w:rPr>
              <w:t>一般</w:t>
            </w:r>
          </w:p>
          <w:p w14:paraId="2F85DBD5">
            <w:pPr>
              <w:pStyle w:val="9"/>
              <w:spacing w:before="25" w:line="228" w:lineRule="auto"/>
              <w:ind w:left="418"/>
              <w:outlineLvl w:val="2"/>
              <w:rPr>
                <w:sz w:val="20"/>
                <w:szCs w:val="20"/>
              </w:rPr>
            </w:pPr>
            <w:r>
              <w:rPr>
                <w:spacing w:val="-5"/>
                <w:sz w:val="20"/>
                <w:szCs w:val="20"/>
              </w:rPr>
              <w:t>固废</w:t>
            </w:r>
          </w:p>
        </w:tc>
        <w:tc>
          <w:tcPr>
            <w:tcW w:w="5222" w:type="dxa"/>
            <w:vAlign w:val="top"/>
          </w:tcPr>
          <w:p w14:paraId="4FCBF5F1">
            <w:pPr>
              <w:pStyle w:val="9"/>
              <w:spacing w:before="279" w:line="254" w:lineRule="auto"/>
              <w:ind w:left="110" w:right="124" w:firstLine="422"/>
              <w:outlineLvl w:val="2"/>
              <w:rPr>
                <w:sz w:val="20"/>
                <w:szCs w:val="20"/>
              </w:rPr>
            </w:pPr>
            <w:r>
              <w:rPr>
                <w:spacing w:val="7"/>
                <w:sz w:val="20"/>
                <w:szCs w:val="20"/>
              </w:rPr>
              <w:t>生活区设垃圾桶，生活垃圾经垃圾桶集中收集后，</w:t>
            </w:r>
            <w:r>
              <w:rPr>
                <w:spacing w:val="8"/>
                <w:sz w:val="20"/>
                <w:szCs w:val="20"/>
              </w:rPr>
              <w:t>委托霍林郭勒市环境卫生服务中心处置；</w:t>
            </w:r>
          </w:p>
        </w:tc>
        <w:tc>
          <w:tcPr>
            <w:tcW w:w="824" w:type="dxa"/>
            <w:vAlign w:val="top"/>
          </w:tcPr>
          <w:p w14:paraId="21B30830">
            <w:pPr>
              <w:spacing w:line="349" w:lineRule="auto"/>
              <w:rPr>
                <w:rFonts w:ascii="Arial"/>
                <w:sz w:val="21"/>
              </w:rPr>
            </w:pPr>
          </w:p>
          <w:p w14:paraId="2D07CAE5">
            <w:pPr>
              <w:pStyle w:val="9"/>
              <w:spacing w:before="66" w:line="229" w:lineRule="auto"/>
              <w:ind w:left="237"/>
              <w:rPr>
                <w:sz w:val="20"/>
                <w:szCs w:val="20"/>
              </w:rPr>
            </w:pPr>
            <w:r>
              <w:rPr>
                <w:spacing w:val="-7"/>
                <w:sz w:val="20"/>
                <w:szCs w:val="20"/>
              </w:rPr>
              <w:t>已建</w:t>
            </w:r>
          </w:p>
        </w:tc>
        <w:tc>
          <w:tcPr>
            <w:tcW w:w="123" w:type="dxa"/>
            <w:tcBorders>
              <w:top w:val="nil"/>
              <w:bottom w:val="nil"/>
              <w:right w:val="single" w:color="000000" w:sz="6" w:space="0"/>
            </w:tcBorders>
            <w:vAlign w:val="top"/>
          </w:tcPr>
          <w:p w14:paraId="7790EF5C">
            <w:pPr>
              <w:rPr>
                <w:rFonts w:ascii="Arial"/>
                <w:sz w:val="21"/>
              </w:rPr>
            </w:pPr>
          </w:p>
        </w:tc>
      </w:tr>
      <w:tr w14:paraId="248C5E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1" w:hRule="atLeast"/>
        </w:trPr>
        <w:tc>
          <w:tcPr>
            <w:tcW w:w="776" w:type="dxa"/>
            <w:vMerge w:val="continue"/>
            <w:tcBorders>
              <w:top w:val="nil"/>
              <w:left w:val="single" w:color="000000" w:sz="6" w:space="0"/>
              <w:bottom w:val="nil"/>
            </w:tcBorders>
            <w:vAlign w:val="top"/>
          </w:tcPr>
          <w:p w14:paraId="5B0365FC">
            <w:pPr>
              <w:rPr>
                <w:rFonts w:ascii="Arial"/>
                <w:sz w:val="21"/>
              </w:rPr>
            </w:pPr>
          </w:p>
        </w:tc>
        <w:tc>
          <w:tcPr>
            <w:tcW w:w="113" w:type="dxa"/>
            <w:tcBorders>
              <w:top w:val="nil"/>
              <w:bottom w:val="nil"/>
            </w:tcBorders>
            <w:vAlign w:val="top"/>
          </w:tcPr>
          <w:p w14:paraId="5715F416">
            <w:pPr>
              <w:rPr>
                <w:rFonts w:ascii="Arial"/>
                <w:sz w:val="21"/>
              </w:rPr>
            </w:pPr>
          </w:p>
        </w:tc>
        <w:tc>
          <w:tcPr>
            <w:tcW w:w="404" w:type="dxa"/>
            <w:vMerge w:val="continue"/>
            <w:tcBorders>
              <w:top w:val="nil"/>
              <w:bottom w:val="nil"/>
            </w:tcBorders>
            <w:textDirection w:val="tbRlV"/>
            <w:vAlign w:val="top"/>
          </w:tcPr>
          <w:p w14:paraId="292834D4">
            <w:pPr>
              <w:rPr>
                <w:rFonts w:ascii="Arial"/>
                <w:sz w:val="21"/>
              </w:rPr>
            </w:pPr>
          </w:p>
        </w:tc>
        <w:tc>
          <w:tcPr>
            <w:tcW w:w="385" w:type="dxa"/>
            <w:vMerge w:val="continue"/>
            <w:tcBorders>
              <w:top w:val="nil"/>
            </w:tcBorders>
            <w:textDirection w:val="tbRlV"/>
            <w:vAlign w:val="top"/>
          </w:tcPr>
          <w:p w14:paraId="6D29E900">
            <w:pPr>
              <w:rPr>
                <w:rFonts w:ascii="Arial"/>
                <w:sz w:val="21"/>
              </w:rPr>
            </w:pPr>
          </w:p>
        </w:tc>
        <w:tc>
          <w:tcPr>
            <w:tcW w:w="1215" w:type="dxa"/>
            <w:vAlign w:val="top"/>
          </w:tcPr>
          <w:p w14:paraId="0CE4195C">
            <w:pPr>
              <w:spacing w:line="264" w:lineRule="auto"/>
              <w:rPr>
                <w:rFonts w:ascii="Arial"/>
                <w:sz w:val="21"/>
              </w:rPr>
            </w:pPr>
          </w:p>
          <w:p w14:paraId="0B135922">
            <w:pPr>
              <w:spacing w:line="264" w:lineRule="auto"/>
              <w:rPr>
                <w:rFonts w:ascii="Arial"/>
                <w:sz w:val="21"/>
              </w:rPr>
            </w:pPr>
          </w:p>
          <w:p w14:paraId="0EB45ADE">
            <w:pPr>
              <w:spacing w:line="264" w:lineRule="auto"/>
              <w:rPr>
                <w:rFonts w:ascii="Arial"/>
                <w:sz w:val="21"/>
              </w:rPr>
            </w:pPr>
          </w:p>
          <w:p w14:paraId="14BC5CA1">
            <w:pPr>
              <w:pStyle w:val="9"/>
              <w:spacing w:before="65" w:line="228" w:lineRule="auto"/>
              <w:ind w:left="402"/>
              <w:outlineLvl w:val="2"/>
              <w:rPr>
                <w:sz w:val="20"/>
                <w:szCs w:val="20"/>
              </w:rPr>
            </w:pPr>
            <w:r>
              <w:rPr>
                <w:spacing w:val="3"/>
                <w:sz w:val="20"/>
                <w:szCs w:val="20"/>
              </w:rPr>
              <w:t>危险</w:t>
            </w:r>
          </w:p>
          <w:p w14:paraId="25427327">
            <w:pPr>
              <w:pStyle w:val="9"/>
              <w:spacing w:before="24" w:line="228" w:lineRule="auto"/>
              <w:ind w:left="399"/>
              <w:outlineLvl w:val="2"/>
              <w:rPr>
                <w:sz w:val="20"/>
                <w:szCs w:val="20"/>
              </w:rPr>
            </w:pPr>
            <w:r>
              <w:rPr>
                <w:spacing w:val="5"/>
                <w:sz w:val="20"/>
                <w:szCs w:val="20"/>
              </w:rPr>
              <w:t>废物</w:t>
            </w:r>
          </w:p>
        </w:tc>
        <w:tc>
          <w:tcPr>
            <w:tcW w:w="5222" w:type="dxa"/>
            <w:vAlign w:val="top"/>
          </w:tcPr>
          <w:p w14:paraId="29D9D671">
            <w:pPr>
              <w:pStyle w:val="9"/>
              <w:spacing w:before="46" w:line="251" w:lineRule="auto"/>
              <w:ind w:left="114" w:right="91" w:firstLine="415"/>
              <w:outlineLvl w:val="2"/>
              <w:rPr>
                <w:sz w:val="20"/>
                <w:szCs w:val="20"/>
              </w:rPr>
            </w:pPr>
            <w:r>
              <w:rPr>
                <w:spacing w:val="8"/>
                <w:sz w:val="20"/>
                <w:szCs w:val="20"/>
              </w:rPr>
              <w:t>①升压站内生产设备维修垃圾和污油（废润滑油）收集后，暂存于危险废物暂存间，定期由有资质单位进</w:t>
            </w:r>
            <w:r>
              <w:rPr>
                <w:spacing w:val="4"/>
                <w:sz w:val="20"/>
                <w:szCs w:val="20"/>
              </w:rPr>
              <w:t>行处理；</w:t>
            </w:r>
          </w:p>
          <w:p w14:paraId="7467DD91">
            <w:pPr>
              <w:pStyle w:val="9"/>
              <w:spacing w:before="2" w:line="251" w:lineRule="auto"/>
              <w:ind w:left="111" w:right="99" w:firstLine="418"/>
              <w:outlineLvl w:val="2"/>
              <w:rPr>
                <w:sz w:val="20"/>
                <w:szCs w:val="20"/>
              </w:rPr>
            </w:pPr>
            <w:r>
              <w:rPr>
                <w:spacing w:val="8"/>
                <w:sz w:val="20"/>
                <w:szCs w:val="20"/>
              </w:rPr>
              <w:t>②升压站直流系统中废铅蓄电池，更换后暂存于危</w:t>
            </w:r>
            <w:r>
              <w:rPr>
                <w:spacing w:val="7"/>
                <w:sz w:val="20"/>
                <w:szCs w:val="20"/>
              </w:rPr>
              <w:t>险废物暂存间，暂存时间为</w:t>
            </w:r>
            <w:r>
              <w:rPr>
                <w:spacing w:val="-21"/>
                <w:sz w:val="20"/>
                <w:szCs w:val="20"/>
              </w:rPr>
              <w:t xml:space="preserve"> </w:t>
            </w:r>
            <w:r>
              <w:rPr>
                <w:rFonts w:ascii="Times New Roman" w:hAnsi="Times New Roman" w:eastAsia="Times New Roman" w:cs="Times New Roman"/>
                <w:spacing w:val="7"/>
                <w:sz w:val="20"/>
                <w:szCs w:val="20"/>
              </w:rPr>
              <w:t xml:space="preserve">3 </w:t>
            </w:r>
            <w:r>
              <w:rPr>
                <w:spacing w:val="7"/>
                <w:sz w:val="20"/>
                <w:szCs w:val="20"/>
              </w:rPr>
              <w:t>个月，定期由有资质的单</w:t>
            </w:r>
            <w:r>
              <w:rPr>
                <w:spacing w:val="6"/>
                <w:sz w:val="20"/>
                <w:szCs w:val="20"/>
              </w:rPr>
              <w:t>位回收处置；</w:t>
            </w:r>
          </w:p>
          <w:p w14:paraId="7CE8F710">
            <w:pPr>
              <w:pStyle w:val="9"/>
              <w:spacing w:line="226" w:lineRule="auto"/>
              <w:ind w:left="110" w:right="99" w:firstLine="419"/>
              <w:outlineLvl w:val="2"/>
              <w:rPr>
                <w:sz w:val="20"/>
                <w:szCs w:val="20"/>
              </w:rPr>
            </w:pPr>
            <w:r>
              <w:rPr>
                <w:spacing w:val="8"/>
                <w:sz w:val="20"/>
                <w:szCs w:val="20"/>
              </w:rPr>
              <w:t>③升压站主变事故废油经主变下方储油坑收集，暂</w:t>
            </w:r>
            <w:r>
              <w:rPr>
                <w:spacing w:val="9"/>
                <w:sz w:val="20"/>
                <w:szCs w:val="20"/>
              </w:rPr>
              <w:t>存于主变事故油池后，定期由有资质单位进行处理。</w:t>
            </w:r>
          </w:p>
        </w:tc>
        <w:tc>
          <w:tcPr>
            <w:tcW w:w="824" w:type="dxa"/>
            <w:vAlign w:val="top"/>
          </w:tcPr>
          <w:p w14:paraId="2FF915B9">
            <w:pPr>
              <w:spacing w:line="309" w:lineRule="auto"/>
              <w:rPr>
                <w:rFonts w:ascii="Arial"/>
                <w:sz w:val="21"/>
              </w:rPr>
            </w:pPr>
          </w:p>
          <w:p w14:paraId="5466BFC1">
            <w:pPr>
              <w:spacing w:line="309" w:lineRule="auto"/>
              <w:rPr>
                <w:rFonts w:ascii="Arial"/>
                <w:sz w:val="21"/>
              </w:rPr>
            </w:pPr>
          </w:p>
          <w:p w14:paraId="4DF5388F">
            <w:pPr>
              <w:spacing w:line="310" w:lineRule="auto"/>
              <w:rPr>
                <w:rFonts w:ascii="Arial"/>
                <w:sz w:val="21"/>
              </w:rPr>
            </w:pPr>
          </w:p>
          <w:p w14:paraId="3E81F560">
            <w:pPr>
              <w:pStyle w:val="9"/>
              <w:spacing w:before="65" w:line="229" w:lineRule="auto"/>
              <w:ind w:left="237"/>
              <w:rPr>
                <w:sz w:val="20"/>
                <w:szCs w:val="20"/>
              </w:rPr>
            </w:pPr>
            <w:r>
              <w:rPr>
                <w:spacing w:val="-7"/>
                <w:sz w:val="20"/>
                <w:szCs w:val="20"/>
              </w:rPr>
              <w:t>已建</w:t>
            </w:r>
          </w:p>
        </w:tc>
        <w:tc>
          <w:tcPr>
            <w:tcW w:w="123" w:type="dxa"/>
            <w:tcBorders>
              <w:top w:val="nil"/>
              <w:bottom w:val="nil"/>
              <w:right w:val="single" w:color="000000" w:sz="6" w:space="0"/>
            </w:tcBorders>
            <w:vAlign w:val="top"/>
          </w:tcPr>
          <w:p w14:paraId="7B6C483A">
            <w:pPr>
              <w:rPr>
                <w:rFonts w:ascii="Arial"/>
                <w:sz w:val="21"/>
              </w:rPr>
            </w:pPr>
          </w:p>
        </w:tc>
      </w:tr>
      <w:tr w14:paraId="4CDD17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2" w:hRule="atLeast"/>
        </w:trPr>
        <w:tc>
          <w:tcPr>
            <w:tcW w:w="776" w:type="dxa"/>
            <w:vMerge w:val="continue"/>
            <w:tcBorders>
              <w:top w:val="nil"/>
              <w:left w:val="single" w:color="000000" w:sz="6" w:space="0"/>
              <w:bottom w:val="single" w:color="000000" w:sz="6" w:space="0"/>
            </w:tcBorders>
            <w:vAlign w:val="top"/>
          </w:tcPr>
          <w:p w14:paraId="1C50E8DF">
            <w:pPr>
              <w:rPr>
                <w:rFonts w:ascii="Arial"/>
                <w:sz w:val="21"/>
              </w:rPr>
            </w:pPr>
          </w:p>
        </w:tc>
        <w:tc>
          <w:tcPr>
            <w:tcW w:w="113" w:type="dxa"/>
            <w:tcBorders>
              <w:top w:val="nil"/>
              <w:bottom w:val="single" w:color="000000" w:sz="6" w:space="0"/>
            </w:tcBorders>
            <w:vAlign w:val="top"/>
          </w:tcPr>
          <w:p w14:paraId="6BB74253">
            <w:pPr>
              <w:rPr>
                <w:rFonts w:ascii="Arial"/>
                <w:sz w:val="21"/>
              </w:rPr>
            </w:pPr>
          </w:p>
        </w:tc>
        <w:tc>
          <w:tcPr>
            <w:tcW w:w="404" w:type="dxa"/>
            <w:vMerge w:val="continue"/>
            <w:tcBorders>
              <w:top w:val="nil"/>
              <w:bottom w:val="single" w:color="000000" w:sz="6" w:space="0"/>
            </w:tcBorders>
            <w:textDirection w:val="tbRlV"/>
            <w:vAlign w:val="top"/>
          </w:tcPr>
          <w:p w14:paraId="536F83CF">
            <w:pPr>
              <w:rPr>
                <w:rFonts w:ascii="Arial"/>
                <w:sz w:val="21"/>
              </w:rPr>
            </w:pPr>
          </w:p>
        </w:tc>
        <w:tc>
          <w:tcPr>
            <w:tcW w:w="1600" w:type="dxa"/>
            <w:gridSpan w:val="2"/>
            <w:tcBorders>
              <w:bottom w:val="single" w:color="000000" w:sz="6" w:space="0"/>
            </w:tcBorders>
            <w:vAlign w:val="top"/>
          </w:tcPr>
          <w:p w14:paraId="49BB169F">
            <w:pPr>
              <w:spacing w:line="263" w:lineRule="auto"/>
              <w:rPr>
                <w:rFonts w:ascii="Arial"/>
                <w:sz w:val="21"/>
              </w:rPr>
            </w:pPr>
          </w:p>
          <w:p w14:paraId="10937F71">
            <w:pPr>
              <w:spacing w:line="263" w:lineRule="auto"/>
              <w:rPr>
                <w:rFonts w:ascii="Arial"/>
                <w:sz w:val="21"/>
              </w:rPr>
            </w:pPr>
          </w:p>
          <w:p w14:paraId="201F369D">
            <w:pPr>
              <w:pStyle w:val="9"/>
              <w:spacing w:before="65" w:line="228" w:lineRule="auto"/>
              <w:ind w:left="383"/>
              <w:outlineLvl w:val="2"/>
              <w:rPr>
                <w:sz w:val="20"/>
                <w:szCs w:val="20"/>
              </w:rPr>
            </w:pPr>
            <w:r>
              <w:rPr>
                <w:spacing w:val="6"/>
                <w:sz w:val="20"/>
                <w:szCs w:val="20"/>
              </w:rPr>
              <w:t>生态保护</w:t>
            </w:r>
          </w:p>
        </w:tc>
        <w:tc>
          <w:tcPr>
            <w:tcW w:w="5222" w:type="dxa"/>
            <w:tcBorders>
              <w:bottom w:val="single" w:color="000000" w:sz="6" w:space="0"/>
            </w:tcBorders>
            <w:vAlign w:val="top"/>
          </w:tcPr>
          <w:p w14:paraId="5B09C769">
            <w:pPr>
              <w:pStyle w:val="9"/>
              <w:spacing w:before="51" w:line="251" w:lineRule="auto"/>
              <w:ind w:left="112" w:right="99" w:firstLine="418"/>
              <w:jc w:val="both"/>
              <w:rPr>
                <w:sz w:val="20"/>
                <w:szCs w:val="20"/>
              </w:rPr>
            </w:pPr>
            <w:r>
              <w:rPr>
                <w:spacing w:val="8"/>
                <w:sz w:val="20"/>
                <w:szCs w:val="20"/>
              </w:rPr>
              <w:t>施工结束后，分别对施工营地、施工道路、临时表土堆场等扰动区进行植被恢复。经现场勘查，本项目已</w:t>
            </w:r>
            <w:r>
              <w:rPr>
                <w:spacing w:val="6"/>
                <w:sz w:val="20"/>
                <w:szCs w:val="20"/>
              </w:rPr>
              <w:t>建成多年，项目建成后已进行植被恢复，</w:t>
            </w:r>
            <w:r>
              <w:rPr>
                <w:spacing w:val="-41"/>
                <w:sz w:val="20"/>
                <w:szCs w:val="20"/>
              </w:rPr>
              <w:t xml:space="preserve"> </w:t>
            </w:r>
            <w:r>
              <w:rPr>
                <w:spacing w:val="6"/>
                <w:sz w:val="20"/>
                <w:szCs w:val="20"/>
              </w:rPr>
              <w:t>目前已恢复至</w:t>
            </w:r>
            <w:r>
              <w:rPr>
                <w:spacing w:val="8"/>
                <w:sz w:val="20"/>
                <w:szCs w:val="20"/>
              </w:rPr>
              <w:t>周边环境现状水平</w:t>
            </w:r>
          </w:p>
          <w:p w14:paraId="4028D4E0">
            <w:pPr>
              <w:pStyle w:val="9"/>
              <w:spacing w:line="215" w:lineRule="auto"/>
              <w:ind w:left="530"/>
              <w:rPr>
                <w:sz w:val="20"/>
                <w:szCs w:val="20"/>
              </w:rPr>
            </w:pPr>
            <w:r>
              <w:rPr>
                <w:spacing w:val="4"/>
                <w:sz w:val="20"/>
                <w:szCs w:val="20"/>
              </w:rPr>
              <w:t>①施工营区（临时生活办公设施占地</w:t>
            </w:r>
            <w:r>
              <w:rPr>
                <w:spacing w:val="-36"/>
                <w:sz w:val="20"/>
                <w:szCs w:val="20"/>
              </w:rPr>
              <w:t xml:space="preserve"> </w:t>
            </w:r>
            <w:r>
              <w:rPr>
                <w:rFonts w:ascii="Times New Roman" w:hAnsi="Times New Roman" w:eastAsia="Times New Roman" w:cs="Times New Roman"/>
                <w:spacing w:val="4"/>
                <w:sz w:val="20"/>
                <w:szCs w:val="20"/>
              </w:rPr>
              <w:t>2000m</w:t>
            </w:r>
            <w:r>
              <w:rPr>
                <w:rFonts w:ascii="Times New Roman" w:hAnsi="Times New Roman" w:eastAsia="Times New Roman" w:cs="Times New Roman"/>
                <w:spacing w:val="4"/>
                <w:position w:val="6"/>
                <w:sz w:val="13"/>
                <w:szCs w:val="13"/>
              </w:rPr>
              <w:t>2</w:t>
            </w:r>
            <w:r>
              <w:rPr>
                <w:spacing w:val="4"/>
                <w:sz w:val="20"/>
                <w:szCs w:val="20"/>
              </w:rPr>
              <w:t>，临时</w:t>
            </w:r>
          </w:p>
        </w:tc>
        <w:tc>
          <w:tcPr>
            <w:tcW w:w="824" w:type="dxa"/>
            <w:tcBorders>
              <w:bottom w:val="single" w:color="000000" w:sz="6" w:space="0"/>
            </w:tcBorders>
            <w:vAlign w:val="top"/>
          </w:tcPr>
          <w:p w14:paraId="7FF1F84A">
            <w:pPr>
              <w:spacing w:line="390" w:lineRule="auto"/>
              <w:rPr>
                <w:rFonts w:ascii="Arial"/>
                <w:sz w:val="21"/>
              </w:rPr>
            </w:pPr>
          </w:p>
          <w:p w14:paraId="2B99190F">
            <w:pPr>
              <w:pStyle w:val="9"/>
              <w:spacing w:before="65" w:line="252" w:lineRule="auto"/>
              <w:ind w:left="325" w:right="194" w:hanging="88"/>
              <w:rPr>
                <w:sz w:val="20"/>
                <w:szCs w:val="20"/>
              </w:rPr>
            </w:pPr>
            <w:r>
              <w:rPr>
                <w:spacing w:val="-7"/>
                <w:sz w:val="20"/>
                <w:szCs w:val="20"/>
              </w:rPr>
              <w:t>已恢</w:t>
            </w:r>
            <w:r>
              <w:rPr>
                <w:sz w:val="20"/>
                <w:szCs w:val="20"/>
              </w:rPr>
              <w:t>复</w:t>
            </w:r>
          </w:p>
        </w:tc>
        <w:tc>
          <w:tcPr>
            <w:tcW w:w="123" w:type="dxa"/>
            <w:tcBorders>
              <w:top w:val="nil"/>
              <w:bottom w:val="single" w:color="000000" w:sz="6" w:space="0"/>
              <w:right w:val="single" w:color="000000" w:sz="6" w:space="0"/>
            </w:tcBorders>
            <w:vAlign w:val="top"/>
          </w:tcPr>
          <w:p w14:paraId="691F98F3">
            <w:pPr>
              <w:rPr>
                <w:rFonts w:ascii="Arial"/>
                <w:sz w:val="21"/>
              </w:rPr>
            </w:pPr>
          </w:p>
        </w:tc>
      </w:tr>
    </w:tbl>
    <w:p w14:paraId="410F7E4A">
      <w:pPr>
        <w:pStyle w:val="3"/>
      </w:pPr>
    </w:p>
    <w:p w14:paraId="7E9C7D36">
      <w:pPr>
        <w:sectPr>
          <w:footerReference r:id="rId22" w:type="default"/>
          <w:pgSz w:w="11906" w:h="16838"/>
          <w:pgMar w:top="1416" w:right="1414" w:bottom="1295" w:left="1414" w:header="0" w:footer="1133" w:gutter="0"/>
          <w:cols w:space="720" w:num="1"/>
        </w:sectPr>
      </w:pPr>
    </w:p>
    <w:tbl>
      <w:tblPr>
        <w:tblStyle w:val="8"/>
        <w:tblW w:w="9062"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6"/>
        <w:gridCol w:w="113"/>
        <w:gridCol w:w="404"/>
        <w:gridCol w:w="1600"/>
        <w:gridCol w:w="5222"/>
        <w:gridCol w:w="824"/>
        <w:gridCol w:w="123"/>
      </w:tblGrid>
      <w:tr w14:paraId="5B889D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6" w:hRule="atLeast"/>
        </w:trPr>
        <w:tc>
          <w:tcPr>
            <w:tcW w:w="776" w:type="dxa"/>
            <w:vMerge w:val="restart"/>
            <w:tcBorders>
              <w:top w:val="single" w:color="000000" w:sz="6" w:space="0"/>
              <w:left w:val="single" w:color="000000" w:sz="6" w:space="0"/>
              <w:bottom w:val="nil"/>
            </w:tcBorders>
            <w:vAlign w:val="top"/>
          </w:tcPr>
          <w:p w14:paraId="690A002C">
            <w:pPr>
              <w:rPr>
                <w:rFonts w:ascii="Arial"/>
                <w:sz w:val="21"/>
              </w:rPr>
            </w:pPr>
          </w:p>
        </w:tc>
        <w:tc>
          <w:tcPr>
            <w:tcW w:w="113" w:type="dxa"/>
            <w:tcBorders>
              <w:top w:val="single" w:color="000000" w:sz="6" w:space="0"/>
              <w:bottom w:val="nil"/>
            </w:tcBorders>
            <w:vAlign w:val="top"/>
          </w:tcPr>
          <w:p w14:paraId="5A600BFC">
            <w:pPr>
              <w:rPr>
                <w:rFonts w:ascii="Arial"/>
                <w:sz w:val="21"/>
              </w:rPr>
            </w:pPr>
          </w:p>
        </w:tc>
        <w:tc>
          <w:tcPr>
            <w:tcW w:w="404" w:type="dxa"/>
            <w:tcBorders>
              <w:top w:val="single" w:color="000000" w:sz="6" w:space="0"/>
            </w:tcBorders>
            <w:vAlign w:val="top"/>
          </w:tcPr>
          <w:p w14:paraId="56611A9F">
            <w:pPr>
              <w:rPr>
                <w:rFonts w:ascii="Arial"/>
                <w:sz w:val="21"/>
              </w:rPr>
            </w:pPr>
          </w:p>
        </w:tc>
        <w:tc>
          <w:tcPr>
            <w:tcW w:w="1600" w:type="dxa"/>
            <w:tcBorders>
              <w:top w:val="single" w:color="000000" w:sz="6" w:space="0"/>
            </w:tcBorders>
            <w:vAlign w:val="top"/>
          </w:tcPr>
          <w:p w14:paraId="47E07F05">
            <w:pPr>
              <w:rPr>
                <w:rFonts w:ascii="Arial"/>
                <w:sz w:val="21"/>
              </w:rPr>
            </w:pPr>
          </w:p>
        </w:tc>
        <w:tc>
          <w:tcPr>
            <w:tcW w:w="5222" w:type="dxa"/>
            <w:tcBorders>
              <w:top w:val="single" w:color="000000" w:sz="6" w:space="0"/>
            </w:tcBorders>
            <w:vAlign w:val="top"/>
          </w:tcPr>
          <w:p w14:paraId="13A95FB9">
            <w:pPr>
              <w:pStyle w:val="9"/>
              <w:spacing w:before="37" w:line="249" w:lineRule="auto"/>
              <w:ind w:left="109" w:right="99" w:firstLine="3"/>
              <w:jc w:val="both"/>
              <w:rPr>
                <w:sz w:val="20"/>
                <w:szCs w:val="20"/>
              </w:rPr>
            </w:pPr>
            <w:r>
              <w:rPr>
                <w:spacing w:val="4"/>
                <w:sz w:val="20"/>
                <w:szCs w:val="20"/>
              </w:rPr>
              <w:t>生产设施占地</w:t>
            </w:r>
            <w:r>
              <w:rPr>
                <w:spacing w:val="-26"/>
                <w:sz w:val="20"/>
                <w:szCs w:val="20"/>
              </w:rPr>
              <w:t xml:space="preserve"> </w:t>
            </w:r>
            <w:r>
              <w:rPr>
                <w:rFonts w:ascii="Times New Roman" w:hAnsi="Times New Roman" w:eastAsia="Times New Roman" w:cs="Times New Roman"/>
                <w:spacing w:val="4"/>
                <w:sz w:val="20"/>
                <w:szCs w:val="20"/>
              </w:rPr>
              <w:t>3000m</w:t>
            </w:r>
            <w:r>
              <w:rPr>
                <w:rFonts w:ascii="Times New Roman" w:hAnsi="Times New Roman" w:eastAsia="Times New Roman" w:cs="Times New Roman"/>
                <w:spacing w:val="4"/>
                <w:position w:val="1"/>
                <w:sz w:val="13"/>
                <w:szCs w:val="13"/>
              </w:rPr>
              <w:t>2</w:t>
            </w:r>
            <w:r>
              <w:rPr>
                <w:spacing w:val="4"/>
                <w:position w:val="1"/>
                <w:sz w:val="20"/>
                <w:szCs w:val="20"/>
              </w:rPr>
              <w:t>）</w:t>
            </w:r>
            <w:r>
              <w:rPr>
                <w:spacing w:val="4"/>
                <w:sz w:val="20"/>
                <w:szCs w:val="20"/>
              </w:rPr>
              <w:t>等临时建筑位于升压站南侧，采</w:t>
            </w:r>
            <w:r>
              <w:rPr>
                <w:spacing w:val="6"/>
                <w:sz w:val="20"/>
                <w:szCs w:val="20"/>
              </w:rPr>
              <w:t>用简易拼装方式，减轻了对土壤及植被的破坏，</w:t>
            </w:r>
            <w:r>
              <w:rPr>
                <w:spacing w:val="-38"/>
                <w:sz w:val="20"/>
                <w:szCs w:val="20"/>
              </w:rPr>
              <w:t xml:space="preserve"> </w:t>
            </w:r>
            <w:r>
              <w:rPr>
                <w:spacing w:val="6"/>
                <w:sz w:val="20"/>
                <w:szCs w:val="20"/>
              </w:rPr>
              <w:t>目前，</w:t>
            </w:r>
            <w:r>
              <w:rPr>
                <w:spacing w:val="8"/>
                <w:sz w:val="20"/>
                <w:szCs w:val="20"/>
              </w:rPr>
              <w:t>已对施工营地等临时建筑进行拆除，建筑垃圾已及时清运，清运后进行了表土回覆并播撒草种，恢复草种为披</w:t>
            </w:r>
            <w:r>
              <w:rPr>
                <w:spacing w:val="6"/>
                <w:sz w:val="20"/>
                <w:szCs w:val="20"/>
              </w:rPr>
              <w:t>碱草，扰动面积恢复率</w:t>
            </w:r>
            <w:r>
              <w:rPr>
                <w:spacing w:val="-22"/>
                <w:sz w:val="20"/>
                <w:szCs w:val="20"/>
              </w:rPr>
              <w:t xml:space="preserve"> </w:t>
            </w:r>
            <w:r>
              <w:rPr>
                <w:rFonts w:ascii="Times New Roman" w:hAnsi="Times New Roman" w:eastAsia="Times New Roman" w:cs="Times New Roman"/>
                <w:spacing w:val="6"/>
                <w:sz w:val="20"/>
                <w:szCs w:val="20"/>
              </w:rPr>
              <w:t>100%</w:t>
            </w:r>
            <w:r>
              <w:rPr>
                <w:rFonts w:ascii="Times New Roman" w:hAnsi="Times New Roman" w:eastAsia="Times New Roman" w:cs="Times New Roman"/>
                <w:spacing w:val="-24"/>
                <w:sz w:val="20"/>
                <w:szCs w:val="20"/>
              </w:rPr>
              <w:t xml:space="preserve"> </w:t>
            </w:r>
            <w:r>
              <w:rPr>
                <w:spacing w:val="6"/>
                <w:sz w:val="20"/>
                <w:szCs w:val="20"/>
              </w:rPr>
              <w:t>，植被覆盖度</w:t>
            </w:r>
            <w:r>
              <w:rPr>
                <w:rFonts w:ascii="Times New Roman" w:hAnsi="Times New Roman" w:eastAsia="Times New Roman" w:cs="Times New Roman"/>
                <w:spacing w:val="6"/>
                <w:sz w:val="20"/>
                <w:szCs w:val="20"/>
              </w:rPr>
              <w:t>≥60</w:t>
            </w:r>
            <w:r>
              <w:rPr>
                <w:rFonts w:ascii="Times New Roman" w:hAnsi="Times New Roman" w:eastAsia="Times New Roman" w:cs="Times New Roman"/>
                <w:spacing w:val="5"/>
                <w:sz w:val="20"/>
                <w:szCs w:val="20"/>
              </w:rPr>
              <w:t>%</w:t>
            </w:r>
            <w:r>
              <w:rPr>
                <w:spacing w:val="5"/>
                <w:sz w:val="20"/>
                <w:szCs w:val="20"/>
              </w:rPr>
              <w:t>；</w:t>
            </w:r>
          </w:p>
          <w:p w14:paraId="2C5A7715">
            <w:pPr>
              <w:pStyle w:val="9"/>
              <w:spacing w:before="1" w:line="246" w:lineRule="auto"/>
              <w:ind w:left="116" w:right="99" w:firstLine="413"/>
              <w:rPr>
                <w:sz w:val="20"/>
                <w:szCs w:val="20"/>
              </w:rPr>
            </w:pPr>
            <w:r>
              <w:rPr>
                <w:spacing w:val="5"/>
                <w:sz w:val="20"/>
                <w:szCs w:val="20"/>
              </w:rPr>
              <w:t>②临时表土堆场（占地</w:t>
            </w:r>
            <w:r>
              <w:rPr>
                <w:spacing w:val="-19"/>
                <w:sz w:val="20"/>
                <w:szCs w:val="20"/>
              </w:rPr>
              <w:t xml:space="preserve"> </w:t>
            </w:r>
            <w:r>
              <w:rPr>
                <w:rFonts w:ascii="Times New Roman" w:hAnsi="Times New Roman" w:eastAsia="Times New Roman" w:cs="Times New Roman"/>
                <w:spacing w:val="5"/>
                <w:sz w:val="20"/>
                <w:szCs w:val="20"/>
              </w:rPr>
              <w:t>1500m</w:t>
            </w:r>
            <w:r>
              <w:rPr>
                <w:rFonts w:ascii="Times New Roman" w:hAnsi="Times New Roman" w:eastAsia="Times New Roman" w:cs="Times New Roman"/>
                <w:spacing w:val="5"/>
                <w:position w:val="1"/>
                <w:sz w:val="13"/>
                <w:szCs w:val="13"/>
              </w:rPr>
              <w:t xml:space="preserve">2 </w:t>
            </w:r>
            <w:r>
              <w:rPr>
                <w:spacing w:val="-34"/>
                <w:position w:val="1"/>
                <w:sz w:val="20"/>
                <w:szCs w:val="20"/>
              </w:rPr>
              <w:t>）</w:t>
            </w:r>
            <w:r>
              <w:rPr>
                <w:spacing w:val="-34"/>
                <w:sz w:val="20"/>
                <w:szCs w:val="20"/>
              </w:rPr>
              <w:t>，</w:t>
            </w:r>
            <w:r>
              <w:rPr>
                <w:spacing w:val="5"/>
                <w:sz w:val="20"/>
                <w:szCs w:val="20"/>
              </w:rPr>
              <w:t>位于升压站占地范围内，</w:t>
            </w:r>
            <w:r>
              <w:rPr>
                <w:spacing w:val="-42"/>
                <w:sz w:val="20"/>
                <w:szCs w:val="20"/>
              </w:rPr>
              <w:t xml:space="preserve"> </w:t>
            </w:r>
            <w:r>
              <w:rPr>
                <w:spacing w:val="5"/>
                <w:sz w:val="20"/>
                <w:szCs w:val="20"/>
              </w:rPr>
              <w:t>目前升压站已全部进行硬化；</w:t>
            </w:r>
          </w:p>
          <w:p w14:paraId="331A2F2A">
            <w:pPr>
              <w:pStyle w:val="9"/>
              <w:spacing w:before="2" w:line="251" w:lineRule="auto"/>
              <w:ind w:left="110" w:right="99" w:firstLine="419"/>
              <w:rPr>
                <w:sz w:val="20"/>
                <w:szCs w:val="20"/>
              </w:rPr>
            </w:pPr>
            <w:r>
              <w:rPr>
                <w:spacing w:val="8"/>
                <w:sz w:val="20"/>
                <w:szCs w:val="20"/>
              </w:rPr>
              <w:t>③施工道路，依托风场施工道路，道路施工时已将表层土与下层土分开，单独收集并保存表层土，施工结束后用于施工营地表土覆盖；</w:t>
            </w:r>
          </w:p>
          <w:p w14:paraId="5242727F">
            <w:pPr>
              <w:pStyle w:val="9"/>
              <w:spacing w:before="2" w:line="238" w:lineRule="auto"/>
              <w:ind w:left="110" w:right="99" w:firstLine="419"/>
              <w:rPr>
                <w:sz w:val="20"/>
                <w:szCs w:val="20"/>
              </w:rPr>
            </w:pPr>
            <w:r>
              <w:rPr>
                <w:spacing w:val="8"/>
                <w:sz w:val="20"/>
                <w:szCs w:val="20"/>
              </w:rPr>
              <w:t>④升压站生活管理区进行绿化，生活区围墙周围进</w:t>
            </w:r>
            <w:r>
              <w:rPr>
                <w:spacing w:val="5"/>
                <w:sz w:val="20"/>
                <w:szCs w:val="20"/>
              </w:rPr>
              <w:t>行绿化，种植披碱草为主。绿化面积</w:t>
            </w:r>
            <w:r>
              <w:rPr>
                <w:spacing w:val="-43"/>
                <w:sz w:val="20"/>
                <w:szCs w:val="20"/>
              </w:rPr>
              <w:t xml:space="preserve"> </w:t>
            </w:r>
            <w:r>
              <w:rPr>
                <w:rFonts w:ascii="Times New Roman" w:hAnsi="Times New Roman" w:eastAsia="Times New Roman" w:cs="Times New Roman"/>
                <w:spacing w:val="5"/>
                <w:sz w:val="20"/>
                <w:szCs w:val="20"/>
              </w:rPr>
              <w:t>200</w:t>
            </w:r>
            <w:r>
              <w:rPr>
                <w:rFonts w:ascii="Times New Roman" w:hAnsi="Times New Roman" w:eastAsia="Times New Roman" w:cs="Times New Roman"/>
                <w:spacing w:val="4"/>
                <w:sz w:val="20"/>
                <w:szCs w:val="20"/>
              </w:rPr>
              <w:t>0m</w:t>
            </w:r>
            <w:r>
              <w:rPr>
                <w:rFonts w:ascii="Times New Roman" w:hAnsi="Times New Roman" w:eastAsia="Times New Roman" w:cs="Times New Roman"/>
                <w:spacing w:val="4"/>
                <w:position w:val="6"/>
                <w:sz w:val="13"/>
                <w:szCs w:val="13"/>
              </w:rPr>
              <w:t>2</w:t>
            </w:r>
            <w:r>
              <w:rPr>
                <w:spacing w:val="4"/>
                <w:sz w:val="20"/>
                <w:szCs w:val="20"/>
              </w:rPr>
              <w:t>，绿化覆盖</w:t>
            </w:r>
            <w:r>
              <w:rPr>
                <w:spacing w:val="3"/>
                <w:sz w:val="20"/>
                <w:szCs w:val="20"/>
              </w:rPr>
              <w:t>度为</w:t>
            </w:r>
            <w:r>
              <w:rPr>
                <w:spacing w:val="-35"/>
                <w:sz w:val="20"/>
                <w:szCs w:val="20"/>
              </w:rPr>
              <w:t xml:space="preserve"> </w:t>
            </w:r>
            <w:r>
              <w:rPr>
                <w:rFonts w:ascii="Times New Roman" w:hAnsi="Times New Roman" w:eastAsia="Times New Roman" w:cs="Times New Roman"/>
                <w:spacing w:val="3"/>
                <w:sz w:val="20"/>
                <w:szCs w:val="20"/>
              </w:rPr>
              <w:t>4.81%</w:t>
            </w:r>
            <w:r>
              <w:rPr>
                <w:spacing w:val="3"/>
                <w:sz w:val="20"/>
                <w:szCs w:val="20"/>
              </w:rPr>
              <w:t>；</w:t>
            </w:r>
          </w:p>
        </w:tc>
        <w:tc>
          <w:tcPr>
            <w:tcW w:w="824" w:type="dxa"/>
            <w:tcBorders>
              <w:top w:val="single" w:color="000000" w:sz="6" w:space="0"/>
            </w:tcBorders>
            <w:vAlign w:val="top"/>
          </w:tcPr>
          <w:p w14:paraId="7CC9000F">
            <w:pPr>
              <w:rPr>
                <w:rFonts w:ascii="Arial"/>
                <w:sz w:val="21"/>
              </w:rPr>
            </w:pPr>
          </w:p>
        </w:tc>
        <w:tc>
          <w:tcPr>
            <w:tcW w:w="123" w:type="dxa"/>
            <w:tcBorders>
              <w:top w:val="single" w:color="000000" w:sz="6" w:space="0"/>
              <w:bottom w:val="nil"/>
              <w:right w:val="single" w:color="000000" w:sz="6" w:space="0"/>
            </w:tcBorders>
            <w:vAlign w:val="top"/>
          </w:tcPr>
          <w:p w14:paraId="2D3C2354">
            <w:pPr>
              <w:rPr>
                <w:rFonts w:ascii="Arial"/>
                <w:sz w:val="21"/>
              </w:rPr>
            </w:pPr>
          </w:p>
        </w:tc>
      </w:tr>
      <w:tr w14:paraId="67F78B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2" w:hRule="atLeast"/>
        </w:trPr>
        <w:tc>
          <w:tcPr>
            <w:tcW w:w="776" w:type="dxa"/>
            <w:vMerge w:val="continue"/>
            <w:tcBorders>
              <w:top w:val="nil"/>
              <w:left w:val="single" w:color="000000" w:sz="6" w:space="0"/>
              <w:bottom w:val="nil"/>
            </w:tcBorders>
            <w:vAlign w:val="top"/>
          </w:tcPr>
          <w:p w14:paraId="1113479A">
            <w:pPr>
              <w:rPr>
                <w:rFonts w:ascii="Arial"/>
                <w:sz w:val="21"/>
              </w:rPr>
            </w:pPr>
          </w:p>
        </w:tc>
        <w:tc>
          <w:tcPr>
            <w:tcW w:w="113" w:type="dxa"/>
            <w:tcBorders>
              <w:top w:val="nil"/>
              <w:bottom w:val="nil"/>
            </w:tcBorders>
            <w:vAlign w:val="top"/>
          </w:tcPr>
          <w:p w14:paraId="459A12E0">
            <w:pPr>
              <w:rPr>
                <w:rFonts w:ascii="Arial"/>
                <w:sz w:val="21"/>
              </w:rPr>
            </w:pPr>
          </w:p>
        </w:tc>
        <w:tc>
          <w:tcPr>
            <w:tcW w:w="404" w:type="dxa"/>
            <w:textDirection w:val="tbRlV"/>
            <w:vAlign w:val="top"/>
          </w:tcPr>
          <w:p w14:paraId="5133BAF2">
            <w:pPr>
              <w:pStyle w:val="9"/>
              <w:spacing w:before="91" w:line="217" w:lineRule="auto"/>
              <w:ind w:left="2621"/>
              <w:outlineLvl w:val="2"/>
              <w:rPr>
                <w:sz w:val="20"/>
                <w:szCs w:val="20"/>
              </w:rPr>
            </w:pPr>
            <w:r>
              <w:rPr>
                <w:spacing w:val="8"/>
                <w:sz w:val="20"/>
                <w:szCs w:val="20"/>
              </w:rPr>
              <w:t>环</w:t>
            </w:r>
            <w:r>
              <w:rPr>
                <w:spacing w:val="-36"/>
                <w:sz w:val="20"/>
                <w:szCs w:val="20"/>
              </w:rPr>
              <w:t xml:space="preserve"> </w:t>
            </w:r>
            <w:r>
              <w:rPr>
                <w:spacing w:val="8"/>
                <w:sz w:val="20"/>
                <w:szCs w:val="20"/>
              </w:rPr>
              <w:t>保</w:t>
            </w:r>
            <w:r>
              <w:rPr>
                <w:spacing w:val="-35"/>
                <w:sz w:val="20"/>
                <w:szCs w:val="20"/>
              </w:rPr>
              <w:t xml:space="preserve"> </w:t>
            </w:r>
            <w:r>
              <w:rPr>
                <w:spacing w:val="8"/>
                <w:sz w:val="20"/>
                <w:szCs w:val="20"/>
              </w:rPr>
              <w:t>工</w:t>
            </w:r>
            <w:r>
              <w:rPr>
                <w:spacing w:val="-38"/>
                <w:sz w:val="20"/>
                <w:szCs w:val="20"/>
              </w:rPr>
              <w:t xml:space="preserve"> </w:t>
            </w:r>
            <w:r>
              <w:rPr>
                <w:spacing w:val="8"/>
                <w:sz w:val="20"/>
                <w:szCs w:val="20"/>
              </w:rPr>
              <w:t>程</w:t>
            </w:r>
          </w:p>
        </w:tc>
        <w:tc>
          <w:tcPr>
            <w:tcW w:w="1600" w:type="dxa"/>
            <w:vAlign w:val="top"/>
          </w:tcPr>
          <w:p w14:paraId="615710CB">
            <w:pPr>
              <w:spacing w:line="245" w:lineRule="auto"/>
              <w:rPr>
                <w:rFonts w:ascii="Arial"/>
                <w:sz w:val="21"/>
              </w:rPr>
            </w:pPr>
          </w:p>
          <w:p w14:paraId="034AE802">
            <w:pPr>
              <w:spacing w:line="245" w:lineRule="auto"/>
              <w:rPr>
                <w:rFonts w:ascii="Arial"/>
                <w:sz w:val="21"/>
              </w:rPr>
            </w:pPr>
          </w:p>
          <w:p w14:paraId="4CCAF02E">
            <w:pPr>
              <w:spacing w:line="245" w:lineRule="auto"/>
              <w:rPr>
                <w:rFonts w:ascii="Arial"/>
                <w:sz w:val="21"/>
              </w:rPr>
            </w:pPr>
          </w:p>
          <w:p w14:paraId="6340AA0E">
            <w:pPr>
              <w:spacing w:line="245" w:lineRule="auto"/>
              <w:rPr>
                <w:rFonts w:ascii="Arial"/>
                <w:sz w:val="21"/>
              </w:rPr>
            </w:pPr>
          </w:p>
          <w:p w14:paraId="79234C40">
            <w:pPr>
              <w:spacing w:line="245" w:lineRule="auto"/>
              <w:rPr>
                <w:rFonts w:ascii="Arial"/>
                <w:sz w:val="21"/>
              </w:rPr>
            </w:pPr>
          </w:p>
          <w:p w14:paraId="47939A5B">
            <w:pPr>
              <w:spacing w:line="245" w:lineRule="auto"/>
              <w:rPr>
                <w:rFonts w:ascii="Arial"/>
                <w:sz w:val="21"/>
              </w:rPr>
            </w:pPr>
          </w:p>
          <w:p w14:paraId="180413B9">
            <w:pPr>
              <w:spacing w:line="246" w:lineRule="auto"/>
              <w:rPr>
                <w:rFonts w:ascii="Arial"/>
                <w:sz w:val="21"/>
              </w:rPr>
            </w:pPr>
          </w:p>
          <w:p w14:paraId="304A657D">
            <w:pPr>
              <w:spacing w:line="246" w:lineRule="auto"/>
              <w:rPr>
                <w:rFonts w:ascii="Arial"/>
                <w:sz w:val="21"/>
              </w:rPr>
            </w:pPr>
          </w:p>
          <w:p w14:paraId="4EE9E339">
            <w:pPr>
              <w:spacing w:line="246" w:lineRule="auto"/>
              <w:rPr>
                <w:rFonts w:ascii="Arial"/>
                <w:sz w:val="21"/>
              </w:rPr>
            </w:pPr>
          </w:p>
          <w:p w14:paraId="25A37F7F">
            <w:pPr>
              <w:spacing w:line="246" w:lineRule="auto"/>
              <w:rPr>
                <w:rFonts w:ascii="Arial"/>
                <w:sz w:val="21"/>
              </w:rPr>
            </w:pPr>
          </w:p>
          <w:p w14:paraId="33D5EEC0">
            <w:pPr>
              <w:spacing w:line="246" w:lineRule="auto"/>
              <w:rPr>
                <w:rFonts w:ascii="Arial"/>
                <w:sz w:val="21"/>
              </w:rPr>
            </w:pPr>
          </w:p>
          <w:p w14:paraId="60538FE5">
            <w:pPr>
              <w:spacing w:line="246" w:lineRule="auto"/>
              <w:rPr>
                <w:rFonts w:ascii="Arial"/>
                <w:sz w:val="21"/>
              </w:rPr>
            </w:pPr>
          </w:p>
          <w:p w14:paraId="61D3D5F5">
            <w:pPr>
              <w:pStyle w:val="9"/>
              <w:spacing w:before="65" w:line="228" w:lineRule="auto"/>
              <w:ind w:left="278"/>
              <w:outlineLvl w:val="2"/>
              <w:rPr>
                <w:sz w:val="20"/>
                <w:szCs w:val="20"/>
              </w:rPr>
            </w:pPr>
            <w:r>
              <w:rPr>
                <w:spacing w:val="7"/>
                <w:sz w:val="20"/>
                <w:szCs w:val="20"/>
              </w:rPr>
              <w:t>危废暂存间</w:t>
            </w:r>
          </w:p>
        </w:tc>
        <w:tc>
          <w:tcPr>
            <w:tcW w:w="5222" w:type="dxa"/>
            <w:vAlign w:val="top"/>
          </w:tcPr>
          <w:p w14:paraId="33ED955A">
            <w:pPr>
              <w:pStyle w:val="9"/>
              <w:spacing w:before="34" w:line="227" w:lineRule="auto"/>
              <w:ind w:left="532"/>
              <w:rPr>
                <w:sz w:val="20"/>
                <w:szCs w:val="20"/>
              </w:rPr>
            </w:pPr>
            <w:r>
              <w:rPr>
                <w:spacing w:val="6"/>
                <w:sz w:val="20"/>
                <w:szCs w:val="20"/>
              </w:rPr>
              <w:t>本项目升压站东北角建设</w:t>
            </w:r>
            <w:r>
              <w:rPr>
                <w:spacing w:val="-5"/>
                <w:sz w:val="20"/>
                <w:szCs w:val="20"/>
              </w:rPr>
              <w:t xml:space="preserve"> </w:t>
            </w:r>
            <w:r>
              <w:rPr>
                <w:rFonts w:ascii="Times New Roman" w:hAnsi="Times New Roman" w:eastAsia="Times New Roman" w:cs="Times New Roman"/>
                <w:spacing w:val="6"/>
                <w:sz w:val="20"/>
                <w:szCs w:val="20"/>
              </w:rPr>
              <w:t xml:space="preserve">1 </w:t>
            </w:r>
            <w:r>
              <w:rPr>
                <w:spacing w:val="6"/>
                <w:sz w:val="20"/>
                <w:szCs w:val="20"/>
              </w:rPr>
              <w:t>座危废暂存间。为单层</w:t>
            </w:r>
          </w:p>
          <w:p w14:paraId="45B1853D">
            <w:pPr>
              <w:pStyle w:val="9"/>
              <w:spacing w:before="27" w:line="228" w:lineRule="auto"/>
              <w:ind w:left="109"/>
              <w:outlineLvl w:val="2"/>
              <w:rPr>
                <w:sz w:val="20"/>
                <w:szCs w:val="20"/>
              </w:rPr>
            </w:pPr>
            <w:r>
              <w:rPr>
                <w:spacing w:val="11"/>
                <w:sz w:val="20"/>
                <w:szCs w:val="20"/>
              </w:rPr>
              <w:t>钢筋混凝土框架结构，建筑面积</w:t>
            </w:r>
            <w:r>
              <w:rPr>
                <w:spacing w:val="-30"/>
                <w:sz w:val="20"/>
                <w:szCs w:val="20"/>
              </w:rPr>
              <w:t xml:space="preserve"> </w:t>
            </w:r>
            <w:r>
              <w:rPr>
                <w:rFonts w:ascii="Times New Roman" w:hAnsi="Times New Roman" w:eastAsia="Times New Roman" w:cs="Times New Roman"/>
                <w:spacing w:val="11"/>
                <w:sz w:val="20"/>
                <w:szCs w:val="20"/>
              </w:rPr>
              <w:t>57m</w:t>
            </w:r>
            <w:r>
              <w:rPr>
                <w:rFonts w:ascii="Times New Roman" w:hAnsi="Times New Roman" w:eastAsia="Times New Roman" w:cs="Times New Roman"/>
                <w:spacing w:val="11"/>
                <w:position w:val="6"/>
                <w:sz w:val="13"/>
                <w:szCs w:val="13"/>
              </w:rPr>
              <w:t xml:space="preserve">2 </w:t>
            </w:r>
            <w:r>
              <w:rPr>
                <w:spacing w:val="11"/>
                <w:sz w:val="20"/>
                <w:szCs w:val="20"/>
              </w:rPr>
              <w:t>，建筑高</w:t>
            </w:r>
            <w:r>
              <w:rPr>
                <w:spacing w:val="10"/>
                <w:sz w:val="20"/>
                <w:szCs w:val="20"/>
              </w:rPr>
              <w:t>度为为</w:t>
            </w:r>
          </w:p>
          <w:p w14:paraId="1176BC14">
            <w:pPr>
              <w:pStyle w:val="9"/>
              <w:spacing w:before="60" w:line="186" w:lineRule="auto"/>
              <w:ind w:left="111"/>
              <w:rPr>
                <w:sz w:val="20"/>
                <w:szCs w:val="20"/>
              </w:rPr>
            </w:pPr>
            <w:r>
              <w:rPr>
                <w:rFonts w:ascii="Times New Roman" w:hAnsi="Times New Roman" w:eastAsia="Times New Roman" w:cs="Times New Roman"/>
                <w:spacing w:val="2"/>
                <w:sz w:val="20"/>
                <w:szCs w:val="20"/>
              </w:rPr>
              <w:t>3.5m</w:t>
            </w:r>
            <w:r>
              <w:rPr>
                <w:spacing w:val="2"/>
                <w:sz w:val="20"/>
                <w:szCs w:val="20"/>
              </w:rPr>
              <w:t>。</w:t>
            </w:r>
          </w:p>
          <w:p w14:paraId="6D6F966C">
            <w:pPr>
              <w:pStyle w:val="9"/>
              <w:spacing w:before="36" w:line="250" w:lineRule="auto"/>
              <w:ind w:left="111" w:right="99" w:firstLine="439"/>
              <w:outlineLvl w:val="2"/>
              <w:rPr>
                <w:sz w:val="20"/>
                <w:szCs w:val="20"/>
              </w:rPr>
            </w:pPr>
            <w:r>
              <w:rPr>
                <w:spacing w:val="9"/>
                <w:sz w:val="20"/>
                <w:szCs w:val="20"/>
              </w:rPr>
              <w:t>四周各设一道收集沟（宽</w:t>
            </w:r>
            <w:r>
              <w:rPr>
                <w:spacing w:val="-3"/>
                <w:sz w:val="20"/>
                <w:szCs w:val="20"/>
              </w:rPr>
              <w:t xml:space="preserve"> </w:t>
            </w:r>
            <w:r>
              <w:rPr>
                <w:rFonts w:ascii="Times New Roman" w:hAnsi="Times New Roman" w:eastAsia="Times New Roman" w:cs="Times New Roman"/>
                <w:spacing w:val="9"/>
                <w:sz w:val="20"/>
                <w:szCs w:val="20"/>
              </w:rPr>
              <w:t>10</w:t>
            </w:r>
            <w:r>
              <w:rPr>
                <w:rFonts w:ascii="Times New Roman" w:hAnsi="Times New Roman" w:eastAsia="Times New Roman" w:cs="Times New Roman"/>
                <w:sz w:val="20"/>
                <w:szCs w:val="20"/>
              </w:rPr>
              <w:t>cm</w:t>
            </w:r>
            <w:r>
              <w:rPr>
                <w:rFonts w:ascii="Times New Roman" w:hAnsi="Times New Roman" w:eastAsia="Times New Roman" w:cs="Times New Roman"/>
                <w:spacing w:val="-19"/>
                <w:sz w:val="20"/>
                <w:szCs w:val="20"/>
              </w:rPr>
              <w:t xml:space="preserve"> </w:t>
            </w:r>
            <w:r>
              <w:rPr>
                <w:spacing w:val="9"/>
                <w:sz w:val="20"/>
                <w:szCs w:val="20"/>
              </w:rPr>
              <w:t>，深</w:t>
            </w:r>
            <w:r>
              <w:rPr>
                <w:spacing w:val="-32"/>
                <w:sz w:val="20"/>
                <w:szCs w:val="20"/>
              </w:rPr>
              <w:t xml:space="preserve"> </w:t>
            </w:r>
            <w:r>
              <w:rPr>
                <w:rFonts w:ascii="Times New Roman" w:hAnsi="Times New Roman" w:eastAsia="Times New Roman" w:cs="Times New Roman"/>
                <w:spacing w:val="9"/>
                <w:sz w:val="20"/>
                <w:szCs w:val="20"/>
              </w:rPr>
              <w:t>5</w:t>
            </w:r>
            <w:r>
              <w:rPr>
                <w:rFonts w:ascii="Times New Roman" w:hAnsi="Times New Roman" w:eastAsia="Times New Roman" w:cs="Times New Roman"/>
                <w:sz w:val="20"/>
                <w:szCs w:val="20"/>
              </w:rPr>
              <w:t>cm</w:t>
            </w:r>
            <w:r>
              <w:rPr>
                <w:spacing w:val="9"/>
                <w:sz w:val="20"/>
                <w:szCs w:val="20"/>
              </w:rPr>
              <w:t>）通往收</w:t>
            </w:r>
            <w:r>
              <w:rPr>
                <w:spacing w:val="8"/>
                <w:sz w:val="20"/>
                <w:szCs w:val="20"/>
              </w:rPr>
              <w:t>集池，用于将溢出废油导入收集池内。西北角设置了收</w:t>
            </w:r>
          </w:p>
          <w:p w14:paraId="02761F47">
            <w:pPr>
              <w:pStyle w:val="9"/>
              <w:spacing w:before="3" w:line="249" w:lineRule="auto"/>
              <w:ind w:left="110" w:right="29"/>
              <w:jc w:val="both"/>
              <w:rPr>
                <w:sz w:val="20"/>
                <w:szCs w:val="20"/>
              </w:rPr>
            </w:pPr>
            <w:r>
              <w:rPr>
                <w:spacing w:val="9"/>
                <w:sz w:val="20"/>
                <w:szCs w:val="20"/>
              </w:rPr>
              <w:t>集池一个，尺寸为长</w:t>
            </w:r>
            <w:r>
              <w:rPr>
                <w:spacing w:val="-20"/>
                <w:sz w:val="20"/>
                <w:szCs w:val="20"/>
              </w:rPr>
              <w:t xml:space="preserve"> </w:t>
            </w:r>
            <w:r>
              <w:rPr>
                <w:rFonts w:ascii="Times New Roman" w:hAnsi="Times New Roman" w:eastAsia="Times New Roman" w:cs="Times New Roman"/>
                <w:spacing w:val="9"/>
                <w:sz w:val="20"/>
                <w:szCs w:val="20"/>
              </w:rPr>
              <w:t>60</w:t>
            </w:r>
            <w:r>
              <w:rPr>
                <w:rFonts w:ascii="Times New Roman" w:hAnsi="Times New Roman" w:eastAsia="Times New Roman" w:cs="Times New Roman"/>
                <w:sz w:val="20"/>
                <w:szCs w:val="20"/>
              </w:rPr>
              <w:t>cm</w:t>
            </w:r>
            <w:r>
              <w:rPr>
                <w:rFonts w:ascii="Times New Roman" w:hAnsi="Times New Roman" w:eastAsia="Times New Roman" w:cs="Times New Roman"/>
                <w:spacing w:val="-24"/>
                <w:sz w:val="20"/>
                <w:szCs w:val="20"/>
              </w:rPr>
              <w:t xml:space="preserve"> </w:t>
            </w:r>
            <w:r>
              <w:rPr>
                <w:spacing w:val="9"/>
                <w:sz w:val="20"/>
                <w:szCs w:val="20"/>
              </w:rPr>
              <w:t>、宽</w:t>
            </w:r>
            <w:r>
              <w:rPr>
                <w:spacing w:val="-31"/>
                <w:sz w:val="20"/>
                <w:szCs w:val="20"/>
              </w:rPr>
              <w:t xml:space="preserve"> </w:t>
            </w:r>
            <w:r>
              <w:rPr>
                <w:rFonts w:ascii="Times New Roman" w:hAnsi="Times New Roman" w:eastAsia="Times New Roman" w:cs="Times New Roman"/>
                <w:spacing w:val="9"/>
                <w:sz w:val="20"/>
                <w:szCs w:val="20"/>
              </w:rPr>
              <w:t>60</w:t>
            </w:r>
            <w:r>
              <w:rPr>
                <w:rFonts w:ascii="Times New Roman" w:hAnsi="Times New Roman" w:eastAsia="Times New Roman" w:cs="Times New Roman"/>
                <w:sz w:val="20"/>
                <w:szCs w:val="20"/>
              </w:rPr>
              <w:t>cm</w:t>
            </w:r>
            <w:r>
              <w:rPr>
                <w:rFonts w:ascii="Times New Roman" w:hAnsi="Times New Roman" w:eastAsia="Times New Roman" w:cs="Times New Roman"/>
                <w:spacing w:val="-22"/>
                <w:sz w:val="20"/>
                <w:szCs w:val="20"/>
              </w:rPr>
              <w:t xml:space="preserve"> </w:t>
            </w:r>
            <w:r>
              <w:rPr>
                <w:spacing w:val="9"/>
                <w:sz w:val="20"/>
                <w:szCs w:val="20"/>
              </w:rPr>
              <w:t>、深</w:t>
            </w:r>
            <w:r>
              <w:rPr>
                <w:spacing w:val="-30"/>
                <w:sz w:val="20"/>
                <w:szCs w:val="20"/>
              </w:rPr>
              <w:t xml:space="preserve"> </w:t>
            </w:r>
            <w:r>
              <w:rPr>
                <w:rFonts w:ascii="Times New Roman" w:hAnsi="Times New Roman" w:eastAsia="Times New Roman" w:cs="Times New Roman"/>
                <w:spacing w:val="9"/>
                <w:sz w:val="20"/>
                <w:szCs w:val="20"/>
              </w:rPr>
              <w:t>50</w:t>
            </w:r>
            <w:r>
              <w:rPr>
                <w:rFonts w:ascii="Times New Roman" w:hAnsi="Times New Roman" w:eastAsia="Times New Roman" w:cs="Times New Roman"/>
                <w:sz w:val="20"/>
                <w:szCs w:val="20"/>
              </w:rPr>
              <w:t>cm</w:t>
            </w:r>
            <w:r>
              <w:rPr>
                <w:spacing w:val="9"/>
                <w:sz w:val="20"/>
                <w:szCs w:val="20"/>
              </w:rPr>
              <w:t>（容积</w:t>
            </w:r>
            <w:r>
              <w:rPr>
                <w:rFonts w:ascii="Times New Roman" w:hAnsi="Times New Roman" w:eastAsia="Times New Roman" w:cs="Times New Roman"/>
                <w:spacing w:val="7"/>
                <w:sz w:val="20"/>
                <w:szCs w:val="20"/>
              </w:rPr>
              <w:t>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7"/>
                <w:sz w:val="20"/>
                <w:szCs w:val="20"/>
              </w:rPr>
              <w:t>18m</w:t>
            </w:r>
            <w:r>
              <w:rPr>
                <w:rFonts w:ascii="Times New Roman" w:hAnsi="Times New Roman" w:eastAsia="Times New Roman" w:cs="Times New Roman"/>
                <w:spacing w:val="7"/>
                <w:position w:val="1"/>
                <w:sz w:val="13"/>
                <w:szCs w:val="13"/>
              </w:rPr>
              <w:t xml:space="preserve">3 </w:t>
            </w:r>
            <w:r>
              <w:rPr>
                <w:position w:val="1"/>
                <w:sz w:val="20"/>
                <w:szCs w:val="20"/>
              </w:rPr>
              <w:t>）</w:t>
            </w:r>
            <w:r>
              <w:rPr>
                <w:sz w:val="20"/>
                <w:szCs w:val="20"/>
              </w:rPr>
              <w:t>，</w:t>
            </w:r>
            <w:r>
              <w:rPr>
                <w:spacing w:val="7"/>
                <w:sz w:val="20"/>
                <w:szCs w:val="20"/>
              </w:rPr>
              <w:t>用于收集储存的废油容器一旦发</w:t>
            </w:r>
            <w:r>
              <w:rPr>
                <w:spacing w:val="6"/>
                <w:sz w:val="20"/>
                <w:szCs w:val="20"/>
              </w:rPr>
              <w:t>生损坏时渗</w:t>
            </w:r>
            <w:r>
              <w:rPr>
                <w:spacing w:val="-3"/>
                <w:sz w:val="20"/>
                <w:szCs w:val="20"/>
              </w:rPr>
              <w:t>漏的废油。收集池上部已加盖盖板（共计</w:t>
            </w:r>
            <w:r>
              <w:rPr>
                <w:spacing w:val="-15"/>
                <w:sz w:val="20"/>
                <w:szCs w:val="20"/>
              </w:rPr>
              <w:t xml:space="preserve"> </w:t>
            </w:r>
            <w:r>
              <w:rPr>
                <w:rFonts w:ascii="Times New Roman" w:hAnsi="Times New Roman" w:eastAsia="Times New Roman" w:cs="Times New Roman"/>
                <w:spacing w:val="-3"/>
                <w:sz w:val="20"/>
                <w:szCs w:val="20"/>
              </w:rPr>
              <w:t>1</w:t>
            </w:r>
            <w:r>
              <w:rPr>
                <w:rFonts w:ascii="Times New Roman" w:hAnsi="Times New Roman" w:eastAsia="Times New Roman" w:cs="Times New Roman"/>
                <w:spacing w:val="12"/>
                <w:sz w:val="20"/>
                <w:szCs w:val="20"/>
              </w:rPr>
              <w:t xml:space="preserve"> </w:t>
            </w:r>
            <w:r>
              <w:rPr>
                <w:spacing w:val="-3"/>
                <w:sz w:val="20"/>
                <w:szCs w:val="20"/>
              </w:rPr>
              <w:t>个，长</w:t>
            </w:r>
            <w:r>
              <w:rPr>
                <w:spacing w:val="-35"/>
                <w:sz w:val="20"/>
                <w:szCs w:val="20"/>
              </w:rPr>
              <w:t xml:space="preserve"> </w:t>
            </w:r>
            <w:r>
              <w:rPr>
                <w:rFonts w:ascii="Times New Roman" w:hAnsi="Times New Roman" w:eastAsia="Times New Roman" w:cs="Times New Roman"/>
                <w:spacing w:val="-3"/>
                <w:sz w:val="20"/>
                <w:szCs w:val="20"/>
              </w:rPr>
              <w:t>80cm</w:t>
            </w:r>
            <w:r>
              <w:rPr>
                <w:spacing w:val="-3"/>
                <w:sz w:val="20"/>
                <w:szCs w:val="20"/>
              </w:rPr>
              <w:t>、</w:t>
            </w:r>
            <w:r>
              <w:rPr>
                <w:spacing w:val="7"/>
                <w:sz w:val="20"/>
                <w:szCs w:val="20"/>
              </w:rPr>
              <w:t>宽</w:t>
            </w:r>
            <w:r>
              <w:rPr>
                <w:spacing w:val="-34"/>
                <w:sz w:val="20"/>
                <w:szCs w:val="20"/>
              </w:rPr>
              <w:t xml:space="preserve"> </w:t>
            </w:r>
            <w:r>
              <w:rPr>
                <w:rFonts w:ascii="Times New Roman" w:hAnsi="Times New Roman" w:eastAsia="Times New Roman" w:cs="Times New Roman"/>
                <w:spacing w:val="7"/>
                <w:sz w:val="20"/>
                <w:szCs w:val="20"/>
              </w:rPr>
              <w:t>80</w:t>
            </w:r>
            <w:r>
              <w:rPr>
                <w:rFonts w:ascii="Times New Roman" w:hAnsi="Times New Roman" w:eastAsia="Times New Roman" w:cs="Times New Roman"/>
                <w:sz w:val="20"/>
                <w:szCs w:val="20"/>
              </w:rPr>
              <w:t>cm</w:t>
            </w:r>
            <w:r>
              <w:rPr>
                <w:spacing w:val="20"/>
                <w:sz w:val="20"/>
                <w:szCs w:val="20"/>
              </w:rPr>
              <w:t>），</w:t>
            </w:r>
            <w:r>
              <w:rPr>
                <w:spacing w:val="7"/>
                <w:sz w:val="20"/>
                <w:szCs w:val="20"/>
              </w:rPr>
              <w:t>便于人员行走及防止人员坠入。</w:t>
            </w:r>
          </w:p>
          <w:p w14:paraId="38E354CF">
            <w:pPr>
              <w:pStyle w:val="9"/>
              <w:spacing w:line="250" w:lineRule="auto"/>
              <w:ind w:left="111" w:right="99" w:firstLine="422"/>
              <w:outlineLvl w:val="2"/>
              <w:rPr>
                <w:sz w:val="20"/>
                <w:szCs w:val="20"/>
              </w:rPr>
            </w:pPr>
            <w:r>
              <w:rPr>
                <w:spacing w:val="8"/>
                <w:sz w:val="20"/>
                <w:szCs w:val="20"/>
              </w:rPr>
              <w:t>危废暂存间分为废油储存区、废铅蓄电池储存区，</w:t>
            </w:r>
            <w:r>
              <w:rPr>
                <w:spacing w:val="4"/>
                <w:sz w:val="20"/>
                <w:szCs w:val="20"/>
              </w:rPr>
              <w:t>地面防渗层①</w:t>
            </w:r>
            <w:r>
              <w:rPr>
                <w:rFonts w:ascii="Times New Roman" w:hAnsi="Times New Roman" w:eastAsia="Times New Roman" w:cs="Times New Roman"/>
                <w:spacing w:val="4"/>
                <w:sz w:val="20"/>
                <w:szCs w:val="20"/>
              </w:rPr>
              <w:t>40</w:t>
            </w:r>
            <w:r>
              <w:rPr>
                <w:rFonts w:ascii="Times New Roman" w:hAnsi="Times New Roman" w:eastAsia="Times New Roman" w:cs="Times New Roman"/>
                <w:spacing w:val="27"/>
                <w:w w:val="101"/>
                <w:sz w:val="20"/>
                <w:szCs w:val="20"/>
              </w:rPr>
              <w:t xml:space="preserve"> </w:t>
            </w:r>
            <w:r>
              <w:rPr>
                <w:spacing w:val="4"/>
                <w:sz w:val="20"/>
                <w:szCs w:val="20"/>
              </w:rPr>
              <w:t>厚</w:t>
            </w:r>
            <w:r>
              <w:rPr>
                <w:spacing w:val="-38"/>
                <w:sz w:val="20"/>
                <w:szCs w:val="20"/>
              </w:rPr>
              <w:t xml:space="preserve"> </w:t>
            </w:r>
            <w:r>
              <w:rPr>
                <w:rFonts w:ascii="Times New Roman" w:hAnsi="Times New Roman" w:eastAsia="Times New Roman" w:cs="Times New Roman"/>
                <w:spacing w:val="4"/>
                <w:sz w:val="20"/>
                <w:szCs w:val="20"/>
              </w:rPr>
              <w:t>C20</w:t>
            </w:r>
            <w:r>
              <w:rPr>
                <w:rFonts w:ascii="Times New Roman" w:hAnsi="Times New Roman" w:eastAsia="Times New Roman" w:cs="Times New Roman"/>
                <w:spacing w:val="23"/>
                <w:w w:val="101"/>
                <w:sz w:val="20"/>
                <w:szCs w:val="20"/>
              </w:rPr>
              <w:t xml:space="preserve"> </w:t>
            </w:r>
            <w:r>
              <w:rPr>
                <w:spacing w:val="4"/>
                <w:sz w:val="20"/>
                <w:szCs w:val="20"/>
              </w:rPr>
              <w:t>防油细石混凝土面层，</w:t>
            </w:r>
            <w:r>
              <w:rPr>
                <w:rFonts w:ascii="Times New Roman" w:hAnsi="Times New Roman" w:eastAsia="Times New Roman" w:cs="Times New Roman"/>
                <w:spacing w:val="4"/>
                <w:sz w:val="20"/>
                <w:szCs w:val="20"/>
              </w:rPr>
              <w:t xml:space="preserve">2 </w:t>
            </w:r>
            <w:r>
              <w:rPr>
                <w:spacing w:val="4"/>
                <w:sz w:val="20"/>
                <w:szCs w:val="20"/>
              </w:rPr>
              <w:t>遍环氧</w:t>
            </w:r>
          </w:p>
          <w:p w14:paraId="5B2344A5">
            <w:pPr>
              <w:pStyle w:val="9"/>
              <w:spacing w:before="8" w:line="250" w:lineRule="auto"/>
              <w:ind w:left="107" w:right="76" w:firstLine="4"/>
              <w:jc w:val="both"/>
              <w:rPr>
                <w:sz w:val="20"/>
                <w:szCs w:val="20"/>
              </w:rPr>
            </w:pPr>
            <w:r>
              <w:rPr>
                <w:spacing w:val="8"/>
                <w:sz w:val="20"/>
                <w:szCs w:val="20"/>
              </w:rPr>
              <w:t>树脂漆②</w:t>
            </w:r>
            <w:r>
              <w:rPr>
                <w:rFonts w:ascii="Times New Roman" w:hAnsi="Times New Roman" w:eastAsia="Times New Roman" w:cs="Times New Roman"/>
                <w:spacing w:val="8"/>
                <w:sz w:val="20"/>
                <w:szCs w:val="20"/>
              </w:rPr>
              <w:t>2</w:t>
            </w:r>
            <w:r>
              <w:rPr>
                <w:rFonts w:ascii="Times New Roman" w:hAnsi="Times New Roman" w:eastAsia="Times New Roman" w:cs="Times New Roman"/>
                <w:sz w:val="20"/>
                <w:szCs w:val="20"/>
              </w:rPr>
              <w:t>mm</w:t>
            </w:r>
            <w:r>
              <w:rPr>
                <w:spacing w:val="8"/>
                <w:sz w:val="20"/>
                <w:szCs w:val="20"/>
              </w:rPr>
              <w:t>厚高密度聚乙烯膜③</w:t>
            </w:r>
            <w:r>
              <w:rPr>
                <w:rFonts w:ascii="Times New Roman" w:hAnsi="Times New Roman" w:eastAsia="Times New Roman" w:cs="Times New Roman"/>
                <w:spacing w:val="8"/>
                <w:sz w:val="20"/>
                <w:szCs w:val="20"/>
              </w:rPr>
              <w:t>20</w:t>
            </w:r>
            <w:r>
              <w:rPr>
                <w:rFonts w:ascii="Times New Roman" w:hAnsi="Times New Roman" w:eastAsia="Times New Roman" w:cs="Times New Roman"/>
                <w:spacing w:val="-6"/>
                <w:sz w:val="20"/>
                <w:szCs w:val="20"/>
              </w:rPr>
              <w:t xml:space="preserve"> </w:t>
            </w:r>
            <w:r>
              <w:rPr>
                <w:spacing w:val="8"/>
                <w:sz w:val="20"/>
                <w:szCs w:val="20"/>
              </w:rPr>
              <w:t>厚</w:t>
            </w:r>
            <w:r>
              <w:rPr>
                <w:spacing w:val="-47"/>
                <w:sz w:val="20"/>
                <w:szCs w:val="20"/>
              </w:rPr>
              <w:t xml:space="preserve"> </w:t>
            </w:r>
            <w:r>
              <w:rPr>
                <w:rFonts w:ascii="Times New Roman" w:hAnsi="Times New Roman" w:eastAsia="Times New Roman" w:cs="Times New Roman"/>
                <w:spacing w:val="8"/>
                <w:sz w:val="20"/>
                <w:szCs w:val="20"/>
              </w:rPr>
              <w:t>1:3</w:t>
            </w:r>
            <w:r>
              <w:rPr>
                <w:rFonts w:ascii="Times New Roman" w:hAnsi="Times New Roman" w:eastAsia="Times New Roman" w:cs="Times New Roman"/>
                <w:spacing w:val="-10"/>
                <w:sz w:val="20"/>
                <w:szCs w:val="20"/>
              </w:rPr>
              <w:t xml:space="preserve"> </w:t>
            </w:r>
            <w:r>
              <w:rPr>
                <w:spacing w:val="8"/>
                <w:sz w:val="20"/>
                <w:szCs w:val="20"/>
              </w:rPr>
              <w:t>水泥砂浆找</w:t>
            </w:r>
            <w:r>
              <w:rPr>
                <w:spacing w:val="7"/>
                <w:sz w:val="20"/>
                <w:szCs w:val="20"/>
              </w:rPr>
              <w:t>平层④水泥浆一道</w:t>
            </w:r>
            <w:r>
              <w:rPr>
                <w:rFonts w:ascii="Times New Roman" w:hAnsi="Times New Roman" w:eastAsia="Times New Roman" w:cs="Times New Roman"/>
                <w:spacing w:val="7"/>
                <w:sz w:val="20"/>
                <w:szCs w:val="20"/>
              </w:rPr>
              <w:t>(</w:t>
            </w:r>
            <w:r>
              <w:rPr>
                <w:spacing w:val="7"/>
                <w:sz w:val="20"/>
                <w:szCs w:val="20"/>
              </w:rPr>
              <w:t>内掺建筑胶</w:t>
            </w:r>
            <w:r>
              <w:rPr>
                <w:rFonts w:ascii="Times New Roman" w:hAnsi="Times New Roman" w:eastAsia="Times New Roman" w:cs="Times New Roman"/>
                <w:spacing w:val="7"/>
                <w:sz w:val="20"/>
                <w:szCs w:val="20"/>
              </w:rPr>
              <w:t>)</w:t>
            </w:r>
            <w:r>
              <w:rPr>
                <w:spacing w:val="7"/>
                <w:sz w:val="20"/>
                <w:szCs w:val="20"/>
              </w:rPr>
              <w:t>⑤</w:t>
            </w:r>
            <w:r>
              <w:rPr>
                <w:rFonts w:ascii="Times New Roman" w:hAnsi="Times New Roman" w:eastAsia="Times New Roman" w:cs="Times New Roman"/>
                <w:spacing w:val="7"/>
                <w:sz w:val="20"/>
                <w:szCs w:val="20"/>
              </w:rPr>
              <w:t xml:space="preserve">60 </w:t>
            </w:r>
            <w:r>
              <w:rPr>
                <w:spacing w:val="7"/>
                <w:sz w:val="20"/>
                <w:szCs w:val="20"/>
              </w:rPr>
              <w:t>厚</w:t>
            </w:r>
            <w:r>
              <w:rPr>
                <w:spacing w:val="-54"/>
                <w:sz w:val="20"/>
                <w:szCs w:val="20"/>
              </w:rPr>
              <w:t xml:space="preserve"> </w:t>
            </w:r>
            <w:r>
              <w:rPr>
                <w:rFonts w:ascii="Times New Roman" w:hAnsi="Times New Roman" w:eastAsia="Times New Roman" w:cs="Times New Roman"/>
                <w:spacing w:val="7"/>
                <w:sz w:val="20"/>
                <w:szCs w:val="20"/>
              </w:rPr>
              <w:t>C1</w:t>
            </w:r>
            <w:r>
              <w:rPr>
                <w:rFonts w:ascii="Times New Roman" w:hAnsi="Times New Roman" w:eastAsia="Times New Roman" w:cs="Times New Roman"/>
                <w:spacing w:val="6"/>
                <w:sz w:val="20"/>
                <w:szCs w:val="20"/>
              </w:rPr>
              <w:t xml:space="preserve">5 </w:t>
            </w:r>
            <w:r>
              <w:rPr>
                <w:spacing w:val="6"/>
                <w:sz w:val="20"/>
                <w:szCs w:val="20"/>
              </w:rPr>
              <w:t>混凝土垫层</w:t>
            </w:r>
            <w:r>
              <w:rPr>
                <w:spacing w:val="8"/>
                <w:sz w:val="20"/>
                <w:szCs w:val="20"/>
              </w:rPr>
              <w:t>⑥素土夯实；墙面裙角及库内危险废物收集池及导流槽</w:t>
            </w:r>
            <w:r>
              <w:rPr>
                <w:spacing w:val="6"/>
                <w:sz w:val="20"/>
                <w:szCs w:val="20"/>
              </w:rPr>
              <w:t>按照上述要求进行防渗处理，渗透系数≤</w:t>
            </w:r>
            <w:r>
              <w:rPr>
                <w:rFonts w:ascii="Times New Roman" w:hAnsi="Times New Roman" w:eastAsia="Times New Roman" w:cs="Times New Roman"/>
                <w:spacing w:val="6"/>
                <w:sz w:val="20"/>
                <w:szCs w:val="20"/>
              </w:rPr>
              <w:t>1</w:t>
            </w:r>
            <w:r>
              <w:rPr>
                <w:spacing w:val="6"/>
                <w:sz w:val="20"/>
                <w:szCs w:val="20"/>
              </w:rPr>
              <w:t>×</w:t>
            </w:r>
            <w:r>
              <w:rPr>
                <w:rFonts w:ascii="Times New Roman" w:hAnsi="Times New Roman" w:eastAsia="Times New Roman" w:cs="Times New Roman"/>
                <w:spacing w:val="6"/>
                <w:sz w:val="20"/>
                <w:szCs w:val="20"/>
              </w:rPr>
              <w:t>10</w:t>
            </w:r>
            <w:r>
              <w:rPr>
                <w:rFonts w:ascii="Times New Roman" w:hAnsi="Times New Roman" w:eastAsia="Times New Roman" w:cs="Times New Roman"/>
                <w:spacing w:val="6"/>
                <w:position w:val="6"/>
                <w:sz w:val="13"/>
                <w:szCs w:val="13"/>
              </w:rPr>
              <w:t>-10</w:t>
            </w:r>
            <w:r>
              <w:rPr>
                <w:rFonts w:ascii="Times New Roman" w:hAnsi="Times New Roman" w:eastAsia="Times New Roman" w:cs="Times New Roman"/>
                <w:sz w:val="20"/>
                <w:szCs w:val="20"/>
              </w:rPr>
              <w:t>cm</w:t>
            </w:r>
            <w:r>
              <w:rPr>
                <w:rFonts w:ascii="Times New Roman" w:hAnsi="Times New Roman" w:eastAsia="Times New Roman" w:cs="Times New Roman"/>
                <w:spacing w:val="6"/>
                <w:sz w:val="20"/>
                <w:szCs w:val="20"/>
              </w:rPr>
              <w:t>/s</w:t>
            </w:r>
            <w:r>
              <w:rPr>
                <w:spacing w:val="6"/>
                <w:sz w:val="20"/>
                <w:szCs w:val="20"/>
              </w:rPr>
              <w:t>；</w:t>
            </w:r>
            <w:r>
              <w:rPr>
                <w:spacing w:val="8"/>
                <w:sz w:val="20"/>
                <w:szCs w:val="20"/>
              </w:rPr>
              <w:t>库房整体地面应有一定坡度，便于泄漏废油及时汇集至</w:t>
            </w:r>
            <w:r>
              <w:rPr>
                <w:spacing w:val="35"/>
                <w:sz w:val="20"/>
                <w:szCs w:val="20"/>
              </w:rPr>
              <w:t>收集池</w:t>
            </w:r>
            <w:r>
              <w:rPr>
                <w:spacing w:val="-25"/>
                <w:sz w:val="20"/>
                <w:szCs w:val="20"/>
              </w:rPr>
              <w:t xml:space="preserve"> </w:t>
            </w:r>
            <w:r>
              <w:rPr>
                <w:spacing w:val="35"/>
                <w:sz w:val="20"/>
                <w:szCs w:val="20"/>
              </w:rPr>
              <w:t>；</w:t>
            </w:r>
            <w:r>
              <w:rPr>
                <w:spacing w:val="-41"/>
                <w:sz w:val="20"/>
                <w:szCs w:val="20"/>
              </w:rPr>
              <w:t xml:space="preserve"> </w:t>
            </w:r>
            <w:r>
              <w:rPr>
                <w:spacing w:val="35"/>
                <w:sz w:val="20"/>
                <w:szCs w:val="20"/>
              </w:rPr>
              <w:t>符合</w:t>
            </w:r>
            <w:r>
              <w:rPr>
                <w:spacing w:val="-52"/>
                <w:sz w:val="20"/>
                <w:szCs w:val="20"/>
              </w:rPr>
              <w:t xml:space="preserve"> </w:t>
            </w:r>
            <w:r>
              <w:rPr>
                <w:spacing w:val="35"/>
                <w:sz w:val="20"/>
                <w:szCs w:val="20"/>
              </w:rPr>
              <w:t>《</w:t>
            </w:r>
            <w:r>
              <w:rPr>
                <w:spacing w:val="-26"/>
                <w:sz w:val="20"/>
                <w:szCs w:val="20"/>
              </w:rPr>
              <w:t xml:space="preserve"> </w:t>
            </w:r>
            <w:r>
              <w:rPr>
                <w:spacing w:val="35"/>
                <w:sz w:val="20"/>
                <w:szCs w:val="20"/>
              </w:rPr>
              <w:t>危险废物贮存污染控制标准</w:t>
            </w:r>
            <w:r>
              <w:rPr>
                <w:spacing w:val="-37"/>
                <w:sz w:val="20"/>
                <w:szCs w:val="20"/>
              </w:rPr>
              <w:t xml:space="preserve"> </w:t>
            </w:r>
            <w:r>
              <w:rPr>
                <w:spacing w:val="35"/>
                <w:sz w:val="20"/>
                <w:szCs w:val="20"/>
              </w:rPr>
              <w:t>》</w:t>
            </w:r>
            <w:r>
              <w:rPr>
                <w:sz w:val="20"/>
                <w:szCs w:val="20"/>
              </w:rPr>
              <w:t xml:space="preserve"> </w:t>
            </w:r>
            <w:r>
              <w:rPr>
                <w:rFonts w:ascii="Times New Roman" w:hAnsi="Times New Roman" w:eastAsia="Times New Roman" w:cs="Times New Roman"/>
                <w:spacing w:val="15"/>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15"/>
                <w:sz w:val="20"/>
                <w:szCs w:val="20"/>
              </w:rPr>
              <w:t>18597-2023)</w:t>
            </w:r>
            <w:r>
              <w:rPr>
                <w:spacing w:val="15"/>
                <w:sz w:val="20"/>
                <w:szCs w:val="20"/>
              </w:rPr>
              <w:t>中“基础防渗要求进行防渗，透系数</w:t>
            </w:r>
            <w:r>
              <w:rPr>
                <w:rFonts w:ascii="Times New Roman" w:hAnsi="Times New Roman" w:eastAsia="Times New Roman" w:cs="Times New Roman"/>
                <w:spacing w:val="4"/>
                <w:sz w:val="20"/>
                <w:szCs w:val="20"/>
              </w:rPr>
              <w:t>&lt;1x10</w:t>
            </w:r>
            <w:r>
              <w:rPr>
                <w:rFonts w:ascii="Times New Roman" w:hAnsi="Times New Roman" w:eastAsia="Times New Roman" w:cs="Times New Roman"/>
                <w:spacing w:val="4"/>
                <w:position w:val="6"/>
                <w:sz w:val="13"/>
                <w:szCs w:val="13"/>
              </w:rPr>
              <w:t>-10</w:t>
            </w:r>
            <w:r>
              <w:rPr>
                <w:rFonts w:ascii="Times New Roman" w:hAnsi="Times New Roman" w:eastAsia="Times New Roman" w:cs="Times New Roman"/>
                <w:sz w:val="20"/>
                <w:szCs w:val="20"/>
              </w:rPr>
              <w:t>cm</w:t>
            </w:r>
            <w:r>
              <w:rPr>
                <w:rFonts w:ascii="Times New Roman" w:hAnsi="Times New Roman" w:eastAsia="Times New Roman" w:cs="Times New Roman"/>
                <w:spacing w:val="4"/>
                <w:sz w:val="20"/>
                <w:szCs w:val="20"/>
              </w:rPr>
              <w:t>/s</w:t>
            </w:r>
            <w:r>
              <w:rPr>
                <w:spacing w:val="4"/>
                <w:sz w:val="20"/>
                <w:szCs w:val="20"/>
              </w:rPr>
              <w:t>。</w:t>
            </w:r>
          </w:p>
          <w:p w14:paraId="43AB243A">
            <w:pPr>
              <w:pStyle w:val="9"/>
              <w:spacing w:before="5" w:line="227" w:lineRule="auto"/>
              <w:ind w:left="532"/>
              <w:rPr>
                <w:sz w:val="20"/>
                <w:szCs w:val="20"/>
              </w:rPr>
            </w:pPr>
            <w:r>
              <w:rPr>
                <w:spacing w:val="8"/>
                <w:sz w:val="20"/>
                <w:szCs w:val="20"/>
              </w:rPr>
              <w:t>本项目危废暂存间分为废油区及废铅蓄电池区，主</w:t>
            </w:r>
          </w:p>
          <w:p w14:paraId="48A456BC">
            <w:pPr>
              <w:pStyle w:val="9"/>
              <w:spacing w:before="27" w:line="228" w:lineRule="auto"/>
              <w:ind w:left="112"/>
              <w:outlineLvl w:val="2"/>
              <w:rPr>
                <w:sz w:val="20"/>
                <w:szCs w:val="20"/>
              </w:rPr>
            </w:pPr>
            <w:r>
              <w:rPr>
                <w:spacing w:val="8"/>
                <w:sz w:val="20"/>
                <w:szCs w:val="20"/>
              </w:rPr>
              <w:t>要暂存升压站产生的废铅蓄电池、主变压器维修产生废</w:t>
            </w:r>
          </w:p>
          <w:p w14:paraId="608636BA">
            <w:pPr>
              <w:pStyle w:val="9"/>
              <w:spacing w:before="25" w:line="230" w:lineRule="auto"/>
              <w:ind w:left="114" w:right="99"/>
              <w:rPr>
                <w:sz w:val="20"/>
                <w:szCs w:val="20"/>
              </w:rPr>
            </w:pPr>
            <w:r>
              <w:rPr>
                <w:spacing w:val="8"/>
                <w:sz w:val="20"/>
                <w:szCs w:val="20"/>
              </w:rPr>
              <w:t>油、风场风机产生的废铅蓄电池以及风机维修产生的废</w:t>
            </w:r>
            <w:r>
              <w:rPr>
                <w:spacing w:val="9"/>
                <w:sz w:val="20"/>
                <w:szCs w:val="20"/>
              </w:rPr>
              <w:t>油，经现场踏勘，项目运行至今暂未产生危险废</w:t>
            </w:r>
            <w:r>
              <w:rPr>
                <w:spacing w:val="8"/>
                <w:sz w:val="20"/>
                <w:szCs w:val="20"/>
              </w:rPr>
              <w:t>物。</w:t>
            </w:r>
          </w:p>
        </w:tc>
        <w:tc>
          <w:tcPr>
            <w:tcW w:w="824" w:type="dxa"/>
            <w:vAlign w:val="top"/>
          </w:tcPr>
          <w:p w14:paraId="553B1D10">
            <w:pPr>
              <w:spacing w:line="245" w:lineRule="auto"/>
              <w:rPr>
                <w:rFonts w:ascii="Arial"/>
                <w:sz w:val="21"/>
              </w:rPr>
            </w:pPr>
          </w:p>
          <w:p w14:paraId="4B750576">
            <w:pPr>
              <w:spacing w:line="245" w:lineRule="auto"/>
              <w:rPr>
                <w:rFonts w:ascii="Arial"/>
                <w:sz w:val="21"/>
              </w:rPr>
            </w:pPr>
          </w:p>
          <w:p w14:paraId="28555701">
            <w:pPr>
              <w:spacing w:line="245" w:lineRule="auto"/>
              <w:rPr>
                <w:rFonts w:ascii="Arial"/>
                <w:sz w:val="21"/>
              </w:rPr>
            </w:pPr>
          </w:p>
          <w:p w14:paraId="1EA95FBA">
            <w:pPr>
              <w:spacing w:line="245" w:lineRule="auto"/>
              <w:rPr>
                <w:rFonts w:ascii="Arial"/>
                <w:sz w:val="21"/>
              </w:rPr>
            </w:pPr>
          </w:p>
          <w:p w14:paraId="7DFCD52F">
            <w:pPr>
              <w:spacing w:line="245" w:lineRule="auto"/>
              <w:rPr>
                <w:rFonts w:ascii="Arial"/>
                <w:sz w:val="21"/>
              </w:rPr>
            </w:pPr>
          </w:p>
          <w:p w14:paraId="11CCFB0A">
            <w:pPr>
              <w:spacing w:line="245" w:lineRule="auto"/>
              <w:rPr>
                <w:rFonts w:ascii="Arial"/>
                <w:sz w:val="21"/>
              </w:rPr>
            </w:pPr>
          </w:p>
          <w:p w14:paraId="1B4A98AC">
            <w:pPr>
              <w:spacing w:line="246" w:lineRule="auto"/>
              <w:rPr>
                <w:rFonts w:ascii="Arial"/>
                <w:sz w:val="21"/>
              </w:rPr>
            </w:pPr>
          </w:p>
          <w:p w14:paraId="4E7BB304">
            <w:pPr>
              <w:spacing w:line="246" w:lineRule="auto"/>
              <w:rPr>
                <w:rFonts w:ascii="Arial"/>
                <w:sz w:val="21"/>
              </w:rPr>
            </w:pPr>
          </w:p>
          <w:p w14:paraId="1D34DA32">
            <w:pPr>
              <w:spacing w:line="246" w:lineRule="auto"/>
              <w:rPr>
                <w:rFonts w:ascii="Arial"/>
                <w:sz w:val="21"/>
              </w:rPr>
            </w:pPr>
          </w:p>
          <w:p w14:paraId="03211C1A">
            <w:pPr>
              <w:spacing w:line="246" w:lineRule="auto"/>
              <w:rPr>
                <w:rFonts w:ascii="Arial"/>
                <w:sz w:val="21"/>
              </w:rPr>
            </w:pPr>
          </w:p>
          <w:p w14:paraId="1F8467E9">
            <w:pPr>
              <w:spacing w:line="246" w:lineRule="auto"/>
              <w:rPr>
                <w:rFonts w:ascii="Arial"/>
                <w:sz w:val="21"/>
              </w:rPr>
            </w:pPr>
          </w:p>
          <w:p w14:paraId="1F40D51A">
            <w:pPr>
              <w:spacing w:line="246" w:lineRule="auto"/>
              <w:rPr>
                <w:rFonts w:ascii="Arial"/>
                <w:sz w:val="21"/>
              </w:rPr>
            </w:pPr>
          </w:p>
          <w:p w14:paraId="6712981A">
            <w:pPr>
              <w:pStyle w:val="9"/>
              <w:spacing w:before="65" w:line="229" w:lineRule="auto"/>
              <w:ind w:left="237"/>
              <w:outlineLvl w:val="2"/>
              <w:rPr>
                <w:sz w:val="20"/>
                <w:szCs w:val="20"/>
              </w:rPr>
            </w:pPr>
            <w:r>
              <w:rPr>
                <w:spacing w:val="-7"/>
                <w:sz w:val="20"/>
                <w:szCs w:val="20"/>
              </w:rPr>
              <w:t>已建</w:t>
            </w:r>
          </w:p>
        </w:tc>
        <w:tc>
          <w:tcPr>
            <w:tcW w:w="123" w:type="dxa"/>
            <w:tcBorders>
              <w:top w:val="nil"/>
              <w:bottom w:val="nil"/>
              <w:right w:val="single" w:color="000000" w:sz="6" w:space="0"/>
            </w:tcBorders>
            <w:vAlign w:val="top"/>
          </w:tcPr>
          <w:p w14:paraId="02D5C959">
            <w:pPr>
              <w:rPr>
                <w:rFonts w:ascii="Arial"/>
                <w:sz w:val="21"/>
              </w:rPr>
            </w:pPr>
          </w:p>
        </w:tc>
      </w:tr>
      <w:tr w14:paraId="5A7345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2" w:hRule="atLeast"/>
        </w:trPr>
        <w:tc>
          <w:tcPr>
            <w:tcW w:w="776" w:type="dxa"/>
            <w:vMerge w:val="continue"/>
            <w:tcBorders>
              <w:top w:val="nil"/>
              <w:left w:val="single" w:color="000000" w:sz="6" w:space="0"/>
              <w:bottom w:val="single" w:color="000000" w:sz="6" w:space="0"/>
            </w:tcBorders>
            <w:vAlign w:val="top"/>
          </w:tcPr>
          <w:p w14:paraId="38377A0B">
            <w:pPr>
              <w:rPr>
                <w:rFonts w:ascii="Arial"/>
                <w:sz w:val="21"/>
              </w:rPr>
            </w:pPr>
          </w:p>
        </w:tc>
        <w:tc>
          <w:tcPr>
            <w:tcW w:w="113" w:type="dxa"/>
            <w:tcBorders>
              <w:top w:val="nil"/>
              <w:bottom w:val="single" w:color="000000" w:sz="6" w:space="0"/>
            </w:tcBorders>
            <w:vAlign w:val="top"/>
          </w:tcPr>
          <w:p w14:paraId="3B87ECF2">
            <w:pPr>
              <w:rPr>
                <w:rFonts w:ascii="Arial"/>
                <w:sz w:val="21"/>
              </w:rPr>
            </w:pPr>
          </w:p>
        </w:tc>
        <w:tc>
          <w:tcPr>
            <w:tcW w:w="404" w:type="dxa"/>
            <w:tcBorders>
              <w:bottom w:val="single" w:color="000000" w:sz="6" w:space="0"/>
            </w:tcBorders>
            <w:vAlign w:val="top"/>
          </w:tcPr>
          <w:p w14:paraId="2C9A1279">
            <w:pPr>
              <w:rPr>
                <w:rFonts w:ascii="Arial"/>
                <w:sz w:val="21"/>
              </w:rPr>
            </w:pPr>
          </w:p>
        </w:tc>
        <w:tc>
          <w:tcPr>
            <w:tcW w:w="1600" w:type="dxa"/>
            <w:tcBorders>
              <w:bottom w:val="single" w:color="000000" w:sz="6" w:space="0"/>
            </w:tcBorders>
            <w:vAlign w:val="top"/>
          </w:tcPr>
          <w:p w14:paraId="1773D31B">
            <w:pPr>
              <w:spacing w:line="244" w:lineRule="auto"/>
              <w:rPr>
                <w:rFonts w:ascii="Arial"/>
                <w:sz w:val="21"/>
              </w:rPr>
            </w:pPr>
          </w:p>
          <w:p w14:paraId="1FED14E9">
            <w:pPr>
              <w:spacing w:line="244" w:lineRule="auto"/>
              <w:rPr>
                <w:rFonts w:ascii="Arial"/>
                <w:sz w:val="21"/>
              </w:rPr>
            </w:pPr>
          </w:p>
          <w:p w14:paraId="6C931D51">
            <w:pPr>
              <w:spacing w:line="244" w:lineRule="auto"/>
              <w:rPr>
                <w:rFonts w:ascii="Arial"/>
                <w:sz w:val="21"/>
              </w:rPr>
            </w:pPr>
          </w:p>
          <w:p w14:paraId="0AB2AD94">
            <w:pPr>
              <w:spacing w:line="244" w:lineRule="auto"/>
              <w:rPr>
                <w:rFonts w:ascii="Arial"/>
                <w:sz w:val="21"/>
              </w:rPr>
            </w:pPr>
          </w:p>
          <w:p w14:paraId="5A35BAA8">
            <w:pPr>
              <w:spacing w:line="244" w:lineRule="auto"/>
              <w:rPr>
                <w:rFonts w:ascii="Arial"/>
                <w:sz w:val="21"/>
              </w:rPr>
            </w:pPr>
          </w:p>
          <w:p w14:paraId="472837AD">
            <w:pPr>
              <w:spacing w:line="245" w:lineRule="auto"/>
              <w:rPr>
                <w:rFonts w:ascii="Arial"/>
                <w:sz w:val="21"/>
              </w:rPr>
            </w:pPr>
          </w:p>
          <w:p w14:paraId="6CA0B7D4">
            <w:pPr>
              <w:pStyle w:val="9"/>
              <w:spacing w:before="65" w:line="228" w:lineRule="auto"/>
              <w:ind w:left="278"/>
              <w:rPr>
                <w:sz w:val="20"/>
                <w:szCs w:val="20"/>
              </w:rPr>
            </w:pPr>
            <w:r>
              <w:rPr>
                <w:spacing w:val="7"/>
                <w:sz w:val="20"/>
                <w:szCs w:val="20"/>
              </w:rPr>
              <w:t>主变贮油坑</w:t>
            </w:r>
          </w:p>
        </w:tc>
        <w:tc>
          <w:tcPr>
            <w:tcW w:w="5222" w:type="dxa"/>
            <w:tcBorders>
              <w:bottom w:val="single" w:color="000000" w:sz="6" w:space="0"/>
            </w:tcBorders>
            <w:vAlign w:val="top"/>
          </w:tcPr>
          <w:p w14:paraId="7153149C">
            <w:pPr>
              <w:pStyle w:val="9"/>
              <w:spacing w:before="43" w:line="251" w:lineRule="auto"/>
              <w:ind w:left="111" w:right="99" w:firstLine="420"/>
              <w:jc w:val="both"/>
              <w:rPr>
                <w:sz w:val="20"/>
                <w:szCs w:val="20"/>
              </w:rPr>
            </w:pPr>
            <w:r>
              <w:rPr>
                <w:spacing w:val="8"/>
                <w:sz w:val="20"/>
                <w:szCs w:val="20"/>
              </w:rPr>
              <w:t>新建主变压器下方建有事故油坑，贮油坑的四周设</w:t>
            </w:r>
            <w:r>
              <w:rPr>
                <w:spacing w:val="4"/>
                <w:sz w:val="20"/>
                <w:szCs w:val="20"/>
              </w:rPr>
              <w:t>挡油坎，高出地面</w:t>
            </w:r>
            <w:r>
              <w:rPr>
                <w:spacing w:val="-5"/>
                <w:sz w:val="20"/>
                <w:szCs w:val="20"/>
              </w:rPr>
              <w:t xml:space="preserve"> </w:t>
            </w:r>
            <w:r>
              <w:rPr>
                <w:rFonts w:ascii="Times New Roman" w:hAnsi="Times New Roman" w:eastAsia="Times New Roman" w:cs="Times New Roman"/>
                <w:spacing w:val="4"/>
                <w:sz w:val="20"/>
                <w:szCs w:val="20"/>
              </w:rPr>
              <w:t>100</w:t>
            </w:r>
            <w:r>
              <w:rPr>
                <w:rFonts w:ascii="Times New Roman" w:hAnsi="Times New Roman" w:eastAsia="Times New Roman" w:cs="Times New Roman"/>
                <w:sz w:val="20"/>
                <w:szCs w:val="20"/>
              </w:rPr>
              <w:t>mm</w:t>
            </w:r>
            <w:r>
              <w:rPr>
                <w:spacing w:val="4"/>
                <w:sz w:val="20"/>
                <w:szCs w:val="20"/>
              </w:rPr>
              <w:t>。坑内铺设厚度为</w:t>
            </w:r>
            <w:r>
              <w:rPr>
                <w:spacing w:val="-40"/>
                <w:sz w:val="20"/>
                <w:szCs w:val="20"/>
              </w:rPr>
              <w:t xml:space="preserve"> </w:t>
            </w:r>
            <w:r>
              <w:rPr>
                <w:rFonts w:ascii="Times New Roman" w:hAnsi="Times New Roman" w:eastAsia="Times New Roman" w:cs="Times New Roman"/>
                <w:spacing w:val="4"/>
                <w:sz w:val="20"/>
                <w:szCs w:val="20"/>
              </w:rPr>
              <w:t xml:space="preserve">250 </w:t>
            </w:r>
            <w:r>
              <w:rPr>
                <w:rFonts w:ascii="Times New Roman" w:hAnsi="Times New Roman" w:eastAsia="Times New Roman" w:cs="Times New Roman"/>
                <w:sz w:val="20"/>
                <w:szCs w:val="20"/>
              </w:rPr>
              <w:t>mm</w:t>
            </w:r>
            <w:r>
              <w:rPr>
                <w:rFonts w:ascii="Times New Roman" w:hAnsi="Times New Roman" w:eastAsia="Times New Roman" w:cs="Times New Roman"/>
                <w:spacing w:val="31"/>
                <w:sz w:val="20"/>
                <w:szCs w:val="20"/>
              </w:rPr>
              <w:t xml:space="preserve"> </w:t>
            </w:r>
            <w:r>
              <w:rPr>
                <w:spacing w:val="4"/>
                <w:sz w:val="20"/>
                <w:szCs w:val="20"/>
              </w:rPr>
              <w:t>的</w:t>
            </w:r>
            <w:r>
              <w:rPr>
                <w:spacing w:val="8"/>
                <w:sz w:val="20"/>
                <w:szCs w:val="20"/>
              </w:rPr>
              <w:t>卵石，卵石粒径为</w:t>
            </w:r>
            <w:r>
              <w:rPr>
                <w:spacing w:val="-14"/>
                <w:sz w:val="20"/>
                <w:szCs w:val="20"/>
              </w:rPr>
              <w:t xml:space="preserve"> </w:t>
            </w:r>
            <w:r>
              <w:rPr>
                <w:rFonts w:ascii="Times New Roman" w:hAnsi="Times New Roman" w:eastAsia="Times New Roman" w:cs="Times New Roman"/>
                <w:spacing w:val="8"/>
                <w:sz w:val="20"/>
                <w:szCs w:val="20"/>
              </w:rPr>
              <w:t>50--80</w:t>
            </w:r>
            <w:r>
              <w:rPr>
                <w:rFonts w:ascii="Times New Roman" w:hAnsi="Times New Roman" w:eastAsia="Times New Roman" w:cs="Times New Roman"/>
                <w:sz w:val="20"/>
                <w:szCs w:val="20"/>
              </w:rPr>
              <w:t>mm</w:t>
            </w:r>
            <w:r>
              <w:rPr>
                <w:rFonts w:ascii="Times New Roman" w:hAnsi="Times New Roman" w:eastAsia="Times New Roman" w:cs="Times New Roman"/>
                <w:spacing w:val="-19"/>
                <w:sz w:val="20"/>
                <w:szCs w:val="20"/>
              </w:rPr>
              <w:t xml:space="preserve"> </w:t>
            </w:r>
            <w:r>
              <w:rPr>
                <w:spacing w:val="8"/>
                <w:sz w:val="20"/>
                <w:szCs w:val="20"/>
              </w:rPr>
              <w:t>，坑底设有排油管，</w:t>
            </w:r>
            <w:r>
              <w:rPr>
                <w:spacing w:val="-57"/>
                <w:sz w:val="20"/>
                <w:szCs w:val="20"/>
              </w:rPr>
              <w:t xml:space="preserve"> </w:t>
            </w:r>
            <w:r>
              <w:rPr>
                <w:spacing w:val="8"/>
                <w:sz w:val="20"/>
                <w:szCs w:val="20"/>
              </w:rPr>
              <w:t>以不</w:t>
            </w:r>
            <w:r>
              <w:rPr>
                <w:spacing w:val="10"/>
                <w:sz w:val="20"/>
                <w:szCs w:val="20"/>
              </w:rPr>
              <w:t>小于</w:t>
            </w:r>
            <w:r>
              <w:rPr>
                <w:spacing w:val="-3"/>
                <w:sz w:val="20"/>
                <w:szCs w:val="20"/>
              </w:rPr>
              <w:t xml:space="preserve"> </w:t>
            </w:r>
            <w:r>
              <w:rPr>
                <w:rFonts w:ascii="Times New Roman" w:hAnsi="Times New Roman" w:eastAsia="Times New Roman" w:cs="Times New Roman"/>
                <w:spacing w:val="10"/>
                <w:sz w:val="20"/>
                <w:szCs w:val="20"/>
              </w:rPr>
              <w:t>1%</w:t>
            </w:r>
            <w:r>
              <w:rPr>
                <w:spacing w:val="10"/>
                <w:sz w:val="20"/>
                <w:szCs w:val="20"/>
              </w:rPr>
              <w:t>的排油坡度连接至事故油池，能将事故油及消</w:t>
            </w:r>
            <w:r>
              <w:rPr>
                <w:spacing w:val="8"/>
                <w:sz w:val="20"/>
                <w:szCs w:val="20"/>
              </w:rPr>
              <w:t>防废水排至事故油池中，可确保事故情况下变压器油不</w:t>
            </w:r>
            <w:r>
              <w:rPr>
                <w:spacing w:val="3"/>
                <w:sz w:val="20"/>
                <w:szCs w:val="20"/>
              </w:rPr>
              <w:t>外流。</w:t>
            </w:r>
          </w:p>
          <w:p w14:paraId="5690DEB4">
            <w:pPr>
              <w:pStyle w:val="9"/>
              <w:spacing w:line="251" w:lineRule="auto"/>
              <w:ind w:left="114" w:right="99" w:firstLine="417"/>
              <w:rPr>
                <w:sz w:val="20"/>
                <w:szCs w:val="20"/>
              </w:rPr>
            </w:pPr>
            <w:r>
              <w:rPr>
                <w:spacing w:val="6"/>
                <w:sz w:val="20"/>
                <w:szCs w:val="20"/>
              </w:rPr>
              <w:t>站内</w:t>
            </w:r>
            <w:r>
              <w:rPr>
                <w:spacing w:val="-20"/>
                <w:sz w:val="20"/>
                <w:szCs w:val="20"/>
              </w:rPr>
              <w:t xml:space="preserve"> </w:t>
            </w:r>
            <w:r>
              <w:rPr>
                <w:rFonts w:ascii="Times New Roman" w:hAnsi="Times New Roman" w:eastAsia="Times New Roman" w:cs="Times New Roman"/>
                <w:spacing w:val="6"/>
                <w:sz w:val="20"/>
                <w:szCs w:val="20"/>
              </w:rPr>
              <w:t>1#</w:t>
            </w:r>
            <w:r>
              <w:rPr>
                <w:rFonts w:ascii="Times New Roman" w:hAnsi="Times New Roman" w:eastAsia="Times New Roman" w:cs="Times New Roman"/>
                <w:spacing w:val="-24"/>
                <w:sz w:val="20"/>
                <w:szCs w:val="20"/>
              </w:rPr>
              <w:t xml:space="preserve"> </w:t>
            </w:r>
            <w:r>
              <w:rPr>
                <w:spacing w:val="6"/>
                <w:sz w:val="20"/>
                <w:szCs w:val="20"/>
              </w:rPr>
              <w:t>、</w:t>
            </w:r>
            <w:r>
              <w:rPr>
                <w:rFonts w:ascii="Times New Roman" w:hAnsi="Times New Roman" w:eastAsia="Times New Roman" w:cs="Times New Roman"/>
                <w:spacing w:val="6"/>
                <w:sz w:val="20"/>
                <w:szCs w:val="20"/>
              </w:rPr>
              <w:t>2#</w:t>
            </w:r>
            <w:r>
              <w:rPr>
                <w:spacing w:val="6"/>
                <w:sz w:val="20"/>
                <w:szCs w:val="20"/>
              </w:rPr>
              <w:t>主变贮油坑容积均为</w:t>
            </w:r>
            <w:r>
              <w:rPr>
                <w:spacing w:val="-30"/>
                <w:sz w:val="20"/>
                <w:szCs w:val="20"/>
              </w:rPr>
              <w:t xml:space="preserve"> </w:t>
            </w:r>
            <w:r>
              <w:rPr>
                <w:rFonts w:ascii="Times New Roman" w:hAnsi="Times New Roman" w:eastAsia="Times New Roman" w:cs="Times New Roman"/>
                <w:spacing w:val="6"/>
                <w:sz w:val="20"/>
                <w:szCs w:val="20"/>
              </w:rPr>
              <w:t>85m</w:t>
            </w:r>
            <w:r>
              <w:rPr>
                <w:rFonts w:ascii="Times New Roman" w:hAnsi="Times New Roman" w:eastAsia="Times New Roman" w:cs="Times New Roman"/>
                <w:spacing w:val="5"/>
                <w:position w:val="6"/>
                <w:sz w:val="13"/>
                <w:szCs w:val="13"/>
              </w:rPr>
              <w:t xml:space="preserve">3 </w:t>
            </w:r>
            <w:r>
              <w:rPr>
                <w:spacing w:val="5"/>
                <w:sz w:val="20"/>
                <w:szCs w:val="20"/>
              </w:rPr>
              <w:t>，</w:t>
            </w:r>
            <w:r>
              <w:rPr>
                <w:rFonts w:ascii="Times New Roman" w:hAnsi="Times New Roman" w:eastAsia="Times New Roman" w:cs="Times New Roman"/>
                <w:spacing w:val="5"/>
                <w:sz w:val="20"/>
                <w:szCs w:val="20"/>
              </w:rPr>
              <w:t>3#</w:t>
            </w:r>
            <w:r>
              <w:rPr>
                <w:spacing w:val="5"/>
                <w:sz w:val="20"/>
                <w:szCs w:val="20"/>
              </w:rPr>
              <w:t>主变贮</w:t>
            </w:r>
            <w:r>
              <w:rPr>
                <w:spacing w:val="4"/>
                <w:sz w:val="20"/>
                <w:szCs w:val="20"/>
              </w:rPr>
              <w:t>油坑容积为</w:t>
            </w:r>
            <w:r>
              <w:rPr>
                <w:spacing w:val="-27"/>
                <w:sz w:val="20"/>
                <w:szCs w:val="20"/>
              </w:rPr>
              <w:t xml:space="preserve"> </w:t>
            </w:r>
            <w:r>
              <w:rPr>
                <w:rFonts w:ascii="Times New Roman" w:hAnsi="Times New Roman" w:eastAsia="Times New Roman" w:cs="Times New Roman"/>
                <w:spacing w:val="4"/>
                <w:sz w:val="20"/>
                <w:szCs w:val="20"/>
              </w:rPr>
              <w:t>80m</w:t>
            </w:r>
            <w:r>
              <w:rPr>
                <w:rFonts w:ascii="Times New Roman" w:hAnsi="Times New Roman" w:eastAsia="Times New Roman" w:cs="Times New Roman"/>
                <w:spacing w:val="4"/>
                <w:position w:val="6"/>
                <w:sz w:val="13"/>
                <w:szCs w:val="13"/>
              </w:rPr>
              <w:t>3</w:t>
            </w:r>
            <w:r>
              <w:rPr>
                <w:rFonts w:ascii="Times New Roman" w:hAnsi="Times New Roman" w:eastAsia="Times New Roman" w:cs="Times New Roman"/>
                <w:spacing w:val="-8"/>
                <w:position w:val="6"/>
                <w:sz w:val="13"/>
                <w:szCs w:val="13"/>
              </w:rPr>
              <w:t xml:space="preserve"> </w:t>
            </w:r>
            <w:r>
              <w:rPr>
                <w:spacing w:val="4"/>
                <w:sz w:val="20"/>
                <w:szCs w:val="20"/>
              </w:rPr>
              <w:t>，</w:t>
            </w:r>
            <w:r>
              <w:rPr>
                <w:rFonts w:ascii="Times New Roman" w:hAnsi="Times New Roman" w:eastAsia="Times New Roman" w:cs="Times New Roman"/>
                <w:spacing w:val="4"/>
                <w:sz w:val="20"/>
                <w:szCs w:val="20"/>
              </w:rPr>
              <w:t>5#</w:t>
            </w:r>
            <w:r>
              <w:rPr>
                <w:spacing w:val="4"/>
                <w:sz w:val="20"/>
                <w:szCs w:val="20"/>
              </w:rPr>
              <w:t>主变贮油坑容积为</w:t>
            </w:r>
            <w:r>
              <w:rPr>
                <w:spacing w:val="-21"/>
                <w:sz w:val="20"/>
                <w:szCs w:val="20"/>
              </w:rPr>
              <w:t xml:space="preserve"> </w:t>
            </w:r>
            <w:r>
              <w:rPr>
                <w:rFonts w:ascii="Times New Roman" w:hAnsi="Times New Roman" w:eastAsia="Times New Roman" w:cs="Times New Roman"/>
                <w:spacing w:val="4"/>
                <w:sz w:val="20"/>
                <w:szCs w:val="20"/>
              </w:rPr>
              <w:t>113m</w:t>
            </w:r>
            <w:r>
              <w:rPr>
                <w:rFonts w:ascii="Times New Roman" w:hAnsi="Times New Roman" w:eastAsia="Times New Roman" w:cs="Times New Roman"/>
                <w:spacing w:val="4"/>
                <w:position w:val="6"/>
                <w:sz w:val="13"/>
                <w:szCs w:val="13"/>
              </w:rPr>
              <w:t>3</w:t>
            </w:r>
            <w:r>
              <w:rPr>
                <w:spacing w:val="4"/>
                <w:sz w:val="20"/>
                <w:szCs w:val="20"/>
              </w:rPr>
              <w:t>。</w:t>
            </w:r>
          </w:p>
          <w:p w14:paraId="3706FD58">
            <w:pPr>
              <w:pStyle w:val="9"/>
              <w:spacing w:before="3" w:line="242" w:lineRule="auto"/>
              <w:ind w:left="110" w:right="99" w:firstLine="421"/>
              <w:jc w:val="both"/>
              <w:rPr>
                <w:sz w:val="20"/>
                <w:szCs w:val="20"/>
              </w:rPr>
            </w:pPr>
            <w:r>
              <w:rPr>
                <w:spacing w:val="29"/>
                <w:sz w:val="20"/>
                <w:szCs w:val="20"/>
              </w:rPr>
              <w:t>贮油坑防渗采取地面防渗层整体基础采用采用</w:t>
            </w:r>
            <w:r>
              <w:rPr>
                <w:rFonts w:ascii="Times New Roman" w:hAnsi="Times New Roman" w:eastAsia="Times New Roman" w:cs="Times New Roman"/>
                <w:spacing w:val="8"/>
                <w:sz w:val="20"/>
                <w:szCs w:val="20"/>
              </w:rPr>
              <w:t xml:space="preserve">C30P8 </w:t>
            </w:r>
            <w:r>
              <w:rPr>
                <w:spacing w:val="8"/>
                <w:sz w:val="20"/>
                <w:szCs w:val="20"/>
              </w:rPr>
              <w:t>抗渗混凝土</w:t>
            </w:r>
            <w:r>
              <w:rPr>
                <w:rFonts w:ascii="Times New Roman" w:hAnsi="Times New Roman" w:eastAsia="Times New Roman" w:cs="Times New Roman"/>
                <w:spacing w:val="8"/>
                <w:sz w:val="20"/>
                <w:szCs w:val="20"/>
              </w:rPr>
              <w:t>+2</w:t>
            </w:r>
            <w:r>
              <w:rPr>
                <w:rFonts w:ascii="Times New Roman" w:hAnsi="Times New Roman" w:eastAsia="Times New Roman" w:cs="Times New Roman"/>
                <w:sz w:val="20"/>
                <w:szCs w:val="20"/>
              </w:rPr>
              <w:t>mm</w:t>
            </w:r>
            <w:r>
              <w:rPr>
                <w:rFonts w:ascii="Times New Roman" w:hAnsi="Times New Roman" w:eastAsia="Times New Roman" w:cs="Times New Roman"/>
                <w:spacing w:val="28"/>
                <w:w w:val="101"/>
                <w:sz w:val="20"/>
                <w:szCs w:val="20"/>
              </w:rPr>
              <w:t xml:space="preserve"> </w:t>
            </w:r>
            <w:r>
              <w:rPr>
                <w:spacing w:val="8"/>
                <w:sz w:val="20"/>
                <w:szCs w:val="20"/>
              </w:rPr>
              <w:t>厚高密度聚乙烯膜等人工防渗</w:t>
            </w:r>
            <w:r>
              <w:rPr>
                <w:spacing w:val="6"/>
                <w:sz w:val="20"/>
                <w:szCs w:val="20"/>
              </w:rPr>
              <w:t>材料，渗透系数≤</w:t>
            </w:r>
            <w:r>
              <w:rPr>
                <w:rFonts w:ascii="Times New Roman" w:hAnsi="Times New Roman" w:eastAsia="Times New Roman" w:cs="Times New Roman"/>
                <w:spacing w:val="6"/>
                <w:sz w:val="20"/>
                <w:szCs w:val="20"/>
              </w:rPr>
              <w:t>1</w:t>
            </w:r>
            <w:r>
              <w:rPr>
                <w:spacing w:val="6"/>
                <w:sz w:val="20"/>
                <w:szCs w:val="20"/>
              </w:rPr>
              <w:t>×</w:t>
            </w:r>
            <w:r>
              <w:rPr>
                <w:spacing w:val="-55"/>
                <w:sz w:val="20"/>
                <w:szCs w:val="20"/>
              </w:rPr>
              <w:t xml:space="preserve"> </w:t>
            </w:r>
            <w:r>
              <w:rPr>
                <w:rFonts w:ascii="Times New Roman" w:hAnsi="Times New Roman" w:eastAsia="Times New Roman" w:cs="Times New Roman"/>
                <w:spacing w:val="6"/>
                <w:sz w:val="20"/>
                <w:szCs w:val="20"/>
              </w:rPr>
              <w:t>10-</w:t>
            </w:r>
            <w:r>
              <w:rPr>
                <w:rFonts w:ascii="Times New Roman" w:hAnsi="Times New Roman" w:eastAsia="Times New Roman" w:cs="Times New Roman"/>
                <w:spacing w:val="-28"/>
                <w:sz w:val="20"/>
                <w:szCs w:val="20"/>
              </w:rPr>
              <w:t xml:space="preserve"> </w:t>
            </w:r>
            <w:r>
              <w:rPr>
                <w:rFonts w:ascii="Times New Roman" w:hAnsi="Times New Roman" w:eastAsia="Times New Roman" w:cs="Times New Roman"/>
                <w:spacing w:val="6"/>
                <w:sz w:val="20"/>
                <w:szCs w:val="20"/>
              </w:rPr>
              <w:t>10</w:t>
            </w:r>
            <w:r>
              <w:rPr>
                <w:rFonts w:ascii="Times New Roman" w:hAnsi="Times New Roman" w:eastAsia="Times New Roman" w:cs="Times New Roman"/>
                <w:sz w:val="20"/>
                <w:szCs w:val="20"/>
              </w:rPr>
              <w:t>cm</w:t>
            </w:r>
            <w:r>
              <w:rPr>
                <w:rFonts w:ascii="Times New Roman" w:hAnsi="Times New Roman" w:eastAsia="Times New Roman" w:cs="Times New Roman"/>
                <w:spacing w:val="6"/>
                <w:sz w:val="20"/>
                <w:szCs w:val="20"/>
              </w:rPr>
              <w:t>/s</w:t>
            </w:r>
            <w:r>
              <w:rPr>
                <w:rFonts w:ascii="Times New Roman" w:hAnsi="Times New Roman" w:eastAsia="Times New Roman" w:cs="Times New Roman"/>
                <w:spacing w:val="-19"/>
                <w:sz w:val="20"/>
                <w:szCs w:val="20"/>
              </w:rPr>
              <w:t xml:space="preserve"> </w:t>
            </w:r>
            <w:r>
              <w:rPr>
                <w:spacing w:val="6"/>
                <w:sz w:val="20"/>
                <w:szCs w:val="20"/>
              </w:rPr>
              <w:t>。满足《危险废物贮存</w:t>
            </w:r>
            <w:r>
              <w:rPr>
                <w:spacing w:val="7"/>
                <w:sz w:val="20"/>
                <w:szCs w:val="20"/>
              </w:rPr>
              <w:t>污染控制标准》（</w:t>
            </w:r>
            <w:r>
              <w:rPr>
                <w:rFonts w:ascii="Times New Roman" w:hAnsi="Times New Roman" w:eastAsia="Times New Roman" w:cs="Times New Roman"/>
                <w:sz w:val="20"/>
                <w:szCs w:val="20"/>
              </w:rPr>
              <w:t>GB</w:t>
            </w:r>
            <w:r>
              <w:rPr>
                <w:rFonts w:ascii="Times New Roman" w:hAnsi="Times New Roman" w:eastAsia="Times New Roman" w:cs="Times New Roman"/>
                <w:spacing w:val="27"/>
                <w:sz w:val="20"/>
                <w:szCs w:val="20"/>
              </w:rPr>
              <w:t xml:space="preserve"> </w:t>
            </w:r>
            <w:r>
              <w:rPr>
                <w:rFonts w:ascii="Times New Roman" w:hAnsi="Times New Roman" w:eastAsia="Times New Roman" w:cs="Times New Roman"/>
                <w:spacing w:val="7"/>
                <w:sz w:val="20"/>
                <w:szCs w:val="20"/>
              </w:rPr>
              <w:t>18597</w:t>
            </w:r>
            <w:r>
              <w:rPr>
                <w:spacing w:val="7"/>
                <w:sz w:val="20"/>
                <w:szCs w:val="20"/>
              </w:rPr>
              <w:t>—</w:t>
            </w:r>
            <w:r>
              <w:rPr>
                <w:rFonts w:ascii="Times New Roman" w:hAnsi="Times New Roman" w:eastAsia="Times New Roman" w:cs="Times New Roman"/>
                <w:spacing w:val="7"/>
                <w:sz w:val="20"/>
                <w:szCs w:val="20"/>
              </w:rPr>
              <w:t>2023</w:t>
            </w:r>
            <w:r>
              <w:rPr>
                <w:spacing w:val="7"/>
                <w:sz w:val="20"/>
                <w:szCs w:val="20"/>
              </w:rPr>
              <w:t>）的防渗要求。</w:t>
            </w:r>
          </w:p>
        </w:tc>
        <w:tc>
          <w:tcPr>
            <w:tcW w:w="824" w:type="dxa"/>
            <w:tcBorders>
              <w:bottom w:val="single" w:color="000000" w:sz="6" w:space="0"/>
            </w:tcBorders>
            <w:vAlign w:val="top"/>
          </w:tcPr>
          <w:p w14:paraId="30E48E52">
            <w:pPr>
              <w:spacing w:line="244" w:lineRule="auto"/>
              <w:rPr>
                <w:rFonts w:ascii="Arial"/>
                <w:sz w:val="21"/>
              </w:rPr>
            </w:pPr>
          </w:p>
          <w:p w14:paraId="38590591">
            <w:pPr>
              <w:spacing w:line="244" w:lineRule="auto"/>
              <w:rPr>
                <w:rFonts w:ascii="Arial"/>
                <w:sz w:val="21"/>
              </w:rPr>
            </w:pPr>
          </w:p>
          <w:p w14:paraId="06C4A678">
            <w:pPr>
              <w:spacing w:line="244" w:lineRule="auto"/>
              <w:rPr>
                <w:rFonts w:ascii="Arial"/>
                <w:sz w:val="21"/>
              </w:rPr>
            </w:pPr>
          </w:p>
          <w:p w14:paraId="2A5821DB">
            <w:pPr>
              <w:spacing w:line="244" w:lineRule="auto"/>
              <w:rPr>
                <w:rFonts w:ascii="Arial"/>
                <w:sz w:val="21"/>
              </w:rPr>
            </w:pPr>
          </w:p>
          <w:p w14:paraId="14023F9D">
            <w:pPr>
              <w:spacing w:line="244" w:lineRule="auto"/>
              <w:rPr>
                <w:rFonts w:ascii="Arial"/>
                <w:sz w:val="21"/>
              </w:rPr>
            </w:pPr>
          </w:p>
          <w:p w14:paraId="1FF27D7F">
            <w:pPr>
              <w:spacing w:line="244" w:lineRule="auto"/>
              <w:rPr>
                <w:rFonts w:ascii="Arial"/>
                <w:sz w:val="21"/>
              </w:rPr>
            </w:pPr>
          </w:p>
          <w:p w14:paraId="7D48DC60">
            <w:pPr>
              <w:pStyle w:val="9"/>
              <w:spacing w:before="65" w:line="229" w:lineRule="auto"/>
              <w:ind w:left="237"/>
              <w:rPr>
                <w:sz w:val="20"/>
                <w:szCs w:val="20"/>
              </w:rPr>
            </w:pPr>
            <w:r>
              <w:rPr>
                <w:spacing w:val="-7"/>
                <w:sz w:val="20"/>
                <w:szCs w:val="20"/>
              </w:rPr>
              <w:t>已建</w:t>
            </w:r>
          </w:p>
        </w:tc>
        <w:tc>
          <w:tcPr>
            <w:tcW w:w="123" w:type="dxa"/>
            <w:tcBorders>
              <w:top w:val="nil"/>
              <w:bottom w:val="single" w:color="000000" w:sz="6" w:space="0"/>
              <w:right w:val="single" w:color="000000" w:sz="6" w:space="0"/>
            </w:tcBorders>
            <w:vAlign w:val="top"/>
          </w:tcPr>
          <w:p w14:paraId="0C938FE1">
            <w:pPr>
              <w:rPr>
                <w:rFonts w:ascii="Arial"/>
                <w:sz w:val="21"/>
              </w:rPr>
            </w:pPr>
          </w:p>
        </w:tc>
      </w:tr>
    </w:tbl>
    <w:p w14:paraId="42F0AD24">
      <w:pPr>
        <w:pStyle w:val="3"/>
      </w:pPr>
    </w:p>
    <w:p w14:paraId="4C47C2D4">
      <w:pPr>
        <w:sectPr>
          <w:footerReference r:id="rId23" w:type="default"/>
          <w:pgSz w:w="11906" w:h="16838"/>
          <w:pgMar w:top="1416" w:right="1414" w:bottom="1295" w:left="1414" w:header="0" w:footer="1133" w:gutter="0"/>
          <w:cols w:space="720" w:num="1"/>
        </w:sectPr>
      </w:pPr>
    </w:p>
    <w:tbl>
      <w:tblPr>
        <w:tblStyle w:val="8"/>
        <w:tblW w:w="9062"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6"/>
        <w:gridCol w:w="114"/>
        <w:gridCol w:w="432"/>
        <w:gridCol w:w="1168"/>
        <w:gridCol w:w="432"/>
        <w:gridCol w:w="464"/>
        <w:gridCol w:w="888"/>
        <w:gridCol w:w="829"/>
        <w:gridCol w:w="1727"/>
        <w:gridCol w:w="1314"/>
        <w:gridCol w:w="795"/>
        <w:gridCol w:w="123"/>
      </w:tblGrid>
      <w:tr w14:paraId="46AE06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6" w:hRule="atLeast"/>
        </w:trPr>
        <w:tc>
          <w:tcPr>
            <w:tcW w:w="776" w:type="dxa"/>
            <w:vMerge w:val="restart"/>
            <w:tcBorders>
              <w:top w:val="single" w:color="000000" w:sz="6" w:space="0"/>
              <w:left w:val="single" w:color="000000" w:sz="6" w:space="0"/>
              <w:bottom w:val="nil"/>
            </w:tcBorders>
            <w:vAlign w:val="top"/>
          </w:tcPr>
          <w:p w14:paraId="491273E5">
            <w:pPr>
              <w:rPr>
                <w:rFonts w:ascii="Arial"/>
                <w:sz w:val="21"/>
              </w:rPr>
            </w:pPr>
          </w:p>
        </w:tc>
        <w:tc>
          <w:tcPr>
            <w:tcW w:w="114" w:type="dxa"/>
            <w:tcBorders>
              <w:top w:val="single" w:color="000000" w:sz="6" w:space="0"/>
              <w:bottom w:val="nil"/>
            </w:tcBorders>
            <w:vAlign w:val="top"/>
          </w:tcPr>
          <w:p w14:paraId="2CD947D3">
            <w:pPr>
              <w:rPr>
                <w:rFonts w:ascii="Arial"/>
                <w:sz w:val="21"/>
              </w:rPr>
            </w:pPr>
          </w:p>
        </w:tc>
        <w:tc>
          <w:tcPr>
            <w:tcW w:w="432" w:type="dxa"/>
            <w:tcBorders>
              <w:top w:val="single" w:color="000000" w:sz="6" w:space="0"/>
            </w:tcBorders>
            <w:vAlign w:val="top"/>
          </w:tcPr>
          <w:p w14:paraId="7E2EABDE">
            <w:pPr>
              <w:rPr>
                <w:rFonts w:ascii="Arial"/>
                <w:sz w:val="21"/>
              </w:rPr>
            </w:pPr>
          </w:p>
        </w:tc>
        <w:tc>
          <w:tcPr>
            <w:tcW w:w="1600" w:type="dxa"/>
            <w:gridSpan w:val="2"/>
            <w:tcBorders>
              <w:top w:val="single" w:color="000000" w:sz="6" w:space="0"/>
            </w:tcBorders>
            <w:vAlign w:val="top"/>
          </w:tcPr>
          <w:p w14:paraId="3651794A">
            <w:pPr>
              <w:spacing w:line="306" w:lineRule="auto"/>
              <w:rPr>
                <w:rFonts w:ascii="Arial"/>
                <w:sz w:val="21"/>
              </w:rPr>
            </w:pPr>
          </w:p>
          <w:p w14:paraId="25842005">
            <w:pPr>
              <w:spacing w:line="306" w:lineRule="auto"/>
              <w:rPr>
                <w:rFonts w:ascii="Arial"/>
                <w:sz w:val="21"/>
              </w:rPr>
            </w:pPr>
          </w:p>
          <w:p w14:paraId="456D3273">
            <w:pPr>
              <w:spacing w:line="306" w:lineRule="auto"/>
              <w:rPr>
                <w:rFonts w:ascii="Arial"/>
                <w:sz w:val="21"/>
              </w:rPr>
            </w:pPr>
          </w:p>
          <w:p w14:paraId="1F333136">
            <w:pPr>
              <w:pStyle w:val="9"/>
              <w:spacing w:before="65" w:line="228" w:lineRule="auto"/>
              <w:ind w:left="143"/>
              <w:rPr>
                <w:sz w:val="20"/>
                <w:szCs w:val="20"/>
              </w:rPr>
            </w:pPr>
            <w:r>
              <w:rPr>
                <w:spacing w:val="7"/>
                <w:sz w:val="20"/>
                <w:szCs w:val="20"/>
              </w:rPr>
              <w:t>主变事故油池</w:t>
            </w:r>
          </w:p>
        </w:tc>
        <w:tc>
          <w:tcPr>
            <w:tcW w:w="5222" w:type="dxa"/>
            <w:gridSpan w:val="5"/>
            <w:tcBorders>
              <w:top w:val="single" w:color="000000" w:sz="6" w:space="0"/>
            </w:tcBorders>
            <w:vAlign w:val="top"/>
          </w:tcPr>
          <w:p w14:paraId="3D2295DB">
            <w:pPr>
              <w:pStyle w:val="9"/>
              <w:spacing w:before="35" w:line="247" w:lineRule="auto"/>
              <w:ind w:left="78" w:right="127" w:firstLine="425"/>
              <w:jc w:val="both"/>
              <w:rPr>
                <w:sz w:val="20"/>
                <w:szCs w:val="20"/>
              </w:rPr>
            </w:pPr>
            <w:r>
              <w:rPr>
                <w:spacing w:val="8"/>
                <w:sz w:val="20"/>
                <w:szCs w:val="20"/>
              </w:rPr>
              <w:t>升压站事故油池位于主变北侧，有效容积按单台变</w:t>
            </w:r>
            <w:r>
              <w:rPr>
                <w:spacing w:val="9"/>
                <w:sz w:val="20"/>
                <w:szCs w:val="20"/>
              </w:rPr>
              <w:t>压器最大事故排油量的</w:t>
            </w:r>
            <w:r>
              <w:rPr>
                <w:spacing w:val="-21"/>
                <w:sz w:val="20"/>
                <w:szCs w:val="20"/>
              </w:rPr>
              <w:t xml:space="preserve"> </w:t>
            </w:r>
            <w:r>
              <w:rPr>
                <w:rFonts w:ascii="Times New Roman" w:hAnsi="Times New Roman" w:eastAsia="Times New Roman" w:cs="Times New Roman"/>
                <w:spacing w:val="9"/>
                <w:sz w:val="20"/>
                <w:szCs w:val="20"/>
              </w:rPr>
              <w:t>100%</w:t>
            </w:r>
            <w:r>
              <w:rPr>
                <w:spacing w:val="9"/>
                <w:sz w:val="20"/>
                <w:szCs w:val="20"/>
              </w:rPr>
              <w:t>考虑，本项目共设置</w:t>
            </w:r>
            <w:r>
              <w:rPr>
                <w:spacing w:val="-41"/>
                <w:sz w:val="20"/>
                <w:szCs w:val="20"/>
              </w:rPr>
              <w:t xml:space="preserve"> </w:t>
            </w:r>
            <w:r>
              <w:rPr>
                <w:rFonts w:ascii="Times New Roman" w:hAnsi="Times New Roman" w:eastAsia="Times New Roman" w:cs="Times New Roman"/>
                <w:spacing w:val="8"/>
                <w:sz w:val="20"/>
                <w:szCs w:val="20"/>
              </w:rPr>
              <w:t>4</w:t>
            </w:r>
            <w:r>
              <w:rPr>
                <w:rFonts w:ascii="Times New Roman" w:hAnsi="Times New Roman" w:eastAsia="Times New Roman" w:cs="Times New Roman"/>
                <w:spacing w:val="30"/>
                <w:w w:val="101"/>
                <w:sz w:val="20"/>
                <w:szCs w:val="20"/>
              </w:rPr>
              <w:t xml:space="preserve"> </w:t>
            </w:r>
            <w:r>
              <w:rPr>
                <w:spacing w:val="8"/>
                <w:sz w:val="20"/>
                <w:szCs w:val="20"/>
              </w:rPr>
              <w:t>台</w:t>
            </w:r>
            <w:r>
              <w:rPr>
                <w:spacing w:val="5"/>
                <w:sz w:val="20"/>
                <w:szCs w:val="20"/>
              </w:rPr>
              <w:t>主变，事故油池尺寸为有效容积为</w:t>
            </w:r>
            <w:r>
              <w:rPr>
                <w:spacing w:val="-36"/>
                <w:sz w:val="20"/>
                <w:szCs w:val="20"/>
              </w:rPr>
              <w:t xml:space="preserve"> </w:t>
            </w:r>
            <w:r>
              <w:rPr>
                <w:rFonts w:ascii="Times New Roman" w:hAnsi="Times New Roman" w:eastAsia="Times New Roman" w:cs="Times New Roman"/>
                <w:spacing w:val="5"/>
                <w:sz w:val="20"/>
                <w:szCs w:val="20"/>
              </w:rPr>
              <w:t>60m</w:t>
            </w:r>
            <w:r>
              <w:rPr>
                <w:rFonts w:ascii="Times New Roman" w:hAnsi="Times New Roman" w:eastAsia="Times New Roman" w:cs="Times New Roman"/>
                <w:spacing w:val="5"/>
                <w:position w:val="6"/>
                <w:sz w:val="13"/>
                <w:szCs w:val="13"/>
              </w:rPr>
              <w:t>3</w:t>
            </w:r>
            <w:r>
              <w:rPr>
                <w:spacing w:val="4"/>
                <w:sz w:val="20"/>
                <w:szCs w:val="20"/>
              </w:rPr>
              <w:t>。主变事故油池</w:t>
            </w:r>
            <w:r>
              <w:rPr>
                <w:spacing w:val="8"/>
                <w:sz w:val="20"/>
                <w:szCs w:val="20"/>
              </w:rPr>
              <w:t>顶板井盖高出地面</w:t>
            </w:r>
            <w:r>
              <w:rPr>
                <w:spacing w:val="-16"/>
                <w:sz w:val="20"/>
                <w:szCs w:val="20"/>
              </w:rPr>
              <w:t xml:space="preserve"> </w:t>
            </w:r>
            <w:r>
              <w:rPr>
                <w:rFonts w:ascii="Times New Roman" w:hAnsi="Times New Roman" w:eastAsia="Times New Roman" w:cs="Times New Roman"/>
                <w:spacing w:val="8"/>
                <w:sz w:val="20"/>
                <w:szCs w:val="20"/>
              </w:rPr>
              <w:t>150</w:t>
            </w:r>
            <w:r>
              <w:rPr>
                <w:rFonts w:ascii="Times New Roman" w:hAnsi="Times New Roman" w:eastAsia="Times New Roman" w:cs="Times New Roman"/>
                <w:sz w:val="20"/>
                <w:szCs w:val="20"/>
              </w:rPr>
              <w:t>mm</w:t>
            </w:r>
            <w:r>
              <w:rPr>
                <w:rFonts w:ascii="Times New Roman" w:hAnsi="Times New Roman" w:eastAsia="Times New Roman" w:cs="Times New Roman"/>
                <w:spacing w:val="-14"/>
                <w:sz w:val="20"/>
                <w:szCs w:val="20"/>
              </w:rPr>
              <w:t xml:space="preserve"> </w:t>
            </w:r>
            <w:r>
              <w:rPr>
                <w:spacing w:val="8"/>
                <w:sz w:val="20"/>
                <w:szCs w:val="20"/>
              </w:rPr>
              <w:t>。采用</w:t>
            </w:r>
            <w:r>
              <w:rPr>
                <w:spacing w:val="-35"/>
                <w:sz w:val="20"/>
                <w:szCs w:val="20"/>
              </w:rPr>
              <w:t xml:space="preserve"> </w:t>
            </w:r>
            <w:r>
              <w:rPr>
                <w:rFonts w:ascii="Times New Roman" w:hAnsi="Times New Roman" w:eastAsia="Times New Roman" w:cs="Times New Roman"/>
                <w:spacing w:val="8"/>
                <w:sz w:val="20"/>
                <w:szCs w:val="20"/>
              </w:rPr>
              <w:t>C30P8</w:t>
            </w:r>
            <w:r>
              <w:rPr>
                <w:rFonts w:ascii="Times New Roman" w:hAnsi="Times New Roman" w:eastAsia="Times New Roman" w:cs="Times New Roman"/>
                <w:spacing w:val="17"/>
                <w:w w:val="101"/>
                <w:sz w:val="20"/>
                <w:szCs w:val="20"/>
              </w:rPr>
              <w:t xml:space="preserve"> </w:t>
            </w:r>
            <w:r>
              <w:rPr>
                <w:spacing w:val="8"/>
                <w:sz w:val="20"/>
                <w:szCs w:val="20"/>
              </w:rPr>
              <w:t>抗渗钢筋混凝</w:t>
            </w:r>
            <w:r>
              <w:rPr>
                <w:sz w:val="20"/>
                <w:szCs w:val="20"/>
              </w:rPr>
              <w:t>土整版基础基础底板、墙板</w:t>
            </w:r>
            <w:r>
              <w:rPr>
                <w:spacing w:val="-38"/>
                <w:sz w:val="20"/>
                <w:szCs w:val="20"/>
              </w:rPr>
              <w:t xml:space="preserve"> </w:t>
            </w:r>
            <w:r>
              <w:rPr>
                <w:rFonts w:ascii="Times New Roman" w:hAnsi="Times New Roman" w:eastAsia="Times New Roman" w:cs="Times New Roman"/>
                <w:sz w:val="20"/>
                <w:szCs w:val="20"/>
              </w:rPr>
              <w:t>250mm</w:t>
            </w:r>
            <w:r>
              <w:rPr>
                <w:rFonts w:ascii="Times New Roman" w:hAnsi="Times New Roman" w:eastAsia="Times New Roman" w:cs="Times New Roman"/>
                <w:spacing w:val="19"/>
                <w:sz w:val="20"/>
                <w:szCs w:val="20"/>
              </w:rPr>
              <w:t xml:space="preserve"> </w:t>
            </w:r>
            <w:r>
              <w:rPr>
                <w:sz w:val="20"/>
                <w:szCs w:val="20"/>
              </w:rPr>
              <w:t>厚，</w:t>
            </w:r>
            <w:r>
              <w:rPr>
                <w:rFonts w:ascii="Times New Roman" w:hAnsi="Times New Roman" w:eastAsia="Times New Roman" w:cs="Times New Roman"/>
                <w:sz w:val="20"/>
                <w:szCs w:val="20"/>
              </w:rPr>
              <w:t>100</w:t>
            </w:r>
            <w:r>
              <w:rPr>
                <w:rFonts w:ascii="Times New Roman" w:hAnsi="Times New Roman" w:eastAsia="Times New Roman" w:cs="Times New Roman"/>
                <w:spacing w:val="-1"/>
                <w:sz w:val="20"/>
                <w:szCs w:val="20"/>
              </w:rPr>
              <w:t>mm</w:t>
            </w:r>
            <w:r>
              <w:rPr>
                <w:rFonts w:ascii="Times New Roman" w:hAnsi="Times New Roman" w:eastAsia="Times New Roman" w:cs="Times New Roman"/>
                <w:spacing w:val="19"/>
                <w:w w:val="101"/>
                <w:sz w:val="20"/>
                <w:szCs w:val="20"/>
              </w:rPr>
              <w:t xml:space="preserve"> </w:t>
            </w:r>
            <w:r>
              <w:rPr>
                <w:spacing w:val="-1"/>
                <w:sz w:val="20"/>
                <w:szCs w:val="20"/>
              </w:rPr>
              <w:t>厚的</w:t>
            </w:r>
            <w:r>
              <w:rPr>
                <w:spacing w:val="-40"/>
                <w:sz w:val="20"/>
                <w:szCs w:val="20"/>
              </w:rPr>
              <w:t xml:space="preserve"> </w:t>
            </w:r>
            <w:r>
              <w:rPr>
                <w:rFonts w:ascii="Times New Roman" w:hAnsi="Times New Roman" w:eastAsia="Times New Roman" w:cs="Times New Roman"/>
                <w:spacing w:val="-1"/>
                <w:sz w:val="20"/>
                <w:szCs w:val="20"/>
              </w:rPr>
              <w:t>C20</w:t>
            </w:r>
            <w:r>
              <w:rPr>
                <w:spacing w:val="12"/>
                <w:sz w:val="20"/>
                <w:szCs w:val="20"/>
              </w:rPr>
              <w:t>混凝土垫层，防渗层为</w:t>
            </w:r>
            <w:r>
              <w:rPr>
                <w:spacing w:val="-41"/>
                <w:sz w:val="20"/>
                <w:szCs w:val="20"/>
              </w:rPr>
              <w:t xml:space="preserve"> </w:t>
            </w:r>
            <w:r>
              <w:rPr>
                <w:rFonts w:ascii="Times New Roman" w:hAnsi="Times New Roman" w:eastAsia="Times New Roman" w:cs="Times New Roman"/>
                <w:spacing w:val="12"/>
                <w:sz w:val="20"/>
                <w:szCs w:val="20"/>
              </w:rPr>
              <w:t>2</w:t>
            </w:r>
            <w:r>
              <w:rPr>
                <w:rFonts w:ascii="Times New Roman" w:hAnsi="Times New Roman" w:eastAsia="Times New Roman" w:cs="Times New Roman"/>
                <w:sz w:val="20"/>
                <w:szCs w:val="20"/>
              </w:rPr>
              <w:t>mm</w:t>
            </w:r>
            <w:r>
              <w:rPr>
                <w:rFonts w:ascii="Times New Roman" w:hAnsi="Times New Roman" w:eastAsia="Times New Roman" w:cs="Times New Roman"/>
                <w:spacing w:val="21"/>
                <w:w w:val="101"/>
                <w:sz w:val="20"/>
                <w:szCs w:val="20"/>
              </w:rPr>
              <w:t xml:space="preserve"> </w:t>
            </w:r>
            <w:r>
              <w:rPr>
                <w:spacing w:val="12"/>
                <w:sz w:val="20"/>
                <w:szCs w:val="20"/>
              </w:rPr>
              <w:t>厚高密度聚乙烯膜，渗透</w:t>
            </w:r>
            <w:r>
              <w:rPr>
                <w:spacing w:val="17"/>
                <w:sz w:val="20"/>
                <w:szCs w:val="20"/>
              </w:rPr>
              <w:t>系数≤</w:t>
            </w:r>
            <w:r>
              <w:rPr>
                <w:spacing w:val="-39"/>
                <w:sz w:val="20"/>
                <w:szCs w:val="20"/>
              </w:rPr>
              <w:t xml:space="preserve"> </w:t>
            </w:r>
            <w:r>
              <w:rPr>
                <w:rFonts w:ascii="Times New Roman" w:hAnsi="Times New Roman" w:eastAsia="Times New Roman" w:cs="Times New Roman"/>
                <w:spacing w:val="17"/>
                <w:sz w:val="20"/>
                <w:szCs w:val="20"/>
              </w:rPr>
              <w:t>10</w:t>
            </w:r>
            <w:r>
              <w:rPr>
                <w:rFonts w:ascii="Times New Roman" w:hAnsi="Times New Roman" w:eastAsia="Times New Roman" w:cs="Times New Roman"/>
                <w:spacing w:val="17"/>
                <w:position w:val="6"/>
                <w:sz w:val="13"/>
                <w:szCs w:val="13"/>
              </w:rPr>
              <w:t>-10</w:t>
            </w:r>
            <w:r>
              <w:rPr>
                <w:rFonts w:ascii="Times New Roman" w:hAnsi="Times New Roman" w:eastAsia="Times New Roman" w:cs="Times New Roman"/>
                <w:sz w:val="20"/>
                <w:szCs w:val="20"/>
              </w:rPr>
              <w:t>cm</w:t>
            </w:r>
            <w:r>
              <w:rPr>
                <w:rFonts w:ascii="Times New Roman" w:hAnsi="Times New Roman" w:eastAsia="Times New Roman" w:cs="Times New Roman"/>
                <w:spacing w:val="17"/>
                <w:sz w:val="20"/>
                <w:szCs w:val="20"/>
              </w:rPr>
              <w:t xml:space="preserve">/s </w:t>
            </w:r>
            <w:r>
              <w:rPr>
                <w:spacing w:val="17"/>
                <w:sz w:val="20"/>
                <w:szCs w:val="20"/>
              </w:rPr>
              <w:t>，</w:t>
            </w:r>
            <w:r>
              <w:rPr>
                <w:spacing w:val="-56"/>
                <w:sz w:val="20"/>
                <w:szCs w:val="20"/>
              </w:rPr>
              <w:t xml:space="preserve"> </w:t>
            </w:r>
            <w:r>
              <w:rPr>
                <w:spacing w:val="17"/>
                <w:sz w:val="20"/>
                <w:szCs w:val="20"/>
              </w:rPr>
              <w:t>油池</w:t>
            </w:r>
            <w:r>
              <w:rPr>
                <w:spacing w:val="-40"/>
                <w:sz w:val="20"/>
                <w:szCs w:val="20"/>
              </w:rPr>
              <w:t xml:space="preserve"> </w:t>
            </w:r>
            <w:r>
              <w:rPr>
                <w:spacing w:val="17"/>
                <w:sz w:val="20"/>
                <w:szCs w:val="20"/>
              </w:rPr>
              <w:t>内外壁和底板抹防水砂浆厚</w:t>
            </w:r>
            <w:r>
              <w:rPr>
                <w:rFonts w:ascii="Times New Roman" w:hAnsi="Times New Roman" w:eastAsia="Times New Roman" w:cs="Times New Roman"/>
                <w:spacing w:val="6"/>
                <w:sz w:val="20"/>
                <w:szCs w:val="20"/>
              </w:rPr>
              <w:t>20</w:t>
            </w:r>
            <w:r>
              <w:rPr>
                <w:rFonts w:ascii="Times New Roman" w:hAnsi="Times New Roman" w:eastAsia="Times New Roman" w:cs="Times New Roman"/>
                <w:sz w:val="20"/>
                <w:szCs w:val="20"/>
              </w:rPr>
              <w:t>mm</w:t>
            </w:r>
            <w:r>
              <w:rPr>
                <w:spacing w:val="6"/>
                <w:sz w:val="20"/>
                <w:szCs w:val="20"/>
              </w:rPr>
              <w:t>。</w:t>
            </w:r>
          </w:p>
        </w:tc>
        <w:tc>
          <w:tcPr>
            <w:tcW w:w="795" w:type="dxa"/>
            <w:tcBorders>
              <w:top w:val="single" w:color="000000" w:sz="6" w:space="0"/>
            </w:tcBorders>
            <w:vAlign w:val="top"/>
          </w:tcPr>
          <w:p w14:paraId="520A5978">
            <w:pPr>
              <w:spacing w:line="306" w:lineRule="auto"/>
              <w:rPr>
                <w:rFonts w:ascii="Arial"/>
                <w:sz w:val="21"/>
              </w:rPr>
            </w:pPr>
          </w:p>
          <w:p w14:paraId="2A9FBF07">
            <w:pPr>
              <w:spacing w:line="306" w:lineRule="auto"/>
              <w:rPr>
                <w:rFonts w:ascii="Arial"/>
                <w:sz w:val="21"/>
              </w:rPr>
            </w:pPr>
          </w:p>
          <w:p w14:paraId="0D8B9E43">
            <w:pPr>
              <w:spacing w:line="306" w:lineRule="auto"/>
              <w:rPr>
                <w:rFonts w:ascii="Arial"/>
                <w:sz w:val="21"/>
              </w:rPr>
            </w:pPr>
          </w:p>
          <w:p w14:paraId="5EC7ED8A">
            <w:pPr>
              <w:pStyle w:val="9"/>
              <w:spacing w:before="65" w:line="229" w:lineRule="auto"/>
              <w:ind w:left="208"/>
              <w:rPr>
                <w:sz w:val="20"/>
                <w:szCs w:val="20"/>
              </w:rPr>
            </w:pPr>
            <w:r>
              <w:rPr>
                <w:spacing w:val="-7"/>
                <w:sz w:val="20"/>
                <w:szCs w:val="20"/>
              </w:rPr>
              <w:t>已建</w:t>
            </w:r>
          </w:p>
        </w:tc>
        <w:tc>
          <w:tcPr>
            <w:tcW w:w="123" w:type="dxa"/>
            <w:tcBorders>
              <w:top w:val="single" w:color="000000" w:sz="6" w:space="0"/>
              <w:bottom w:val="nil"/>
              <w:right w:val="single" w:color="000000" w:sz="6" w:space="0"/>
            </w:tcBorders>
            <w:vAlign w:val="top"/>
          </w:tcPr>
          <w:p w14:paraId="14ABC1C8">
            <w:pPr>
              <w:rPr>
                <w:rFonts w:ascii="Arial"/>
                <w:sz w:val="21"/>
              </w:rPr>
            </w:pPr>
          </w:p>
        </w:tc>
      </w:tr>
      <w:tr w14:paraId="164DDB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9" w:hRule="atLeast"/>
        </w:trPr>
        <w:tc>
          <w:tcPr>
            <w:tcW w:w="776" w:type="dxa"/>
            <w:vMerge w:val="continue"/>
            <w:tcBorders>
              <w:top w:val="nil"/>
              <w:left w:val="single" w:color="000000" w:sz="6" w:space="0"/>
              <w:bottom w:val="nil"/>
            </w:tcBorders>
            <w:vAlign w:val="top"/>
          </w:tcPr>
          <w:p w14:paraId="694E3786">
            <w:pPr>
              <w:rPr>
                <w:rFonts w:ascii="Arial"/>
                <w:sz w:val="21"/>
              </w:rPr>
            </w:pPr>
          </w:p>
        </w:tc>
        <w:tc>
          <w:tcPr>
            <w:tcW w:w="8286" w:type="dxa"/>
            <w:gridSpan w:val="11"/>
            <w:tcBorders>
              <w:right w:val="single" w:color="000000" w:sz="6" w:space="0"/>
            </w:tcBorders>
            <w:vAlign w:val="top"/>
          </w:tcPr>
          <w:p w14:paraId="1B8D6F72">
            <w:pPr>
              <w:pStyle w:val="9"/>
              <w:spacing w:before="172" w:line="220" w:lineRule="auto"/>
              <w:ind w:left="591"/>
            </w:pPr>
            <w:r>
              <w:rPr>
                <w:b/>
                <w:bCs/>
                <w:spacing w:val="-4"/>
              </w:rPr>
              <w:t>五、工程占地</w:t>
            </w:r>
          </w:p>
          <w:p w14:paraId="49DBCB18">
            <w:pPr>
              <w:pStyle w:val="9"/>
              <w:spacing w:before="186" w:line="361" w:lineRule="auto"/>
              <w:ind w:left="119" w:right="101" w:firstLine="469"/>
              <w:jc w:val="both"/>
            </w:pPr>
            <w:r>
              <w:rPr>
                <w:spacing w:val="-3"/>
              </w:rPr>
              <w:t>本项目升压站位于通辽市扎鲁特旗格日朝鲁苏木境内，升压站征地红</w:t>
            </w:r>
            <w:r>
              <w:rPr>
                <w:spacing w:val="-4"/>
              </w:rPr>
              <w:t>线内</w:t>
            </w:r>
            <w:r>
              <w:rPr>
                <w:spacing w:val="-3"/>
              </w:rPr>
              <w:t>占地面积为</w:t>
            </w:r>
            <w:r>
              <w:rPr>
                <w:spacing w:val="-57"/>
              </w:rPr>
              <w:t xml:space="preserve"> </w:t>
            </w:r>
            <w:r>
              <w:rPr>
                <w:rFonts w:ascii="Times New Roman" w:hAnsi="Times New Roman" w:eastAsia="Times New Roman" w:cs="Times New Roman"/>
                <w:spacing w:val="-3"/>
              </w:rPr>
              <w:t>4.</w:t>
            </w:r>
            <w:r>
              <w:rPr>
                <w:rFonts w:ascii="Times New Roman" w:hAnsi="Times New Roman" w:eastAsia="Times New Roman" w:cs="Times New Roman"/>
                <w:spacing w:val="-31"/>
              </w:rPr>
              <w:t xml:space="preserve"> </w:t>
            </w:r>
            <w:r>
              <w:rPr>
                <w:rFonts w:ascii="Times New Roman" w:hAnsi="Times New Roman" w:eastAsia="Times New Roman" w:cs="Times New Roman"/>
                <w:spacing w:val="-3"/>
              </w:rPr>
              <w:t>16hm</w:t>
            </w:r>
            <w:r>
              <w:rPr>
                <w:rFonts w:ascii="Times New Roman" w:hAnsi="Times New Roman" w:eastAsia="Times New Roman" w:cs="Times New Roman"/>
                <w:spacing w:val="-3"/>
                <w:position w:val="8"/>
                <w:sz w:val="15"/>
                <w:szCs w:val="15"/>
              </w:rPr>
              <w:t>2</w:t>
            </w:r>
            <w:r>
              <w:rPr>
                <w:rFonts w:ascii="Times New Roman" w:hAnsi="Times New Roman" w:eastAsia="Times New Roman" w:cs="Times New Roman"/>
                <w:spacing w:val="-10"/>
                <w:position w:val="8"/>
                <w:sz w:val="15"/>
                <w:szCs w:val="15"/>
              </w:rPr>
              <w:t xml:space="preserve"> </w:t>
            </w:r>
            <w:r>
              <w:rPr>
                <w:spacing w:val="-3"/>
              </w:rPr>
              <w:t>，</w:t>
            </w:r>
            <w:r>
              <w:rPr>
                <w:spacing w:val="-71"/>
              </w:rPr>
              <w:t xml:space="preserve"> </w:t>
            </w:r>
            <w:r>
              <w:rPr>
                <w:spacing w:val="-3"/>
              </w:rPr>
              <w:t>占地类型均为天然牧草地。临时占地分别为</w:t>
            </w:r>
            <w:r>
              <w:rPr>
                <w:spacing w:val="-4"/>
              </w:rPr>
              <w:t>表土堆场及</w:t>
            </w:r>
            <w:r>
              <w:t>临时施工营地，其中表土堆场占地面积</w:t>
            </w:r>
            <w:r>
              <w:rPr>
                <w:spacing w:val="-29"/>
              </w:rPr>
              <w:t xml:space="preserve"> </w:t>
            </w:r>
            <w:r>
              <w:rPr>
                <w:rFonts w:ascii="Times New Roman" w:hAnsi="Times New Roman" w:eastAsia="Times New Roman" w:cs="Times New Roman"/>
              </w:rPr>
              <w:t>1000</w:t>
            </w:r>
            <w:r>
              <w:rPr>
                <w:rFonts w:ascii="Times New Roman" w:hAnsi="Times New Roman" w:eastAsia="Times New Roman" w:cs="Times New Roman"/>
                <w:spacing w:val="-1"/>
              </w:rPr>
              <w:t>m</w:t>
            </w:r>
            <w:r>
              <w:rPr>
                <w:rFonts w:ascii="Times New Roman" w:hAnsi="Times New Roman" w:eastAsia="Times New Roman" w:cs="Times New Roman"/>
                <w:spacing w:val="-1"/>
                <w:position w:val="8"/>
                <w:sz w:val="15"/>
                <w:szCs w:val="15"/>
              </w:rPr>
              <w:t xml:space="preserve">2 </w:t>
            </w:r>
            <w:r>
              <w:rPr>
                <w:spacing w:val="-1"/>
              </w:rPr>
              <w:t>，位于升压站站区范围内，临</w:t>
            </w:r>
            <w:r>
              <w:rPr>
                <w:spacing w:val="-2"/>
              </w:rPr>
              <w:t>时施工营地占地面积</w:t>
            </w:r>
            <w:r>
              <w:rPr>
                <w:spacing w:val="-46"/>
              </w:rPr>
              <w:t xml:space="preserve"> </w:t>
            </w:r>
            <w:r>
              <w:rPr>
                <w:rFonts w:ascii="Times New Roman" w:hAnsi="Times New Roman" w:eastAsia="Times New Roman" w:cs="Times New Roman"/>
                <w:spacing w:val="-2"/>
              </w:rPr>
              <w:t>5000m</w:t>
            </w:r>
            <w:r>
              <w:rPr>
                <w:rFonts w:ascii="Times New Roman" w:hAnsi="Times New Roman" w:eastAsia="Times New Roman" w:cs="Times New Roman"/>
                <w:spacing w:val="-2"/>
                <w:position w:val="7"/>
                <w:sz w:val="15"/>
                <w:szCs w:val="15"/>
              </w:rPr>
              <w:t>2</w:t>
            </w:r>
            <w:r>
              <w:rPr>
                <w:rFonts w:ascii="Times New Roman" w:hAnsi="Times New Roman" w:eastAsia="Times New Roman" w:cs="Times New Roman"/>
                <w:spacing w:val="-9"/>
                <w:position w:val="7"/>
                <w:sz w:val="15"/>
                <w:szCs w:val="15"/>
              </w:rPr>
              <w:t xml:space="preserve"> </w:t>
            </w:r>
            <w:r>
              <w:rPr>
                <w:spacing w:val="-2"/>
              </w:rPr>
              <w:t>，位于升压站外南侧，紧邻升压站。</w:t>
            </w:r>
          </w:p>
          <w:p w14:paraId="0A68D804">
            <w:pPr>
              <w:pStyle w:val="9"/>
              <w:spacing w:before="5" w:line="360" w:lineRule="auto"/>
              <w:ind w:left="109" w:right="103" w:firstLine="482"/>
              <w:jc w:val="both"/>
            </w:pPr>
            <w:r>
              <w:rPr>
                <w:spacing w:val="-3"/>
              </w:rPr>
              <w:t>项目分别于</w:t>
            </w:r>
            <w:r>
              <w:rPr>
                <w:spacing w:val="-41"/>
              </w:rPr>
              <w:t xml:space="preserve"> </w:t>
            </w:r>
            <w:r>
              <w:rPr>
                <w:rFonts w:ascii="Times New Roman" w:hAnsi="Times New Roman" w:eastAsia="Times New Roman" w:cs="Times New Roman"/>
                <w:spacing w:val="-3"/>
              </w:rPr>
              <w:t xml:space="preserve">2017 </w:t>
            </w:r>
            <w:r>
              <w:rPr>
                <w:spacing w:val="-3"/>
              </w:rPr>
              <w:t>年</w:t>
            </w:r>
            <w:r>
              <w:rPr>
                <w:spacing w:val="-29"/>
              </w:rPr>
              <w:t xml:space="preserve"> </w:t>
            </w:r>
            <w:r>
              <w:rPr>
                <w:rFonts w:ascii="Times New Roman" w:hAnsi="Times New Roman" w:eastAsia="Times New Roman" w:cs="Times New Roman"/>
                <w:spacing w:val="-3"/>
              </w:rPr>
              <w:t>12</w:t>
            </w:r>
            <w:r>
              <w:rPr>
                <w:rFonts w:ascii="Times New Roman" w:hAnsi="Times New Roman" w:eastAsia="Times New Roman" w:cs="Times New Roman"/>
                <w:spacing w:val="15"/>
              </w:rPr>
              <w:t xml:space="preserve"> </w:t>
            </w:r>
            <w:r>
              <w:rPr>
                <w:spacing w:val="-3"/>
              </w:rPr>
              <w:t>月</w:t>
            </w:r>
            <w:r>
              <w:rPr>
                <w:spacing w:val="-55"/>
              </w:rPr>
              <w:t xml:space="preserve"> </w:t>
            </w:r>
            <w:r>
              <w:rPr>
                <w:rFonts w:ascii="Times New Roman" w:hAnsi="Times New Roman" w:eastAsia="Times New Roman" w:cs="Times New Roman"/>
                <w:spacing w:val="-3"/>
              </w:rPr>
              <w:t xml:space="preserve">28  </w:t>
            </w:r>
            <w:r>
              <w:rPr>
                <w:spacing w:val="-3"/>
              </w:rPr>
              <w:t>日取得了《关于内蒙古霍林河循环经济示范</w:t>
            </w:r>
            <w:r>
              <w:rPr>
                <w:spacing w:val="-5"/>
              </w:rPr>
              <w:t>工程</w:t>
            </w:r>
            <w:r>
              <w:rPr>
                <w:spacing w:val="-42"/>
              </w:rPr>
              <w:t xml:space="preserve"> </w:t>
            </w:r>
            <w:r>
              <w:rPr>
                <w:rFonts w:ascii="Times New Roman" w:hAnsi="Times New Roman" w:eastAsia="Times New Roman" w:cs="Times New Roman"/>
                <w:spacing w:val="-5"/>
              </w:rPr>
              <w:t>80</w:t>
            </w:r>
            <w:r>
              <w:rPr>
                <w:rFonts w:ascii="Times New Roman" w:hAnsi="Times New Roman" w:eastAsia="Times New Roman" w:cs="Times New Roman"/>
                <w:spacing w:val="15"/>
              </w:rPr>
              <w:t xml:space="preserve"> </w:t>
            </w:r>
            <w:r>
              <w:rPr>
                <w:spacing w:val="-5"/>
              </w:rPr>
              <w:t>万千瓦就地消纳风电项目用地的批复》（内政土发</w:t>
            </w:r>
            <w:r>
              <w:rPr>
                <w:rFonts w:ascii="Times New Roman" w:hAnsi="Times New Roman" w:eastAsia="Times New Roman" w:cs="Times New Roman"/>
                <w:spacing w:val="-5"/>
              </w:rPr>
              <w:t>[</w:t>
            </w:r>
            <w:r>
              <w:fldChar w:fldCharType="begin"/>
            </w:r>
            <w:r>
              <w:instrText xml:space="preserve"> HYPERLINK \l "bookmark6" </w:instrText>
            </w:r>
            <w:r>
              <w:fldChar w:fldCharType="separate"/>
            </w:r>
            <w:r>
              <w:rPr>
                <w:rFonts w:ascii="Times New Roman" w:hAnsi="Times New Roman" w:eastAsia="Times New Roman" w:cs="Times New Roman"/>
                <w:spacing w:val="-5"/>
              </w:rPr>
              <w:t>2017</w:t>
            </w:r>
            <w:r>
              <w:rPr>
                <w:rFonts w:ascii="Times New Roman" w:hAnsi="Times New Roman" w:eastAsia="Times New Roman" w:cs="Times New Roman"/>
                <w:spacing w:val="-5"/>
              </w:rPr>
              <w:fldChar w:fldCharType="end"/>
            </w:r>
            <w:r>
              <w:rPr>
                <w:rFonts w:ascii="Times New Roman" w:hAnsi="Times New Roman" w:eastAsia="Times New Roman" w:cs="Times New Roman"/>
                <w:spacing w:val="-5"/>
              </w:rPr>
              <w:t xml:space="preserve">]939 </w:t>
            </w:r>
            <w:r>
              <w:rPr>
                <w:spacing w:val="-5"/>
              </w:rPr>
              <w:t>号</w:t>
            </w:r>
            <w:r>
              <w:rPr>
                <w:spacing w:val="-61"/>
                <w:w w:val="95"/>
              </w:rPr>
              <w:t>）；</w:t>
            </w:r>
            <w:r>
              <w:rPr>
                <w:rFonts w:ascii="Times New Roman" w:hAnsi="Times New Roman" w:eastAsia="Times New Roman" w:cs="Times New Roman"/>
                <w:spacing w:val="-5"/>
              </w:rPr>
              <w:t>2022</w:t>
            </w:r>
            <w:r>
              <w:rPr>
                <w:spacing w:val="-4"/>
              </w:rPr>
              <w:t>年</w:t>
            </w:r>
            <w:r>
              <w:rPr>
                <w:spacing w:val="-49"/>
              </w:rPr>
              <w:t xml:space="preserve"> </w:t>
            </w:r>
            <w:r>
              <w:rPr>
                <w:rFonts w:ascii="Times New Roman" w:hAnsi="Times New Roman" w:eastAsia="Times New Roman" w:cs="Times New Roman"/>
                <w:spacing w:val="-4"/>
              </w:rPr>
              <w:t>5</w:t>
            </w:r>
            <w:r>
              <w:rPr>
                <w:rFonts w:ascii="Times New Roman" w:hAnsi="Times New Roman" w:eastAsia="Times New Roman" w:cs="Times New Roman"/>
                <w:spacing w:val="16"/>
              </w:rPr>
              <w:t xml:space="preserve"> </w:t>
            </w:r>
            <w:r>
              <w:rPr>
                <w:spacing w:val="-4"/>
              </w:rPr>
              <w:t>月</w:t>
            </w:r>
            <w:r>
              <w:rPr>
                <w:spacing w:val="-51"/>
              </w:rPr>
              <w:t xml:space="preserve"> </w:t>
            </w:r>
            <w:r>
              <w:rPr>
                <w:rFonts w:ascii="Times New Roman" w:hAnsi="Times New Roman" w:eastAsia="Times New Roman" w:cs="Times New Roman"/>
                <w:spacing w:val="-4"/>
              </w:rPr>
              <w:t>9</w:t>
            </w:r>
            <w:r>
              <w:rPr>
                <w:rFonts w:ascii="Times New Roman" w:hAnsi="Times New Roman" w:eastAsia="Times New Roman" w:cs="Times New Roman"/>
                <w:spacing w:val="51"/>
              </w:rPr>
              <w:t xml:space="preserve"> </w:t>
            </w:r>
            <w:r>
              <w:rPr>
                <w:spacing w:val="-4"/>
              </w:rPr>
              <w:t>日取得了《关于霍林河循环经济示范工程续建第五期</w:t>
            </w:r>
            <w:r>
              <w:rPr>
                <w:spacing w:val="-55"/>
              </w:rPr>
              <w:t xml:space="preserve"> </w:t>
            </w:r>
            <w:r>
              <w:rPr>
                <w:rFonts w:ascii="Times New Roman" w:hAnsi="Times New Roman" w:eastAsia="Times New Roman" w:cs="Times New Roman"/>
                <w:spacing w:val="-4"/>
              </w:rPr>
              <w:t>200</w:t>
            </w:r>
            <w:r>
              <w:rPr>
                <w:rFonts w:ascii="Times New Roman" w:hAnsi="Times New Roman" w:eastAsia="Times New Roman" w:cs="Times New Roman"/>
                <w:spacing w:val="-5"/>
              </w:rPr>
              <w:t xml:space="preserve">MW </w:t>
            </w:r>
            <w:r>
              <w:rPr>
                <w:spacing w:val="-5"/>
              </w:rPr>
              <w:t>风电项</w:t>
            </w:r>
            <w:r>
              <w:rPr>
                <w:spacing w:val="1"/>
              </w:rPr>
              <w:t>目建设用地的批复》（内政土发</w:t>
            </w:r>
            <w:r>
              <w:rPr>
                <w:rFonts w:ascii="Times New Roman" w:hAnsi="Times New Roman" w:eastAsia="Times New Roman" w:cs="Times New Roman"/>
                <w:spacing w:val="1"/>
              </w:rPr>
              <w:t>[</w:t>
            </w:r>
            <w:r>
              <w:fldChar w:fldCharType="begin"/>
            </w:r>
            <w:r>
              <w:instrText xml:space="preserve"> HYPERLINK \l "bookmark7" </w:instrText>
            </w:r>
            <w:r>
              <w:fldChar w:fldCharType="separate"/>
            </w:r>
            <w:r>
              <w:rPr>
                <w:rFonts w:ascii="Times New Roman" w:hAnsi="Times New Roman" w:eastAsia="Times New Roman" w:cs="Times New Roman"/>
                <w:spacing w:val="1"/>
              </w:rPr>
              <w:t>2022</w:t>
            </w:r>
            <w:r>
              <w:rPr>
                <w:rFonts w:ascii="Times New Roman" w:hAnsi="Times New Roman" w:eastAsia="Times New Roman" w:cs="Times New Roman"/>
                <w:spacing w:val="1"/>
              </w:rPr>
              <w:fldChar w:fldCharType="end"/>
            </w:r>
            <w:r>
              <w:rPr>
                <w:rFonts w:ascii="Times New Roman" w:hAnsi="Times New Roman" w:eastAsia="Times New Roman" w:cs="Times New Roman"/>
                <w:spacing w:val="1"/>
              </w:rPr>
              <w:t xml:space="preserve">]378 </w:t>
            </w:r>
            <w:r>
              <w:rPr>
                <w:spacing w:val="1"/>
              </w:rPr>
              <w:t>号</w:t>
            </w:r>
            <w:r>
              <w:rPr>
                <w:spacing w:val="8"/>
              </w:rPr>
              <w:t>），</w:t>
            </w:r>
            <w:r>
              <w:rPr>
                <w:spacing w:val="1"/>
              </w:rPr>
              <w:t>升</w:t>
            </w:r>
            <w:r>
              <w:t>压站随着风场办理了农转</w:t>
            </w:r>
            <w:r>
              <w:rPr>
                <w:spacing w:val="-5"/>
              </w:rPr>
              <w:t>建相关手续，</w:t>
            </w:r>
            <w:r>
              <w:rPr>
                <w:spacing w:val="-51"/>
              </w:rPr>
              <w:t xml:space="preserve"> </w:t>
            </w:r>
            <w:r>
              <w:rPr>
                <w:spacing w:val="-5"/>
              </w:rPr>
              <w:t>目前已都转为工业用地，</w:t>
            </w:r>
            <w:r>
              <w:rPr>
                <w:spacing w:val="-72"/>
              </w:rPr>
              <w:t xml:space="preserve"> </w:t>
            </w:r>
            <w:r>
              <w:rPr>
                <w:spacing w:val="-5"/>
              </w:rPr>
              <w:t>占地情况见表</w:t>
            </w:r>
            <w:r>
              <w:rPr>
                <w:spacing w:val="-55"/>
              </w:rPr>
              <w:t xml:space="preserve"> </w:t>
            </w:r>
            <w:r>
              <w:rPr>
                <w:rFonts w:ascii="Times New Roman" w:hAnsi="Times New Roman" w:eastAsia="Times New Roman" w:cs="Times New Roman"/>
                <w:spacing w:val="-5"/>
              </w:rPr>
              <w:t>2-5</w:t>
            </w:r>
            <w:r>
              <w:rPr>
                <w:spacing w:val="-5"/>
              </w:rPr>
              <w:t>。</w:t>
            </w:r>
          </w:p>
          <w:p w14:paraId="10DF7AB8">
            <w:pPr>
              <w:pStyle w:val="9"/>
              <w:spacing w:before="4" w:line="220" w:lineRule="auto"/>
              <w:ind w:left="2389"/>
            </w:pPr>
            <w:r>
              <w:rPr>
                <w:b/>
                <w:bCs/>
                <w:spacing w:val="-2"/>
              </w:rPr>
              <w:t>表</w:t>
            </w:r>
            <w:r>
              <w:rPr>
                <w:spacing w:val="-46"/>
              </w:rPr>
              <w:t xml:space="preserve"> </w:t>
            </w:r>
            <w:r>
              <w:rPr>
                <w:rFonts w:ascii="Times New Roman" w:hAnsi="Times New Roman" w:eastAsia="Times New Roman" w:cs="Times New Roman"/>
                <w:b/>
                <w:bCs/>
                <w:spacing w:val="-2"/>
              </w:rPr>
              <w:t xml:space="preserve">2-5        </w:t>
            </w:r>
            <w:r>
              <w:rPr>
                <w:b/>
                <w:bCs/>
                <w:spacing w:val="-2"/>
              </w:rPr>
              <w:t>升压站工程占地情况一览表</w:t>
            </w:r>
          </w:p>
        </w:tc>
      </w:tr>
      <w:tr w14:paraId="29BE07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8" w:hRule="atLeast"/>
        </w:trPr>
        <w:tc>
          <w:tcPr>
            <w:tcW w:w="776" w:type="dxa"/>
            <w:vMerge w:val="continue"/>
            <w:tcBorders>
              <w:top w:val="nil"/>
              <w:left w:val="single" w:color="000000" w:sz="6" w:space="0"/>
              <w:bottom w:val="nil"/>
            </w:tcBorders>
            <w:vAlign w:val="top"/>
          </w:tcPr>
          <w:p w14:paraId="7A063586">
            <w:pPr>
              <w:rPr>
                <w:rFonts w:ascii="Arial"/>
                <w:sz w:val="21"/>
              </w:rPr>
            </w:pPr>
          </w:p>
        </w:tc>
        <w:tc>
          <w:tcPr>
            <w:tcW w:w="114" w:type="dxa"/>
            <w:tcBorders>
              <w:top w:val="nil"/>
              <w:bottom w:val="nil"/>
            </w:tcBorders>
            <w:vAlign w:val="top"/>
          </w:tcPr>
          <w:p w14:paraId="74727B7A">
            <w:pPr>
              <w:rPr>
                <w:rFonts w:ascii="Arial"/>
                <w:sz w:val="21"/>
              </w:rPr>
            </w:pPr>
          </w:p>
        </w:tc>
        <w:tc>
          <w:tcPr>
            <w:tcW w:w="1600" w:type="dxa"/>
            <w:gridSpan w:val="2"/>
            <w:vMerge w:val="restart"/>
            <w:tcBorders>
              <w:bottom w:val="nil"/>
            </w:tcBorders>
            <w:vAlign w:val="top"/>
          </w:tcPr>
          <w:p w14:paraId="773D1CC4">
            <w:pPr>
              <w:pStyle w:val="9"/>
              <w:spacing w:before="180" w:line="228" w:lineRule="auto"/>
              <w:ind w:left="596"/>
              <w:rPr>
                <w:sz w:val="20"/>
                <w:szCs w:val="20"/>
              </w:rPr>
            </w:pPr>
            <w:r>
              <w:rPr>
                <w:spacing w:val="3"/>
                <w:sz w:val="20"/>
                <w:szCs w:val="20"/>
              </w:rPr>
              <w:t>项目</w:t>
            </w:r>
          </w:p>
        </w:tc>
        <w:tc>
          <w:tcPr>
            <w:tcW w:w="2613" w:type="dxa"/>
            <w:gridSpan w:val="4"/>
            <w:vAlign w:val="top"/>
          </w:tcPr>
          <w:p w14:paraId="3EC517D1">
            <w:pPr>
              <w:pStyle w:val="9"/>
              <w:spacing w:before="38" w:line="184" w:lineRule="auto"/>
              <w:ind w:left="342"/>
              <w:rPr>
                <w:sz w:val="20"/>
                <w:szCs w:val="20"/>
              </w:rPr>
            </w:pPr>
            <w:r>
              <w:rPr>
                <w:spacing w:val="4"/>
                <w:sz w:val="20"/>
                <w:szCs w:val="20"/>
              </w:rPr>
              <w:t>占用土地面积（</w:t>
            </w:r>
            <w:r>
              <w:rPr>
                <w:rFonts w:ascii="Times New Roman" w:hAnsi="Times New Roman" w:eastAsia="Times New Roman" w:cs="Times New Roman"/>
                <w:sz w:val="20"/>
                <w:szCs w:val="20"/>
              </w:rPr>
              <w:t>hm</w:t>
            </w:r>
            <w:r>
              <w:rPr>
                <w:rFonts w:ascii="Times New Roman" w:hAnsi="Times New Roman" w:eastAsia="Times New Roman" w:cs="Times New Roman"/>
                <w:spacing w:val="4"/>
                <w:position w:val="1"/>
                <w:sz w:val="13"/>
                <w:szCs w:val="13"/>
              </w:rPr>
              <w:t>2</w:t>
            </w:r>
            <w:r>
              <w:rPr>
                <w:spacing w:val="4"/>
                <w:position w:val="1"/>
                <w:sz w:val="20"/>
                <w:szCs w:val="20"/>
              </w:rPr>
              <w:t>）</w:t>
            </w:r>
          </w:p>
        </w:tc>
        <w:tc>
          <w:tcPr>
            <w:tcW w:w="1727" w:type="dxa"/>
            <w:vAlign w:val="top"/>
          </w:tcPr>
          <w:p w14:paraId="3CA3E992">
            <w:pPr>
              <w:pStyle w:val="9"/>
              <w:spacing w:before="38" w:line="193" w:lineRule="auto"/>
              <w:ind w:right="22"/>
              <w:jc w:val="right"/>
              <w:rPr>
                <w:sz w:val="20"/>
                <w:szCs w:val="20"/>
              </w:rPr>
            </w:pPr>
            <w:r>
              <w:rPr>
                <w:spacing w:val="3"/>
                <w:sz w:val="20"/>
                <w:szCs w:val="20"/>
              </w:rPr>
              <w:t>占地性质（</w:t>
            </w:r>
            <w:r>
              <w:rPr>
                <w:rFonts w:ascii="Times New Roman" w:hAnsi="Times New Roman" w:eastAsia="Times New Roman" w:cs="Times New Roman"/>
                <w:sz w:val="20"/>
                <w:szCs w:val="20"/>
              </w:rPr>
              <w:t>hm</w:t>
            </w:r>
            <w:r>
              <w:rPr>
                <w:rFonts w:ascii="Times New Roman" w:hAnsi="Times New Roman" w:eastAsia="Times New Roman" w:cs="Times New Roman"/>
                <w:spacing w:val="3"/>
                <w:sz w:val="13"/>
                <w:szCs w:val="13"/>
              </w:rPr>
              <w:t>2</w:t>
            </w:r>
            <w:r>
              <w:rPr>
                <w:spacing w:val="3"/>
                <w:sz w:val="20"/>
                <w:szCs w:val="20"/>
              </w:rPr>
              <w:t>）</w:t>
            </w:r>
          </w:p>
        </w:tc>
        <w:tc>
          <w:tcPr>
            <w:tcW w:w="2109" w:type="dxa"/>
            <w:gridSpan w:val="2"/>
            <w:vMerge w:val="restart"/>
            <w:tcBorders>
              <w:bottom w:val="nil"/>
            </w:tcBorders>
            <w:vAlign w:val="top"/>
          </w:tcPr>
          <w:p w14:paraId="7654B168">
            <w:pPr>
              <w:pStyle w:val="9"/>
              <w:spacing w:before="180" w:line="228" w:lineRule="auto"/>
              <w:ind w:left="650"/>
              <w:rPr>
                <w:sz w:val="20"/>
                <w:szCs w:val="20"/>
              </w:rPr>
            </w:pPr>
            <w:r>
              <w:rPr>
                <w:spacing w:val="6"/>
                <w:sz w:val="20"/>
                <w:szCs w:val="20"/>
              </w:rPr>
              <w:t>指标特性</w:t>
            </w:r>
          </w:p>
        </w:tc>
        <w:tc>
          <w:tcPr>
            <w:tcW w:w="123" w:type="dxa"/>
            <w:tcBorders>
              <w:top w:val="nil"/>
              <w:bottom w:val="nil"/>
              <w:right w:val="single" w:color="000000" w:sz="6" w:space="0"/>
            </w:tcBorders>
            <w:vAlign w:val="top"/>
          </w:tcPr>
          <w:p w14:paraId="5036C293">
            <w:pPr>
              <w:rPr>
                <w:rFonts w:ascii="Arial"/>
                <w:sz w:val="21"/>
              </w:rPr>
            </w:pPr>
          </w:p>
        </w:tc>
      </w:tr>
      <w:tr w14:paraId="2FF282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 w:hRule="atLeast"/>
        </w:trPr>
        <w:tc>
          <w:tcPr>
            <w:tcW w:w="776" w:type="dxa"/>
            <w:vMerge w:val="continue"/>
            <w:tcBorders>
              <w:top w:val="nil"/>
              <w:left w:val="single" w:color="000000" w:sz="6" w:space="0"/>
              <w:bottom w:val="nil"/>
            </w:tcBorders>
            <w:vAlign w:val="top"/>
          </w:tcPr>
          <w:p w14:paraId="2549290C">
            <w:pPr>
              <w:rPr>
                <w:rFonts w:ascii="Arial"/>
                <w:sz w:val="21"/>
              </w:rPr>
            </w:pPr>
          </w:p>
        </w:tc>
        <w:tc>
          <w:tcPr>
            <w:tcW w:w="114" w:type="dxa"/>
            <w:tcBorders>
              <w:top w:val="nil"/>
              <w:bottom w:val="nil"/>
            </w:tcBorders>
            <w:vAlign w:val="top"/>
          </w:tcPr>
          <w:p w14:paraId="3211860B">
            <w:pPr>
              <w:rPr>
                <w:rFonts w:ascii="Arial"/>
                <w:sz w:val="21"/>
              </w:rPr>
            </w:pPr>
          </w:p>
        </w:tc>
        <w:tc>
          <w:tcPr>
            <w:tcW w:w="1600" w:type="dxa"/>
            <w:gridSpan w:val="2"/>
            <w:vMerge w:val="continue"/>
            <w:tcBorders>
              <w:top w:val="nil"/>
            </w:tcBorders>
            <w:vAlign w:val="top"/>
          </w:tcPr>
          <w:p w14:paraId="0D1874D8">
            <w:pPr>
              <w:rPr>
                <w:rFonts w:ascii="Arial"/>
                <w:sz w:val="21"/>
              </w:rPr>
            </w:pPr>
          </w:p>
        </w:tc>
        <w:tc>
          <w:tcPr>
            <w:tcW w:w="896" w:type="dxa"/>
            <w:gridSpan w:val="2"/>
            <w:vAlign w:val="top"/>
          </w:tcPr>
          <w:p w14:paraId="395BD45E">
            <w:pPr>
              <w:pStyle w:val="9"/>
              <w:spacing w:before="59" w:line="209" w:lineRule="auto"/>
              <w:ind w:left="247"/>
              <w:rPr>
                <w:sz w:val="20"/>
                <w:szCs w:val="20"/>
              </w:rPr>
            </w:pPr>
            <w:r>
              <w:rPr>
                <w:spacing w:val="3"/>
                <w:sz w:val="20"/>
                <w:szCs w:val="20"/>
              </w:rPr>
              <w:t>永久</w:t>
            </w:r>
          </w:p>
        </w:tc>
        <w:tc>
          <w:tcPr>
            <w:tcW w:w="888" w:type="dxa"/>
            <w:vAlign w:val="top"/>
          </w:tcPr>
          <w:p w14:paraId="711F375B">
            <w:pPr>
              <w:pStyle w:val="9"/>
              <w:spacing w:before="59" w:line="209" w:lineRule="auto"/>
              <w:ind w:left="256"/>
              <w:rPr>
                <w:sz w:val="20"/>
                <w:szCs w:val="20"/>
              </w:rPr>
            </w:pPr>
            <w:r>
              <w:rPr>
                <w:spacing w:val="-1"/>
                <w:sz w:val="20"/>
                <w:szCs w:val="20"/>
              </w:rPr>
              <w:t>临时</w:t>
            </w:r>
          </w:p>
        </w:tc>
        <w:tc>
          <w:tcPr>
            <w:tcW w:w="829" w:type="dxa"/>
            <w:vAlign w:val="top"/>
          </w:tcPr>
          <w:p w14:paraId="0136F896">
            <w:pPr>
              <w:pStyle w:val="9"/>
              <w:spacing w:before="59" w:line="209" w:lineRule="auto"/>
              <w:ind w:left="216"/>
              <w:rPr>
                <w:sz w:val="20"/>
                <w:szCs w:val="20"/>
              </w:rPr>
            </w:pPr>
            <w:r>
              <w:rPr>
                <w:spacing w:val="4"/>
                <w:sz w:val="20"/>
                <w:szCs w:val="20"/>
              </w:rPr>
              <w:t>合计</w:t>
            </w:r>
          </w:p>
        </w:tc>
        <w:tc>
          <w:tcPr>
            <w:tcW w:w="1727" w:type="dxa"/>
            <w:vAlign w:val="top"/>
          </w:tcPr>
          <w:p w14:paraId="22BDC7F5">
            <w:pPr>
              <w:pStyle w:val="9"/>
              <w:spacing w:before="59" w:line="209" w:lineRule="auto"/>
              <w:ind w:left="356"/>
              <w:rPr>
                <w:sz w:val="20"/>
                <w:szCs w:val="20"/>
              </w:rPr>
            </w:pPr>
            <w:r>
              <w:rPr>
                <w:spacing w:val="7"/>
                <w:sz w:val="20"/>
                <w:szCs w:val="20"/>
              </w:rPr>
              <w:t>天然牧草地</w:t>
            </w:r>
          </w:p>
        </w:tc>
        <w:tc>
          <w:tcPr>
            <w:tcW w:w="2109" w:type="dxa"/>
            <w:gridSpan w:val="2"/>
            <w:vMerge w:val="continue"/>
            <w:tcBorders>
              <w:top w:val="nil"/>
            </w:tcBorders>
            <w:vAlign w:val="top"/>
          </w:tcPr>
          <w:p w14:paraId="4A217293">
            <w:pPr>
              <w:rPr>
                <w:rFonts w:ascii="Arial"/>
                <w:sz w:val="21"/>
              </w:rPr>
            </w:pPr>
          </w:p>
        </w:tc>
        <w:tc>
          <w:tcPr>
            <w:tcW w:w="123" w:type="dxa"/>
            <w:tcBorders>
              <w:top w:val="nil"/>
              <w:bottom w:val="nil"/>
              <w:right w:val="single" w:color="000000" w:sz="6" w:space="0"/>
            </w:tcBorders>
            <w:vAlign w:val="top"/>
          </w:tcPr>
          <w:p w14:paraId="1CE2A315">
            <w:pPr>
              <w:rPr>
                <w:rFonts w:ascii="Arial"/>
                <w:sz w:val="21"/>
              </w:rPr>
            </w:pPr>
          </w:p>
        </w:tc>
      </w:tr>
      <w:tr w14:paraId="33E05C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7" w:hRule="atLeast"/>
        </w:trPr>
        <w:tc>
          <w:tcPr>
            <w:tcW w:w="776" w:type="dxa"/>
            <w:vMerge w:val="continue"/>
            <w:tcBorders>
              <w:top w:val="nil"/>
              <w:left w:val="single" w:color="000000" w:sz="6" w:space="0"/>
              <w:bottom w:val="nil"/>
            </w:tcBorders>
            <w:vAlign w:val="top"/>
          </w:tcPr>
          <w:p w14:paraId="7BCF92F7">
            <w:pPr>
              <w:rPr>
                <w:rFonts w:ascii="Arial"/>
                <w:sz w:val="21"/>
              </w:rPr>
            </w:pPr>
          </w:p>
        </w:tc>
        <w:tc>
          <w:tcPr>
            <w:tcW w:w="114" w:type="dxa"/>
            <w:tcBorders>
              <w:top w:val="nil"/>
              <w:bottom w:val="nil"/>
            </w:tcBorders>
            <w:vAlign w:val="top"/>
          </w:tcPr>
          <w:p w14:paraId="333F8562">
            <w:pPr>
              <w:rPr>
                <w:rFonts w:ascii="Arial"/>
                <w:sz w:val="21"/>
              </w:rPr>
            </w:pPr>
          </w:p>
        </w:tc>
        <w:tc>
          <w:tcPr>
            <w:tcW w:w="432" w:type="dxa"/>
            <w:vMerge w:val="restart"/>
            <w:tcBorders>
              <w:bottom w:val="nil"/>
            </w:tcBorders>
            <w:vAlign w:val="top"/>
          </w:tcPr>
          <w:p w14:paraId="25A1B4D8">
            <w:pPr>
              <w:spacing w:line="251" w:lineRule="auto"/>
              <w:rPr>
                <w:rFonts w:ascii="Arial"/>
                <w:sz w:val="21"/>
              </w:rPr>
            </w:pPr>
          </w:p>
          <w:p w14:paraId="6C68D3F2">
            <w:pPr>
              <w:spacing w:line="251" w:lineRule="auto"/>
              <w:rPr>
                <w:rFonts w:ascii="Arial"/>
                <w:sz w:val="21"/>
              </w:rPr>
            </w:pPr>
          </w:p>
          <w:p w14:paraId="359AD1B4">
            <w:pPr>
              <w:spacing w:line="251" w:lineRule="auto"/>
              <w:rPr>
                <w:rFonts w:ascii="Arial"/>
                <w:sz w:val="21"/>
              </w:rPr>
            </w:pPr>
          </w:p>
          <w:p w14:paraId="3BE6E641">
            <w:pPr>
              <w:spacing w:line="251" w:lineRule="auto"/>
              <w:rPr>
                <w:rFonts w:ascii="Arial"/>
                <w:sz w:val="21"/>
              </w:rPr>
            </w:pPr>
          </w:p>
          <w:p w14:paraId="3E21C3AC">
            <w:pPr>
              <w:spacing w:before="58" w:line="195" w:lineRule="auto"/>
              <w:ind w:left="11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w:t>
            </w:r>
          </w:p>
          <w:p w14:paraId="75DA82C3">
            <w:pPr>
              <w:spacing w:before="49" w:line="199" w:lineRule="auto"/>
              <w:ind w:left="11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0k</w:t>
            </w:r>
          </w:p>
          <w:p w14:paraId="478CE190">
            <w:pPr>
              <w:pStyle w:val="9"/>
              <w:spacing w:before="59" w:line="247" w:lineRule="auto"/>
              <w:ind w:left="118" w:right="108" w:firstLine="48"/>
              <w:jc w:val="both"/>
              <w:rPr>
                <w:sz w:val="20"/>
                <w:szCs w:val="20"/>
              </w:rPr>
            </w:pPr>
            <w:r>
              <w:rPr>
                <w:rFonts w:ascii="Times New Roman" w:hAnsi="Times New Roman" w:eastAsia="Times New Roman" w:cs="Times New Roman"/>
                <w:spacing w:val="4"/>
                <w:sz w:val="20"/>
                <w:szCs w:val="20"/>
              </w:rPr>
              <w:t>V</w:t>
            </w:r>
            <w:r>
              <w:rPr>
                <w:sz w:val="20"/>
                <w:szCs w:val="20"/>
              </w:rPr>
              <w:t>升压站</w:t>
            </w:r>
          </w:p>
        </w:tc>
        <w:tc>
          <w:tcPr>
            <w:tcW w:w="1168" w:type="dxa"/>
            <w:vAlign w:val="top"/>
          </w:tcPr>
          <w:p w14:paraId="36674B61">
            <w:pPr>
              <w:spacing w:line="262" w:lineRule="auto"/>
              <w:rPr>
                <w:rFonts w:ascii="Arial"/>
                <w:sz w:val="21"/>
              </w:rPr>
            </w:pPr>
          </w:p>
          <w:p w14:paraId="05B1EF5C">
            <w:pPr>
              <w:spacing w:line="262" w:lineRule="auto"/>
              <w:rPr>
                <w:rFonts w:ascii="Arial"/>
                <w:sz w:val="21"/>
              </w:rPr>
            </w:pPr>
          </w:p>
          <w:p w14:paraId="5B22BC33">
            <w:pPr>
              <w:spacing w:line="262" w:lineRule="auto"/>
              <w:rPr>
                <w:rFonts w:ascii="Arial"/>
                <w:sz w:val="21"/>
              </w:rPr>
            </w:pPr>
          </w:p>
          <w:p w14:paraId="6B01BCD6">
            <w:pPr>
              <w:pStyle w:val="9"/>
              <w:spacing w:before="65" w:line="231" w:lineRule="auto"/>
              <w:ind w:left="384"/>
              <w:rPr>
                <w:sz w:val="20"/>
                <w:szCs w:val="20"/>
              </w:rPr>
            </w:pPr>
            <w:r>
              <w:rPr>
                <w:spacing w:val="4"/>
                <w:sz w:val="20"/>
                <w:szCs w:val="20"/>
              </w:rPr>
              <w:t>站区</w:t>
            </w:r>
          </w:p>
        </w:tc>
        <w:tc>
          <w:tcPr>
            <w:tcW w:w="896" w:type="dxa"/>
            <w:gridSpan w:val="2"/>
            <w:vAlign w:val="top"/>
          </w:tcPr>
          <w:p w14:paraId="4FD4D562">
            <w:pPr>
              <w:spacing w:line="276" w:lineRule="auto"/>
              <w:rPr>
                <w:rFonts w:ascii="Arial"/>
                <w:sz w:val="21"/>
              </w:rPr>
            </w:pPr>
          </w:p>
          <w:p w14:paraId="4026D65A">
            <w:pPr>
              <w:spacing w:line="277" w:lineRule="auto"/>
              <w:rPr>
                <w:rFonts w:ascii="Arial"/>
                <w:sz w:val="21"/>
              </w:rPr>
            </w:pPr>
          </w:p>
          <w:p w14:paraId="6FE68645">
            <w:pPr>
              <w:spacing w:line="277" w:lineRule="auto"/>
              <w:rPr>
                <w:rFonts w:ascii="Arial"/>
                <w:sz w:val="21"/>
              </w:rPr>
            </w:pPr>
          </w:p>
          <w:p w14:paraId="06190411">
            <w:pPr>
              <w:spacing w:before="58" w:line="195" w:lineRule="auto"/>
              <w:ind w:left="26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4.16</w:t>
            </w:r>
          </w:p>
        </w:tc>
        <w:tc>
          <w:tcPr>
            <w:tcW w:w="888" w:type="dxa"/>
            <w:vAlign w:val="top"/>
          </w:tcPr>
          <w:p w14:paraId="3AF0A60C">
            <w:pPr>
              <w:spacing w:line="306" w:lineRule="auto"/>
              <w:rPr>
                <w:rFonts w:ascii="Arial"/>
                <w:sz w:val="21"/>
              </w:rPr>
            </w:pPr>
          </w:p>
          <w:p w14:paraId="7497E931">
            <w:pPr>
              <w:spacing w:line="306" w:lineRule="auto"/>
              <w:rPr>
                <w:rFonts w:ascii="Arial"/>
                <w:sz w:val="21"/>
              </w:rPr>
            </w:pPr>
          </w:p>
          <w:p w14:paraId="4CA823AA">
            <w:pPr>
              <w:spacing w:line="307" w:lineRule="auto"/>
              <w:rPr>
                <w:rFonts w:ascii="Arial"/>
                <w:sz w:val="21"/>
              </w:rPr>
            </w:pPr>
          </w:p>
          <w:p w14:paraId="3C24E828">
            <w:pPr>
              <w:spacing w:before="57" w:line="96" w:lineRule="exact"/>
              <w:ind w:left="340"/>
              <w:rPr>
                <w:rFonts w:ascii="Times New Roman" w:hAnsi="Times New Roman" w:eastAsia="Times New Roman" w:cs="Times New Roman"/>
                <w:sz w:val="20"/>
                <w:szCs w:val="20"/>
              </w:rPr>
            </w:pPr>
            <w:r>
              <w:rPr>
                <w:rFonts w:ascii="Times New Roman" w:hAnsi="Times New Roman" w:eastAsia="Times New Roman" w:cs="Times New Roman"/>
                <w:spacing w:val="12"/>
                <w:position w:val="-2"/>
                <w:sz w:val="20"/>
                <w:szCs w:val="20"/>
              </w:rPr>
              <w:t>—</w:t>
            </w:r>
          </w:p>
        </w:tc>
        <w:tc>
          <w:tcPr>
            <w:tcW w:w="829" w:type="dxa"/>
            <w:vAlign w:val="top"/>
          </w:tcPr>
          <w:p w14:paraId="41BEDACD">
            <w:pPr>
              <w:spacing w:line="276" w:lineRule="auto"/>
              <w:rPr>
                <w:rFonts w:ascii="Arial"/>
                <w:sz w:val="21"/>
              </w:rPr>
            </w:pPr>
          </w:p>
          <w:p w14:paraId="0E291B5C">
            <w:pPr>
              <w:spacing w:line="277" w:lineRule="auto"/>
              <w:rPr>
                <w:rFonts w:ascii="Arial"/>
                <w:sz w:val="21"/>
              </w:rPr>
            </w:pPr>
          </w:p>
          <w:p w14:paraId="7E4557C4">
            <w:pPr>
              <w:spacing w:line="277" w:lineRule="auto"/>
              <w:rPr>
                <w:rFonts w:ascii="Arial"/>
                <w:sz w:val="21"/>
              </w:rPr>
            </w:pPr>
          </w:p>
          <w:p w14:paraId="395629A8">
            <w:pPr>
              <w:spacing w:before="58" w:line="195" w:lineRule="auto"/>
              <w:ind w:left="23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4.16</w:t>
            </w:r>
          </w:p>
        </w:tc>
        <w:tc>
          <w:tcPr>
            <w:tcW w:w="1727" w:type="dxa"/>
            <w:vAlign w:val="top"/>
          </w:tcPr>
          <w:p w14:paraId="0C5FE4F4">
            <w:pPr>
              <w:spacing w:line="276" w:lineRule="auto"/>
              <w:rPr>
                <w:rFonts w:ascii="Arial"/>
                <w:sz w:val="21"/>
              </w:rPr>
            </w:pPr>
          </w:p>
          <w:p w14:paraId="77AA41B4">
            <w:pPr>
              <w:spacing w:line="277" w:lineRule="auto"/>
              <w:rPr>
                <w:rFonts w:ascii="Arial"/>
                <w:sz w:val="21"/>
              </w:rPr>
            </w:pPr>
          </w:p>
          <w:p w14:paraId="6AED67EB">
            <w:pPr>
              <w:spacing w:line="277" w:lineRule="auto"/>
              <w:rPr>
                <w:rFonts w:ascii="Arial"/>
                <w:sz w:val="21"/>
              </w:rPr>
            </w:pPr>
          </w:p>
          <w:p w14:paraId="40FC293C">
            <w:pPr>
              <w:spacing w:before="58" w:line="195" w:lineRule="auto"/>
              <w:ind w:left="68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4.16</w:t>
            </w:r>
          </w:p>
        </w:tc>
        <w:tc>
          <w:tcPr>
            <w:tcW w:w="2109" w:type="dxa"/>
            <w:gridSpan w:val="2"/>
            <w:vAlign w:val="top"/>
          </w:tcPr>
          <w:p w14:paraId="7E9C1426">
            <w:pPr>
              <w:pStyle w:val="9"/>
              <w:spacing w:before="39" w:line="245" w:lineRule="auto"/>
              <w:ind w:left="118" w:right="100" w:firstLine="425"/>
              <w:jc w:val="both"/>
              <w:rPr>
                <w:sz w:val="20"/>
                <w:szCs w:val="20"/>
              </w:rPr>
            </w:pPr>
            <w:r>
              <w:rPr>
                <w:spacing w:val="8"/>
                <w:sz w:val="20"/>
                <w:szCs w:val="20"/>
              </w:rPr>
              <w:t>升压站占地面积</w:t>
            </w:r>
            <w:r>
              <w:rPr>
                <w:spacing w:val="2"/>
                <w:sz w:val="20"/>
                <w:szCs w:val="20"/>
              </w:rPr>
              <w:t>为</w:t>
            </w:r>
            <w:r>
              <w:rPr>
                <w:spacing w:val="-18"/>
                <w:sz w:val="20"/>
                <w:szCs w:val="20"/>
              </w:rPr>
              <w:t xml:space="preserve"> </w:t>
            </w:r>
            <w:r>
              <w:rPr>
                <w:rFonts w:ascii="Times New Roman" w:hAnsi="Times New Roman" w:eastAsia="Times New Roman" w:cs="Times New Roman"/>
                <w:spacing w:val="2"/>
                <w:sz w:val="20"/>
                <w:szCs w:val="20"/>
              </w:rPr>
              <w:t>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2"/>
                <w:sz w:val="20"/>
                <w:szCs w:val="20"/>
              </w:rPr>
              <w:t>16</w:t>
            </w:r>
            <w:r>
              <w:rPr>
                <w:rFonts w:ascii="Times New Roman" w:hAnsi="Times New Roman" w:eastAsia="Times New Roman" w:cs="Times New Roman"/>
                <w:sz w:val="20"/>
                <w:szCs w:val="20"/>
              </w:rPr>
              <w:t>hm</w:t>
            </w:r>
            <w:r>
              <w:rPr>
                <w:rFonts w:ascii="Times New Roman" w:hAnsi="Times New Roman" w:eastAsia="Times New Roman" w:cs="Times New Roman"/>
                <w:spacing w:val="2"/>
                <w:position w:val="6"/>
                <w:sz w:val="13"/>
                <w:szCs w:val="13"/>
              </w:rPr>
              <w:t xml:space="preserve">2 </w:t>
            </w:r>
            <w:r>
              <w:rPr>
                <w:spacing w:val="2"/>
                <w:sz w:val="20"/>
                <w:szCs w:val="20"/>
              </w:rPr>
              <w:t>，</w:t>
            </w:r>
            <w:r>
              <w:rPr>
                <w:spacing w:val="-49"/>
                <w:sz w:val="20"/>
                <w:szCs w:val="20"/>
              </w:rPr>
              <w:t xml:space="preserve"> </w:t>
            </w:r>
            <w:r>
              <w:rPr>
                <w:spacing w:val="2"/>
                <w:sz w:val="20"/>
                <w:szCs w:val="20"/>
              </w:rPr>
              <w:t>四周围</w:t>
            </w:r>
            <w:r>
              <w:rPr>
                <w:spacing w:val="-3"/>
                <w:sz w:val="20"/>
                <w:szCs w:val="20"/>
              </w:rPr>
              <w:t>实</w:t>
            </w:r>
            <w:r>
              <w:rPr>
                <w:spacing w:val="-18"/>
                <w:sz w:val="20"/>
                <w:szCs w:val="20"/>
              </w:rPr>
              <w:t xml:space="preserve"> </w:t>
            </w:r>
            <w:r>
              <w:rPr>
                <w:spacing w:val="-3"/>
                <w:sz w:val="20"/>
                <w:szCs w:val="20"/>
              </w:rPr>
              <w:t>体 围</w:t>
            </w:r>
            <w:r>
              <w:rPr>
                <w:spacing w:val="-20"/>
                <w:sz w:val="20"/>
                <w:szCs w:val="20"/>
              </w:rPr>
              <w:t xml:space="preserve"> </w:t>
            </w:r>
            <w:r>
              <w:rPr>
                <w:spacing w:val="-3"/>
                <w:sz w:val="20"/>
                <w:szCs w:val="20"/>
              </w:rPr>
              <w:t>墙</w:t>
            </w:r>
            <w:r>
              <w:rPr>
                <w:spacing w:val="-14"/>
                <w:sz w:val="20"/>
                <w:szCs w:val="20"/>
              </w:rPr>
              <w:t xml:space="preserve"> </w:t>
            </w:r>
            <w:r>
              <w:rPr>
                <w:spacing w:val="-3"/>
                <w:sz w:val="20"/>
                <w:szCs w:val="20"/>
              </w:rPr>
              <w:t>高</w:t>
            </w:r>
            <w:r>
              <w:rPr>
                <w:spacing w:val="-23"/>
                <w:sz w:val="20"/>
                <w:szCs w:val="20"/>
              </w:rPr>
              <w:t xml:space="preserve"> </w:t>
            </w:r>
            <w:r>
              <w:rPr>
                <w:spacing w:val="-3"/>
                <w:sz w:val="20"/>
                <w:szCs w:val="20"/>
              </w:rPr>
              <w:t>度</w:t>
            </w:r>
            <w:r>
              <w:rPr>
                <w:spacing w:val="-18"/>
                <w:sz w:val="20"/>
                <w:szCs w:val="20"/>
              </w:rPr>
              <w:t xml:space="preserve"> </w:t>
            </w:r>
            <w:r>
              <w:rPr>
                <w:spacing w:val="-3"/>
                <w:sz w:val="20"/>
                <w:szCs w:val="20"/>
              </w:rPr>
              <w:t>为</w:t>
            </w:r>
            <w:r>
              <w:rPr>
                <w:rFonts w:ascii="Times New Roman" w:hAnsi="Times New Roman" w:eastAsia="Times New Roman" w:cs="Times New Roman"/>
                <w:sz w:val="20"/>
                <w:szCs w:val="20"/>
              </w:rPr>
              <w:t>2.5m</w:t>
            </w:r>
            <w:r>
              <w:rPr>
                <w:rFonts w:ascii="Times New Roman" w:hAnsi="Times New Roman" w:eastAsia="Times New Roman" w:cs="Times New Roman"/>
                <w:spacing w:val="-22"/>
                <w:sz w:val="20"/>
                <w:szCs w:val="20"/>
              </w:rPr>
              <w:t xml:space="preserve"> </w:t>
            </w:r>
            <w:r>
              <w:rPr>
                <w:sz w:val="20"/>
                <w:szCs w:val="20"/>
              </w:rPr>
              <w:t>，</w:t>
            </w:r>
            <w:r>
              <w:rPr>
                <w:spacing w:val="-50"/>
                <w:sz w:val="20"/>
                <w:szCs w:val="20"/>
              </w:rPr>
              <w:t xml:space="preserve"> </w:t>
            </w:r>
            <w:r>
              <w:rPr>
                <w:sz w:val="20"/>
                <w:szCs w:val="20"/>
              </w:rPr>
              <w:t>目前占地均已</w:t>
            </w:r>
            <w:r>
              <w:rPr>
                <w:spacing w:val="9"/>
                <w:sz w:val="20"/>
                <w:szCs w:val="20"/>
              </w:rPr>
              <w:t>转为工业用地，施工期表土堆场位于站区</w:t>
            </w:r>
            <w:r>
              <w:rPr>
                <w:spacing w:val="6"/>
                <w:sz w:val="20"/>
                <w:szCs w:val="20"/>
              </w:rPr>
              <w:t>范围内。</w:t>
            </w:r>
          </w:p>
        </w:tc>
        <w:tc>
          <w:tcPr>
            <w:tcW w:w="123" w:type="dxa"/>
            <w:tcBorders>
              <w:top w:val="nil"/>
              <w:bottom w:val="nil"/>
              <w:right w:val="single" w:color="000000" w:sz="6" w:space="0"/>
            </w:tcBorders>
            <w:vAlign w:val="top"/>
          </w:tcPr>
          <w:p w14:paraId="2B085BE4">
            <w:pPr>
              <w:rPr>
                <w:rFonts w:ascii="Arial"/>
                <w:sz w:val="21"/>
              </w:rPr>
            </w:pPr>
          </w:p>
        </w:tc>
      </w:tr>
      <w:tr w14:paraId="2F3E14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6" w:hRule="atLeast"/>
        </w:trPr>
        <w:tc>
          <w:tcPr>
            <w:tcW w:w="776" w:type="dxa"/>
            <w:vMerge w:val="continue"/>
            <w:tcBorders>
              <w:top w:val="nil"/>
              <w:left w:val="single" w:color="000000" w:sz="6" w:space="0"/>
              <w:bottom w:val="nil"/>
            </w:tcBorders>
            <w:vAlign w:val="top"/>
          </w:tcPr>
          <w:p w14:paraId="5F467D50">
            <w:pPr>
              <w:rPr>
                <w:rFonts w:ascii="Arial"/>
                <w:sz w:val="21"/>
              </w:rPr>
            </w:pPr>
          </w:p>
        </w:tc>
        <w:tc>
          <w:tcPr>
            <w:tcW w:w="114" w:type="dxa"/>
            <w:tcBorders>
              <w:top w:val="nil"/>
              <w:bottom w:val="nil"/>
            </w:tcBorders>
            <w:vAlign w:val="top"/>
          </w:tcPr>
          <w:p w14:paraId="59BF3735">
            <w:pPr>
              <w:rPr>
                <w:rFonts w:ascii="Arial"/>
                <w:sz w:val="21"/>
              </w:rPr>
            </w:pPr>
          </w:p>
        </w:tc>
        <w:tc>
          <w:tcPr>
            <w:tcW w:w="432" w:type="dxa"/>
            <w:vMerge w:val="continue"/>
            <w:tcBorders>
              <w:top w:val="nil"/>
            </w:tcBorders>
            <w:vAlign w:val="top"/>
          </w:tcPr>
          <w:p w14:paraId="4C514AD9">
            <w:pPr>
              <w:rPr>
                <w:rFonts w:ascii="Arial"/>
                <w:sz w:val="21"/>
              </w:rPr>
            </w:pPr>
          </w:p>
        </w:tc>
        <w:tc>
          <w:tcPr>
            <w:tcW w:w="1168" w:type="dxa"/>
            <w:vAlign w:val="top"/>
          </w:tcPr>
          <w:p w14:paraId="550FFA61">
            <w:pPr>
              <w:spacing w:line="386" w:lineRule="auto"/>
              <w:rPr>
                <w:rFonts w:ascii="Arial"/>
                <w:sz w:val="21"/>
              </w:rPr>
            </w:pPr>
          </w:p>
          <w:p w14:paraId="73E61D72">
            <w:pPr>
              <w:pStyle w:val="9"/>
              <w:spacing w:before="65" w:line="253" w:lineRule="auto"/>
              <w:ind w:left="174" w:right="158"/>
              <w:jc w:val="both"/>
              <w:rPr>
                <w:sz w:val="20"/>
                <w:szCs w:val="20"/>
              </w:rPr>
            </w:pPr>
            <w:r>
              <w:rPr>
                <w:spacing w:val="7"/>
                <w:sz w:val="20"/>
                <w:szCs w:val="20"/>
              </w:rPr>
              <w:t>施工期生产生活区占地面积</w:t>
            </w:r>
          </w:p>
        </w:tc>
        <w:tc>
          <w:tcPr>
            <w:tcW w:w="896" w:type="dxa"/>
            <w:gridSpan w:val="2"/>
            <w:vAlign w:val="top"/>
          </w:tcPr>
          <w:p w14:paraId="3425D6AF">
            <w:pPr>
              <w:spacing w:line="263" w:lineRule="auto"/>
              <w:rPr>
                <w:rFonts w:ascii="Arial"/>
                <w:sz w:val="21"/>
              </w:rPr>
            </w:pPr>
          </w:p>
          <w:p w14:paraId="70D4BC40">
            <w:pPr>
              <w:spacing w:line="264" w:lineRule="auto"/>
              <w:rPr>
                <w:rFonts w:ascii="Arial"/>
                <w:sz w:val="21"/>
              </w:rPr>
            </w:pPr>
          </w:p>
          <w:p w14:paraId="73946679">
            <w:pPr>
              <w:spacing w:line="264" w:lineRule="auto"/>
              <w:rPr>
                <w:rFonts w:ascii="Arial"/>
                <w:sz w:val="21"/>
              </w:rPr>
            </w:pPr>
          </w:p>
          <w:p w14:paraId="0A279603">
            <w:pPr>
              <w:spacing w:before="57" w:line="96" w:lineRule="exact"/>
              <w:ind w:left="341"/>
              <w:rPr>
                <w:rFonts w:ascii="Times New Roman" w:hAnsi="Times New Roman" w:eastAsia="Times New Roman" w:cs="Times New Roman"/>
                <w:sz w:val="20"/>
                <w:szCs w:val="20"/>
              </w:rPr>
            </w:pPr>
            <w:r>
              <w:rPr>
                <w:rFonts w:ascii="Times New Roman" w:hAnsi="Times New Roman" w:eastAsia="Times New Roman" w:cs="Times New Roman"/>
                <w:spacing w:val="12"/>
                <w:position w:val="-2"/>
                <w:sz w:val="20"/>
                <w:szCs w:val="20"/>
              </w:rPr>
              <w:t>—</w:t>
            </w:r>
          </w:p>
        </w:tc>
        <w:tc>
          <w:tcPr>
            <w:tcW w:w="888" w:type="dxa"/>
            <w:vAlign w:val="top"/>
          </w:tcPr>
          <w:p w14:paraId="5834709B">
            <w:pPr>
              <w:spacing w:line="351" w:lineRule="auto"/>
              <w:rPr>
                <w:rFonts w:ascii="Arial"/>
                <w:sz w:val="21"/>
              </w:rPr>
            </w:pPr>
          </w:p>
          <w:p w14:paraId="475CE5C8">
            <w:pPr>
              <w:spacing w:line="351" w:lineRule="auto"/>
              <w:rPr>
                <w:rFonts w:ascii="Arial"/>
                <w:sz w:val="21"/>
              </w:rPr>
            </w:pPr>
          </w:p>
          <w:p w14:paraId="6E646D6C">
            <w:pPr>
              <w:spacing w:before="58" w:line="195" w:lineRule="auto"/>
              <w:ind w:left="32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0.5</w:t>
            </w:r>
          </w:p>
        </w:tc>
        <w:tc>
          <w:tcPr>
            <w:tcW w:w="829" w:type="dxa"/>
            <w:vAlign w:val="top"/>
          </w:tcPr>
          <w:p w14:paraId="191DA692">
            <w:pPr>
              <w:spacing w:line="351" w:lineRule="auto"/>
              <w:rPr>
                <w:rFonts w:ascii="Arial"/>
                <w:sz w:val="21"/>
              </w:rPr>
            </w:pPr>
          </w:p>
          <w:p w14:paraId="30E37B8A">
            <w:pPr>
              <w:spacing w:line="351" w:lineRule="auto"/>
              <w:rPr>
                <w:rFonts w:ascii="Arial"/>
                <w:sz w:val="21"/>
              </w:rPr>
            </w:pPr>
          </w:p>
          <w:p w14:paraId="2940504D">
            <w:pPr>
              <w:spacing w:before="58" w:line="195" w:lineRule="auto"/>
              <w:ind w:left="29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0.5</w:t>
            </w:r>
          </w:p>
        </w:tc>
        <w:tc>
          <w:tcPr>
            <w:tcW w:w="1727" w:type="dxa"/>
            <w:vAlign w:val="top"/>
          </w:tcPr>
          <w:p w14:paraId="0D3B755E">
            <w:pPr>
              <w:spacing w:line="351" w:lineRule="auto"/>
              <w:rPr>
                <w:rFonts w:ascii="Arial"/>
                <w:sz w:val="21"/>
              </w:rPr>
            </w:pPr>
          </w:p>
          <w:p w14:paraId="038439FA">
            <w:pPr>
              <w:spacing w:line="351" w:lineRule="auto"/>
              <w:rPr>
                <w:rFonts w:ascii="Arial"/>
                <w:sz w:val="21"/>
              </w:rPr>
            </w:pPr>
          </w:p>
          <w:p w14:paraId="73A47D7E">
            <w:pPr>
              <w:spacing w:before="58" w:line="195" w:lineRule="auto"/>
              <w:ind w:left="74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0.5</w:t>
            </w:r>
          </w:p>
        </w:tc>
        <w:tc>
          <w:tcPr>
            <w:tcW w:w="2109" w:type="dxa"/>
            <w:gridSpan w:val="2"/>
            <w:vAlign w:val="top"/>
          </w:tcPr>
          <w:p w14:paraId="506EF95E">
            <w:pPr>
              <w:pStyle w:val="9"/>
              <w:spacing w:before="50" w:line="244" w:lineRule="auto"/>
              <w:ind w:left="122" w:right="100" w:firstLine="419"/>
              <w:jc w:val="both"/>
              <w:rPr>
                <w:sz w:val="20"/>
                <w:szCs w:val="20"/>
              </w:rPr>
            </w:pPr>
            <w:r>
              <w:rPr>
                <w:spacing w:val="8"/>
                <w:sz w:val="20"/>
                <w:szCs w:val="20"/>
              </w:rPr>
              <w:t>施工营地等临时建筑进行拆除，建筑垃圾已及时清运，清运后进行了表土回覆并播撒草种，恢复草</w:t>
            </w:r>
            <w:r>
              <w:rPr>
                <w:spacing w:val="6"/>
                <w:sz w:val="20"/>
                <w:szCs w:val="20"/>
              </w:rPr>
              <w:t>种为披碱草。</w:t>
            </w:r>
          </w:p>
        </w:tc>
        <w:tc>
          <w:tcPr>
            <w:tcW w:w="123" w:type="dxa"/>
            <w:tcBorders>
              <w:top w:val="nil"/>
              <w:bottom w:val="nil"/>
              <w:right w:val="single" w:color="000000" w:sz="6" w:space="0"/>
            </w:tcBorders>
            <w:vAlign w:val="top"/>
          </w:tcPr>
          <w:p w14:paraId="71734A8A">
            <w:pPr>
              <w:rPr>
                <w:rFonts w:ascii="Arial"/>
                <w:sz w:val="21"/>
              </w:rPr>
            </w:pPr>
          </w:p>
        </w:tc>
      </w:tr>
      <w:tr w14:paraId="2E73A9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76" w:type="dxa"/>
            <w:vMerge w:val="continue"/>
            <w:tcBorders>
              <w:top w:val="nil"/>
              <w:left w:val="single" w:color="000000" w:sz="6" w:space="0"/>
              <w:bottom w:val="nil"/>
            </w:tcBorders>
            <w:vAlign w:val="top"/>
          </w:tcPr>
          <w:p w14:paraId="324E67AD">
            <w:pPr>
              <w:rPr>
                <w:rFonts w:ascii="Arial"/>
                <w:sz w:val="21"/>
              </w:rPr>
            </w:pPr>
          </w:p>
        </w:tc>
        <w:tc>
          <w:tcPr>
            <w:tcW w:w="114" w:type="dxa"/>
            <w:tcBorders>
              <w:top w:val="nil"/>
              <w:bottom w:val="nil"/>
            </w:tcBorders>
            <w:vAlign w:val="top"/>
          </w:tcPr>
          <w:p w14:paraId="6D2C90F3">
            <w:pPr>
              <w:rPr>
                <w:rFonts w:ascii="Arial"/>
                <w:sz w:val="21"/>
              </w:rPr>
            </w:pPr>
          </w:p>
        </w:tc>
        <w:tc>
          <w:tcPr>
            <w:tcW w:w="1600" w:type="dxa"/>
            <w:gridSpan w:val="2"/>
            <w:vAlign w:val="top"/>
          </w:tcPr>
          <w:p w14:paraId="32E12967">
            <w:pPr>
              <w:pStyle w:val="9"/>
              <w:spacing w:before="42" w:line="207" w:lineRule="auto"/>
              <w:ind w:left="593"/>
              <w:rPr>
                <w:sz w:val="20"/>
                <w:szCs w:val="20"/>
              </w:rPr>
            </w:pPr>
            <w:r>
              <w:rPr>
                <w:spacing w:val="5"/>
                <w:sz w:val="20"/>
                <w:szCs w:val="20"/>
              </w:rPr>
              <w:t>合计</w:t>
            </w:r>
          </w:p>
        </w:tc>
        <w:tc>
          <w:tcPr>
            <w:tcW w:w="896" w:type="dxa"/>
            <w:gridSpan w:val="2"/>
            <w:vAlign w:val="top"/>
          </w:tcPr>
          <w:p w14:paraId="754503E0">
            <w:pPr>
              <w:spacing w:before="78" w:line="195" w:lineRule="auto"/>
              <w:ind w:left="26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4.16</w:t>
            </w:r>
          </w:p>
        </w:tc>
        <w:tc>
          <w:tcPr>
            <w:tcW w:w="888" w:type="dxa"/>
            <w:vAlign w:val="top"/>
          </w:tcPr>
          <w:p w14:paraId="4FE78C02">
            <w:pPr>
              <w:spacing w:before="78" w:line="195" w:lineRule="auto"/>
              <w:ind w:left="32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0.5</w:t>
            </w:r>
          </w:p>
        </w:tc>
        <w:tc>
          <w:tcPr>
            <w:tcW w:w="829" w:type="dxa"/>
            <w:vAlign w:val="top"/>
          </w:tcPr>
          <w:p w14:paraId="520087ED">
            <w:pPr>
              <w:spacing w:before="78" w:line="195" w:lineRule="auto"/>
              <w:ind w:left="23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4.66</w:t>
            </w:r>
          </w:p>
        </w:tc>
        <w:tc>
          <w:tcPr>
            <w:tcW w:w="1727" w:type="dxa"/>
            <w:vAlign w:val="top"/>
          </w:tcPr>
          <w:p w14:paraId="1C91A61D">
            <w:pPr>
              <w:spacing w:before="78" w:line="195" w:lineRule="auto"/>
              <w:ind w:left="68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4.66</w:t>
            </w:r>
          </w:p>
        </w:tc>
        <w:tc>
          <w:tcPr>
            <w:tcW w:w="2109" w:type="dxa"/>
            <w:gridSpan w:val="2"/>
            <w:vAlign w:val="top"/>
          </w:tcPr>
          <w:p w14:paraId="459BE603">
            <w:pPr>
              <w:spacing w:before="74" w:line="199" w:lineRule="auto"/>
              <w:ind w:left="103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23" w:type="dxa"/>
            <w:tcBorders>
              <w:top w:val="nil"/>
              <w:bottom w:val="nil"/>
              <w:right w:val="single" w:color="000000" w:sz="6" w:space="0"/>
            </w:tcBorders>
            <w:vAlign w:val="top"/>
          </w:tcPr>
          <w:p w14:paraId="3A26345F">
            <w:pPr>
              <w:rPr>
                <w:rFonts w:ascii="Arial"/>
                <w:sz w:val="21"/>
              </w:rPr>
            </w:pPr>
          </w:p>
        </w:tc>
      </w:tr>
      <w:tr w14:paraId="658244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55" w:hRule="atLeast"/>
        </w:trPr>
        <w:tc>
          <w:tcPr>
            <w:tcW w:w="776" w:type="dxa"/>
            <w:vMerge w:val="continue"/>
            <w:tcBorders>
              <w:top w:val="nil"/>
              <w:left w:val="single" w:color="000000" w:sz="6" w:space="0"/>
              <w:bottom w:val="single" w:color="000000" w:sz="6" w:space="0"/>
            </w:tcBorders>
            <w:vAlign w:val="top"/>
          </w:tcPr>
          <w:p w14:paraId="02FE59A1">
            <w:pPr>
              <w:rPr>
                <w:rFonts w:ascii="Arial"/>
                <w:sz w:val="21"/>
              </w:rPr>
            </w:pPr>
          </w:p>
        </w:tc>
        <w:tc>
          <w:tcPr>
            <w:tcW w:w="8286" w:type="dxa"/>
            <w:gridSpan w:val="11"/>
            <w:tcBorders>
              <w:bottom w:val="single" w:color="000000" w:sz="6" w:space="0"/>
              <w:right w:val="single" w:color="000000" w:sz="6" w:space="0"/>
            </w:tcBorders>
            <w:vAlign w:val="top"/>
          </w:tcPr>
          <w:p w14:paraId="3D6480D4">
            <w:pPr>
              <w:pStyle w:val="9"/>
              <w:spacing w:before="175" w:line="220" w:lineRule="auto"/>
              <w:ind w:left="590"/>
              <w:outlineLvl w:val="2"/>
            </w:pPr>
            <w:r>
              <w:rPr>
                <w:b/>
                <w:bCs/>
                <w:spacing w:val="-4"/>
              </w:rPr>
              <w:t>六、公用工程</w:t>
            </w:r>
          </w:p>
          <w:p w14:paraId="4F751BA2">
            <w:pPr>
              <w:pStyle w:val="9"/>
              <w:spacing w:before="175" w:line="219" w:lineRule="auto"/>
              <w:ind w:left="594"/>
            </w:pPr>
            <w:r>
              <w:rPr>
                <w:rFonts w:ascii="Times New Roman" w:hAnsi="Times New Roman" w:eastAsia="Times New Roman" w:cs="Times New Roman"/>
                <w:b/>
                <w:bCs/>
                <w:spacing w:val="-5"/>
              </w:rPr>
              <w:t>1.</w:t>
            </w:r>
            <w:r>
              <w:rPr>
                <w:b/>
                <w:bCs/>
                <w:spacing w:val="-5"/>
              </w:rPr>
              <w:t>给排水</w:t>
            </w:r>
          </w:p>
          <w:p w14:paraId="60FE48B2">
            <w:pPr>
              <w:pStyle w:val="9"/>
              <w:spacing w:before="175" w:line="219" w:lineRule="auto"/>
              <w:ind w:left="633"/>
            </w:pPr>
            <w:r>
              <w:rPr>
                <w:spacing w:val="-3"/>
              </w:rPr>
              <w:t>目前本项目升压站已建成，本次给排水做回顾性分析。</w:t>
            </w:r>
          </w:p>
          <w:p w14:paraId="56B44CBF">
            <w:pPr>
              <w:pStyle w:val="9"/>
              <w:spacing w:before="174" w:line="217" w:lineRule="auto"/>
              <w:ind w:left="587"/>
            </w:pPr>
            <w:r>
              <w:rPr>
                <w:spacing w:val="-3"/>
              </w:rPr>
              <w:t>①给水</w:t>
            </w:r>
          </w:p>
        </w:tc>
      </w:tr>
    </w:tbl>
    <w:p w14:paraId="54EB5BE9">
      <w:pPr>
        <w:pStyle w:val="3"/>
      </w:pPr>
    </w:p>
    <w:p w14:paraId="131EF50C">
      <w:pPr>
        <w:sectPr>
          <w:footerReference r:id="rId24" w:type="default"/>
          <w:pgSz w:w="11906" w:h="16838"/>
          <w:pgMar w:top="1416" w:right="1414" w:bottom="1295" w:left="1414" w:header="0" w:footer="1133" w:gutter="0"/>
          <w:cols w:space="720" w:num="1"/>
        </w:sectPr>
      </w:pPr>
    </w:p>
    <w:tbl>
      <w:tblPr>
        <w:tblStyle w:val="8"/>
        <w:tblW w:w="9062"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6"/>
        <w:gridCol w:w="2199"/>
        <w:gridCol w:w="1344"/>
        <w:gridCol w:w="1252"/>
        <w:gridCol w:w="1674"/>
        <w:gridCol w:w="1817"/>
      </w:tblGrid>
      <w:tr w14:paraId="299084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82" w:hRule="atLeast"/>
        </w:trPr>
        <w:tc>
          <w:tcPr>
            <w:tcW w:w="776" w:type="dxa"/>
            <w:vMerge w:val="restart"/>
            <w:tcBorders>
              <w:top w:val="single" w:color="000000" w:sz="6" w:space="0"/>
              <w:left w:val="single" w:color="000000" w:sz="6" w:space="0"/>
              <w:bottom w:val="nil"/>
            </w:tcBorders>
            <w:vAlign w:val="top"/>
          </w:tcPr>
          <w:p w14:paraId="2F9FAD19">
            <w:pPr>
              <w:rPr>
                <w:rFonts w:ascii="Arial"/>
                <w:sz w:val="21"/>
              </w:rPr>
            </w:pPr>
            <w:r>
              <w:pict>
                <v:shape id="_x0000_s1029" o:spid="_x0000_s1029" style="position:absolute;left:0pt;margin-left:517.7pt;margin-top:440.85pt;height:63.75pt;width:0.5pt;mso-position-horizontal-relative:page;mso-position-vertical-relative:page;z-index:251660288;mso-width-relative:page;mso-height-relative:page;" filled="f" stroked="t" coordsize="10,1275" o:allowincell="f" path="m4,0l4,1274e">
                  <v:fill on="f" focussize="0,0"/>
                  <v:stroke weight="0.48pt" color="#000000" miterlimit="2" joinstyle="bevel"/>
                  <v:imagedata o:title=""/>
                  <o:lock v:ext="edit"/>
                </v:shape>
              </w:pict>
            </w:r>
            <w:r>
              <w:pict>
                <v:shape id="_x0000_s1030" o:spid="_x0000_s1030" style="position:absolute;left:0pt;margin-left:114.75pt;margin-top:440.85pt;height:63.75pt;width:0.5pt;mso-position-horizontal-relative:page;mso-position-vertical-relative:page;z-index:251661312;mso-width-relative:page;mso-height-relative:page;" filled="f" stroked="t" coordsize="10,1275" o:allowincell="f" path="m4,0l4,1274e">
                  <v:fill on="f" focussize="0,0"/>
                  <v:stroke weight="0.48pt" color="#000000" miterlimit="2" joinstyle="bevel"/>
                  <v:imagedata o:title=""/>
                  <o:lock v:ext="edit"/>
                </v:shape>
              </w:pict>
            </w:r>
          </w:p>
        </w:tc>
        <w:tc>
          <w:tcPr>
            <w:tcW w:w="8286" w:type="dxa"/>
            <w:gridSpan w:val="5"/>
            <w:tcBorders>
              <w:top w:val="single" w:color="000000" w:sz="6" w:space="0"/>
              <w:right w:val="single" w:color="000000" w:sz="6" w:space="0"/>
            </w:tcBorders>
            <w:vAlign w:val="top"/>
          </w:tcPr>
          <w:p w14:paraId="73994BD2">
            <w:pPr>
              <w:pStyle w:val="9"/>
              <w:spacing w:before="157" w:line="354" w:lineRule="auto"/>
              <w:ind w:left="108" w:right="101" w:firstLine="480"/>
              <w:jc w:val="both"/>
            </w:pPr>
            <w:r>
              <w:rPr>
                <w:spacing w:val="-2"/>
              </w:rPr>
              <w:t>本项目升压站劳动定员</w:t>
            </w:r>
            <w:r>
              <w:rPr>
                <w:rFonts w:ascii="Times New Roman" w:hAnsi="Times New Roman" w:eastAsia="Times New Roman" w:cs="Times New Roman"/>
                <w:spacing w:val="-2"/>
              </w:rPr>
              <w:t xml:space="preserve">20 </w:t>
            </w:r>
            <w:r>
              <w:rPr>
                <w:spacing w:val="-2"/>
              </w:rPr>
              <w:t>人，两班倒，每天最多在站内人数</w:t>
            </w:r>
            <w:r>
              <w:rPr>
                <w:spacing w:val="-28"/>
              </w:rPr>
              <w:t xml:space="preserve"> </w:t>
            </w:r>
            <w:r>
              <w:rPr>
                <w:rFonts w:ascii="Times New Roman" w:hAnsi="Times New Roman" w:eastAsia="Times New Roman" w:cs="Times New Roman"/>
                <w:spacing w:val="-2"/>
              </w:rPr>
              <w:t xml:space="preserve">10 </w:t>
            </w:r>
            <w:r>
              <w:rPr>
                <w:spacing w:val="-2"/>
              </w:rPr>
              <w:t>人，根据</w:t>
            </w:r>
            <w:r>
              <w:rPr>
                <w:spacing w:val="1"/>
              </w:rPr>
              <w:t>《内蒙古自治区行业用水定额（</w:t>
            </w:r>
            <w:r>
              <w:rPr>
                <w:rFonts w:ascii="Times New Roman" w:hAnsi="Times New Roman" w:eastAsia="Times New Roman" w:cs="Times New Roman"/>
                <w:spacing w:val="1"/>
              </w:rPr>
              <w:t xml:space="preserve">2025 </w:t>
            </w:r>
            <w:r>
              <w:rPr>
                <w:spacing w:val="1"/>
              </w:rPr>
              <w:t>版）》（</w:t>
            </w:r>
            <w:r>
              <w:rPr>
                <w:rFonts w:ascii="Times New Roman" w:hAnsi="Times New Roman" w:eastAsia="Times New Roman" w:cs="Times New Roman"/>
              </w:rPr>
              <w:t>DB</w:t>
            </w:r>
            <w:r>
              <w:rPr>
                <w:rFonts w:ascii="Times New Roman" w:hAnsi="Times New Roman" w:eastAsia="Times New Roman" w:cs="Times New Roman"/>
                <w:spacing w:val="1"/>
              </w:rPr>
              <w:t>15/T385-2025</w:t>
            </w:r>
            <w:r>
              <w:rPr>
                <w:spacing w:val="10"/>
              </w:rPr>
              <w:t>），</w:t>
            </w:r>
            <w:r>
              <w:rPr>
                <w:spacing w:val="1"/>
              </w:rPr>
              <w:t>用水量定</w:t>
            </w:r>
            <w:r>
              <w:rPr>
                <w:spacing w:val="-3"/>
              </w:rPr>
              <w:t>额按</w:t>
            </w:r>
            <w:r>
              <w:rPr>
                <w:spacing w:val="-31"/>
              </w:rPr>
              <w:t xml:space="preserve"> </w:t>
            </w:r>
            <w:r>
              <w:rPr>
                <w:rFonts w:ascii="Times New Roman" w:hAnsi="Times New Roman" w:eastAsia="Times New Roman" w:cs="Times New Roman"/>
                <w:spacing w:val="-3"/>
              </w:rPr>
              <w:t>120L/</w:t>
            </w:r>
            <w:r>
              <w:rPr>
                <w:spacing w:val="-3"/>
              </w:rPr>
              <w:t>人</w:t>
            </w:r>
            <w:r>
              <w:rPr>
                <w:spacing w:val="-29"/>
              </w:rPr>
              <w:t xml:space="preserve"> </w:t>
            </w:r>
            <w:r>
              <w:rPr>
                <w:spacing w:val="-3"/>
              </w:rPr>
              <w:t>·</w:t>
            </w:r>
            <w:r>
              <w:rPr>
                <w:rFonts w:ascii="Times New Roman" w:hAnsi="Times New Roman" w:eastAsia="Times New Roman" w:cs="Times New Roman"/>
                <w:spacing w:val="-3"/>
              </w:rPr>
              <w:t xml:space="preserve">d </w:t>
            </w:r>
            <w:r>
              <w:rPr>
                <w:spacing w:val="-3"/>
              </w:rPr>
              <w:t>计，则人员生活用水量为</w:t>
            </w:r>
            <w:r>
              <w:rPr>
                <w:spacing w:val="-56"/>
              </w:rPr>
              <w:t xml:space="preserve"> </w:t>
            </w:r>
            <w:r>
              <w:rPr>
                <w:rFonts w:ascii="Times New Roman" w:hAnsi="Times New Roman" w:eastAsia="Times New Roman" w:cs="Times New Roman"/>
                <w:spacing w:val="-3"/>
              </w:rPr>
              <w:t>438m</w:t>
            </w:r>
            <w:r>
              <w:rPr>
                <w:rFonts w:ascii="Times New Roman" w:hAnsi="Times New Roman" w:eastAsia="Times New Roman" w:cs="Times New Roman"/>
                <w:spacing w:val="-4"/>
                <w:position w:val="8"/>
                <w:sz w:val="15"/>
                <w:szCs w:val="15"/>
              </w:rPr>
              <w:t>3</w:t>
            </w:r>
            <w:r>
              <w:rPr>
                <w:rFonts w:ascii="Times New Roman" w:hAnsi="Times New Roman" w:eastAsia="Times New Roman" w:cs="Times New Roman"/>
                <w:spacing w:val="-4"/>
              </w:rPr>
              <w:t>/a</w:t>
            </w:r>
            <w:r>
              <w:rPr>
                <w:spacing w:val="-4"/>
              </w:rPr>
              <w:t>（</w:t>
            </w:r>
            <w:r>
              <w:rPr>
                <w:rFonts w:ascii="Times New Roman" w:hAnsi="Times New Roman" w:eastAsia="Times New Roman" w:cs="Times New Roman"/>
                <w:spacing w:val="-4"/>
              </w:rPr>
              <w:t>1.2m</w:t>
            </w:r>
            <w:r>
              <w:rPr>
                <w:rFonts w:ascii="Times New Roman" w:hAnsi="Times New Roman" w:eastAsia="Times New Roman" w:cs="Times New Roman"/>
                <w:spacing w:val="-4"/>
                <w:position w:val="8"/>
                <w:sz w:val="15"/>
                <w:szCs w:val="15"/>
              </w:rPr>
              <w:t>3</w:t>
            </w:r>
            <w:r>
              <w:rPr>
                <w:rFonts w:ascii="Times New Roman" w:hAnsi="Times New Roman" w:eastAsia="Times New Roman" w:cs="Times New Roman"/>
                <w:spacing w:val="-4"/>
              </w:rPr>
              <w:t>/d</w:t>
            </w:r>
            <w:r>
              <w:rPr>
                <w:spacing w:val="-4"/>
              </w:rPr>
              <w:t>）。</w:t>
            </w:r>
          </w:p>
          <w:p w14:paraId="5F457D76">
            <w:pPr>
              <w:pStyle w:val="9"/>
              <w:spacing w:line="217" w:lineRule="auto"/>
              <w:ind w:left="586"/>
            </w:pPr>
            <w:r>
              <w:rPr>
                <w:spacing w:val="-3"/>
              </w:rPr>
              <w:t>②排水</w:t>
            </w:r>
          </w:p>
          <w:p w14:paraId="0AF737AF">
            <w:pPr>
              <w:pStyle w:val="9"/>
              <w:spacing w:before="176" w:line="354" w:lineRule="auto"/>
              <w:ind w:left="107" w:right="103" w:firstLine="482"/>
            </w:pPr>
            <w:r>
              <w:rPr>
                <w:spacing w:val="-3"/>
              </w:rPr>
              <w:t>人员生活污水产污系数按</w:t>
            </w:r>
            <w:r>
              <w:rPr>
                <w:spacing w:val="-51"/>
              </w:rPr>
              <w:t xml:space="preserve"> </w:t>
            </w:r>
            <w:r>
              <w:rPr>
                <w:rFonts w:ascii="Times New Roman" w:hAnsi="Times New Roman" w:eastAsia="Times New Roman" w:cs="Times New Roman"/>
                <w:spacing w:val="-3"/>
              </w:rPr>
              <w:t xml:space="preserve">0.8 </w:t>
            </w:r>
            <w:r>
              <w:rPr>
                <w:spacing w:val="-3"/>
              </w:rPr>
              <w:t>计，则生活污水产</w:t>
            </w:r>
            <w:r>
              <w:rPr>
                <w:spacing w:val="-4"/>
              </w:rPr>
              <w:t>生量为</w:t>
            </w:r>
            <w:r>
              <w:rPr>
                <w:spacing w:val="-50"/>
              </w:rPr>
              <w:t xml:space="preserve"> </w:t>
            </w:r>
            <w:r>
              <w:rPr>
                <w:rFonts w:ascii="Times New Roman" w:hAnsi="Times New Roman" w:eastAsia="Times New Roman" w:cs="Times New Roman"/>
                <w:spacing w:val="-4"/>
              </w:rPr>
              <w:t>350.4m</w:t>
            </w:r>
            <w:r>
              <w:rPr>
                <w:rFonts w:ascii="Times New Roman" w:hAnsi="Times New Roman" w:eastAsia="Times New Roman" w:cs="Times New Roman"/>
                <w:spacing w:val="-4"/>
                <w:position w:val="8"/>
                <w:sz w:val="15"/>
                <w:szCs w:val="15"/>
              </w:rPr>
              <w:t>3</w:t>
            </w:r>
            <w:r>
              <w:rPr>
                <w:rFonts w:ascii="Times New Roman" w:hAnsi="Times New Roman" w:eastAsia="Times New Roman" w:cs="Times New Roman"/>
                <w:spacing w:val="-4"/>
              </w:rPr>
              <w:t>/a</w:t>
            </w:r>
            <w:r>
              <w:rPr>
                <w:spacing w:val="-4"/>
              </w:rPr>
              <w:t>，经化粪</w:t>
            </w:r>
            <w:r>
              <w:rPr>
                <w:spacing w:val="-3"/>
              </w:rPr>
              <w:t>池收集后，排入厂区地埋式一体化污水处理设施，处理后夏季回用于绿化用水</w:t>
            </w:r>
            <w:r>
              <w:rPr>
                <w:spacing w:val="-1"/>
              </w:rPr>
              <w:t>及厂区洒水抑尘，站内建设</w:t>
            </w:r>
            <w:r>
              <w:rPr>
                <w:spacing w:val="-32"/>
              </w:rPr>
              <w:t xml:space="preserve"> </w:t>
            </w:r>
            <w:r>
              <w:rPr>
                <w:rFonts w:ascii="Times New Roman" w:hAnsi="Times New Roman" w:eastAsia="Times New Roman" w:cs="Times New Roman"/>
                <w:spacing w:val="-1"/>
              </w:rPr>
              <w:t xml:space="preserve">1 </w:t>
            </w:r>
            <w:r>
              <w:rPr>
                <w:spacing w:val="-1"/>
              </w:rPr>
              <w:t>座</w:t>
            </w:r>
            <w:r>
              <w:rPr>
                <w:spacing w:val="-45"/>
              </w:rPr>
              <w:t xml:space="preserve"> </w:t>
            </w:r>
            <w:r>
              <w:rPr>
                <w:rFonts w:ascii="Times New Roman" w:hAnsi="Times New Roman" w:eastAsia="Times New Roman" w:cs="Times New Roman"/>
                <w:spacing w:val="-1"/>
              </w:rPr>
              <w:t>80m</w:t>
            </w:r>
            <w:r>
              <w:rPr>
                <w:rFonts w:ascii="Times New Roman" w:hAnsi="Times New Roman" w:eastAsia="Times New Roman" w:cs="Times New Roman"/>
                <w:spacing w:val="-1"/>
                <w:position w:val="8"/>
                <w:sz w:val="15"/>
                <w:szCs w:val="15"/>
              </w:rPr>
              <w:t xml:space="preserve">3 </w:t>
            </w:r>
            <w:r>
              <w:rPr>
                <w:rFonts w:ascii="Times New Roman" w:hAnsi="Times New Roman" w:eastAsia="Times New Roman" w:cs="Times New Roman"/>
                <w:spacing w:val="-2"/>
                <w:position w:val="8"/>
                <w:sz w:val="15"/>
                <w:szCs w:val="15"/>
              </w:rPr>
              <w:t xml:space="preserve"> </w:t>
            </w:r>
            <w:r>
              <w:rPr>
                <w:spacing w:val="-2"/>
              </w:rPr>
              <w:t>的蓄水池，冬季在蓄水池内暂存，冬储</w:t>
            </w:r>
            <w:r>
              <w:rPr>
                <w:spacing w:val="-1"/>
              </w:rPr>
              <w:t>夏用，用于厂区绿化、道路抑尘等。</w:t>
            </w:r>
          </w:p>
          <w:p w14:paraId="40FB81D4">
            <w:pPr>
              <w:pStyle w:val="9"/>
              <w:spacing w:line="218" w:lineRule="auto"/>
              <w:ind w:left="584"/>
            </w:pPr>
            <w:r>
              <w:rPr>
                <w:rFonts w:ascii="Times New Roman" w:hAnsi="Times New Roman" w:eastAsia="Times New Roman" w:cs="Times New Roman"/>
                <w:b/>
                <w:bCs/>
                <w:spacing w:val="-3"/>
              </w:rPr>
              <w:t>2.</w:t>
            </w:r>
            <w:r>
              <w:rPr>
                <w:b/>
                <w:bCs/>
                <w:spacing w:val="-3"/>
              </w:rPr>
              <w:t>供电</w:t>
            </w:r>
          </w:p>
          <w:p w14:paraId="12220B35">
            <w:pPr>
              <w:pStyle w:val="9"/>
              <w:spacing w:before="177" w:line="219" w:lineRule="auto"/>
              <w:ind w:left="588"/>
            </w:pPr>
            <w:r>
              <w:rPr>
                <w:spacing w:val="-4"/>
              </w:rPr>
              <w:t>运营期站内设置</w:t>
            </w:r>
            <w:r>
              <w:rPr>
                <w:spacing w:val="-50"/>
              </w:rPr>
              <w:t xml:space="preserve"> </w:t>
            </w:r>
            <w:r>
              <w:rPr>
                <w:rFonts w:ascii="Times New Roman" w:hAnsi="Times New Roman" w:eastAsia="Times New Roman" w:cs="Times New Roman"/>
                <w:spacing w:val="-4"/>
              </w:rPr>
              <w:t>400kVA×1</w:t>
            </w:r>
            <w:r>
              <w:rPr>
                <w:rFonts w:ascii="Times New Roman" w:hAnsi="Times New Roman" w:eastAsia="Times New Roman" w:cs="Times New Roman"/>
                <w:spacing w:val="28"/>
                <w:w w:val="101"/>
              </w:rPr>
              <w:t xml:space="preserve"> </w:t>
            </w:r>
            <w:r>
              <w:rPr>
                <w:spacing w:val="-4"/>
              </w:rPr>
              <w:t>台站用变。</w:t>
            </w:r>
          </w:p>
          <w:p w14:paraId="5BDE2FD6">
            <w:pPr>
              <w:pStyle w:val="9"/>
              <w:spacing w:before="175" w:line="219" w:lineRule="auto"/>
              <w:ind w:left="582"/>
            </w:pPr>
            <w:r>
              <w:rPr>
                <w:rFonts w:ascii="Times New Roman" w:hAnsi="Times New Roman" w:eastAsia="Times New Roman" w:cs="Times New Roman"/>
                <w:b/>
                <w:bCs/>
                <w:spacing w:val="-3"/>
              </w:rPr>
              <w:t>3.</w:t>
            </w:r>
            <w:r>
              <w:rPr>
                <w:b/>
                <w:bCs/>
                <w:spacing w:val="-3"/>
              </w:rPr>
              <w:t>供暖</w:t>
            </w:r>
          </w:p>
          <w:p w14:paraId="31E9EC23">
            <w:pPr>
              <w:pStyle w:val="9"/>
              <w:spacing w:before="173" w:line="219" w:lineRule="auto"/>
              <w:ind w:left="590"/>
            </w:pPr>
            <w:r>
              <w:rPr>
                <w:spacing w:val="-1"/>
              </w:rPr>
              <w:t>升压站内采暖采用壁挂式电暖器采暖。</w:t>
            </w:r>
          </w:p>
          <w:p w14:paraId="105912EA">
            <w:pPr>
              <w:pStyle w:val="9"/>
              <w:spacing w:before="177" w:line="220" w:lineRule="auto"/>
              <w:ind w:left="587"/>
              <w:outlineLvl w:val="1"/>
            </w:pPr>
            <w:r>
              <w:rPr>
                <w:b/>
                <w:bCs/>
                <w:spacing w:val="-3"/>
              </w:rPr>
              <w:t>七、土石方平衡</w:t>
            </w:r>
          </w:p>
          <w:p w14:paraId="468CB4CD">
            <w:pPr>
              <w:pStyle w:val="9"/>
              <w:spacing w:before="181" w:line="362" w:lineRule="auto"/>
              <w:ind w:left="111" w:right="103" w:firstLine="476"/>
            </w:pPr>
            <w:r>
              <w:rPr>
                <w:spacing w:val="-3"/>
              </w:rPr>
              <w:t>根据下表可知，升压站区域挖方</w:t>
            </w:r>
            <w:r>
              <w:rPr>
                <w:spacing w:val="-29"/>
              </w:rPr>
              <w:t xml:space="preserve"> </w:t>
            </w:r>
            <w:r>
              <w:rPr>
                <w:rFonts w:ascii="Times New Roman" w:hAnsi="Times New Roman" w:eastAsia="Times New Roman" w:cs="Times New Roman"/>
                <w:spacing w:val="-3"/>
              </w:rPr>
              <w:t>11243m</w:t>
            </w:r>
            <w:r>
              <w:rPr>
                <w:rFonts w:ascii="Times New Roman" w:hAnsi="Times New Roman" w:eastAsia="Times New Roman" w:cs="Times New Roman"/>
                <w:spacing w:val="-3"/>
                <w:position w:val="7"/>
                <w:sz w:val="15"/>
                <w:szCs w:val="15"/>
              </w:rPr>
              <w:t>3</w:t>
            </w:r>
            <w:r>
              <w:rPr>
                <w:rFonts w:ascii="Times New Roman" w:hAnsi="Times New Roman" w:eastAsia="Times New Roman" w:cs="Times New Roman"/>
                <w:spacing w:val="-7"/>
                <w:position w:val="7"/>
                <w:sz w:val="15"/>
                <w:szCs w:val="15"/>
              </w:rPr>
              <w:t xml:space="preserve"> </w:t>
            </w:r>
            <w:r>
              <w:rPr>
                <w:spacing w:val="-3"/>
              </w:rPr>
              <w:t>，填方</w:t>
            </w:r>
            <w:r>
              <w:rPr>
                <w:spacing w:val="-56"/>
              </w:rPr>
              <w:t xml:space="preserve"> </w:t>
            </w:r>
            <w:r>
              <w:rPr>
                <w:rFonts w:ascii="Times New Roman" w:hAnsi="Times New Roman" w:eastAsia="Times New Roman" w:cs="Times New Roman"/>
                <w:spacing w:val="-3"/>
              </w:rPr>
              <w:t>41243m</w:t>
            </w:r>
            <w:r>
              <w:rPr>
                <w:rFonts w:ascii="Times New Roman" w:hAnsi="Times New Roman" w:eastAsia="Times New Roman" w:cs="Times New Roman"/>
                <w:spacing w:val="-3"/>
                <w:position w:val="7"/>
                <w:sz w:val="15"/>
                <w:szCs w:val="15"/>
              </w:rPr>
              <w:t>2</w:t>
            </w:r>
            <w:r>
              <w:rPr>
                <w:rFonts w:ascii="Times New Roman" w:hAnsi="Times New Roman" w:eastAsia="Times New Roman" w:cs="Times New Roman"/>
                <w:spacing w:val="-10"/>
                <w:position w:val="7"/>
                <w:sz w:val="15"/>
                <w:szCs w:val="15"/>
              </w:rPr>
              <w:t xml:space="preserve"> </w:t>
            </w:r>
            <w:r>
              <w:rPr>
                <w:spacing w:val="-3"/>
              </w:rPr>
              <w:t>，多余填方来源</w:t>
            </w:r>
            <w:r>
              <w:rPr>
                <w:spacing w:val="-1"/>
              </w:rPr>
              <w:t>于风场范围内风机基础开挖及箱变基础开挖土方，无弃方产生。</w:t>
            </w:r>
          </w:p>
          <w:p w14:paraId="7F5C91B9">
            <w:pPr>
              <w:pStyle w:val="9"/>
              <w:spacing w:before="1" w:line="219" w:lineRule="auto"/>
              <w:ind w:left="2509"/>
            </w:pPr>
            <w:r>
              <w:rPr>
                <w:b/>
                <w:bCs/>
                <w:spacing w:val="-2"/>
              </w:rPr>
              <w:t>表</w:t>
            </w:r>
            <w:r>
              <w:rPr>
                <w:spacing w:val="-44"/>
              </w:rPr>
              <w:t xml:space="preserve"> </w:t>
            </w:r>
            <w:r>
              <w:rPr>
                <w:rFonts w:ascii="Times New Roman" w:hAnsi="Times New Roman" w:eastAsia="Times New Roman" w:cs="Times New Roman"/>
                <w:b/>
                <w:bCs/>
                <w:spacing w:val="-2"/>
              </w:rPr>
              <w:t xml:space="preserve">2-6        </w:t>
            </w:r>
            <w:r>
              <w:rPr>
                <w:b/>
                <w:bCs/>
                <w:spacing w:val="-2"/>
              </w:rPr>
              <w:t>升压站土石方平衡表</w:t>
            </w:r>
          </w:p>
        </w:tc>
      </w:tr>
      <w:tr w14:paraId="320AE4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6" w:hRule="atLeast"/>
        </w:trPr>
        <w:tc>
          <w:tcPr>
            <w:tcW w:w="776" w:type="dxa"/>
            <w:vMerge w:val="continue"/>
            <w:tcBorders>
              <w:top w:val="nil"/>
              <w:left w:val="single" w:color="000000" w:sz="6" w:space="0"/>
              <w:bottom w:val="nil"/>
            </w:tcBorders>
            <w:vAlign w:val="top"/>
          </w:tcPr>
          <w:p w14:paraId="34FD6EC0">
            <w:pPr>
              <w:rPr>
                <w:rFonts w:ascii="Arial"/>
                <w:sz w:val="21"/>
              </w:rPr>
            </w:pPr>
          </w:p>
        </w:tc>
        <w:tc>
          <w:tcPr>
            <w:tcW w:w="2199" w:type="dxa"/>
            <w:vAlign w:val="top"/>
          </w:tcPr>
          <w:p w14:paraId="24E899FE">
            <w:pPr>
              <w:pStyle w:val="9"/>
              <w:spacing w:before="223" w:line="228" w:lineRule="auto"/>
              <w:ind w:left="947"/>
              <w:rPr>
                <w:sz w:val="20"/>
                <w:szCs w:val="20"/>
              </w:rPr>
            </w:pPr>
            <w:r>
              <w:rPr>
                <w:spacing w:val="3"/>
                <w:sz w:val="20"/>
                <w:szCs w:val="20"/>
              </w:rPr>
              <w:t>项目</w:t>
            </w:r>
          </w:p>
        </w:tc>
        <w:tc>
          <w:tcPr>
            <w:tcW w:w="1344" w:type="dxa"/>
            <w:vAlign w:val="top"/>
          </w:tcPr>
          <w:p w14:paraId="7EBE5832">
            <w:pPr>
              <w:pStyle w:val="9"/>
              <w:spacing w:before="223" w:line="229" w:lineRule="auto"/>
              <w:ind w:left="152"/>
              <w:rPr>
                <w:sz w:val="20"/>
                <w:szCs w:val="20"/>
              </w:rPr>
            </w:pPr>
            <w:r>
              <w:rPr>
                <w:spacing w:val="7"/>
                <w:sz w:val="20"/>
                <w:szCs w:val="20"/>
              </w:rPr>
              <w:t>土石方总量</w:t>
            </w:r>
          </w:p>
        </w:tc>
        <w:tc>
          <w:tcPr>
            <w:tcW w:w="1252" w:type="dxa"/>
            <w:vAlign w:val="top"/>
          </w:tcPr>
          <w:p w14:paraId="673771B4">
            <w:pPr>
              <w:pStyle w:val="9"/>
              <w:spacing w:before="223" w:line="229" w:lineRule="auto"/>
              <w:ind w:left="422"/>
              <w:rPr>
                <w:sz w:val="20"/>
                <w:szCs w:val="20"/>
              </w:rPr>
            </w:pPr>
            <w:r>
              <w:rPr>
                <w:spacing w:val="5"/>
                <w:sz w:val="20"/>
                <w:szCs w:val="20"/>
              </w:rPr>
              <w:t>挖方</w:t>
            </w:r>
          </w:p>
        </w:tc>
        <w:tc>
          <w:tcPr>
            <w:tcW w:w="1674" w:type="dxa"/>
            <w:vAlign w:val="top"/>
          </w:tcPr>
          <w:p w14:paraId="2BFD1FAC">
            <w:pPr>
              <w:pStyle w:val="9"/>
              <w:spacing w:before="223" w:line="228" w:lineRule="auto"/>
              <w:ind w:left="636"/>
              <w:rPr>
                <w:sz w:val="20"/>
                <w:szCs w:val="20"/>
              </w:rPr>
            </w:pPr>
            <w:r>
              <w:rPr>
                <w:spacing w:val="3"/>
                <w:sz w:val="20"/>
                <w:szCs w:val="20"/>
              </w:rPr>
              <w:t>填方</w:t>
            </w:r>
          </w:p>
        </w:tc>
        <w:tc>
          <w:tcPr>
            <w:tcW w:w="1817" w:type="dxa"/>
            <w:tcBorders>
              <w:right w:val="single" w:color="000000" w:sz="6" w:space="0"/>
            </w:tcBorders>
            <w:vAlign w:val="top"/>
          </w:tcPr>
          <w:p w14:paraId="131F485B">
            <w:pPr>
              <w:pStyle w:val="9"/>
              <w:spacing w:before="223" w:line="228" w:lineRule="auto"/>
              <w:ind w:left="438"/>
              <w:rPr>
                <w:sz w:val="20"/>
                <w:szCs w:val="20"/>
              </w:rPr>
            </w:pPr>
            <w:r>
              <w:rPr>
                <w:spacing w:val="6"/>
                <w:sz w:val="20"/>
                <w:szCs w:val="20"/>
              </w:rPr>
              <w:t>外运土方</w:t>
            </w:r>
          </w:p>
        </w:tc>
      </w:tr>
      <w:tr w14:paraId="7A1E6A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6" w:hRule="atLeast"/>
        </w:trPr>
        <w:tc>
          <w:tcPr>
            <w:tcW w:w="776" w:type="dxa"/>
            <w:vMerge w:val="continue"/>
            <w:tcBorders>
              <w:top w:val="nil"/>
              <w:left w:val="single" w:color="000000" w:sz="6" w:space="0"/>
            </w:tcBorders>
            <w:vAlign w:val="top"/>
          </w:tcPr>
          <w:p w14:paraId="2F4FAB82">
            <w:pPr>
              <w:rPr>
                <w:rFonts w:ascii="Arial"/>
                <w:sz w:val="21"/>
              </w:rPr>
            </w:pPr>
          </w:p>
        </w:tc>
        <w:tc>
          <w:tcPr>
            <w:tcW w:w="2199" w:type="dxa"/>
            <w:vAlign w:val="top"/>
          </w:tcPr>
          <w:p w14:paraId="658D16EA">
            <w:pPr>
              <w:pStyle w:val="9"/>
              <w:spacing w:before="210" w:line="229" w:lineRule="auto"/>
              <w:ind w:left="523"/>
              <w:rPr>
                <w:sz w:val="20"/>
                <w:szCs w:val="20"/>
              </w:rPr>
            </w:pPr>
            <w:r>
              <w:rPr>
                <w:rFonts w:ascii="Times New Roman" w:hAnsi="Times New Roman" w:eastAsia="Times New Roman" w:cs="Times New Roman"/>
                <w:spacing w:val="6"/>
                <w:sz w:val="20"/>
                <w:szCs w:val="20"/>
              </w:rPr>
              <w:t>220</w:t>
            </w:r>
            <w:r>
              <w:rPr>
                <w:rFonts w:ascii="Times New Roman" w:hAnsi="Times New Roman" w:eastAsia="Times New Roman" w:cs="Times New Roman"/>
                <w:sz w:val="20"/>
                <w:szCs w:val="20"/>
              </w:rPr>
              <w:t>kV</w:t>
            </w:r>
            <w:r>
              <w:rPr>
                <w:rFonts w:ascii="Times New Roman" w:hAnsi="Times New Roman" w:eastAsia="Times New Roman" w:cs="Times New Roman"/>
                <w:spacing w:val="17"/>
                <w:sz w:val="20"/>
                <w:szCs w:val="20"/>
              </w:rPr>
              <w:t xml:space="preserve"> </w:t>
            </w:r>
            <w:r>
              <w:rPr>
                <w:spacing w:val="6"/>
                <w:sz w:val="20"/>
                <w:szCs w:val="20"/>
              </w:rPr>
              <w:t>升压站</w:t>
            </w:r>
          </w:p>
        </w:tc>
        <w:tc>
          <w:tcPr>
            <w:tcW w:w="1344" w:type="dxa"/>
            <w:vAlign w:val="top"/>
          </w:tcPr>
          <w:p w14:paraId="7A4E4C13">
            <w:pPr>
              <w:spacing w:before="246" w:line="195" w:lineRule="auto"/>
              <w:ind w:left="40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41043</w:t>
            </w:r>
          </w:p>
        </w:tc>
        <w:tc>
          <w:tcPr>
            <w:tcW w:w="1252" w:type="dxa"/>
            <w:vAlign w:val="top"/>
          </w:tcPr>
          <w:p w14:paraId="139478E4">
            <w:pPr>
              <w:spacing w:before="246" w:line="195" w:lineRule="auto"/>
              <w:ind w:left="386"/>
              <w:rPr>
                <w:rFonts w:ascii="Times New Roman" w:hAnsi="Times New Roman" w:eastAsia="Times New Roman" w:cs="Times New Roman"/>
                <w:sz w:val="20"/>
                <w:szCs w:val="20"/>
              </w:rPr>
            </w:pPr>
            <w:r>
              <w:rPr>
                <w:rFonts w:ascii="Times New Roman" w:hAnsi="Times New Roman" w:eastAsia="Times New Roman" w:cs="Times New Roman"/>
                <w:sz w:val="20"/>
                <w:szCs w:val="20"/>
              </w:rPr>
              <w:t>11043</w:t>
            </w:r>
          </w:p>
        </w:tc>
        <w:tc>
          <w:tcPr>
            <w:tcW w:w="1674" w:type="dxa"/>
            <w:vAlign w:val="top"/>
          </w:tcPr>
          <w:p w14:paraId="47633BBE">
            <w:pPr>
              <w:spacing w:before="246" w:line="195" w:lineRule="auto"/>
              <w:ind w:left="601"/>
              <w:rPr>
                <w:rFonts w:ascii="Times New Roman" w:hAnsi="Times New Roman" w:eastAsia="Times New Roman" w:cs="Times New Roman"/>
                <w:sz w:val="20"/>
                <w:szCs w:val="20"/>
              </w:rPr>
            </w:pPr>
            <w:r>
              <w:rPr>
                <w:rFonts w:ascii="Times New Roman" w:hAnsi="Times New Roman" w:eastAsia="Times New Roman" w:cs="Times New Roman"/>
                <w:sz w:val="20"/>
                <w:szCs w:val="20"/>
              </w:rPr>
              <w:t>11043</w:t>
            </w:r>
          </w:p>
        </w:tc>
        <w:tc>
          <w:tcPr>
            <w:tcW w:w="1817" w:type="dxa"/>
            <w:tcBorders>
              <w:right w:val="single" w:color="000000" w:sz="6" w:space="0"/>
            </w:tcBorders>
            <w:vAlign w:val="top"/>
          </w:tcPr>
          <w:p w14:paraId="0B5D294E">
            <w:pPr>
              <w:spacing w:before="246" w:line="195" w:lineRule="auto"/>
              <w:ind w:left="59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30000</w:t>
            </w:r>
          </w:p>
        </w:tc>
      </w:tr>
      <w:tr w14:paraId="4B5B0C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4" w:hRule="atLeast"/>
        </w:trPr>
        <w:tc>
          <w:tcPr>
            <w:tcW w:w="776" w:type="dxa"/>
            <w:tcBorders>
              <w:left w:val="single" w:color="000000" w:sz="6" w:space="0"/>
              <w:bottom w:val="single" w:color="000000" w:sz="6" w:space="0"/>
            </w:tcBorders>
            <w:vAlign w:val="top"/>
          </w:tcPr>
          <w:p w14:paraId="57DF1B89">
            <w:pPr>
              <w:spacing w:line="254" w:lineRule="auto"/>
              <w:rPr>
                <w:rFonts w:ascii="Arial"/>
                <w:sz w:val="21"/>
              </w:rPr>
            </w:pPr>
          </w:p>
          <w:p w14:paraId="2A192938">
            <w:pPr>
              <w:spacing w:line="254" w:lineRule="auto"/>
              <w:rPr>
                <w:rFonts w:ascii="Arial"/>
                <w:sz w:val="21"/>
              </w:rPr>
            </w:pPr>
          </w:p>
          <w:p w14:paraId="7E6B8CC3">
            <w:pPr>
              <w:spacing w:line="255" w:lineRule="auto"/>
              <w:rPr>
                <w:rFonts w:ascii="Arial"/>
                <w:sz w:val="21"/>
              </w:rPr>
            </w:pPr>
          </w:p>
          <w:p w14:paraId="31B04CA7">
            <w:pPr>
              <w:spacing w:line="255" w:lineRule="auto"/>
              <w:rPr>
                <w:rFonts w:ascii="Arial"/>
                <w:sz w:val="21"/>
              </w:rPr>
            </w:pPr>
          </w:p>
          <w:p w14:paraId="0FB5A0EC">
            <w:pPr>
              <w:spacing w:line="255" w:lineRule="auto"/>
              <w:rPr>
                <w:rFonts w:ascii="Arial"/>
                <w:sz w:val="21"/>
              </w:rPr>
            </w:pPr>
          </w:p>
          <w:p w14:paraId="196C1D00">
            <w:pPr>
              <w:spacing w:line="255" w:lineRule="auto"/>
              <w:rPr>
                <w:rFonts w:ascii="Arial"/>
                <w:sz w:val="21"/>
              </w:rPr>
            </w:pPr>
          </w:p>
          <w:p w14:paraId="675EB261">
            <w:pPr>
              <w:spacing w:line="255" w:lineRule="auto"/>
              <w:rPr>
                <w:rFonts w:ascii="Arial"/>
                <w:sz w:val="21"/>
              </w:rPr>
            </w:pPr>
          </w:p>
          <w:p w14:paraId="33316B46">
            <w:pPr>
              <w:pStyle w:val="9"/>
              <w:spacing w:before="65" w:line="252" w:lineRule="auto"/>
              <w:ind w:left="177" w:right="179" w:firstLine="5"/>
              <w:outlineLvl w:val="2"/>
              <w:rPr>
                <w:sz w:val="20"/>
                <w:szCs w:val="20"/>
              </w:rPr>
            </w:pPr>
            <w:r>
              <w:rPr>
                <w:spacing w:val="2"/>
                <w:sz w:val="20"/>
                <w:szCs w:val="20"/>
              </w:rPr>
              <w:t>总平</w:t>
            </w:r>
            <w:r>
              <w:rPr>
                <w:spacing w:val="4"/>
                <w:sz w:val="20"/>
                <w:szCs w:val="20"/>
              </w:rPr>
              <w:t>面及现场布置</w:t>
            </w:r>
          </w:p>
        </w:tc>
        <w:tc>
          <w:tcPr>
            <w:tcW w:w="8286" w:type="dxa"/>
            <w:gridSpan w:val="5"/>
            <w:tcBorders>
              <w:bottom w:val="single" w:color="000000" w:sz="6" w:space="0"/>
              <w:right w:val="single" w:color="000000" w:sz="6" w:space="0"/>
            </w:tcBorders>
            <w:vAlign w:val="top"/>
          </w:tcPr>
          <w:p w14:paraId="40C13E8B">
            <w:pPr>
              <w:pStyle w:val="9"/>
              <w:spacing w:before="191" w:line="219" w:lineRule="auto"/>
              <w:ind w:left="591"/>
            </w:pPr>
            <w:r>
              <w:rPr>
                <w:b/>
                <w:bCs/>
                <w:spacing w:val="-4"/>
              </w:rPr>
              <w:t>一、升压站平面布置</w:t>
            </w:r>
          </w:p>
          <w:p w14:paraId="5B80D86C">
            <w:pPr>
              <w:pStyle w:val="9"/>
              <w:spacing w:before="189" w:line="361" w:lineRule="auto"/>
              <w:ind w:left="108" w:right="103" w:firstLine="480"/>
              <w:jc w:val="both"/>
            </w:pPr>
            <w:r>
              <w:rPr>
                <w:spacing w:val="-2"/>
              </w:rPr>
              <w:t>本项目升压站采用户外型布置，升压站总占地面积为</w:t>
            </w:r>
            <w:r>
              <w:rPr>
                <w:spacing w:val="-48"/>
              </w:rPr>
              <w:t xml:space="preserve"> </w:t>
            </w:r>
            <w:r>
              <w:rPr>
                <w:rFonts w:ascii="Times New Roman" w:hAnsi="Times New Roman" w:eastAsia="Times New Roman" w:cs="Times New Roman"/>
                <w:spacing w:val="-2"/>
              </w:rPr>
              <w:t>4.</w:t>
            </w:r>
            <w:r>
              <w:rPr>
                <w:rFonts w:ascii="Times New Roman" w:hAnsi="Times New Roman" w:eastAsia="Times New Roman" w:cs="Times New Roman"/>
                <w:spacing w:val="-32"/>
              </w:rPr>
              <w:t xml:space="preserve"> </w:t>
            </w:r>
            <w:r>
              <w:rPr>
                <w:rFonts w:ascii="Times New Roman" w:hAnsi="Times New Roman" w:eastAsia="Times New Roman" w:cs="Times New Roman"/>
                <w:spacing w:val="-2"/>
              </w:rPr>
              <w:t>16hm</w:t>
            </w:r>
            <w:r>
              <w:rPr>
                <w:rFonts w:ascii="Times New Roman" w:hAnsi="Times New Roman" w:eastAsia="Times New Roman" w:cs="Times New Roman"/>
                <w:spacing w:val="-2"/>
                <w:position w:val="8"/>
                <w:sz w:val="15"/>
                <w:szCs w:val="15"/>
              </w:rPr>
              <w:t>2</w:t>
            </w:r>
            <w:r>
              <w:rPr>
                <w:rFonts w:ascii="Times New Roman" w:hAnsi="Times New Roman" w:eastAsia="Times New Roman" w:cs="Times New Roman"/>
                <w:spacing w:val="-7"/>
                <w:position w:val="8"/>
                <w:sz w:val="15"/>
                <w:szCs w:val="15"/>
              </w:rPr>
              <w:t xml:space="preserve"> </w:t>
            </w:r>
            <w:r>
              <w:rPr>
                <w:spacing w:val="-2"/>
              </w:rPr>
              <w:t>，升压站站</w:t>
            </w:r>
            <w:r>
              <w:rPr>
                <w:spacing w:val="-3"/>
              </w:rPr>
              <w:t>区呈矩形布置，站区西侧布置生活区，站区东侧布置生产区。生产区由北向南</w:t>
            </w:r>
            <w:r>
              <w:rPr>
                <w:spacing w:val="-2"/>
              </w:rPr>
              <w:t>布置了</w:t>
            </w:r>
            <w:r>
              <w:rPr>
                <w:spacing w:val="-43"/>
              </w:rPr>
              <w:t xml:space="preserve"> </w:t>
            </w:r>
            <w:r>
              <w:rPr>
                <w:rFonts w:ascii="Times New Roman" w:hAnsi="Times New Roman" w:eastAsia="Times New Roman" w:cs="Times New Roman"/>
                <w:spacing w:val="-2"/>
              </w:rPr>
              <w:t>4</w:t>
            </w:r>
            <w:r>
              <w:rPr>
                <w:rFonts w:ascii="Times New Roman" w:hAnsi="Times New Roman" w:eastAsia="Times New Roman" w:cs="Times New Roman"/>
                <w:spacing w:val="28"/>
                <w:w w:val="101"/>
              </w:rPr>
              <w:t xml:space="preserve"> </w:t>
            </w:r>
            <w:r>
              <w:rPr>
                <w:spacing w:val="-2"/>
              </w:rPr>
              <w:t>台主变压器、</w:t>
            </w:r>
            <w:r>
              <w:rPr>
                <w:rFonts w:ascii="Times New Roman" w:hAnsi="Times New Roman" w:eastAsia="Times New Roman" w:cs="Times New Roman"/>
                <w:spacing w:val="-2"/>
              </w:rPr>
              <w:t xml:space="preserve">35kV </w:t>
            </w:r>
            <w:r>
              <w:rPr>
                <w:spacing w:val="-2"/>
              </w:rPr>
              <w:t>配电装置、</w:t>
            </w:r>
            <w:r>
              <w:rPr>
                <w:rFonts w:ascii="Times New Roman" w:hAnsi="Times New Roman" w:eastAsia="Times New Roman" w:cs="Times New Roman"/>
                <w:spacing w:val="-2"/>
              </w:rPr>
              <w:t xml:space="preserve">SVG </w:t>
            </w:r>
            <w:r>
              <w:rPr>
                <w:spacing w:val="-2"/>
              </w:rPr>
              <w:t>动态无功补偿装置，同时生产区</w:t>
            </w:r>
            <w:r>
              <w:rPr>
                <w:spacing w:val="-1"/>
              </w:rPr>
              <w:t>配套设置了事故油池及危废暂存间。东侧生活区布置了</w:t>
            </w:r>
            <w:r>
              <w:rPr>
                <w:rFonts w:ascii="Times New Roman" w:hAnsi="Times New Roman" w:eastAsia="Times New Roman" w:cs="Times New Roman"/>
                <w:spacing w:val="-1"/>
              </w:rPr>
              <w:t xml:space="preserve">2 </w:t>
            </w:r>
            <w:r>
              <w:rPr>
                <w:spacing w:val="-1"/>
              </w:rPr>
              <w:t>座综合楼，配套</w:t>
            </w:r>
            <w:r>
              <w:rPr>
                <w:spacing w:val="-2"/>
              </w:rPr>
              <w:t>设置</w:t>
            </w:r>
            <w:r>
              <w:rPr>
                <w:spacing w:val="-1"/>
              </w:rPr>
              <w:t>了生活消防水泵房、消防蓄水池及地埋式一体化设备等设施。</w:t>
            </w:r>
          </w:p>
          <w:p w14:paraId="4089CF2C">
            <w:pPr>
              <w:pStyle w:val="9"/>
              <w:spacing w:before="2" w:line="361" w:lineRule="auto"/>
              <w:ind w:left="106" w:right="103" w:firstLine="483"/>
            </w:pPr>
            <w:r>
              <w:rPr>
                <w:spacing w:val="1"/>
              </w:rPr>
              <w:t>升压站围墙设计：四周围实体围墙高度为</w:t>
            </w:r>
            <w:r>
              <w:rPr>
                <w:spacing w:val="-51"/>
              </w:rPr>
              <w:t xml:space="preserve"> </w:t>
            </w:r>
            <w:r>
              <w:rPr>
                <w:rFonts w:ascii="Times New Roman" w:hAnsi="Times New Roman" w:eastAsia="Times New Roman" w:cs="Times New Roman"/>
                <w:spacing w:val="1"/>
              </w:rPr>
              <w:t>2.5m</w:t>
            </w:r>
            <w:r>
              <w:rPr>
                <w:rFonts w:ascii="Times New Roman" w:hAnsi="Times New Roman" w:eastAsia="Times New Roman" w:cs="Times New Roman"/>
                <w:spacing w:val="-28"/>
              </w:rPr>
              <w:t xml:space="preserve"> </w:t>
            </w:r>
            <w:r>
              <w:rPr>
                <w:spacing w:val="1"/>
              </w:rPr>
              <w:t>，站区大门位于升压站北</w:t>
            </w:r>
            <w:r>
              <w:rPr>
                <w:spacing w:val="-4"/>
              </w:rPr>
              <w:t>侧。</w:t>
            </w:r>
          </w:p>
          <w:p w14:paraId="694C8D14">
            <w:pPr>
              <w:pStyle w:val="9"/>
              <w:spacing w:before="2" w:line="292" w:lineRule="auto"/>
              <w:ind w:left="103" w:right="103" w:firstLine="485"/>
            </w:pPr>
            <w:r>
              <w:rPr>
                <w:spacing w:val="13"/>
              </w:rPr>
              <w:t>站区绿化：在生活区围墙周围进行绿化，种植披碱</w:t>
            </w:r>
            <w:r>
              <w:rPr>
                <w:spacing w:val="12"/>
              </w:rPr>
              <w:t>草为主。绿化面积</w:t>
            </w:r>
            <w:r>
              <w:rPr>
                <w:rFonts w:ascii="Times New Roman" w:hAnsi="Times New Roman" w:eastAsia="Times New Roman" w:cs="Times New Roman"/>
                <w:spacing w:val="-1"/>
              </w:rPr>
              <w:t>2000m</w:t>
            </w:r>
            <w:r>
              <w:rPr>
                <w:rFonts w:ascii="Times New Roman" w:hAnsi="Times New Roman" w:eastAsia="Times New Roman" w:cs="Times New Roman"/>
                <w:spacing w:val="-1"/>
                <w:position w:val="7"/>
                <w:sz w:val="15"/>
                <w:szCs w:val="15"/>
              </w:rPr>
              <w:t>2</w:t>
            </w:r>
            <w:r>
              <w:rPr>
                <w:spacing w:val="-1"/>
              </w:rPr>
              <w:t>。</w:t>
            </w:r>
          </w:p>
        </w:tc>
      </w:tr>
    </w:tbl>
    <w:p w14:paraId="59405105">
      <w:pPr>
        <w:pStyle w:val="3"/>
      </w:pPr>
    </w:p>
    <w:p w14:paraId="5C8EE981">
      <w:pPr>
        <w:sectPr>
          <w:footerReference r:id="rId25" w:type="default"/>
          <w:pgSz w:w="11906" w:h="16838"/>
          <w:pgMar w:top="1416" w:right="1414" w:bottom="1295" w:left="1414" w:header="0" w:footer="1133" w:gutter="0"/>
          <w:cols w:space="720" w:num="1"/>
        </w:sectPr>
      </w:pPr>
    </w:p>
    <w:tbl>
      <w:tblPr>
        <w:tblStyle w:val="8"/>
        <w:tblW w:w="906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76"/>
        <w:gridCol w:w="8286"/>
      </w:tblGrid>
      <w:tr w14:paraId="49B2E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870" w:hRule="atLeast"/>
        </w:trPr>
        <w:tc>
          <w:tcPr>
            <w:tcW w:w="776" w:type="dxa"/>
            <w:tcBorders>
              <w:right w:val="single" w:color="000000" w:sz="2" w:space="0"/>
            </w:tcBorders>
            <w:vAlign w:val="top"/>
          </w:tcPr>
          <w:p w14:paraId="41669561">
            <w:pPr>
              <w:rPr>
                <w:rFonts w:ascii="Arial"/>
                <w:sz w:val="21"/>
              </w:rPr>
            </w:pPr>
          </w:p>
        </w:tc>
        <w:tc>
          <w:tcPr>
            <w:tcW w:w="8286" w:type="dxa"/>
            <w:tcBorders>
              <w:left w:val="single" w:color="000000" w:sz="2" w:space="0"/>
            </w:tcBorders>
            <w:vAlign w:val="top"/>
          </w:tcPr>
          <w:p w14:paraId="119A0774">
            <w:pPr>
              <w:pStyle w:val="9"/>
              <w:spacing w:before="157" w:line="219" w:lineRule="auto"/>
              <w:ind w:left="2752"/>
              <w:outlineLvl w:val="1"/>
            </w:pPr>
            <w:r>
              <w:rPr>
                <w:b/>
                <w:bCs/>
                <w:spacing w:val="-2"/>
              </w:rPr>
              <w:t>表</w:t>
            </w:r>
            <w:r>
              <w:rPr>
                <w:spacing w:val="-48"/>
              </w:rPr>
              <w:t xml:space="preserve"> </w:t>
            </w:r>
            <w:r>
              <w:rPr>
                <w:rFonts w:ascii="Times New Roman" w:hAnsi="Times New Roman" w:eastAsia="Times New Roman" w:cs="Times New Roman"/>
                <w:b/>
                <w:bCs/>
                <w:spacing w:val="-2"/>
              </w:rPr>
              <w:t xml:space="preserve">2-6        </w:t>
            </w:r>
            <w:r>
              <w:rPr>
                <w:b/>
                <w:bCs/>
                <w:spacing w:val="-2"/>
              </w:rPr>
              <w:t>升压站四角坐标</w:t>
            </w:r>
          </w:p>
          <w:p w14:paraId="2B468E49">
            <w:pPr>
              <w:spacing w:line="133" w:lineRule="auto"/>
              <w:rPr>
                <w:rFonts w:ascii="Arial"/>
                <w:sz w:val="2"/>
              </w:rPr>
            </w:pPr>
          </w:p>
          <w:tbl>
            <w:tblPr>
              <w:tblStyle w:val="8"/>
              <w:tblW w:w="8025" w:type="dxa"/>
              <w:tblInd w:w="1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38"/>
              <w:gridCol w:w="3338"/>
              <w:gridCol w:w="3249"/>
            </w:tblGrid>
            <w:tr w14:paraId="6F1214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8025" w:type="dxa"/>
                  <w:gridSpan w:val="3"/>
                  <w:vAlign w:val="top"/>
                </w:tcPr>
                <w:p w14:paraId="4FDF98DB">
                  <w:pPr>
                    <w:pStyle w:val="9"/>
                    <w:spacing w:before="48" w:line="213" w:lineRule="auto"/>
                    <w:ind w:left="1861"/>
                  </w:pPr>
                  <w:r>
                    <w:rPr>
                      <w:spacing w:val="-1"/>
                    </w:rPr>
                    <w:t>升压站征地范围拐点坐标（经纬度坐标）</w:t>
                  </w:r>
                </w:p>
              </w:tc>
            </w:tr>
            <w:tr w14:paraId="3A004D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atLeast"/>
              </w:trPr>
              <w:tc>
                <w:tcPr>
                  <w:tcW w:w="1438" w:type="dxa"/>
                  <w:vAlign w:val="top"/>
                </w:tcPr>
                <w:p w14:paraId="1676D28A">
                  <w:pPr>
                    <w:pStyle w:val="9"/>
                    <w:spacing w:before="44" w:line="212" w:lineRule="auto"/>
                    <w:ind w:left="247"/>
                  </w:pPr>
                  <w:r>
                    <w:rPr>
                      <w:spacing w:val="-3"/>
                    </w:rPr>
                    <w:t>拐点编号</w:t>
                  </w:r>
                </w:p>
              </w:tc>
              <w:tc>
                <w:tcPr>
                  <w:tcW w:w="3338" w:type="dxa"/>
                  <w:vAlign w:val="top"/>
                </w:tcPr>
                <w:p w14:paraId="0CAE4A12">
                  <w:pPr>
                    <w:pStyle w:val="9"/>
                    <w:spacing w:before="44" w:line="212" w:lineRule="auto"/>
                    <w:ind w:left="1435"/>
                  </w:pPr>
                  <w:r>
                    <w:rPr>
                      <w:spacing w:val="-6"/>
                    </w:rPr>
                    <w:t>经度</w:t>
                  </w:r>
                </w:p>
              </w:tc>
              <w:tc>
                <w:tcPr>
                  <w:tcW w:w="3249" w:type="dxa"/>
                  <w:vAlign w:val="top"/>
                </w:tcPr>
                <w:p w14:paraId="30078C12">
                  <w:pPr>
                    <w:pStyle w:val="9"/>
                    <w:spacing w:before="44" w:line="212" w:lineRule="auto"/>
                    <w:ind w:left="1392"/>
                  </w:pPr>
                  <w:r>
                    <w:rPr>
                      <w:spacing w:val="-6"/>
                    </w:rPr>
                    <w:t>纬度</w:t>
                  </w:r>
                </w:p>
              </w:tc>
            </w:tr>
            <w:tr w14:paraId="36FCC6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atLeast"/>
              </w:trPr>
              <w:tc>
                <w:tcPr>
                  <w:tcW w:w="1438" w:type="dxa"/>
                  <w:vAlign w:val="top"/>
                </w:tcPr>
                <w:p w14:paraId="7B36C561">
                  <w:pPr>
                    <w:spacing w:before="87" w:line="188" w:lineRule="auto"/>
                    <w:ind w:left="685"/>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3338" w:type="dxa"/>
                  <w:vAlign w:val="top"/>
                </w:tcPr>
                <w:p w14:paraId="7CDE9866">
                  <w:pPr>
                    <w:spacing w:before="86" w:line="180" w:lineRule="exact"/>
                    <w:ind w:left="999"/>
                    <w:rPr>
                      <w:rFonts w:ascii="Times New Roman" w:hAnsi="Times New Roman" w:eastAsia="Times New Roman" w:cs="Times New Roman"/>
                      <w:sz w:val="24"/>
                      <w:szCs w:val="24"/>
                    </w:rPr>
                  </w:pPr>
                  <w:r>
                    <w:rPr>
                      <w:rFonts w:ascii="Times New Roman" w:hAnsi="Times New Roman" w:eastAsia="Times New Roman" w:cs="Times New Roman"/>
                      <w:spacing w:val="-3"/>
                      <w:position w:val="-2"/>
                      <w:sz w:val="24"/>
                      <w:szCs w:val="24"/>
                    </w:rPr>
                    <w:t>119°26,8.583″</w:t>
                  </w:r>
                </w:p>
              </w:tc>
              <w:tc>
                <w:tcPr>
                  <w:tcW w:w="3249" w:type="dxa"/>
                  <w:vAlign w:val="top"/>
                </w:tcPr>
                <w:p w14:paraId="65E170D8">
                  <w:pPr>
                    <w:spacing w:before="86" w:line="180" w:lineRule="exact"/>
                    <w:ind w:left="929"/>
                    <w:rPr>
                      <w:rFonts w:ascii="Times New Roman" w:hAnsi="Times New Roman" w:eastAsia="Times New Roman" w:cs="Times New Roman"/>
                      <w:sz w:val="24"/>
                      <w:szCs w:val="24"/>
                    </w:rPr>
                  </w:pPr>
                  <w:r>
                    <w:rPr>
                      <w:rFonts w:ascii="Times New Roman" w:hAnsi="Times New Roman" w:eastAsia="Times New Roman" w:cs="Times New Roman"/>
                      <w:spacing w:val="-6"/>
                      <w:position w:val="-2"/>
                      <w:sz w:val="24"/>
                      <w:szCs w:val="24"/>
                    </w:rPr>
                    <w:t>45°</w:t>
                  </w:r>
                  <w:r>
                    <w:rPr>
                      <w:rFonts w:ascii="Times New Roman" w:hAnsi="Times New Roman" w:eastAsia="Times New Roman" w:cs="Times New Roman"/>
                      <w:spacing w:val="-23"/>
                      <w:position w:val="-2"/>
                      <w:sz w:val="24"/>
                      <w:szCs w:val="24"/>
                    </w:rPr>
                    <w:t xml:space="preserve"> </w:t>
                  </w:r>
                  <w:r>
                    <w:rPr>
                      <w:rFonts w:ascii="Times New Roman" w:hAnsi="Times New Roman" w:eastAsia="Times New Roman" w:cs="Times New Roman"/>
                      <w:spacing w:val="-6"/>
                      <w:position w:val="-2"/>
                      <w:sz w:val="24"/>
                      <w:szCs w:val="24"/>
                    </w:rPr>
                    <w:t>18,</w:t>
                  </w:r>
                  <w:r>
                    <w:rPr>
                      <w:rFonts w:ascii="Times New Roman" w:hAnsi="Times New Roman" w:eastAsia="Times New Roman" w:cs="Times New Roman"/>
                      <w:spacing w:val="-32"/>
                      <w:position w:val="-2"/>
                      <w:sz w:val="24"/>
                      <w:szCs w:val="24"/>
                    </w:rPr>
                    <w:t xml:space="preserve"> </w:t>
                  </w:r>
                  <w:r>
                    <w:rPr>
                      <w:rFonts w:ascii="Times New Roman" w:hAnsi="Times New Roman" w:eastAsia="Times New Roman" w:cs="Times New Roman"/>
                      <w:spacing w:val="-6"/>
                      <w:position w:val="-2"/>
                      <w:sz w:val="24"/>
                      <w:szCs w:val="24"/>
                    </w:rPr>
                    <w:t>14.216″</w:t>
                  </w:r>
                </w:p>
              </w:tc>
            </w:tr>
            <w:tr w14:paraId="564440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atLeast"/>
              </w:trPr>
              <w:tc>
                <w:tcPr>
                  <w:tcW w:w="1438" w:type="dxa"/>
                  <w:vAlign w:val="top"/>
                </w:tcPr>
                <w:p w14:paraId="02BDE786">
                  <w:pPr>
                    <w:spacing w:before="88" w:line="188" w:lineRule="auto"/>
                    <w:ind w:left="662"/>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3338" w:type="dxa"/>
                  <w:vAlign w:val="top"/>
                </w:tcPr>
                <w:p w14:paraId="4C962EB6">
                  <w:pPr>
                    <w:spacing w:before="87" w:line="180" w:lineRule="exact"/>
                    <w:ind w:left="939"/>
                    <w:rPr>
                      <w:rFonts w:ascii="Times New Roman" w:hAnsi="Times New Roman" w:eastAsia="Times New Roman" w:cs="Times New Roman"/>
                      <w:sz w:val="24"/>
                      <w:szCs w:val="24"/>
                    </w:rPr>
                  </w:pPr>
                  <w:r>
                    <w:rPr>
                      <w:rFonts w:ascii="Times New Roman" w:hAnsi="Times New Roman" w:eastAsia="Times New Roman" w:cs="Times New Roman"/>
                      <w:spacing w:val="-3"/>
                      <w:position w:val="-2"/>
                      <w:sz w:val="24"/>
                      <w:szCs w:val="24"/>
                    </w:rPr>
                    <w:t>119°26,23.912″</w:t>
                  </w:r>
                </w:p>
              </w:tc>
              <w:tc>
                <w:tcPr>
                  <w:tcW w:w="3249" w:type="dxa"/>
                  <w:vAlign w:val="top"/>
                </w:tcPr>
                <w:p w14:paraId="1D9F3764">
                  <w:pPr>
                    <w:spacing w:before="87" w:line="180" w:lineRule="exact"/>
                    <w:ind w:left="929"/>
                    <w:rPr>
                      <w:rFonts w:ascii="Times New Roman" w:hAnsi="Times New Roman" w:eastAsia="Times New Roman" w:cs="Times New Roman"/>
                      <w:sz w:val="24"/>
                      <w:szCs w:val="24"/>
                    </w:rPr>
                  </w:pPr>
                  <w:r>
                    <w:rPr>
                      <w:rFonts w:ascii="Times New Roman" w:hAnsi="Times New Roman" w:eastAsia="Times New Roman" w:cs="Times New Roman"/>
                      <w:spacing w:val="-6"/>
                      <w:position w:val="-2"/>
                      <w:sz w:val="24"/>
                      <w:szCs w:val="24"/>
                    </w:rPr>
                    <w:t>45°</w:t>
                  </w:r>
                  <w:r>
                    <w:rPr>
                      <w:rFonts w:ascii="Times New Roman" w:hAnsi="Times New Roman" w:eastAsia="Times New Roman" w:cs="Times New Roman"/>
                      <w:spacing w:val="-23"/>
                      <w:position w:val="-2"/>
                      <w:sz w:val="24"/>
                      <w:szCs w:val="24"/>
                    </w:rPr>
                    <w:t xml:space="preserve"> </w:t>
                  </w:r>
                  <w:r>
                    <w:rPr>
                      <w:rFonts w:ascii="Times New Roman" w:hAnsi="Times New Roman" w:eastAsia="Times New Roman" w:cs="Times New Roman"/>
                      <w:spacing w:val="-6"/>
                      <w:position w:val="-2"/>
                      <w:sz w:val="24"/>
                      <w:szCs w:val="24"/>
                    </w:rPr>
                    <w:t>18,</w:t>
                  </w:r>
                  <w:r>
                    <w:rPr>
                      <w:rFonts w:ascii="Times New Roman" w:hAnsi="Times New Roman" w:eastAsia="Times New Roman" w:cs="Times New Roman"/>
                      <w:spacing w:val="-32"/>
                      <w:position w:val="-2"/>
                      <w:sz w:val="24"/>
                      <w:szCs w:val="24"/>
                    </w:rPr>
                    <w:t xml:space="preserve"> </w:t>
                  </w:r>
                  <w:r>
                    <w:rPr>
                      <w:rFonts w:ascii="Times New Roman" w:hAnsi="Times New Roman" w:eastAsia="Times New Roman" w:cs="Times New Roman"/>
                      <w:spacing w:val="-6"/>
                      <w:position w:val="-2"/>
                      <w:sz w:val="24"/>
                      <w:szCs w:val="24"/>
                    </w:rPr>
                    <w:t>14.216″</w:t>
                  </w:r>
                </w:p>
              </w:tc>
            </w:tr>
            <w:tr w14:paraId="5E926C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atLeast"/>
              </w:trPr>
              <w:tc>
                <w:tcPr>
                  <w:tcW w:w="1438" w:type="dxa"/>
                  <w:vAlign w:val="top"/>
                </w:tcPr>
                <w:p w14:paraId="521CAB9C">
                  <w:pPr>
                    <w:spacing w:before="89" w:line="188" w:lineRule="auto"/>
                    <w:ind w:left="666"/>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3338" w:type="dxa"/>
                  <w:vAlign w:val="top"/>
                </w:tcPr>
                <w:p w14:paraId="0DA0316D">
                  <w:pPr>
                    <w:spacing w:before="88" w:line="180" w:lineRule="exact"/>
                    <w:ind w:left="999"/>
                    <w:rPr>
                      <w:rFonts w:ascii="Times New Roman" w:hAnsi="Times New Roman" w:eastAsia="Times New Roman" w:cs="Times New Roman"/>
                      <w:sz w:val="24"/>
                      <w:szCs w:val="24"/>
                    </w:rPr>
                  </w:pPr>
                  <w:r>
                    <w:rPr>
                      <w:rFonts w:ascii="Times New Roman" w:hAnsi="Times New Roman" w:eastAsia="Times New Roman" w:cs="Times New Roman"/>
                      <w:spacing w:val="-3"/>
                      <w:position w:val="-2"/>
                      <w:sz w:val="24"/>
                      <w:szCs w:val="24"/>
                    </w:rPr>
                    <w:t>119°26,8.573″</w:t>
                  </w:r>
                </w:p>
              </w:tc>
              <w:tc>
                <w:tcPr>
                  <w:tcW w:w="3249" w:type="dxa"/>
                  <w:vAlign w:val="top"/>
                </w:tcPr>
                <w:p w14:paraId="51FA9B97">
                  <w:pPr>
                    <w:spacing w:before="88" w:line="180" w:lineRule="exact"/>
                    <w:ind w:left="989"/>
                    <w:rPr>
                      <w:rFonts w:ascii="Times New Roman" w:hAnsi="Times New Roman" w:eastAsia="Times New Roman" w:cs="Times New Roman"/>
                      <w:sz w:val="24"/>
                      <w:szCs w:val="24"/>
                    </w:rPr>
                  </w:pPr>
                  <w:r>
                    <w:rPr>
                      <w:rFonts w:ascii="Times New Roman" w:hAnsi="Times New Roman" w:eastAsia="Times New Roman" w:cs="Times New Roman"/>
                      <w:spacing w:val="-4"/>
                      <w:position w:val="-2"/>
                      <w:sz w:val="24"/>
                      <w:szCs w:val="24"/>
                    </w:rPr>
                    <w:t>45°</w:t>
                  </w:r>
                  <w:r>
                    <w:rPr>
                      <w:rFonts w:ascii="Times New Roman" w:hAnsi="Times New Roman" w:eastAsia="Times New Roman" w:cs="Times New Roman"/>
                      <w:spacing w:val="-25"/>
                      <w:position w:val="-2"/>
                      <w:sz w:val="24"/>
                      <w:szCs w:val="24"/>
                    </w:rPr>
                    <w:t xml:space="preserve"> </w:t>
                  </w:r>
                  <w:r>
                    <w:rPr>
                      <w:rFonts w:ascii="Times New Roman" w:hAnsi="Times New Roman" w:eastAsia="Times New Roman" w:cs="Times New Roman"/>
                      <w:spacing w:val="-4"/>
                      <w:position w:val="-2"/>
                      <w:sz w:val="24"/>
                      <w:szCs w:val="24"/>
                    </w:rPr>
                    <w:t>18,9.608″</w:t>
                  </w:r>
                </w:p>
              </w:tc>
            </w:tr>
            <w:tr w14:paraId="240FD6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1438" w:type="dxa"/>
                  <w:vAlign w:val="top"/>
                </w:tcPr>
                <w:p w14:paraId="00CF8ABE">
                  <w:pPr>
                    <w:spacing w:before="104" w:line="188" w:lineRule="auto"/>
                    <w:ind w:left="660"/>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3338" w:type="dxa"/>
                  <w:vAlign w:val="top"/>
                </w:tcPr>
                <w:p w14:paraId="78889112">
                  <w:pPr>
                    <w:spacing w:before="104" w:line="180" w:lineRule="exact"/>
                    <w:ind w:left="939"/>
                    <w:rPr>
                      <w:rFonts w:ascii="Times New Roman" w:hAnsi="Times New Roman" w:eastAsia="Times New Roman" w:cs="Times New Roman"/>
                      <w:sz w:val="24"/>
                      <w:szCs w:val="24"/>
                    </w:rPr>
                  </w:pPr>
                  <w:r>
                    <w:rPr>
                      <w:rFonts w:ascii="Times New Roman" w:hAnsi="Times New Roman" w:eastAsia="Times New Roman" w:cs="Times New Roman"/>
                      <w:spacing w:val="-3"/>
                      <w:position w:val="-2"/>
                      <w:sz w:val="24"/>
                      <w:szCs w:val="24"/>
                    </w:rPr>
                    <w:t>119°26,23.908″</w:t>
                  </w:r>
                </w:p>
              </w:tc>
              <w:tc>
                <w:tcPr>
                  <w:tcW w:w="3249" w:type="dxa"/>
                  <w:vAlign w:val="top"/>
                </w:tcPr>
                <w:p w14:paraId="66ECCFA1">
                  <w:pPr>
                    <w:spacing w:before="104" w:line="180" w:lineRule="exact"/>
                    <w:ind w:left="989"/>
                    <w:rPr>
                      <w:rFonts w:ascii="Times New Roman" w:hAnsi="Times New Roman" w:eastAsia="Times New Roman" w:cs="Times New Roman"/>
                      <w:sz w:val="24"/>
                      <w:szCs w:val="24"/>
                    </w:rPr>
                  </w:pPr>
                  <w:r>
                    <w:rPr>
                      <w:rFonts w:ascii="Times New Roman" w:hAnsi="Times New Roman" w:eastAsia="Times New Roman" w:cs="Times New Roman"/>
                      <w:spacing w:val="-4"/>
                      <w:position w:val="-2"/>
                      <w:sz w:val="24"/>
                      <w:szCs w:val="24"/>
                    </w:rPr>
                    <w:t>45°</w:t>
                  </w:r>
                  <w:r>
                    <w:rPr>
                      <w:rFonts w:ascii="Times New Roman" w:hAnsi="Times New Roman" w:eastAsia="Times New Roman" w:cs="Times New Roman"/>
                      <w:spacing w:val="-25"/>
                      <w:position w:val="-2"/>
                      <w:sz w:val="24"/>
                      <w:szCs w:val="24"/>
                    </w:rPr>
                    <w:t xml:space="preserve"> </w:t>
                  </w:r>
                  <w:r>
                    <w:rPr>
                      <w:rFonts w:ascii="Times New Roman" w:hAnsi="Times New Roman" w:eastAsia="Times New Roman" w:cs="Times New Roman"/>
                      <w:spacing w:val="-4"/>
                      <w:position w:val="-2"/>
                      <w:sz w:val="24"/>
                      <w:szCs w:val="24"/>
                    </w:rPr>
                    <w:t>18,9.604″</w:t>
                  </w:r>
                </w:p>
              </w:tc>
            </w:tr>
          </w:tbl>
          <w:p w14:paraId="184EBC07">
            <w:pPr>
              <w:pStyle w:val="9"/>
              <w:spacing w:before="170" w:line="219" w:lineRule="auto"/>
              <w:ind w:left="590"/>
            </w:pPr>
            <w:r>
              <w:rPr>
                <w:spacing w:val="-2"/>
              </w:rPr>
              <w:t>升压站平面布置图见附图</w:t>
            </w:r>
            <w:r>
              <w:rPr>
                <w:spacing w:val="-47"/>
              </w:rPr>
              <w:t xml:space="preserve"> </w:t>
            </w:r>
            <w:r>
              <w:rPr>
                <w:rFonts w:ascii="Times New Roman" w:hAnsi="Times New Roman" w:eastAsia="Times New Roman" w:cs="Times New Roman"/>
                <w:spacing w:val="-2"/>
              </w:rPr>
              <w:t>3</w:t>
            </w:r>
            <w:r>
              <w:rPr>
                <w:spacing w:val="-2"/>
              </w:rPr>
              <w:t>。</w:t>
            </w:r>
          </w:p>
          <w:p w14:paraId="6DE9A1C5">
            <w:pPr>
              <w:pStyle w:val="9"/>
              <w:spacing w:before="185" w:line="219" w:lineRule="auto"/>
              <w:ind w:left="591"/>
            </w:pPr>
            <w:r>
              <w:rPr>
                <w:b/>
                <w:bCs/>
                <w:spacing w:val="-4"/>
              </w:rPr>
              <w:t>二、施工布置</w:t>
            </w:r>
          </w:p>
          <w:p w14:paraId="2FF76CFF">
            <w:pPr>
              <w:pStyle w:val="9"/>
              <w:spacing w:before="188" w:line="219" w:lineRule="auto"/>
              <w:ind w:left="532"/>
            </w:pPr>
            <w:r>
              <w:rPr>
                <w:rFonts w:ascii="Times New Roman" w:hAnsi="Times New Roman" w:eastAsia="Times New Roman" w:cs="Times New Roman"/>
                <w:b/>
                <w:bCs/>
                <w:spacing w:val="-3"/>
              </w:rPr>
              <w:t>1.</w:t>
            </w:r>
            <w:r>
              <w:rPr>
                <w:b/>
                <w:bCs/>
                <w:spacing w:val="-3"/>
              </w:rPr>
              <w:t>施工临时设施总平面布置</w:t>
            </w:r>
          </w:p>
          <w:p w14:paraId="205A4528">
            <w:pPr>
              <w:pStyle w:val="9"/>
              <w:spacing w:before="188" w:line="219" w:lineRule="auto"/>
              <w:jc w:val="right"/>
              <w:outlineLvl w:val="2"/>
            </w:pPr>
            <w:r>
              <w:rPr>
                <w:spacing w:val="-8"/>
              </w:rPr>
              <w:t>本项目临时施工营地位于升压站南侧，紧邻升</w:t>
            </w:r>
            <w:r>
              <w:rPr>
                <w:spacing w:val="-9"/>
              </w:rPr>
              <w:t>压站。为满足场区土建施工，</w:t>
            </w:r>
          </w:p>
          <w:p w14:paraId="24CE0449">
            <w:pPr>
              <w:pStyle w:val="9"/>
              <w:spacing w:before="187" w:line="361" w:lineRule="auto"/>
              <w:ind w:left="109" w:right="103" w:firstLine="1"/>
              <w:jc w:val="both"/>
            </w:pPr>
            <w:r>
              <w:rPr>
                <w:spacing w:val="-3"/>
              </w:rPr>
              <w:t>综合加工厂、综合仓库、施工临时生活区沿场地内的布置应保证交通运输的便利。其中临时施工营地位于升压站外南侧，紧邻升压站，表土堆场位于升压站</w:t>
            </w:r>
            <w:r>
              <w:rPr>
                <w:spacing w:val="-2"/>
              </w:rPr>
              <w:t>占地范围内。</w:t>
            </w:r>
          </w:p>
          <w:p w14:paraId="161107B5">
            <w:pPr>
              <w:pStyle w:val="9"/>
              <w:spacing w:line="219" w:lineRule="auto"/>
              <w:ind w:left="601"/>
              <w:outlineLvl w:val="2"/>
            </w:pPr>
            <w:r>
              <w:rPr>
                <w:spacing w:val="-1"/>
              </w:rPr>
              <w:t>临时施工营地总占地面积</w:t>
            </w:r>
            <w:r>
              <w:rPr>
                <w:spacing w:val="-49"/>
              </w:rPr>
              <w:t xml:space="preserve"> </w:t>
            </w:r>
            <w:r>
              <w:rPr>
                <w:rFonts w:ascii="Times New Roman" w:hAnsi="Times New Roman" w:eastAsia="Times New Roman" w:cs="Times New Roman"/>
                <w:spacing w:val="-1"/>
              </w:rPr>
              <w:t>0.5hm</w:t>
            </w:r>
            <w:r>
              <w:rPr>
                <w:rFonts w:ascii="Times New Roman" w:hAnsi="Times New Roman" w:eastAsia="Times New Roman" w:cs="Times New Roman"/>
                <w:spacing w:val="-1"/>
                <w:position w:val="7"/>
                <w:sz w:val="15"/>
                <w:szCs w:val="15"/>
              </w:rPr>
              <w:t>2</w:t>
            </w:r>
            <w:r>
              <w:rPr>
                <w:rFonts w:ascii="Times New Roman" w:hAnsi="Times New Roman" w:eastAsia="Times New Roman" w:cs="Times New Roman"/>
                <w:spacing w:val="-7"/>
                <w:position w:val="7"/>
                <w:sz w:val="15"/>
                <w:szCs w:val="15"/>
              </w:rPr>
              <w:t xml:space="preserve"> </w:t>
            </w:r>
            <w:r>
              <w:rPr>
                <w:spacing w:val="-1"/>
              </w:rPr>
              <w:t>，临时生</w:t>
            </w:r>
            <w:r>
              <w:rPr>
                <w:spacing w:val="-2"/>
              </w:rPr>
              <w:t>活办公设施占地</w:t>
            </w:r>
            <w:r>
              <w:rPr>
                <w:spacing w:val="-53"/>
              </w:rPr>
              <w:t xml:space="preserve"> </w:t>
            </w:r>
            <w:r>
              <w:rPr>
                <w:rFonts w:ascii="Times New Roman" w:hAnsi="Times New Roman" w:eastAsia="Times New Roman" w:cs="Times New Roman"/>
                <w:spacing w:val="-2"/>
              </w:rPr>
              <w:t>2000m</w:t>
            </w:r>
            <w:r>
              <w:rPr>
                <w:rFonts w:ascii="Times New Roman" w:hAnsi="Times New Roman" w:eastAsia="Times New Roman" w:cs="Times New Roman"/>
                <w:spacing w:val="-2"/>
                <w:position w:val="7"/>
                <w:sz w:val="15"/>
                <w:szCs w:val="15"/>
              </w:rPr>
              <w:t>2</w:t>
            </w:r>
            <w:r>
              <w:rPr>
                <w:rFonts w:ascii="Times New Roman" w:hAnsi="Times New Roman" w:eastAsia="Times New Roman" w:cs="Times New Roman"/>
                <w:spacing w:val="-7"/>
                <w:position w:val="7"/>
                <w:sz w:val="15"/>
                <w:szCs w:val="15"/>
              </w:rPr>
              <w:t xml:space="preserve"> </w:t>
            </w:r>
            <w:r>
              <w:rPr>
                <w:spacing w:val="-2"/>
              </w:rPr>
              <w:t>，综合</w:t>
            </w:r>
          </w:p>
          <w:p w14:paraId="24E1551E">
            <w:pPr>
              <w:pStyle w:val="9"/>
              <w:spacing w:before="186" w:line="359" w:lineRule="auto"/>
              <w:ind w:left="108" w:right="42"/>
              <w:jc w:val="both"/>
            </w:pPr>
            <w:r>
              <w:rPr>
                <w:spacing w:val="-3"/>
              </w:rPr>
              <w:t>加工厂占地</w:t>
            </w:r>
            <w:r>
              <w:rPr>
                <w:spacing w:val="-31"/>
              </w:rPr>
              <w:t xml:space="preserve"> </w:t>
            </w:r>
            <w:r>
              <w:rPr>
                <w:rFonts w:ascii="Times New Roman" w:hAnsi="Times New Roman" w:eastAsia="Times New Roman" w:cs="Times New Roman"/>
                <w:spacing w:val="-3"/>
              </w:rPr>
              <w:t>1000m</w:t>
            </w:r>
            <w:r>
              <w:rPr>
                <w:rFonts w:ascii="Times New Roman" w:hAnsi="Times New Roman" w:eastAsia="Times New Roman" w:cs="Times New Roman"/>
                <w:spacing w:val="-3"/>
                <w:position w:val="7"/>
                <w:sz w:val="15"/>
                <w:szCs w:val="15"/>
              </w:rPr>
              <w:t>2</w:t>
            </w:r>
            <w:r>
              <w:rPr>
                <w:rFonts w:ascii="Times New Roman" w:hAnsi="Times New Roman" w:eastAsia="Times New Roman" w:cs="Times New Roman"/>
                <w:spacing w:val="-10"/>
                <w:position w:val="7"/>
                <w:sz w:val="15"/>
                <w:szCs w:val="15"/>
              </w:rPr>
              <w:t xml:space="preserve"> </w:t>
            </w:r>
            <w:r>
              <w:rPr>
                <w:spacing w:val="-3"/>
              </w:rPr>
              <w:t>，综合仓库占地</w:t>
            </w:r>
            <w:r>
              <w:rPr>
                <w:spacing w:val="-55"/>
              </w:rPr>
              <w:t xml:space="preserve"> </w:t>
            </w:r>
            <w:r>
              <w:rPr>
                <w:rFonts w:ascii="Times New Roman" w:hAnsi="Times New Roman" w:eastAsia="Times New Roman" w:cs="Times New Roman"/>
                <w:spacing w:val="-3"/>
              </w:rPr>
              <w:t>2000m</w:t>
            </w:r>
            <w:r>
              <w:rPr>
                <w:rFonts w:ascii="Times New Roman" w:hAnsi="Times New Roman" w:eastAsia="Times New Roman" w:cs="Times New Roman"/>
                <w:spacing w:val="-3"/>
                <w:position w:val="7"/>
                <w:sz w:val="15"/>
                <w:szCs w:val="15"/>
              </w:rPr>
              <w:t xml:space="preserve">2 </w:t>
            </w:r>
            <w:r>
              <w:rPr>
                <w:spacing w:val="-3"/>
              </w:rPr>
              <w:t>。施工营地呈长方形布置，由北到</w:t>
            </w:r>
            <w:r>
              <w:rPr>
                <w:spacing w:val="-6"/>
              </w:rPr>
              <w:t>南依次为临时生活区、综合加工厂及综合仓库。临时表土堆场（占地</w:t>
            </w:r>
            <w:r>
              <w:rPr>
                <w:spacing w:val="-29"/>
              </w:rPr>
              <w:t xml:space="preserve"> </w:t>
            </w:r>
            <w:r>
              <w:rPr>
                <w:rFonts w:ascii="Times New Roman" w:hAnsi="Times New Roman" w:eastAsia="Times New Roman" w:cs="Times New Roman"/>
                <w:spacing w:val="-6"/>
              </w:rPr>
              <w:t>1500m</w:t>
            </w:r>
            <w:r>
              <w:rPr>
                <w:rFonts w:ascii="Times New Roman" w:hAnsi="Times New Roman" w:eastAsia="Times New Roman" w:cs="Times New Roman"/>
                <w:spacing w:val="-6"/>
                <w:position w:val="1"/>
                <w:sz w:val="15"/>
                <w:szCs w:val="15"/>
              </w:rPr>
              <w:t>2</w:t>
            </w:r>
            <w:r>
              <w:rPr>
                <w:spacing w:val="-55"/>
                <w:w w:val="87"/>
                <w:position w:val="1"/>
              </w:rPr>
              <w:t>）</w:t>
            </w:r>
            <w:r>
              <w:rPr>
                <w:spacing w:val="-55"/>
                <w:w w:val="87"/>
              </w:rPr>
              <w:t>，</w:t>
            </w:r>
            <w:r>
              <w:rPr>
                <w:spacing w:val="-1"/>
              </w:rPr>
              <w:t>位于升压站征地占地范围内。</w:t>
            </w:r>
          </w:p>
          <w:p w14:paraId="1E0E7230">
            <w:pPr>
              <w:pStyle w:val="9"/>
              <w:spacing w:before="1" w:line="219" w:lineRule="auto"/>
              <w:ind w:left="590"/>
              <w:outlineLvl w:val="2"/>
            </w:pPr>
            <w:r>
              <w:rPr>
                <w:spacing w:val="-3"/>
              </w:rPr>
              <w:t>经现场踏勘，目前施工营地已全部拆除，现场没有堆存的建筑垃圾</w:t>
            </w:r>
            <w:r>
              <w:rPr>
                <w:spacing w:val="-4"/>
              </w:rPr>
              <w:t>，同时</w:t>
            </w:r>
          </w:p>
          <w:p w14:paraId="60E37555">
            <w:pPr>
              <w:pStyle w:val="9"/>
              <w:spacing w:before="185" w:line="362" w:lineRule="auto"/>
              <w:ind w:left="108" w:right="103" w:hanging="1"/>
            </w:pPr>
            <w:r>
              <w:rPr>
                <w:spacing w:val="-3"/>
              </w:rPr>
              <w:t>对施工营地已进行平地平整及植被恢复。目前升压站已全部进行硬化，临时表</w:t>
            </w:r>
            <w:r>
              <w:rPr>
                <w:spacing w:val="-1"/>
              </w:rPr>
              <w:t>土场占地位于升压站征地范围内，已随升压站一同进行硬化。</w:t>
            </w:r>
          </w:p>
          <w:p w14:paraId="035E356B">
            <w:pPr>
              <w:pStyle w:val="9"/>
              <w:spacing w:before="1" w:line="219" w:lineRule="auto"/>
              <w:ind w:left="522"/>
            </w:pPr>
            <w:r>
              <w:rPr>
                <w:rFonts w:ascii="Times New Roman" w:hAnsi="Times New Roman" w:eastAsia="Times New Roman" w:cs="Times New Roman"/>
                <w:b/>
                <w:bCs/>
                <w:spacing w:val="-3"/>
              </w:rPr>
              <w:t>2.</w:t>
            </w:r>
            <w:r>
              <w:rPr>
                <w:b/>
                <w:bCs/>
                <w:spacing w:val="-3"/>
              </w:rPr>
              <w:t>管沟布置</w:t>
            </w:r>
          </w:p>
          <w:p w14:paraId="7EC96DD1">
            <w:pPr>
              <w:pStyle w:val="9"/>
              <w:spacing w:before="188" w:line="219" w:lineRule="auto"/>
              <w:jc w:val="right"/>
              <w:outlineLvl w:val="2"/>
            </w:pPr>
            <w:r>
              <w:rPr>
                <w:spacing w:val="-3"/>
              </w:rPr>
              <w:t>站内电缆沟采用</w:t>
            </w:r>
            <w:r>
              <w:rPr>
                <w:spacing w:val="-45"/>
              </w:rPr>
              <w:t xml:space="preserve"> </w:t>
            </w:r>
            <w:r>
              <w:rPr>
                <w:rFonts w:ascii="Times New Roman" w:hAnsi="Times New Roman" w:eastAsia="Times New Roman" w:cs="Times New Roman"/>
                <w:spacing w:val="-3"/>
              </w:rPr>
              <w:t>800mm×800mm</w:t>
            </w:r>
            <w:r>
              <w:rPr>
                <w:rFonts w:ascii="Times New Roman" w:hAnsi="Times New Roman" w:eastAsia="Times New Roman" w:cs="Times New Roman"/>
                <w:spacing w:val="-33"/>
              </w:rPr>
              <w:t xml:space="preserve"> </w:t>
            </w:r>
            <w:r>
              <w:rPr>
                <w:spacing w:val="-3"/>
              </w:rPr>
              <w:t>、</w:t>
            </w:r>
            <w:r>
              <w:rPr>
                <w:rFonts w:ascii="Times New Roman" w:hAnsi="Times New Roman" w:eastAsia="Times New Roman" w:cs="Times New Roman"/>
                <w:spacing w:val="-3"/>
              </w:rPr>
              <w:t>1000mm×1000mm</w:t>
            </w:r>
            <w:r>
              <w:rPr>
                <w:rFonts w:ascii="Times New Roman" w:hAnsi="Times New Roman" w:eastAsia="Times New Roman" w:cs="Times New Roman"/>
                <w:spacing w:val="-33"/>
              </w:rPr>
              <w:t xml:space="preserve"> </w:t>
            </w:r>
            <w:r>
              <w:rPr>
                <w:spacing w:val="-3"/>
              </w:rPr>
              <w:t>、</w:t>
            </w:r>
            <w:r>
              <w:rPr>
                <w:rFonts w:ascii="Times New Roman" w:hAnsi="Times New Roman" w:eastAsia="Times New Roman" w:cs="Times New Roman"/>
                <w:spacing w:val="-3"/>
              </w:rPr>
              <w:t>12</w:t>
            </w:r>
            <w:r>
              <w:rPr>
                <w:rFonts w:ascii="Times New Roman" w:hAnsi="Times New Roman" w:eastAsia="Times New Roman" w:cs="Times New Roman"/>
                <w:spacing w:val="-4"/>
              </w:rPr>
              <w:t>00mm×1200mm</w:t>
            </w:r>
            <w:r>
              <w:rPr>
                <w:spacing w:val="-4"/>
              </w:rPr>
              <w:t>、</w:t>
            </w:r>
          </w:p>
          <w:p w14:paraId="2696F071">
            <w:pPr>
              <w:pStyle w:val="9"/>
              <w:spacing w:before="184" w:line="219" w:lineRule="auto"/>
              <w:ind w:left="126"/>
            </w:pPr>
            <w:r>
              <w:rPr>
                <w:rFonts w:ascii="Times New Roman" w:hAnsi="Times New Roman" w:eastAsia="Times New Roman" w:cs="Times New Roman"/>
                <w:spacing w:val="-2"/>
              </w:rPr>
              <w:t>1400mm×1500mm</w:t>
            </w:r>
            <w:r>
              <w:rPr>
                <w:rFonts w:ascii="Times New Roman" w:hAnsi="Times New Roman" w:eastAsia="Times New Roman" w:cs="Times New Roman"/>
                <w:spacing w:val="-26"/>
              </w:rPr>
              <w:t xml:space="preserve"> </w:t>
            </w:r>
            <w:r>
              <w:rPr>
                <w:spacing w:val="-2"/>
              </w:rPr>
              <w:t>。电缆沟采用</w:t>
            </w:r>
            <w:r>
              <w:rPr>
                <w:spacing w:val="-3"/>
              </w:rPr>
              <w:t>钢筋混凝土结构。</w:t>
            </w:r>
          </w:p>
          <w:p w14:paraId="168F3993">
            <w:pPr>
              <w:pStyle w:val="9"/>
              <w:spacing w:before="185" w:line="219" w:lineRule="auto"/>
              <w:ind w:left="616"/>
              <w:outlineLvl w:val="2"/>
            </w:pPr>
            <w:r>
              <w:rPr>
                <w:spacing w:val="-3"/>
              </w:rPr>
              <w:t>电缆沟盖板采用成品无机复合盖板。</w:t>
            </w:r>
          </w:p>
          <w:p w14:paraId="33F0C4D3">
            <w:pPr>
              <w:pStyle w:val="9"/>
              <w:spacing w:before="192" w:line="219" w:lineRule="auto"/>
              <w:ind w:left="520"/>
            </w:pPr>
            <w:r>
              <w:rPr>
                <w:rFonts w:ascii="Times New Roman" w:hAnsi="Times New Roman" w:eastAsia="Times New Roman" w:cs="Times New Roman"/>
                <w:b/>
                <w:bCs/>
                <w:spacing w:val="-2"/>
              </w:rPr>
              <w:t>3.</w:t>
            </w:r>
            <w:r>
              <w:rPr>
                <w:b/>
                <w:bCs/>
                <w:spacing w:val="-2"/>
              </w:rPr>
              <w:t>道路及场地处理</w:t>
            </w:r>
          </w:p>
          <w:p w14:paraId="243EF22A">
            <w:pPr>
              <w:pStyle w:val="9"/>
              <w:spacing w:before="185" w:line="316" w:lineRule="auto"/>
              <w:ind w:left="111" w:right="103" w:firstLine="479"/>
              <w:jc w:val="both"/>
            </w:pPr>
            <w:r>
              <w:rPr>
                <w:spacing w:val="-2"/>
              </w:rPr>
              <w:t>升压站址西侧有现有</w:t>
            </w:r>
            <w:r>
              <w:rPr>
                <w:spacing w:val="-36"/>
              </w:rPr>
              <w:t xml:space="preserve"> </w:t>
            </w:r>
            <w:r>
              <w:rPr>
                <w:rFonts w:ascii="Times New Roman" w:hAnsi="Times New Roman" w:eastAsia="Times New Roman" w:cs="Times New Roman"/>
                <w:spacing w:val="-2"/>
              </w:rPr>
              <w:t>G207</w:t>
            </w:r>
            <w:r>
              <w:rPr>
                <w:rFonts w:ascii="Times New Roman" w:hAnsi="Times New Roman" w:eastAsia="Times New Roman" w:cs="Times New Roman"/>
                <w:spacing w:val="-31"/>
              </w:rPr>
              <w:t xml:space="preserve"> </w:t>
            </w:r>
            <w:r>
              <w:rPr>
                <w:spacing w:val="-2"/>
              </w:rPr>
              <w:t>，同时存在多条风场检修道路，进站道路由此</w:t>
            </w:r>
            <w:r>
              <w:rPr>
                <w:spacing w:val="-3"/>
              </w:rPr>
              <w:t>引接，交通条件便利。本次升压站进站道路依托风场已批进站道路，采用水泥混凝土路面，新建</w:t>
            </w:r>
            <w:r>
              <w:rPr>
                <w:spacing w:val="-44"/>
              </w:rPr>
              <w:t xml:space="preserve"> </w:t>
            </w:r>
            <w:r>
              <w:rPr>
                <w:rFonts w:ascii="Times New Roman" w:hAnsi="Times New Roman" w:eastAsia="Times New Roman" w:cs="Times New Roman"/>
                <w:spacing w:val="-3"/>
              </w:rPr>
              <w:t>543m</w:t>
            </w:r>
            <w:r>
              <w:rPr>
                <w:rFonts w:ascii="Times New Roman" w:hAnsi="Times New Roman" w:eastAsia="Times New Roman" w:cs="Times New Roman"/>
                <w:spacing w:val="-31"/>
              </w:rPr>
              <w:t xml:space="preserve"> </w:t>
            </w:r>
            <w:r>
              <w:rPr>
                <w:spacing w:val="-3"/>
              </w:rPr>
              <w:t>，道路路面宽度为</w:t>
            </w:r>
            <w:r>
              <w:rPr>
                <w:spacing w:val="-49"/>
              </w:rPr>
              <w:t xml:space="preserve"> </w:t>
            </w:r>
            <w:r>
              <w:rPr>
                <w:rFonts w:ascii="Times New Roman" w:hAnsi="Times New Roman" w:eastAsia="Times New Roman" w:cs="Times New Roman"/>
                <w:spacing w:val="-3"/>
              </w:rPr>
              <w:t>6m</w:t>
            </w:r>
            <w:r>
              <w:rPr>
                <w:spacing w:val="-3"/>
              </w:rPr>
              <w:t>。</w:t>
            </w:r>
          </w:p>
        </w:tc>
      </w:tr>
    </w:tbl>
    <w:p w14:paraId="2533AD7E">
      <w:pPr>
        <w:pStyle w:val="3"/>
      </w:pPr>
    </w:p>
    <w:p w14:paraId="5430CA66">
      <w:pPr>
        <w:sectPr>
          <w:footerReference r:id="rId26" w:type="default"/>
          <w:pgSz w:w="11906" w:h="16838"/>
          <w:pgMar w:top="1416" w:right="1414" w:bottom="1295" w:left="1414" w:header="0" w:footer="1133" w:gutter="0"/>
          <w:cols w:space="720" w:num="1"/>
        </w:sectPr>
      </w:pPr>
    </w:p>
    <w:tbl>
      <w:tblPr>
        <w:tblStyle w:val="8"/>
        <w:tblW w:w="9062"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6"/>
        <w:gridCol w:w="113"/>
        <w:gridCol w:w="4025"/>
        <w:gridCol w:w="4025"/>
        <w:gridCol w:w="123"/>
      </w:tblGrid>
      <w:tr w14:paraId="126FF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1" w:hRule="atLeast"/>
        </w:trPr>
        <w:tc>
          <w:tcPr>
            <w:tcW w:w="776" w:type="dxa"/>
            <w:vMerge w:val="restart"/>
            <w:tcBorders>
              <w:top w:val="nil"/>
              <w:left w:val="single" w:color="000000" w:sz="6" w:space="0"/>
              <w:bottom w:val="nil"/>
            </w:tcBorders>
            <w:vAlign w:val="top"/>
          </w:tcPr>
          <w:p w14:paraId="2938BA52">
            <w:pPr>
              <w:rPr>
                <w:rFonts w:ascii="Arial"/>
                <w:sz w:val="21"/>
              </w:rPr>
            </w:pPr>
            <w:r>
              <w:pict>
                <v:group id="_x0000_s1031" o:spid="_x0000_s1031" o:spt="203" style="position:absolute;left:0pt;margin-left:70.7pt;margin-top:70.85pt;height:261.95pt;width:453.9pt;mso-position-horizontal-relative:page;mso-position-vertical-relative:page;z-index:-251654144;mso-width-relative:page;mso-height-relative:page;" coordsize="9078,5239" o:allowincell="f">
                  <o:lock v:ext="edit"/>
                  <v:shape id="_x0000_s1032" o:spid="_x0000_s1032" o:spt="75" type="#_x0000_t75" style="position:absolute;left:0;top:0;height:5239;width:9078;" filled="f" stroked="f" coordsize="21600,21600">
                    <v:path/>
                    <v:fill on="f" focussize="0,0"/>
                    <v:stroke on="f"/>
                    <v:imagedata r:id="rId223" o:title=""/>
                    <o:lock v:ext="edit" aspectratio="t"/>
                  </v:shape>
                  <v:shape id="_x0000_s1033" o:spid="_x0000_s1033" o:spt="202" type="#_x0000_t202" style="position:absolute;left:4018;top:2144;height:1358;width:4546;" filled="f" stroked="f" coordsize="21600,21600">
                    <v:path/>
                    <v:fill on="f" focussize="0,0"/>
                    <v:stroke on="f"/>
                    <v:imagedata o:title=""/>
                    <o:lock v:ext="edit" aspectratio="f"/>
                    <v:textbox inset="0mm,0mm,0mm,0mm">
                      <w:txbxContent>
                        <w:p w14:paraId="68CB4421">
                          <w:pPr>
                            <w:spacing w:before="19" w:line="232" w:lineRule="auto"/>
                            <w:ind w:left="3613"/>
                            <w:rPr>
                              <w:rFonts w:ascii="宋体" w:hAnsi="宋体" w:eastAsia="宋体" w:cs="宋体"/>
                              <w:sz w:val="14"/>
                              <w:szCs w:val="14"/>
                            </w:rPr>
                          </w:pPr>
                          <w:r>
                            <w:rPr>
                              <w:rFonts w:ascii="宋体" w:hAnsi="宋体" w:eastAsia="宋体" w:cs="宋体"/>
                              <w:spacing w:val="8"/>
                              <w:sz w:val="14"/>
                              <w:szCs w:val="14"/>
                            </w:rPr>
                            <w:t>综合加工厂</w:t>
                          </w:r>
                        </w:p>
                        <w:p w14:paraId="75EC292A">
                          <w:pPr>
                            <w:pStyle w:val="3"/>
                            <w:spacing w:line="362" w:lineRule="auto"/>
                          </w:pPr>
                        </w:p>
                        <w:p w14:paraId="76EB0BAF">
                          <w:pPr>
                            <w:spacing w:before="45" w:line="231" w:lineRule="auto"/>
                            <w:ind w:right="20"/>
                            <w:jc w:val="right"/>
                            <w:rPr>
                              <w:rFonts w:ascii="宋体" w:hAnsi="宋体" w:eastAsia="宋体" w:cs="宋体"/>
                              <w:sz w:val="14"/>
                              <w:szCs w:val="14"/>
                            </w:rPr>
                          </w:pPr>
                          <w:r>
                            <w:rPr>
                              <w:rFonts w:ascii="宋体" w:hAnsi="宋体" w:eastAsia="宋体" w:cs="宋体"/>
                              <w:spacing w:val="7"/>
                              <w:sz w:val="14"/>
                              <w:szCs w:val="14"/>
                            </w:rPr>
                            <w:t>综合仓库</w:t>
                          </w:r>
                        </w:p>
                        <w:p w14:paraId="4353CDB9">
                          <w:pPr>
                            <w:pStyle w:val="3"/>
                            <w:spacing w:line="334" w:lineRule="auto"/>
                          </w:pPr>
                        </w:p>
                        <w:p w14:paraId="077BFBB7">
                          <w:pPr>
                            <w:spacing w:before="45" w:line="231" w:lineRule="auto"/>
                            <w:ind w:left="20"/>
                            <w:rPr>
                              <w:rFonts w:ascii="宋体" w:hAnsi="宋体" w:eastAsia="宋体" w:cs="宋体"/>
                              <w:sz w:val="14"/>
                              <w:szCs w:val="14"/>
                            </w:rPr>
                          </w:pPr>
                          <w:r>
                            <w:rPr>
                              <w:rFonts w:ascii="宋体" w:hAnsi="宋体" w:eastAsia="宋体" w:cs="宋体"/>
                              <w:spacing w:val="6"/>
                              <w:sz w:val="14"/>
                              <w:szCs w:val="14"/>
                            </w:rPr>
                            <w:t>临时生活区</w:t>
                          </w:r>
                        </w:p>
                      </w:txbxContent>
                    </v:textbox>
                  </v:shape>
                </v:group>
              </w:pict>
            </w:r>
          </w:p>
        </w:tc>
        <w:tc>
          <w:tcPr>
            <w:tcW w:w="8286" w:type="dxa"/>
            <w:gridSpan w:val="4"/>
            <w:tcBorders>
              <w:top w:val="nil"/>
              <w:right w:val="single" w:color="000000" w:sz="6" w:space="0"/>
            </w:tcBorders>
            <w:vAlign w:val="top"/>
          </w:tcPr>
          <w:p w14:paraId="5E491C5C">
            <w:pPr>
              <w:spacing w:line="246" w:lineRule="auto"/>
              <w:rPr>
                <w:rFonts w:ascii="Arial"/>
                <w:sz w:val="21"/>
              </w:rPr>
            </w:pPr>
          </w:p>
          <w:p w14:paraId="4A2CB7BD">
            <w:pPr>
              <w:spacing w:line="246" w:lineRule="auto"/>
              <w:rPr>
                <w:rFonts w:ascii="Arial"/>
                <w:sz w:val="21"/>
              </w:rPr>
            </w:pPr>
          </w:p>
          <w:p w14:paraId="2AA4D2AB">
            <w:pPr>
              <w:spacing w:line="247" w:lineRule="auto"/>
              <w:rPr>
                <w:rFonts w:ascii="Arial"/>
                <w:sz w:val="21"/>
              </w:rPr>
            </w:pPr>
          </w:p>
          <w:p w14:paraId="4E901228">
            <w:pPr>
              <w:spacing w:line="247" w:lineRule="auto"/>
              <w:rPr>
                <w:rFonts w:ascii="Arial"/>
                <w:sz w:val="21"/>
              </w:rPr>
            </w:pPr>
          </w:p>
          <w:p w14:paraId="24366380">
            <w:pPr>
              <w:spacing w:line="247" w:lineRule="auto"/>
              <w:rPr>
                <w:rFonts w:ascii="Arial"/>
                <w:sz w:val="21"/>
              </w:rPr>
            </w:pPr>
          </w:p>
          <w:p w14:paraId="19FEACCF">
            <w:pPr>
              <w:spacing w:line="247" w:lineRule="auto"/>
              <w:rPr>
                <w:rFonts w:ascii="Arial"/>
                <w:sz w:val="21"/>
              </w:rPr>
            </w:pPr>
          </w:p>
          <w:p w14:paraId="72F4F0B6">
            <w:pPr>
              <w:spacing w:line="247" w:lineRule="auto"/>
              <w:rPr>
                <w:rFonts w:ascii="Arial"/>
                <w:sz w:val="21"/>
              </w:rPr>
            </w:pPr>
          </w:p>
          <w:p w14:paraId="6B137F76">
            <w:pPr>
              <w:spacing w:line="247" w:lineRule="auto"/>
              <w:rPr>
                <w:rFonts w:ascii="Arial"/>
                <w:sz w:val="21"/>
              </w:rPr>
            </w:pPr>
          </w:p>
          <w:p w14:paraId="41A30D9C">
            <w:pPr>
              <w:spacing w:line="247" w:lineRule="auto"/>
              <w:rPr>
                <w:rFonts w:ascii="Arial"/>
                <w:sz w:val="21"/>
              </w:rPr>
            </w:pPr>
          </w:p>
          <w:p w14:paraId="21D08FD5">
            <w:pPr>
              <w:spacing w:line="247" w:lineRule="auto"/>
              <w:rPr>
                <w:rFonts w:ascii="Arial"/>
                <w:sz w:val="21"/>
              </w:rPr>
            </w:pPr>
          </w:p>
          <w:p w14:paraId="01F1EAA2">
            <w:pPr>
              <w:spacing w:line="247" w:lineRule="auto"/>
              <w:rPr>
                <w:rFonts w:ascii="Arial"/>
                <w:sz w:val="21"/>
              </w:rPr>
            </w:pPr>
          </w:p>
          <w:p w14:paraId="5DD08867">
            <w:pPr>
              <w:spacing w:line="247" w:lineRule="auto"/>
              <w:rPr>
                <w:rFonts w:ascii="Arial"/>
                <w:sz w:val="21"/>
              </w:rPr>
            </w:pPr>
          </w:p>
          <w:p w14:paraId="74495C2E">
            <w:pPr>
              <w:spacing w:line="247" w:lineRule="auto"/>
              <w:rPr>
                <w:rFonts w:ascii="Arial"/>
                <w:sz w:val="21"/>
              </w:rPr>
            </w:pPr>
          </w:p>
          <w:p w14:paraId="613DFF45">
            <w:pPr>
              <w:spacing w:line="247" w:lineRule="auto"/>
              <w:rPr>
                <w:rFonts w:ascii="Arial"/>
                <w:sz w:val="21"/>
              </w:rPr>
            </w:pPr>
          </w:p>
          <w:p w14:paraId="795B9DDE">
            <w:pPr>
              <w:spacing w:line="247" w:lineRule="auto"/>
              <w:rPr>
                <w:rFonts w:ascii="Arial"/>
                <w:sz w:val="21"/>
              </w:rPr>
            </w:pPr>
          </w:p>
          <w:p w14:paraId="0EBAB020">
            <w:pPr>
              <w:spacing w:line="247" w:lineRule="auto"/>
              <w:rPr>
                <w:rFonts w:ascii="Arial"/>
                <w:sz w:val="21"/>
              </w:rPr>
            </w:pPr>
          </w:p>
          <w:p w14:paraId="1DF9772E">
            <w:pPr>
              <w:spacing w:line="247" w:lineRule="auto"/>
              <w:rPr>
                <w:rFonts w:ascii="Arial"/>
                <w:sz w:val="21"/>
              </w:rPr>
            </w:pPr>
          </w:p>
          <w:p w14:paraId="28170D71">
            <w:pPr>
              <w:spacing w:line="247" w:lineRule="auto"/>
              <w:rPr>
                <w:rFonts w:ascii="Arial"/>
                <w:sz w:val="21"/>
              </w:rPr>
            </w:pPr>
          </w:p>
          <w:p w14:paraId="763AD33F">
            <w:pPr>
              <w:spacing w:line="247" w:lineRule="auto"/>
              <w:rPr>
                <w:rFonts w:ascii="Arial"/>
                <w:sz w:val="21"/>
              </w:rPr>
            </w:pPr>
          </w:p>
          <w:p w14:paraId="0B77994E">
            <w:pPr>
              <w:spacing w:line="247" w:lineRule="auto"/>
              <w:rPr>
                <w:rFonts w:ascii="Arial"/>
                <w:sz w:val="21"/>
              </w:rPr>
            </w:pPr>
          </w:p>
          <w:p w14:paraId="2F4BD0B7">
            <w:pPr>
              <w:spacing w:line="247" w:lineRule="auto"/>
              <w:rPr>
                <w:rFonts w:ascii="Arial"/>
                <w:sz w:val="21"/>
              </w:rPr>
            </w:pPr>
          </w:p>
          <w:p w14:paraId="75FF0B88">
            <w:pPr>
              <w:spacing w:line="247" w:lineRule="auto"/>
              <w:rPr>
                <w:rFonts w:ascii="Arial"/>
                <w:sz w:val="21"/>
              </w:rPr>
            </w:pPr>
          </w:p>
          <w:p w14:paraId="7B46EF90">
            <w:pPr>
              <w:pStyle w:val="9"/>
              <w:spacing w:before="78" w:line="219" w:lineRule="auto"/>
              <w:ind w:left="1871"/>
            </w:pPr>
            <w:r>
              <w:rPr>
                <w:b/>
                <w:bCs/>
                <w:spacing w:val="-3"/>
              </w:rPr>
              <w:t>图</w:t>
            </w:r>
            <w:r>
              <w:rPr>
                <w:spacing w:val="-53"/>
              </w:rPr>
              <w:t xml:space="preserve"> </w:t>
            </w:r>
            <w:r>
              <w:rPr>
                <w:rFonts w:ascii="Times New Roman" w:hAnsi="Times New Roman" w:eastAsia="Times New Roman" w:cs="Times New Roman"/>
                <w:b/>
                <w:bCs/>
                <w:spacing w:val="-3"/>
              </w:rPr>
              <w:t xml:space="preserve">2-1    </w:t>
            </w:r>
            <w:r>
              <w:rPr>
                <w:b/>
                <w:bCs/>
                <w:spacing w:val="-3"/>
              </w:rPr>
              <w:t>历史影像施工营地平面布置图</w:t>
            </w:r>
          </w:p>
          <w:p w14:paraId="2A49AE26">
            <w:pPr>
              <w:pStyle w:val="9"/>
              <w:spacing w:before="186" w:line="220" w:lineRule="auto"/>
              <w:ind w:left="584"/>
            </w:pPr>
            <w:r>
              <w:rPr>
                <w:rFonts w:ascii="Times New Roman" w:hAnsi="Times New Roman" w:eastAsia="Times New Roman" w:cs="Times New Roman"/>
                <w:b/>
                <w:bCs/>
                <w:spacing w:val="-3"/>
              </w:rPr>
              <w:t>4.</w:t>
            </w:r>
            <w:r>
              <w:rPr>
                <w:b/>
                <w:bCs/>
                <w:spacing w:val="-3"/>
              </w:rPr>
              <w:t>升压站现况图片</w:t>
            </w:r>
          </w:p>
        </w:tc>
      </w:tr>
      <w:tr w14:paraId="79A6AE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9" w:hRule="atLeast"/>
        </w:trPr>
        <w:tc>
          <w:tcPr>
            <w:tcW w:w="776" w:type="dxa"/>
            <w:vMerge w:val="continue"/>
            <w:tcBorders>
              <w:top w:val="nil"/>
              <w:left w:val="single" w:color="000000" w:sz="6" w:space="0"/>
              <w:bottom w:val="nil"/>
            </w:tcBorders>
            <w:vAlign w:val="top"/>
          </w:tcPr>
          <w:p w14:paraId="7F80C333">
            <w:pPr>
              <w:rPr>
                <w:rFonts w:ascii="Arial"/>
                <w:sz w:val="21"/>
              </w:rPr>
            </w:pPr>
          </w:p>
        </w:tc>
        <w:tc>
          <w:tcPr>
            <w:tcW w:w="113" w:type="dxa"/>
            <w:tcBorders>
              <w:top w:val="nil"/>
              <w:bottom w:val="nil"/>
            </w:tcBorders>
            <w:vAlign w:val="top"/>
          </w:tcPr>
          <w:p w14:paraId="54A12960">
            <w:pPr>
              <w:rPr>
                <w:rFonts w:ascii="Arial"/>
                <w:sz w:val="21"/>
              </w:rPr>
            </w:pPr>
          </w:p>
        </w:tc>
        <w:tc>
          <w:tcPr>
            <w:tcW w:w="4025" w:type="dxa"/>
            <w:vAlign w:val="top"/>
          </w:tcPr>
          <w:p w14:paraId="777C0F45">
            <w:pPr>
              <w:spacing w:before="7" w:line="2827" w:lineRule="exact"/>
              <w:ind w:firstLine="122"/>
            </w:pPr>
            <w:r>
              <w:rPr>
                <w:position w:val="-56"/>
              </w:rPr>
              <w:drawing>
                <wp:inline distT="0" distB="0" distL="0" distR="0">
                  <wp:extent cx="2392680" cy="179514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224"/>
                          <a:stretch>
                            <a:fillRect/>
                          </a:stretch>
                        </pic:blipFill>
                        <pic:spPr>
                          <a:xfrm>
                            <a:off x="0" y="0"/>
                            <a:ext cx="2392680" cy="1795271"/>
                          </a:xfrm>
                          <a:prstGeom prst="rect">
                            <a:avLst/>
                          </a:prstGeom>
                        </pic:spPr>
                      </pic:pic>
                    </a:graphicData>
                  </a:graphic>
                </wp:inline>
              </w:drawing>
            </w:r>
          </w:p>
        </w:tc>
        <w:tc>
          <w:tcPr>
            <w:tcW w:w="4025" w:type="dxa"/>
            <w:vAlign w:val="top"/>
          </w:tcPr>
          <w:p w14:paraId="7DE27D82">
            <w:pPr>
              <w:spacing w:before="7" w:line="2827" w:lineRule="exact"/>
              <w:ind w:firstLine="129"/>
            </w:pPr>
            <w:r>
              <w:rPr>
                <w:position w:val="-56"/>
              </w:rPr>
              <w:drawing>
                <wp:inline distT="0" distB="0" distL="0" distR="0">
                  <wp:extent cx="2392680" cy="179514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225"/>
                          <a:stretch>
                            <a:fillRect/>
                          </a:stretch>
                        </pic:blipFill>
                        <pic:spPr>
                          <a:xfrm>
                            <a:off x="0" y="0"/>
                            <a:ext cx="2392680" cy="1795271"/>
                          </a:xfrm>
                          <a:prstGeom prst="rect">
                            <a:avLst/>
                          </a:prstGeom>
                        </pic:spPr>
                      </pic:pic>
                    </a:graphicData>
                  </a:graphic>
                </wp:inline>
              </w:drawing>
            </w:r>
          </w:p>
        </w:tc>
        <w:tc>
          <w:tcPr>
            <w:tcW w:w="123" w:type="dxa"/>
            <w:tcBorders>
              <w:top w:val="nil"/>
              <w:bottom w:val="nil"/>
              <w:right w:val="single" w:color="000000" w:sz="6" w:space="0"/>
            </w:tcBorders>
            <w:vAlign w:val="top"/>
          </w:tcPr>
          <w:p w14:paraId="3CA1EFAE">
            <w:pPr>
              <w:rPr>
                <w:rFonts w:ascii="Arial"/>
                <w:sz w:val="21"/>
              </w:rPr>
            </w:pPr>
          </w:p>
        </w:tc>
      </w:tr>
      <w:tr w14:paraId="2FDF44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776" w:type="dxa"/>
            <w:vMerge w:val="continue"/>
            <w:tcBorders>
              <w:top w:val="nil"/>
              <w:left w:val="single" w:color="000000" w:sz="6" w:space="0"/>
              <w:bottom w:val="nil"/>
            </w:tcBorders>
            <w:vAlign w:val="top"/>
          </w:tcPr>
          <w:p w14:paraId="1E1BC687">
            <w:pPr>
              <w:rPr>
                <w:rFonts w:ascii="Arial"/>
                <w:sz w:val="21"/>
              </w:rPr>
            </w:pPr>
          </w:p>
        </w:tc>
        <w:tc>
          <w:tcPr>
            <w:tcW w:w="113" w:type="dxa"/>
            <w:tcBorders>
              <w:top w:val="nil"/>
              <w:bottom w:val="nil"/>
            </w:tcBorders>
            <w:vAlign w:val="top"/>
          </w:tcPr>
          <w:p w14:paraId="42EF3823">
            <w:pPr>
              <w:rPr>
                <w:rFonts w:ascii="Arial"/>
                <w:sz w:val="21"/>
              </w:rPr>
            </w:pPr>
          </w:p>
        </w:tc>
        <w:tc>
          <w:tcPr>
            <w:tcW w:w="4025" w:type="dxa"/>
            <w:vAlign w:val="top"/>
          </w:tcPr>
          <w:p w14:paraId="0FCF7756">
            <w:pPr>
              <w:pStyle w:val="9"/>
              <w:spacing w:before="42" w:line="228" w:lineRule="auto"/>
              <w:ind w:left="1507"/>
              <w:rPr>
                <w:sz w:val="20"/>
                <w:szCs w:val="20"/>
              </w:rPr>
            </w:pPr>
            <w:r>
              <w:rPr>
                <w:rFonts w:ascii="Times New Roman" w:hAnsi="Times New Roman" w:eastAsia="Times New Roman" w:cs="Times New Roman"/>
                <w:spacing w:val="3"/>
                <w:sz w:val="20"/>
                <w:szCs w:val="20"/>
              </w:rPr>
              <w:t>1#</w:t>
            </w:r>
            <w:r>
              <w:rPr>
                <w:spacing w:val="3"/>
                <w:sz w:val="20"/>
                <w:szCs w:val="20"/>
              </w:rPr>
              <w:t>主变照片</w:t>
            </w:r>
          </w:p>
        </w:tc>
        <w:tc>
          <w:tcPr>
            <w:tcW w:w="4025" w:type="dxa"/>
            <w:vAlign w:val="top"/>
          </w:tcPr>
          <w:p w14:paraId="0340739D">
            <w:pPr>
              <w:pStyle w:val="9"/>
              <w:spacing w:before="42" w:line="228" w:lineRule="auto"/>
              <w:ind w:left="1494"/>
              <w:rPr>
                <w:sz w:val="20"/>
                <w:szCs w:val="20"/>
              </w:rPr>
            </w:pPr>
            <w:r>
              <w:rPr>
                <w:rFonts w:ascii="Times New Roman" w:hAnsi="Times New Roman" w:eastAsia="Times New Roman" w:cs="Times New Roman"/>
                <w:spacing w:val="7"/>
                <w:sz w:val="20"/>
                <w:szCs w:val="20"/>
              </w:rPr>
              <w:t>2#</w:t>
            </w:r>
            <w:r>
              <w:rPr>
                <w:spacing w:val="7"/>
                <w:sz w:val="20"/>
                <w:szCs w:val="20"/>
              </w:rPr>
              <w:t>主变照片</w:t>
            </w:r>
          </w:p>
        </w:tc>
        <w:tc>
          <w:tcPr>
            <w:tcW w:w="123" w:type="dxa"/>
            <w:tcBorders>
              <w:top w:val="nil"/>
              <w:bottom w:val="nil"/>
              <w:right w:val="single" w:color="000000" w:sz="6" w:space="0"/>
            </w:tcBorders>
            <w:vAlign w:val="top"/>
          </w:tcPr>
          <w:p w14:paraId="5E76E28E">
            <w:pPr>
              <w:rPr>
                <w:rFonts w:ascii="Arial"/>
                <w:sz w:val="21"/>
              </w:rPr>
            </w:pPr>
          </w:p>
        </w:tc>
      </w:tr>
      <w:tr w14:paraId="610D80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5" w:hRule="atLeast"/>
        </w:trPr>
        <w:tc>
          <w:tcPr>
            <w:tcW w:w="776" w:type="dxa"/>
            <w:vMerge w:val="continue"/>
            <w:tcBorders>
              <w:top w:val="nil"/>
              <w:left w:val="single" w:color="000000" w:sz="6" w:space="0"/>
              <w:bottom w:val="nil"/>
            </w:tcBorders>
            <w:vAlign w:val="top"/>
          </w:tcPr>
          <w:p w14:paraId="29100EEC">
            <w:pPr>
              <w:rPr>
                <w:rFonts w:ascii="Arial"/>
                <w:sz w:val="21"/>
              </w:rPr>
            </w:pPr>
          </w:p>
        </w:tc>
        <w:tc>
          <w:tcPr>
            <w:tcW w:w="113" w:type="dxa"/>
            <w:tcBorders>
              <w:top w:val="nil"/>
              <w:bottom w:val="nil"/>
            </w:tcBorders>
            <w:vAlign w:val="top"/>
          </w:tcPr>
          <w:p w14:paraId="5B6DE11A">
            <w:pPr>
              <w:rPr>
                <w:rFonts w:ascii="Arial"/>
                <w:sz w:val="21"/>
              </w:rPr>
            </w:pPr>
          </w:p>
        </w:tc>
        <w:tc>
          <w:tcPr>
            <w:tcW w:w="4025" w:type="dxa"/>
            <w:vAlign w:val="top"/>
          </w:tcPr>
          <w:p w14:paraId="54A0665B">
            <w:pPr>
              <w:spacing w:before="20" w:line="2827" w:lineRule="exact"/>
              <w:ind w:firstLine="122"/>
            </w:pPr>
            <w:r>
              <w:rPr>
                <w:position w:val="-56"/>
              </w:rPr>
              <w:drawing>
                <wp:inline distT="0" distB="0" distL="0" distR="0">
                  <wp:extent cx="2392680" cy="179514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226"/>
                          <a:stretch>
                            <a:fillRect/>
                          </a:stretch>
                        </pic:blipFill>
                        <pic:spPr>
                          <a:xfrm>
                            <a:off x="0" y="0"/>
                            <a:ext cx="2392680" cy="1795271"/>
                          </a:xfrm>
                          <a:prstGeom prst="rect">
                            <a:avLst/>
                          </a:prstGeom>
                        </pic:spPr>
                      </pic:pic>
                    </a:graphicData>
                  </a:graphic>
                </wp:inline>
              </w:drawing>
            </w:r>
          </w:p>
        </w:tc>
        <w:tc>
          <w:tcPr>
            <w:tcW w:w="4025" w:type="dxa"/>
            <w:vAlign w:val="top"/>
          </w:tcPr>
          <w:p w14:paraId="2A86B51C">
            <w:pPr>
              <w:spacing w:before="12" w:line="2842" w:lineRule="exact"/>
              <w:ind w:firstLine="120"/>
            </w:pPr>
            <w:r>
              <w:rPr>
                <w:position w:val="-56"/>
              </w:rPr>
              <w:drawing>
                <wp:inline distT="0" distB="0" distL="0" distR="0">
                  <wp:extent cx="2406015" cy="1804035"/>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227"/>
                          <a:stretch>
                            <a:fillRect/>
                          </a:stretch>
                        </pic:blipFill>
                        <pic:spPr>
                          <a:xfrm>
                            <a:off x="0" y="0"/>
                            <a:ext cx="2406395" cy="1804416"/>
                          </a:xfrm>
                          <a:prstGeom prst="rect">
                            <a:avLst/>
                          </a:prstGeom>
                        </pic:spPr>
                      </pic:pic>
                    </a:graphicData>
                  </a:graphic>
                </wp:inline>
              </w:drawing>
            </w:r>
          </w:p>
        </w:tc>
        <w:tc>
          <w:tcPr>
            <w:tcW w:w="123" w:type="dxa"/>
            <w:tcBorders>
              <w:top w:val="nil"/>
              <w:bottom w:val="nil"/>
              <w:right w:val="single" w:color="000000" w:sz="6" w:space="0"/>
            </w:tcBorders>
            <w:vAlign w:val="top"/>
          </w:tcPr>
          <w:p w14:paraId="2B938029">
            <w:pPr>
              <w:rPr>
                <w:rFonts w:ascii="Arial"/>
                <w:sz w:val="21"/>
              </w:rPr>
            </w:pPr>
          </w:p>
        </w:tc>
      </w:tr>
      <w:tr w14:paraId="65FE66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776" w:type="dxa"/>
            <w:vMerge w:val="continue"/>
            <w:tcBorders>
              <w:top w:val="nil"/>
              <w:left w:val="single" w:color="000000" w:sz="6" w:space="0"/>
              <w:bottom w:val="single" w:color="000000" w:sz="6" w:space="0"/>
            </w:tcBorders>
            <w:vAlign w:val="top"/>
          </w:tcPr>
          <w:p w14:paraId="2C3060A8">
            <w:pPr>
              <w:rPr>
                <w:rFonts w:ascii="Arial"/>
                <w:sz w:val="21"/>
              </w:rPr>
            </w:pPr>
          </w:p>
        </w:tc>
        <w:tc>
          <w:tcPr>
            <w:tcW w:w="113" w:type="dxa"/>
            <w:tcBorders>
              <w:top w:val="nil"/>
              <w:bottom w:val="single" w:color="000000" w:sz="6" w:space="0"/>
            </w:tcBorders>
            <w:vAlign w:val="top"/>
          </w:tcPr>
          <w:p w14:paraId="3F590F39">
            <w:pPr>
              <w:rPr>
                <w:rFonts w:ascii="Arial"/>
                <w:sz w:val="21"/>
              </w:rPr>
            </w:pPr>
          </w:p>
        </w:tc>
        <w:tc>
          <w:tcPr>
            <w:tcW w:w="4025" w:type="dxa"/>
            <w:tcBorders>
              <w:bottom w:val="single" w:color="000000" w:sz="6" w:space="0"/>
            </w:tcBorders>
            <w:vAlign w:val="top"/>
          </w:tcPr>
          <w:p w14:paraId="020BE578">
            <w:pPr>
              <w:spacing w:before="87" w:line="195" w:lineRule="auto"/>
              <w:ind w:left="181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SVG</w:t>
            </w:r>
          </w:p>
        </w:tc>
        <w:tc>
          <w:tcPr>
            <w:tcW w:w="4025" w:type="dxa"/>
            <w:tcBorders>
              <w:bottom w:val="single" w:color="000000" w:sz="6" w:space="0"/>
            </w:tcBorders>
            <w:vAlign w:val="top"/>
          </w:tcPr>
          <w:p w14:paraId="1B5E46B7">
            <w:pPr>
              <w:pStyle w:val="9"/>
              <w:spacing w:before="44" w:line="228" w:lineRule="auto"/>
              <w:ind w:left="1601"/>
              <w:rPr>
                <w:sz w:val="20"/>
                <w:szCs w:val="20"/>
              </w:rPr>
            </w:pPr>
            <w:r>
              <w:rPr>
                <w:spacing w:val="7"/>
                <w:sz w:val="20"/>
                <w:szCs w:val="20"/>
              </w:rPr>
              <w:t>事故油池</w:t>
            </w:r>
          </w:p>
        </w:tc>
        <w:tc>
          <w:tcPr>
            <w:tcW w:w="123" w:type="dxa"/>
            <w:tcBorders>
              <w:top w:val="nil"/>
              <w:bottom w:val="single" w:color="000000" w:sz="6" w:space="0"/>
              <w:right w:val="single" w:color="000000" w:sz="6" w:space="0"/>
            </w:tcBorders>
            <w:vAlign w:val="top"/>
          </w:tcPr>
          <w:p w14:paraId="5B25A6DF">
            <w:pPr>
              <w:rPr>
                <w:rFonts w:ascii="Arial"/>
                <w:sz w:val="21"/>
              </w:rPr>
            </w:pPr>
          </w:p>
        </w:tc>
      </w:tr>
    </w:tbl>
    <w:p w14:paraId="067015F8">
      <w:pPr>
        <w:pStyle w:val="3"/>
      </w:pPr>
    </w:p>
    <w:p w14:paraId="0F57A05A">
      <w:pPr>
        <w:sectPr>
          <w:footerReference r:id="rId27" w:type="default"/>
          <w:pgSz w:w="11906" w:h="16838"/>
          <w:pgMar w:top="1416" w:right="1414" w:bottom="1295" w:left="1414" w:header="0" w:footer="1133" w:gutter="0"/>
          <w:cols w:space="720" w:num="1"/>
        </w:sectPr>
      </w:pPr>
    </w:p>
    <w:tbl>
      <w:tblPr>
        <w:tblStyle w:val="8"/>
        <w:tblW w:w="9062"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6"/>
        <w:gridCol w:w="113"/>
        <w:gridCol w:w="4025"/>
        <w:gridCol w:w="4025"/>
        <w:gridCol w:w="123"/>
      </w:tblGrid>
      <w:tr w14:paraId="20A96F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3" w:hRule="atLeast"/>
        </w:trPr>
        <w:tc>
          <w:tcPr>
            <w:tcW w:w="776" w:type="dxa"/>
            <w:vMerge w:val="restart"/>
            <w:tcBorders>
              <w:top w:val="single" w:color="000000" w:sz="6" w:space="0"/>
              <w:left w:val="single" w:color="000000" w:sz="6" w:space="0"/>
              <w:bottom w:val="nil"/>
            </w:tcBorders>
            <w:vAlign w:val="top"/>
          </w:tcPr>
          <w:p w14:paraId="7CA04173">
            <w:pPr>
              <w:rPr>
                <w:rFonts w:ascii="Arial"/>
                <w:sz w:val="21"/>
              </w:rPr>
            </w:pPr>
          </w:p>
        </w:tc>
        <w:tc>
          <w:tcPr>
            <w:tcW w:w="113" w:type="dxa"/>
            <w:tcBorders>
              <w:top w:val="single" w:color="000000" w:sz="6" w:space="0"/>
              <w:bottom w:val="nil"/>
            </w:tcBorders>
            <w:vAlign w:val="top"/>
          </w:tcPr>
          <w:p w14:paraId="01AE1786">
            <w:pPr>
              <w:rPr>
                <w:rFonts w:ascii="Arial"/>
                <w:sz w:val="21"/>
              </w:rPr>
            </w:pPr>
          </w:p>
        </w:tc>
        <w:tc>
          <w:tcPr>
            <w:tcW w:w="4025" w:type="dxa"/>
            <w:tcBorders>
              <w:top w:val="single" w:color="000000" w:sz="6" w:space="0"/>
            </w:tcBorders>
            <w:vAlign w:val="top"/>
          </w:tcPr>
          <w:p w14:paraId="3AB18451">
            <w:pPr>
              <w:spacing w:before="5" w:line="2827" w:lineRule="exact"/>
              <w:ind w:firstLine="122"/>
            </w:pPr>
            <w:r>
              <w:rPr>
                <w:position w:val="-56"/>
              </w:rPr>
              <w:drawing>
                <wp:inline distT="0" distB="0" distL="0" distR="0">
                  <wp:extent cx="2392680" cy="179514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228"/>
                          <a:stretch>
                            <a:fillRect/>
                          </a:stretch>
                        </pic:blipFill>
                        <pic:spPr>
                          <a:xfrm>
                            <a:off x="0" y="0"/>
                            <a:ext cx="2392680" cy="1795271"/>
                          </a:xfrm>
                          <a:prstGeom prst="rect">
                            <a:avLst/>
                          </a:prstGeom>
                        </pic:spPr>
                      </pic:pic>
                    </a:graphicData>
                  </a:graphic>
                </wp:inline>
              </w:drawing>
            </w:r>
          </w:p>
        </w:tc>
        <w:tc>
          <w:tcPr>
            <w:tcW w:w="4025" w:type="dxa"/>
            <w:tcBorders>
              <w:top w:val="single" w:color="000000" w:sz="6" w:space="0"/>
            </w:tcBorders>
            <w:vAlign w:val="top"/>
          </w:tcPr>
          <w:p w14:paraId="79911125">
            <w:pPr>
              <w:spacing w:before="5" w:line="2827" w:lineRule="exact"/>
              <w:ind w:firstLine="129"/>
            </w:pPr>
            <w:r>
              <w:rPr>
                <w:position w:val="-56"/>
              </w:rPr>
              <w:drawing>
                <wp:inline distT="0" distB="0" distL="0" distR="0">
                  <wp:extent cx="2392680" cy="1795145"/>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229"/>
                          <a:stretch>
                            <a:fillRect/>
                          </a:stretch>
                        </pic:blipFill>
                        <pic:spPr>
                          <a:xfrm>
                            <a:off x="0" y="0"/>
                            <a:ext cx="2392680" cy="1795271"/>
                          </a:xfrm>
                          <a:prstGeom prst="rect">
                            <a:avLst/>
                          </a:prstGeom>
                        </pic:spPr>
                      </pic:pic>
                    </a:graphicData>
                  </a:graphic>
                </wp:inline>
              </w:drawing>
            </w:r>
          </w:p>
        </w:tc>
        <w:tc>
          <w:tcPr>
            <w:tcW w:w="123" w:type="dxa"/>
            <w:tcBorders>
              <w:top w:val="single" w:color="000000" w:sz="6" w:space="0"/>
              <w:bottom w:val="nil"/>
              <w:right w:val="single" w:color="000000" w:sz="6" w:space="0"/>
            </w:tcBorders>
            <w:vAlign w:val="top"/>
          </w:tcPr>
          <w:p w14:paraId="09E7D018">
            <w:pPr>
              <w:rPr>
                <w:rFonts w:ascii="Arial"/>
                <w:sz w:val="21"/>
              </w:rPr>
            </w:pPr>
          </w:p>
        </w:tc>
      </w:tr>
      <w:tr w14:paraId="21E109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776" w:type="dxa"/>
            <w:vMerge w:val="continue"/>
            <w:tcBorders>
              <w:top w:val="nil"/>
              <w:left w:val="single" w:color="000000" w:sz="6" w:space="0"/>
              <w:bottom w:val="nil"/>
            </w:tcBorders>
            <w:vAlign w:val="top"/>
          </w:tcPr>
          <w:p w14:paraId="1DB1EC4E">
            <w:pPr>
              <w:rPr>
                <w:rFonts w:ascii="Arial"/>
                <w:sz w:val="21"/>
              </w:rPr>
            </w:pPr>
          </w:p>
        </w:tc>
        <w:tc>
          <w:tcPr>
            <w:tcW w:w="113" w:type="dxa"/>
            <w:tcBorders>
              <w:top w:val="nil"/>
              <w:bottom w:val="nil"/>
            </w:tcBorders>
            <w:vAlign w:val="top"/>
          </w:tcPr>
          <w:p w14:paraId="4B695E52">
            <w:pPr>
              <w:rPr>
                <w:rFonts w:ascii="Arial"/>
                <w:sz w:val="21"/>
              </w:rPr>
            </w:pPr>
          </w:p>
        </w:tc>
        <w:tc>
          <w:tcPr>
            <w:tcW w:w="4025" w:type="dxa"/>
            <w:vAlign w:val="top"/>
          </w:tcPr>
          <w:p w14:paraId="3621DC32">
            <w:pPr>
              <w:pStyle w:val="9"/>
              <w:spacing w:before="34" w:line="228" w:lineRule="auto"/>
              <w:ind w:left="1494"/>
              <w:rPr>
                <w:sz w:val="20"/>
                <w:szCs w:val="20"/>
              </w:rPr>
            </w:pPr>
            <w:r>
              <w:rPr>
                <w:spacing w:val="7"/>
                <w:sz w:val="20"/>
                <w:szCs w:val="20"/>
              </w:rPr>
              <w:t>危废暂存间</w:t>
            </w:r>
          </w:p>
        </w:tc>
        <w:tc>
          <w:tcPr>
            <w:tcW w:w="4025" w:type="dxa"/>
            <w:vAlign w:val="top"/>
          </w:tcPr>
          <w:p w14:paraId="2D97D7F7">
            <w:pPr>
              <w:pStyle w:val="9"/>
              <w:spacing w:before="35" w:line="228" w:lineRule="auto"/>
              <w:ind w:left="1815"/>
              <w:rPr>
                <w:sz w:val="20"/>
                <w:szCs w:val="20"/>
              </w:rPr>
            </w:pPr>
            <w:r>
              <w:rPr>
                <w:spacing w:val="3"/>
                <w:sz w:val="20"/>
                <w:szCs w:val="20"/>
              </w:rPr>
              <w:t>构架</w:t>
            </w:r>
          </w:p>
        </w:tc>
        <w:tc>
          <w:tcPr>
            <w:tcW w:w="123" w:type="dxa"/>
            <w:tcBorders>
              <w:top w:val="nil"/>
              <w:bottom w:val="nil"/>
              <w:right w:val="single" w:color="000000" w:sz="6" w:space="0"/>
            </w:tcBorders>
            <w:vAlign w:val="top"/>
          </w:tcPr>
          <w:p w14:paraId="52587271">
            <w:pPr>
              <w:rPr>
                <w:rFonts w:ascii="Arial"/>
                <w:sz w:val="21"/>
              </w:rPr>
            </w:pPr>
          </w:p>
        </w:tc>
      </w:tr>
      <w:tr w14:paraId="59B364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5" w:hRule="atLeast"/>
        </w:trPr>
        <w:tc>
          <w:tcPr>
            <w:tcW w:w="776" w:type="dxa"/>
            <w:vMerge w:val="continue"/>
            <w:tcBorders>
              <w:top w:val="nil"/>
              <w:left w:val="single" w:color="000000" w:sz="6" w:space="0"/>
              <w:bottom w:val="nil"/>
            </w:tcBorders>
            <w:vAlign w:val="top"/>
          </w:tcPr>
          <w:p w14:paraId="393E30E1">
            <w:pPr>
              <w:rPr>
                <w:rFonts w:ascii="Arial"/>
                <w:sz w:val="21"/>
              </w:rPr>
            </w:pPr>
          </w:p>
        </w:tc>
        <w:tc>
          <w:tcPr>
            <w:tcW w:w="113" w:type="dxa"/>
            <w:tcBorders>
              <w:top w:val="nil"/>
              <w:bottom w:val="nil"/>
            </w:tcBorders>
            <w:vAlign w:val="top"/>
          </w:tcPr>
          <w:p w14:paraId="32AD9E6F">
            <w:pPr>
              <w:rPr>
                <w:rFonts w:ascii="Arial"/>
                <w:sz w:val="21"/>
              </w:rPr>
            </w:pPr>
          </w:p>
        </w:tc>
        <w:tc>
          <w:tcPr>
            <w:tcW w:w="4025" w:type="dxa"/>
            <w:vAlign w:val="top"/>
          </w:tcPr>
          <w:p w14:paraId="34944EA8">
            <w:pPr>
              <w:spacing w:before="3" w:line="2842" w:lineRule="exact"/>
              <w:ind w:firstLine="113"/>
            </w:pPr>
            <w:r>
              <w:rPr>
                <w:position w:val="-56"/>
              </w:rPr>
              <w:drawing>
                <wp:inline distT="0" distB="0" distL="0" distR="0">
                  <wp:extent cx="2406015" cy="180403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230"/>
                          <a:stretch>
                            <a:fillRect/>
                          </a:stretch>
                        </pic:blipFill>
                        <pic:spPr>
                          <a:xfrm>
                            <a:off x="0" y="0"/>
                            <a:ext cx="2406395" cy="1804416"/>
                          </a:xfrm>
                          <a:prstGeom prst="rect">
                            <a:avLst/>
                          </a:prstGeom>
                        </pic:spPr>
                      </pic:pic>
                    </a:graphicData>
                  </a:graphic>
                </wp:inline>
              </w:drawing>
            </w:r>
          </w:p>
        </w:tc>
        <w:tc>
          <w:tcPr>
            <w:tcW w:w="4025" w:type="dxa"/>
            <w:vAlign w:val="top"/>
          </w:tcPr>
          <w:p w14:paraId="095C0D70">
            <w:pPr>
              <w:spacing w:before="11" w:line="2827" w:lineRule="exact"/>
              <w:ind w:firstLine="129"/>
            </w:pPr>
            <w:r>
              <w:rPr>
                <w:position w:val="-56"/>
              </w:rPr>
              <w:drawing>
                <wp:inline distT="0" distB="0" distL="0" distR="0">
                  <wp:extent cx="2392680" cy="179514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231"/>
                          <a:stretch>
                            <a:fillRect/>
                          </a:stretch>
                        </pic:blipFill>
                        <pic:spPr>
                          <a:xfrm>
                            <a:off x="0" y="0"/>
                            <a:ext cx="2392680" cy="1795272"/>
                          </a:xfrm>
                          <a:prstGeom prst="rect">
                            <a:avLst/>
                          </a:prstGeom>
                        </pic:spPr>
                      </pic:pic>
                    </a:graphicData>
                  </a:graphic>
                </wp:inline>
              </w:drawing>
            </w:r>
          </w:p>
        </w:tc>
        <w:tc>
          <w:tcPr>
            <w:tcW w:w="123" w:type="dxa"/>
            <w:tcBorders>
              <w:top w:val="nil"/>
              <w:bottom w:val="nil"/>
              <w:right w:val="single" w:color="000000" w:sz="6" w:space="0"/>
            </w:tcBorders>
            <w:vAlign w:val="top"/>
          </w:tcPr>
          <w:p w14:paraId="7BD51EBF">
            <w:pPr>
              <w:rPr>
                <w:rFonts w:ascii="Arial"/>
                <w:sz w:val="21"/>
              </w:rPr>
            </w:pPr>
          </w:p>
        </w:tc>
      </w:tr>
      <w:tr w14:paraId="714131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776" w:type="dxa"/>
            <w:vMerge w:val="continue"/>
            <w:tcBorders>
              <w:top w:val="nil"/>
              <w:left w:val="single" w:color="000000" w:sz="6" w:space="0"/>
              <w:bottom w:val="nil"/>
            </w:tcBorders>
            <w:vAlign w:val="top"/>
          </w:tcPr>
          <w:p w14:paraId="4AD68C40">
            <w:pPr>
              <w:rPr>
                <w:rFonts w:ascii="Arial"/>
                <w:sz w:val="21"/>
              </w:rPr>
            </w:pPr>
          </w:p>
        </w:tc>
        <w:tc>
          <w:tcPr>
            <w:tcW w:w="113" w:type="dxa"/>
            <w:tcBorders>
              <w:top w:val="nil"/>
              <w:bottom w:val="nil"/>
            </w:tcBorders>
            <w:vAlign w:val="top"/>
          </w:tcPr>
          <w:p w14:paraId="4D50FCF0">
            <w:pPr>
              <w:rPr>
                <w:rFonts w:ascii="Arial"/>
                <w:sz w:val="21"/>
              </w:rPr>
            </w:pPr>
          </w:p>
        </w:tc>
        <w:tc>
          <w:tcPr>
            <w:tcW w:w="4025" w:type="dxa"/>
            <w:vAlign w:val="top"/>
          </w:tcPr>
          <w:p w14:paraId="249A7D71">
            <w:pPr>
              <w:pStyle w:val="9"/>
              <w:spacing w:before="38" w:line="228" w:lineRule="auto"/>
              <w:ind w:left="1701"/>
              <w:rPr>
                <w:sz w:val="20"/>
                <w:szCs w:val="20"/>
              </w:rPr>
            </w:pPr>
            <w:r>
              <w:rPr>
                <w:spacing w:val="6"/>
                <w:sz w:val="20"/>
                <w:szCs w:val="20"/>
              </w:rPr>
              <w:t>贮油坑</w:t>
            </w:r>
          </w:p>
        </w:tc>
        <w:tc>
          <w:tcPr>
            <w:tcW w:w="4025" w:type="dxa"/>
            <w:vAlign w:val="top"/>
          </w:tcPr>
          <w:p w14:paraId="5A601187">
            <w:pPr>
              <w:pStyle w:val="9"/>
              <w:spacing w:before="37" w:line="228" w:lineRule="auto"/>
              <w:ind w:left="1077"/>
              <w:rPr>
                <w:sz w:val="20"/>
                <w:szCs w:val="20"/>
              </w:rPr>
            </w:pPr>
            <w:r>
              <w:rPr>
                <w:spacing w:val="9"/>
                <w:sz w:val="20"/>
                <w:szCs w:val="20"/>
              </w:rPr>
              <w:t>废水一体化处理设备</w:t>
            </w:r>
          </w:p>
        </w:tc>
        <w:tc>
          <w:tcPr>
            <w:tcW w:w="123" w:type="dxa"/>
            <w:tcBorders>
              <w:top w:val="nil"/>
              <w:bottom w:val="nil"/>
              <w:right w:val="single" w:color="000000" w:sz="6" w:space="0"/>
            </w:tcBorders>
            <w:vAlign w:val="top"/>
          </w:tcPr>
          <w:p w14:paraId="49B5FC1A">
            <w:pPr>
              <w:rPr>
                <w:rFonts w:ascii="Arial"/>
                <w:sz w:val="21"/>
              </w:rPr>
            </w:pPr>
          </w:p>
        </w:tc>
      </w:tr>
      <w:tr w14:paraId="1C9673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8" w:hRule="atLeast"/>
        </w:trPr>
        <w:tc>
          <w:tcPr>
            <w:tcW w:w="776" w:type="dxa"/>
            <w:vMerge w:val="continue"/>
            <w:tcBorders>
              <w:top w:val="nil"/>
              <w:left w:val="single" w:color="000000" w:sz="6" w:space="0"/>
              <w:bottom w:val="nil"/>
            </w:tcBorders>
            <w:vAlign w:val="top"/>
          </w:tcPr>
          <w:p w14:paraId="06A94FC1">
            <w:pPr>
              <w:rPr>
                <w:rFonts w:ascii="Arial"/>
                <w:sz w:val="21"/>
              </w:rPr>
            </w:pPr>
          </w:p>
        </w:tc>
        <w:tc>
          <w:tcPr>
            <w:tcW w:w="113" w:type="dxa"/>
            <w:tcBorders>
              <w:top w:val="nil"/>
              <w:bottom w:val="nil"/>
            </w:tcBorders>
            <w:vAlign w:val="top"/>
          </w:tcPr>
          <w:p w14:paraId="1D24FE43">
            <w:pPr>
              <w:rPr>
                <w:rFonts w:ascii="Arial"/>
                <w:sz w:val="21"/>
              </w:rPr>
            </w:pPr>
          </w:p>
        </w:tc>
        <w:tc>
          <w:tcPr>
            <w:tcW w:w="4025" w:type="dxa"/>
            <w:vAlign w:val="top"/>
          </w:tcPr>
          <w:p w14:paraId="31DB8C54">
            <w:pPr>
              <w:spacing w:line="422" w:lineRule="auto"/>
              <w:rPr>
                <w:rFonts w:ascii="Arial"/>
                <w:sz w:val="21"/>
              </w:rPr>
            </w:pPr>
          </w:p>
          <w:p w14:paraId="7FCE8901">
            <w:pPr>
              <w:spacing w:line="1987" w:lineRule="exact"/>
              <w:ind w:firstLine="105"/>
            </w:pPr>
            <w:r>
              <w:rPr>
                <w:position w:val="-39"/>
              </w:rPr>
              <w:drawing>
                <wp:inline distT="0" distB="0" distL="0" distR="0">
                  <wp:extent cx="2413635" cy="1261745"/>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232"/>
                          <a:stretch>
                            <a:fillRect/>
                          </a:stretch>
                        </pic:blipFill>
                        <pic:spPr>
                          <a:xfrm>
                            <a:off x="0" y="0"/>
                            <a:ext cx="2414016" cy="1261871"/>
                          </a:xfrm>
                          <a:prstGeom prst="rect">
                            <a:avLst/>
                          </a:prstGeom>
                        </pic:spPr>
                      </pic:pic>
                    </a:graphicData>
                  </a:graphic>
                </wp:inline>
              </w:drawing>
            </w:r>
          </w:p>
        </w:tc>
        <w:tc>
          <w:tcPr>
            <w:tcW w:w="4025" w:type="dxa"/>
            <w:vAlign w:val="top"/>
          </w:tcPr>
          <w:p w14:paraId="5494D98B">
            <w:pPr>
              <w:spacing w:before="7" w:line="2827" w:lineRule="exact"/>
              <w:ind w:firstLine="129"/>
            </w:pPr>
            <w:r>
              <w:rPr>
                <w:position w:val="-56"/>
              </w:rPr>
              <w:drawing>
                <wp:inline distT="0" distB="0" distL="0" distR="0">
                  <wp:extent cx="2392680" cy="1795145"/>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233"/>
                          <a:stretch>
                            <a:fillRect/>
                          </a:stretch>
                        </pic:blipFill>
                        <pic:spPr>
                          <a:xfrm>
                            <a:off x="0" y="0"/>
                            <a:ext cx="2392680" cy="1795271"/>
                          </a:xfrm>
                          <a:prstGeom prst="rect">
                            <a:avLst/>
                          </a:prstGeom>
                        </pic:spPr>
                      </pic:pic>
                    </a:graphicData>
                  </a:graphic>
                </wp:inline>
              </w:drawing>
            </w:r>
          </w:p>
        </w:tc>
        <w:tc>
          <w:tcPr>
            <w:tcW w:w="123" w:type="dxa"/>
            <w:tcBorders>
              <w:top w:val="nil"/>
              <w:bottom w:val="nil"/>
              <w:right w:val="single" w:color="000000" w:sz="6" w:space="0"/>
            </w:tcBorders>
            <w:vAlign w:val="top"/>
          </w:tcPr>
          <w:p w14:paraId="2DBDFD35">
            <w:pPr>
              <w:rPr>
                <w:rFonts w:ascii="Arial"/>
                <w:sz w:val="21"/>
              </w:rPr>
            </w:pPr>
          </w:p>
        </w:tc>
      </w:tr>
      <w:tr w14:paraId="1B865E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776" w:type="dxa"/>
            <w:vMerge w:val="continue"/>
            <w:tcBorders>
              <w:top w:val="nil"/>
              <w:left w:val="single" w:color="000000" w:sz="6" w:space="0"/>
              <w:bottom w:val="nil"/>
            </w:tcBorders>
            <w:vAlign w:val="top"/>
          </w:tcPr>
          <w:p w14:paraId="431E3A08">
            <w:pPr>
              <w:rPr>
                <w:rFonts w:ascii="Arial"/>
                <w:sz w:val="21"/>
              </w:rPr>
            </w:pPr>
          </w:p>
        </w:tc>
        <w:tc>
          <w:tcPr>
            <w:tcW w:w="113" w:type="dxa"/>
            <w:tcBorders>
              <w:top w:val="nil"/>
              <w:bottom w:val="nil"/>
            </w:tcBorders>
            <w:vAlign w:val="top"/>
          </w:tcPr>
          <w:p w14:paraId="59AF0301">
            <w:pPr>
              <w:rPr>
                <w:rFonts w:ascii="Arial"/>
                <w:sz w:val="21"/>
              </w:rPr>
            </w:pPr>
          </w:p>
        </w:tc>
        <w:tc>
          <w:tcPr>
            <w:tcW w:w="4025" w:type="dxa"/>
            <w:vAlign w:val="top"/>
          </w:tcPr>
          <w:p w14:paraId="63C7E572">
            <w:pPr>
              <w:pStyle w:val="9"/>
              <w:spacing w:before="40" w:line="228" w:lineRule="auto"/>
              <w:ind w:left="1177"/>
              <w:rPr>
                <w:sz w:val="20"/>
                <w:szCs w:val="20"/>
              </w:rPr>
            </w:pPr>
            <w:r>
              <w:rPr>
                <w:spacing w:val="8"/>
                <w:sz w:val="20"/>
                <w:szCs w:val="20"/>
              </w:rPr>
              <w:t>危废暂存间防渗膜</w:t>
            </w:r>
          </w:p>
        </w:tc>
        <w:tc>
          <w:tcPr>
            <w:tcW w:w="4025" w:type="dxa"/>
            <w:vAlign w:val="top"/>
          </w:tcPr>
          <w:p w14:paraId="7017E826">
            <w:pPr>
              <w:pStyle w:val="9"/>
              <w:spacing w:before="40" w:line="228" w:lineRule="auto"/>
              <w:ind w:left="764"/>
              <w:rPr>
                <w:sz w:val="20"/>
                <w:szCs w:val="20"/>
              </w:rPr>
            </w:pPr>
            <w:r>
              <w:rPr>
                <w:spacing w:val="8"/>
                <w:sz w:val="20"/>
                <w:szCs w:val="20"/>
              </w:rPr>
              <w:t>危废暂存间导流槽和集油池</w:t>
            </w:r>
          </w:p>
        </w:tc>
        <w:tc>
          <w:tcPr>
            <w:tcW w:w="123" w:type="dxa"/>
            <w:tcBorders>
              <w:top w:val="nil"/>
              <w:bottom w:val="nil"/>
              <w:right w:val="single" w:color="000000" w:sz="6" w:space="0"/>
            </w:tcBorders>
            <w:vAlign w:val="top"/>
          </w:tcPr>
          <w:p w14:paraId="5EF48AB2">
            <w:pPr>
              <w:rPr>
                <w:rFonts w:ascii="Arial"/>
                <w:sz w:val="21"/>
              </w:rPr>
            </w:pPr>
          </w:p>
        </w:tc>
      </w:tr>
      <w:tr w14:paraId="04E9BA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9" w:hRule="atLeast"/>
        </w:trPr>
        <w:tc>
          <w:tcPr>
            <w:tcW w:w="776" w:type="dxa"/>
            <w:vMerge w:val="continue"/>
            <w:tcBorders>
              <w:top w:val="nil"/>
              <w:left w:val="single" w:color="000000" w:sz="6" w:space="0"/>
              <w:bottom w:val="nil"/>
            </w:tcBorders>
            <w:vAlign w:val="top"/>
          </w:tcPr>
          <w:p w14:paraId="7EDE2991">
            <w:pPr>
              <w:rPr>
                <w:rFonts w:ascii="Arial"/>
                <w:sz w:val="21"/>
              </w:rPr>
            </w:pPr>
          </w:p>
        </w:tc>
        <w:tc>
          <w:tcPr>
            <w:tcW w:w="113" w:type="dxa"/>
            <w:tcBorders>
              <w:top w:val="nil"/>
              <w:bottom w:val="nil"/>
            </w:tcBorders>
            <w:vAlign w:val="top"/>
          </w:tcPr>
          <w:p w14:paraId="6685DEBA">
            <w:pPr>
              <w:rPr>
                <w:rFonts w:ascii="Arial"/>
                <w:sz w:val="21"/>
              </w:rPr>
            </w:pPr>
          </w:p>
        </w:tc>
        <w:tc>
          <w:tcPr>
            <w:tcW w:w="8050" w:type="dxa"/>
            <w:gridSpan w:val="2"/>
            <w:vAlign w:val="top"/>
          </w:tcPr>
          <w:p w14:paraId="3759841A">
            <w:pPr>
              <w:spacing w:before="10" w:line="2827" w:lineRule="exact"/>
              <w:ind w:firstLine="2138"/>
            </w:pPr>
            <w:r>
              <w:rPr>
                <w:position w:val="-56"/>
              </w:rPr>
              <w:drawing>
                <wp:inline distT="0" distB="0" distL="0" distR="0">
                  <wp:extent cx="2392680" cy="179514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234"/>
                          <a:stretch>
                            <a:fillRect/>
                          </a:stretch>
                        </pic:blipFill>
                        <pic:spPr>
                          <a:xfrm>
                            <a:off x="0" y="0"/>
                            <a:ext cx="2392680" cy="1795271"/>
                          </a:xfrm>
                          <a:prstGeom prst="rect">
                            <a:avLst/>
                          </a:prstGeom>
                        </pic:spPr>
                      </pic:pic>
                    </a:graphicData>
                  </a:graphic>
                </wp:inline>
              </w:drawing>
            </w:r>
          </w:p>
        </w:tc>
        <w:tc>
          <w:tcPr>
            <w:tcW w:w="123" w:type="dxa"/>
            <w:tcBorders>
              <w:top w:val="nil"/>
              <w:bottom w:val="nil"/>
              <w:right w:val="single" w:color="000000" w:sz="6" w:space="0"/>
            </w:tcBorders>
            <w:vAlign w:val="top"/>
          </w:tcPr>
          <w:p w14:paraId="2B8A797F">
            <w:pPr>
              <w:rPr>
                <w:rFonts w:ascii="Arial"/>
                <w:sz w:val="21"/>
              </w:rPr>
            </w:pPr>
          </w:p>
        </w:tc>
      </w:tr>
      <w:tr w14:paraId="49751E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776" w:type="dxa"/>
            <w:vMerge w:val="continue"/>
            <w:tcBorders>
              <w:top w:val="nil"/>
              <w:left w:val="single" w:color="000000" w:sz="6" w:space="0"/>
              <w:bottom w:val="single" w:color="000000" w:sz="6" w:space="0"/>
            </w:tcBorders>
            <w:vAlign w:val="top"/>
          </w:tcPr>
          <w:p w14:paraId="3A89FC6D">
            <w:pPr>
              <w:rPr>
                <w:rFonts w:ascii="Arial"/>
                <w:sz w:val="21"/>
              </w:rPr>
            </w:pPr>
          </w:p>
        </w:tc>
        <w:tc>
          <w:tcPr>
            <w:tcW w:w="113" w:type="dxa"/>
            <w:tcBorders>
              <w:top w:val="nil"/>
              <w:bottom w:val="single" w:color="000000" w:sz="6" w:space="0"/>
            </w:tcBorders>
            <w:vAlign w:val="top"/>
          </w:tcPr>
          <w:p w14:paraId="71B506F4">
            <w:pPr>
              <w:rPr>
                <w:rFonts w:ascii="Arial"/>
                <w:sz w:val="21"/>
              </w:rPr>
            </w:pPr>
          </w:p>
        </w:tc>
        <w:tc>
          <w:tcPr>
            <w:tcW w:w="8050" w:type="dxa"/>
            <w:gridSpan w:val="2"/>
            <w:tcBorders>
              <w:bottom w:val="single" w:color="000000" w:sz="6" w:space="0"/>
            </w:tcBorders>
            <w:vAlign w:val="top"/>
          </w:tcPr>
          <w:p w14:paraId="04CFF4F2">
            <w:pPr>
              <w:pStyle w:val="9"/>
              <w:spacing w:before="45" w:line="228" w:lineRule="auto"/>
              <w:ind w:left="3510"/>
              <w:rPr>
                <w:sz w:val="20"/>
                <w:szCs w:val="20"/>
              </w:rPr>
            </w:pPr>
            <w:r>
              <w:rPr>
                <w:spacing w:val="7"/>
                <w:sz w:val="20"/>
                <w:szCs w:val="20"/>
              </w:rPr>
              <w:t>危废暂存间</w:t>
            </w:r>
          </w:p>
        </w:tc>
        <w:tc>
          <w:tcPr>
            <w:tcW w:w="123" w:type="dxa"/>
            <w:tcBorders>
              <w:top w:val="nil"/>
              <w:bottom w:val="single" w:color="000000" w:sz="6" w:space="0"/>
              <w:right w:val="single" w:color="000000" w:sz="6" w:space="0"/>
            </w:tcBorders>
            <w:vAlign w:val="top"/>
          </w:tcPr>
          <w:p w14:paraId="46EBDF2C">
            <w:pPr>
              <w:rPr>
                <w:rFonts w:ascii="Arial"/>
                <w:sz w:val="21"/>
              </w:rPr>
            </w:pPr>
          </w:p>
        </w:tc>
      </w:tr>
    </w:tbl>
    <w:p w14:paraId="2F7991E4">
      <w:pPr>
        <w:pStyle w:val="3"/>
      </w:pPr>
    </w:p>
    <w:p w14:paraId="717B5206">
      <w:pPr>
        <w:sectPr>
          <w:footerReference r:id="rId28" w:type="default"/>
          <w:pgSz w:w="11906" w:h="16838"/>
          <w:pgMar w:top="1416" w:right="1414" w:bottom="1295" w:left="1414" w:header="0" w:footer="1133" w:gutter="0"/>
          <w:cols w:space="720" w:num="1"/>
        </w:sectPr>
      </w:pPr>
    </w:p>
    <w:tbl>
      <w:tblPr>
        <w:tblStyle w:val="8"/>
        <w:tblW w:w="906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76"/>
        <w:gridCol w:w="8286"/>
      </w:tblGrid>
      <w:tr w14:paraId="4C0587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385" w:hRule="atLeast"/>
        </w:trPr>
        <w:tc>
          <w:tcPr>
            <w:tcW w:w="776" w:type="dxa"/>
            <w:tcBorders>
              <w:right w:val="single" w:color="000000" w:sz="2" w:space="0"/>
            </w:tcBorders>
            <w:vAlign w:val="top"/>
          </w:tcPr>
          <w:p w14:paraId="48C8F33D">
            <w:pPr>
              <w:spacing w:line="244" w:lineRule="auto"/>
              <w:rPr>
                <w:rFonts w:ascii="Arial"/>
                <w:sz w:val="21"/>
              </w:rPr>
            </w:pPr>
          </w:p>
          <w:p w14:paraId="25861D2D">
            <w:pPr>
              <w:spacing w:line="244" w:lineRule="auto"/>
              <w:rPr>
                <w:rFonts w:ascii="Arial"/>
                <w:sz w:val="21"/>
              </w:rPr>
            </w:pPr>
          </w:p>
          <w:p w14:paraId="6032615F">
            <w:pPr>
              <w:spacing w:line="244" w:lineRule="auto"/>
              <w:rPr>
                <w:rFonts w:ascii="Arial"/>
                <w:sz w:val="21"/>
              </w:rPr>
            </w:pPr>
          </w:p>
          <w:p w14:paraId="59AF3C5B">
            <w:pPr>
              <w:spacing w:line="244" w:lineRule="auto"/>
              <w:rPr>
                <w:rFonts w:ascii="Arial"/>
                <w:sz w:val="21"/>
              </w:rPr>
            </w:pPr>
          </w:p>
          <w:p w14:paraId="32CF7FDC">
            <w:pPr>
              <w:spacing w:line="244" w:lineRule="auto"/>
              <w:rPr>
                <w:rFonts w:ascii="Arial"/>
                <w:sz w:val="21"/>
              </w:rPr>
            </w:pPr>
          </w:p>
          <w:p w14:paraId="44715886">
            <w:pPr>
              <w:spacing w:line="244" w:lineRule="auto"/>
              <w:rPr>
                <w:rFonts w:ascii="Arial"/>
                <w:sz w:val="21"/>
              </w:rPr>
            </w:pPr>
          </w:p>
          <w:p w14:paraId="14F61D5B">
            <w:pPr>
              <w:spacing w:line="244" w:lineRule="auto"/>
              <w:rPr>
                <w:rFonts w:ascii="Arial"/>
                <w:sz w:val="21"/>
              </w:rPr>
            </w:pPr>
          </w:p>
          <w:p w14:paraId="19FE8417">
            <w:pPr>
              <w:spacing w:line="244" w:lineRule="auto"/>
              <w:rPr>
                <w:rFonts w:ascii="Arial"/>
                <w:sz w:val="21"/>
              </w:rPr>
            </w:pPr>
          </w:p>
          <w:p w14:paraId="5952F8EC">
            <w:pPr>
              <w:spacing w:line="244" w:lineRule="auto"/>
              <w:rPr>
                <w:rFonts w:ascii="Arial"/>
                <w:sz w:val="21"/>
              </w:rPr>
            </w:pPr>
          </w:p>
          <w:p w14:paraId="75D2FCD5">
            <w:pPr>
              <w:spacing w:line="244" w:lineRule="auto"/>
              <w:rPr>
                <w:rFonts w:ascii="Arial"/>
                <w:sz w:val="21"/>
              </w:rPr>
            </w:pPr>
          </w:p>
          <w:p w14:paraId="4DBDE1C6">
            <w:pPr>
              <w:spacing w:line="244" w:lineRule="auto"/>
              <w:rPr>
                <w:rFonts w:ascii="Arial"/>
                <w:sz w:val="21"/>
              </w:rPr>
            </w:pPr>
          </w:p>
          <w:p w14:paraId="7B2778FA">
            <w:pPr>
              <w:spacing w:line="244" w:lineRule="auto"/>
              <w:rPr>
                <w:rFonts w:ascii="Arial"/>
                <w:sz w:val="21"/>
              </w:rPr>
            </w:pPr>
          </w:p>
          <w:p w14:paraId="525D70CE">
            <w:pPr>
              <w:spacing w:line="244" w:lineRule="auto"/>
              <w:rPr>
                <w:rFonts w:ascii="Arial"/>
                <w:sz w:val="21"/>
              </w:rPr>
            </w:pPr>
          </w:p>
          <w:p w14:paraId="391477AB">
            <w:pPr>
              <w:spacing w:line="244" w:lineRule="auto"/>
              <w:rPr>
                <w:rFonts w:ascii="Arial"/>
                <w:sz w:val="21"/>
              </w:rPr>
            </w:pPr>
          </w:p>
          <w:p w14:paraId="40838FA9">
            <w:pPr>
              <w:spacing w:line="244" w:lineRule="auto"/>
              <w:rPr>
                <w:rFonts w:ascii="Arial"/>
                <w:sz w:val="21"/>
              </w:rPr>
            </w:pPr>
          </w:p>
          <w:p w14:paraId="4F202C53">
            <w:pPr>
              <w:spacing w:line="244" w:lineRule="auto"/>
              <w:rPr>
                <w:rFonts w:ascii="Arial"/>
                <w:sz w:val="21"/>
              </w:rPr>
            </w:pPr>
          </w:p>
          <w:p w14:paraId="2C780F2F">
            <w:pPr>
              <w:spacing w:line="244" w:lineRule="auto"/>
              <w:rPr>
                <w:rFonts w:ascii="Arial"/>
                <w:sz w:val="21"/>
              </w:rPr>
            </w:pPr>
          </w:p>
          <w:p w14:paraId="40D2171F">
            <w:pPr>
              <w:spacing w:line="244" w:lineRule="auto"/>
              <w:rPr>
                <w:rFonts w:ascii="Arial"/>
                <w:sz w:val="21"/>
              </w:rPr>
            </w:pPr>
          </w:p>
          <w:p w14:paraId="60611948">
            <w:pPr>
              <w:spacing w:line="244" w:lineRule="auto"/>
              <w:rPr>
                <w:rFonts w:ascii="Arial"/>
                <w:sz w:val="21"/>
              </w:rPr>
            </w:pPr>
          </w:p>
          <w:p w14:paraId="73206B86">
            <w:pPr>
              <w:spacing w:line="244" w:lineRule="auto"/>
              <w:rPr>
                <w:rFonts w:ascii="Arial"/>
                <w:sz w:val="21"/>
              </w:rPr>
            </w:pPr>
          </w:p>
          <w:p w14:paraId="39203AB5">
            <w:pPr>
              <w:spacing w:line="244" w:lineRule="auto"/>
              <w:rPr>
                <w:rFonts w:ascii="Arial"/>
                <w:sz w:val="21"/>
              </w:rPr>
            </w:pPr>
          </w:p>
          <w:p w14:paraId="79B73527">
            <w:pPr>
              <w:spacing w:line="245" w:lineRule="auto"/>
              <w:rPr>
                <w:rFonts w:ascii="Arial"/>
                <w:sz w:val="21"/>
              </w:rPr>
            </w:pPr>
          </w:p>
          <w:p w14:paraId="4F5C115D">
            <w:pPr>
              <w:spacing w:line="245" w:lineRule="auto"/>
              <w:rPr>
                <w:rFonts w:ascii="Arial"/>
                <w:sz w:val="21"/>
              </w:rPr>
            </w:pPr>
          </w:p>
          <w:p w14:paraId="36E7A9BB">
            <w:pPr>
              <w:spacing w:line="245" w:lineRule="auto"/>
              <w:rPr>
                <w:rFonts w:ascii="Arial"/>
                <w:sz w:val="21"/>
              </w:rPr>
            </w:pPr>
          </w:p>
          <w:p w14:paraId="4AD576C0">
            <w:pPr>
              <w:spacing w:line="245" w:lineRule="auto"/>
              <w:rPr>
                <w:rFonts w:ascii="Arial"/>
                <w:sz w:val="21"/>
              </w:rPr>
            </w:pPr>
          </w:p>
          <w:p w14:paraId="5E34199C">
            <w:pPr>
              <w:spacing w:line="245" w:lineRule="auto"/>
              <w:rPr>
                <w:rFonts w:ascii="Arial"/>
                <w:sz w:val="21"/>
              </w:rPr>
            </w:pPr>
          </w:p>
          <w:p w14:paraId="686CCF9B">
            <w:pPr>
              <w:pStyle w:val="9"/>
              <w:spacing w:before="65" w:line="252" w:lineRule="auto"/>
              <w:ind w:left="177" w:right="179" w:hanging="1"/>
              <w:outlineLvl w:val="3"/>
              <w:rPr>
                <w:sz w:val="20"/>
                <w:szCs w:val="20"/>
              </w:rPr>
            </w:pPr>
            <w:r>
              <w:rPr>
                <w:spacing w:val="5"/>
                <w:sz w:val="20"/>
                <w:szCs w:val="20"/>
              </w:rPr>
              <w:t>施工</w:t>
            </w:r>
            <w:r>
              <w:rPr>
                <w:spacing w:val="4"/>
                <w:sz w:val="20"/>
                <w:szCs w:val="20"/>
              </w:rPr>
              <w:t>方案</w:t>
            </w:r>
          </w:p>
        </w:tc>
        <w:tc>
          <w:tcPr>
            <w:tcW w:w="8286" w:type="dxa"/>
            <w:tcBorders>
              <w:left w:val="single" w:color="000000" w:sz="2" w:space="0"/>
            </w:tcBorders>
            <w:vAlign w:val="top"/>
          </w:tcPr>
          <w:p w14:paraId="53EC6A91">
            <w:pPr>
              <w:pStyle w:val="9"/>
              <w:spacing w:before="167" w:line="220" w:lineRule="auto"/>
              <w:ind w:left="591"/>
              <w:outlineLvl w:val="1"/>
            </w:pPr>
            <w:r>
              <w:rPr>
                <w:b/>
                <w:bCs/>
                <w:spacing w:val="-4"/>
              </w:rPr>
              <w:t>一、施工方案</w:t>
            </w:r>
          </w:p>
          <w:p w14:paraId="3D87FE93">
            <w:pPr>
              <w:pStyle w:val="9"/>
              <w:spacing w:before="173" w:line="312" w:lineRule="auto"/>
              <w:ind w:left="110" w:right="23" w:firstLine="479"/>
              <w:jc w:val="both"/>
            </w:pPr>
            <w:r>
              <w:rPr>
                <w:spacing w:val="-3"/>
              </w:rPr>
              <w:t>升压站施工阶段主要分为站区场地平整、建（构）筑物施工、电气</w:t>
            </w:r>
            <w:r>
              <w:rPr>
                <w:spacing w:val="-4"/>
              </w:rPr>
              <w:t>设备及</w:t>
            </w:r>
            <w:r>
              <w:rPr>
                <w:spacing w:val="-3"/>
              </w:rPr>
              <w:t>屋外配电网架安装、给排水管线施工、站内外道路施工等，根据需要可部分施</w:t>
            </w:r>
            <w:r>
              <w:rPr>
                <w:spacing w:val="-7"/>
              </w:rPr>
              <w:t>工步骤可交叉进行，升压站施工周期约为</w:t>
            </w:r>
            <w:r>
              <w:rPr>
                <w:rFonts w:ascii="Times New Roman" w:hAnsi="Times New Roman" w:eastAsia="Times New Roman" w:cs="Times New Roman"/>
                <w:spacing w:val="-7"/>
              </w:rPr>
              <w:t>12</w:t>
            </w:r>
            <w:r>
              <w:rPr>
                <w:spacing w:val="-7"/>
              </w:rPr>
              <w:t>个月。升压站主要施</w:t>
            </w:r>
            <w:r>
              <w:rPr>
                <w:spacing w:val="-8"/>
              </w:rPr>
              <w:t>工工序见下图。</w:t>
            </w:r>
          </w:p>
          <w:p w14:paraId="123078AF">
            <w:pPr>
              <w:spacing w:line="4500" w:lineRule="exact"/>
              <w:ind w:firstLine="1382"/>
            </w:pPr>
            <w:r>
              <w:rPr>
                <w:position w:val="-90"/>
              </w:rPr>
              <w:drawing>
                <wp:inline distT="0" distB="0" distL="0" distR="0">
                  <wp:extent cx="3800475" cy="2857500"/>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235"/>
                          <a:stretch>
                            <a:fillRect/>
                          </a:stretch>
                        </pic:blipFill>
                        <pic:spPr>
                          <a:xfrm>
                            <a:off x="0" y="0"/>
                            <a:ext cx="3800856" cy="2857500"/>
                          </a:xfrm>
                          <a:prstGeom prst="rect">
                            <a:avLst/>
                          </a:prstGeom>
                        </pic:spPr>
                      </pic:pic>
                    </a:graphicData>
                  </a:graphic>
                </wp:inline>
              </w:drawing>
            </w:r>
          </w:p>
          <w:p w14:paraId="4B0A8F9D">
            <w:pPr>
              <w:pStyle w:val="9"/>
              <w:spacing w:before="301" w:line="220" w:lineRule="auto"/>
              <w:ind w:left="2534"/>
            </w:pPr>
            <w:r>
              <w:rPr>
                <w:b/>
                <w:bCs/>
                <w:spacing w:val="-3"/>
              </w:rPr>
              <w:t>图</w:t>
            </w:r>
            <w:r>
              <w:rPr>
                <w:spacing w:val="-47"/>
              </w:rPr>
              <w:t xml:space="preserve"> </w:t>
            </w:r>
            <w:r>
              <w:rPr>
                <w:rFonts w:ascii="Times New Roman" w:hAnsi="Times New Roman" w:eastAsia="Times New Roman" w:cs="Times New Roman"/>
                <w:b/>
                <w:bCs/>
                <w:spacing w:val="-3"/>
              </w:rPr>
              <w:t xml:space="preserve">2-2        </w:t>
            </w:r>
            <w:r>
              <w:rPr>
                <w:b/>
                <w:bCs/>
                <w:spacing w:val="-3"/>
              </w:rPr>
              <w:t>升压站施工工序流程图</w:t>
            </w:r>
          </w:p>
          <w:p w14:paraId="50F664AA">
            <w:pPr>
              <w:pStyle w:val="9"/>
              <w:spacing w:before="172" w:line="220" w:lineRule="auto"/>
              <w:ind w:left="599"/>
            </w:pPr>
            <w:r>
              <w:rPr>
                <w:spacing w:val="-3"/>
              </w:rPr>
              <w:t>（</w:t>
            </w:r>
            <w:r>
              <w:rPr>
                <w:rFonts w:ascii="Times New Roman" w:hAnsi="Times New Roman" w:eastAsia="Times New Roman" w:cs="Times New Roman"/>
                <w:spacing w:val="-3"/>
              </w:rPr>
              <w:t>1</w:t>
            </w:r>
            <w:r>
              <w:rPr>
                <w:spacing w:val="-3"/>
              </w:rPr>
              <w:t>）站区场地平整</w:t>
            </w:r>
          </w:p>
          <w:p w14:paraId="23D7BF42">
            <w:pPr>
              <w:pStyle w:val="9"/>
              <w:spacing w:before="172" w:line="354" w:lineRule="auto"/>
              <w:ind w:left="107" w:right="57" w:firstLine="481"/>
            </w:pPr>
            <w:r>
              <w:rPr>
                <w:spacing w:val="-2"/>
              </w:rPr>
              <w:t>本工程施工过程中采用机械施工与人工施工相结合的方法，统筹、合理、</w:t>
            </w:r>
            <w:r>
              <w:rPr>
                <w:spacing w:val="-3"/>
              </w:rPr>
              <w:t>科学安排施工工序，避免重复施工和土方乱流。场地平整工艺流程：将场地有机物和表层耕植土清除至站区东南侧，将填方区的填土分层夯实填平，整个场地按设计进行填方平整。挖方区按设计标高进行开挖，开挖从上到下分层分段</w:t>
            </w:r>
            <w:r>
              <w:rPr>
                <w:spacing w:val="-1"/>
              </w:rPr>
              <w:t>依次进行，随时作一定的坡度以利泄水。</w:t>
            </w:r>
          </w:p>
          <w:p w14:paraId="3F02C197">
            <w:pPr>
              <w:pStyle w:val="9"/>
              <w:spacing w:line="220" w:lineRule="auto"/>
              <w:ind w:left="599"/>
            </w:pPr>
            <w:r>
              <w:rPr>
                <w:spacing w:val="-2"/>
              </w:rPr>
              <w:t>（</w:t>
            </w:r>
            <w:r>
              <w:rPr>
                <w:rFonts w:ascii="Times New Roman" w:hAnsi="Times New Roman" w:eastAsia="Times New Roman" w:cs="Times New Roman"/>
                <w:spacing w:val="-2"/>
              </w:rPr>
              <w:t>2</w:t>
            </w:r>
            <w:r>
              <w:rPr>
                <w:spacing w:val="-2"/>
              </w:rPr>
              <w:t>）建（构）筑物施工</w:t>
            </w:r>
          </w:p>
          <w:p w14:paraId="62BCFAF1">
            <w:pPr>
              <w:pStyle w:val="9"/>
              <w:spacing w:before="174" w:line="354" w:lineRule="auto"/>
              <w:ind w:left="110" w:right="57" w:firstLine="477"/>
            </w:pPr>
            <w:r>
              <w:rPr>
                <w:spacing w:val="-2"/>
              </w:rPr>
              <w:t>采用机械与人工结合开挖基槽，钢模板浇制钢筋混凝土。砖混、混凝土、</w:t>
            </w:r>
            <w:r>
              <w:rPr>
                <w:spacing w:val="-1"/>
              </w:rPr>
              <w:t>预制构件等建材采用塔吊垂直提升，水平运输采用人力推车搬运。</w:t>
            </w:r>
          </w:p>
          <w:p w14:paraId="6D36B7AE">
            <w:pPr>
              <w:pStyle w:val="9"/>
              <w:spacing w:before="3" w:line="353" w:lineRule="auto"/>
              <w:ind w:left="109" w:right="103" w:firstLine="479"/>
              <w:jc w:val="both"/>
            </w:pPr>
            <w:r>
              <w:rPr>
                <w:spacing w:val="-3"/>
              </w:rPr>
              <w:t>基础挖填施工工艺流程为：测量定位、放线→土方开挖→清理→垫层施工</w:t>
            </w:r>
            <w:r>
              <w:rPr>
                <w:spacing w:val="3"/>
              </w:rPr>
              <w:t>→基础模板安装→基础钢筋绑扎→浇捣基础硷→模板拆除→人工养护→</w:t>
            </w:r>
            <w:r>
              <w:rPr>
                <w:spacing w:val="-77"/>
              </w:rPr>
              <w:t xml:space="preserve"> </w:t>
            </w:r>
            <w:r>
              <w:rPr>
                <w:spacing w:val="3"/>
              </w:rPr>
              <w:t>回填</w:t>
            </w:r>
            <w:r>
              <w:rPr>
                <w:spacing w:val="-2"/>
              </w:rPr>
              <w:t>土夯实→成品保护。</w:t>
            </w:r>
          </w:p>
          <w:p w14:paraId="208324AA">
            <w:pPr>
              <w:pStyle w:val="9"/>
              <w:spacing w:line="220" w:lineRule="auto"/>
              <w:ind w:left="599"/>
            </w:pPr>
            <w:r>
              <w:rPr>
                <w:spacing w:val="-2"/>
              </w:rPr>
              <w:t>（</w:t>
            </w:r>
            <w:r>
              <w:rPr>
                <w:rFonts w:ascii="Times New Roman" w:hAnsi="Times New Roman" w:eastAsia="Times New Roman" w:cs="Times New Roman"/>
                <w:spacing w:val="-2"/>
              </w:rPr>
              <w:t>3</w:t>
            </w:r>
            <w:r>
              <w:rPr>
                <w:spacing w:val="-2"/>
              </w:rPr>
              <w:t>）电气设备及屋外配电网架安装</w:t>
            </w:r>
          </w:p>
          <w:p w14:paraId="71D878B9">
            <w:pPr>
              <w:pStyle w:val="9"/>
              <w:spacing w:before="175" w:line="219" w:lineRule="auto"/>
              <w:ind w:left="587"/>
            </w:pPr>
            <w:r>
              <w:rPr>
                <w:spacing w:val="-3"/>
              </w:rPr>
              <w:t>采用人工开挖基槽，钢模板浇制基础，钢管人字柱及螺栓角钢梁构架均在</w:t>
            </w:r>
          </w:p>
        </w:tc>
      </w:tr>
    </w:tbl>
    <w:p w14:paraId="176FDF3A">
      <w:pPr>
        <w:pStyle w:val="3"/>
      </w:pPr>
    </w:p>
    <w:p w14:paraId="564DFE3F">
      <w:pPr>
        <w:sectPr>
          <w:footerReference r:id="rId29" w:type="default"/>
          <w:pgSz w:w="11906" w:h="16838"/>
          <w:pgMar w:top="1416" w:right="1414" w:bottom="1295" w:left="1414" w:header="0" w:footer="1133" w:gutter="0"/>
          <w:cols w:space="720" w:num="1"/>
        </w:sectPr>
      </w:pPr>
    </w:p>
    <w:tbl>
      <w:tblPr>
        <w:tblStyle w:val="8"/>
        <w:tblW w:w="906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76"/>
        <w:gridCol w:w="8286"/>
      </w:tblGrid>
      <w:tr w14:paraId="3C8C4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664" w:hRule="atLeast"/>
        </w:trPr>
        <w:tc>
          <w:tcPr>
            <w:tcW w:w="776" w:type="dxa"/>
            <w:tcBorders>
              <w:right w:val="single" w:color="000000" w:sz="2" w:space="0"/>
            </w:tcBorders>
            <w:vAlign w:val="top"/>
          </w:tcPr>
          <w:p w14:paraId="51F8584F">
            <w:pPr>
              <w:rPr>
                <w:rFonts w:ascii="Arial"/>
                <w:sz w:val="21"/>
              </w:rPr>
            </w:pPr>
          </w:p>
        </w:tc>
        <w:tc>
          <w:tcPr>
            <w:tcW w:w="8286" w:type="dxa"/>
            <w:tcBorders>
              <w:left w:val="single" w:color="000000" w:sz="2" w:space="0"/>
            </w:tcBorders>
            <w:vAlign w:val="top"/>
          </w:tcPr>
          <w:p w14:paraId="40918417">
            <w:pPr>
              <w:pStyle w:val="9"/>
              <w:spacing w:before="167" w:line="219" w:lineRule="auto"/>
              <w:ind w:left="110"/>
            </w:pPr>
            <w:r>
              <w:rPr>
                <w:spacing w:val="-1"/>
              </w:rPr>
              <w:t>现场组装采用吊车吊装，设备支架和预制构件在现场组立。</w:t>
            </w:r>
          </w:p>
          <w:p w14:paraId="37137C06">
            <w:pPr>
              <w:pStyle w:val="9"/>
              <w:spacing w:before="177" w:line="219" w:lineRule="auto"/>
              <w:ind w:left="599"/>
            </w:pPr>
            <w:r>
              <w:rPr>
                <w:spacing w:val="-3"/>
              </w:rPr>
              <w:t>（</w:t>
            </w:r>
            <w:r>
              <w:rPr>
                <w:rFonts w:ascii="Times New Roman" w:hAnsi="Times New Roman" w:eastAsia="Times New Roman" w:cs="Times New Roman"/>
                <w:spacing w:val="-3"/>
              </w:rPr>
              <w:t>4</w:t>
            </w:r>
            <w:r>
              <w:rPr>
                <w:spacing w:val="-3"/>
              </w:rPr>
              <w:t>）给排水管线施工</w:t>
            </w:r>
          </w:p>
          <w:p w14:paraId="1BFA2766">
            <w:pPr>
              <w:pStyle w:val="9"/>
              <w:spacing w:before="172" w:line="354" w:lineRule="auto"/>
              <w:ind w:left="118" w:right="103" w:firstLine="468"/>
            </w:pPr>
            <w:r>
              <w:rPr>
                <w:spacing w:val="-3"/>
              </w:rPr>
              <w:t>采用机械和人工相结合的方式开挖沟槽，管道敷设顺序为：测量定线→清</w:t>
            </w:r>
            <w:r>
              <w:rPr>
                <w:spacing w:val="-4"/>
              </w:rPr>
              <w:t>除障碍物→平整工作带→管沟开挖→钢管运输、布管→组装焊接→下</w:t>
            </w:r>
            <w:r>
              <w:rPr>
                <w:spacing w:val="-5"/>
              </w:rPr>
              <w:t>沟→</w:t>
            </w:r>
            <w:r>
              <w:rPr>
                <w:spacing w:val="-88"/>
              </w:rPr>
              <w:t xml:space="preserve"> </w:t>
            </w:r>
            <w:r>
              <w:rPr>
                <w:spacing w:val="-5"/>
              </w:rPr>
              <w:t>回填</w:t>
            </w:r>
            <w:r>
              <w:rPr>
                <w:spacing w:val="-4"/>
              </w:rPr>
              <w:t>→竣工验收。</w:t>
            </w:r>
          </w:p>
          <w:p w14:paraId="632D83A8">
            <w:pPr>
              <w:pStyle w:val="9"/>
              <w:spacing w:line="354" w:lineRule="auto"/>
              <w:ind w:left="109" w:right="75" w:firstLine="480"/>
              <w:jc w:val="both"/>
            </w:pPr>
            <w:r>
              <w:rPr>
                <w:spacing w:val="-3"/>
              </w:rPr>
              <w:t>开挖前先剥离表层土，临时设置表层土堆土场，单独存放。表土上面</w:t>
            </w:r>
            <w:r>
              <w:rPr>
                <w:spacing w:val="-4"/>
              </w:rPr>
              <w:t>不覆</w:t>
            </w:r>
            <w:r>
              <w:rPr>
                <w:spacing w:val="-3"/>
              </w:rPr>
              <w:t>盖其他深层土。表土堆场覆盖防尘网，防止堆土扰动地表。表层土和下层土分</w:t>
            </w:r>
            <w:r>
              <w:rPr>
                <w:spacing w:val="-2"/>
              </w:rPr>
              <w:t>开堆放，开挖出的其他深层土单独堆放，堆土外侧采用填土编织袋进行拦</w:t>
            </w:r>
            <w:r>
              <w:rPr>
                <w:spacing w:val="-3"/>
              </w:rPr>
              <w:t>挡，土方顶部采用防尘网进行苦盖。土方回填时按照后挖先填、先挖后填的原则进行施工。</w:t>
            </w:r>
          </w:p>
          <w:p w14:paraId="1B2B23E8">
            <w:pPr>
              <w:pStyle w:val="9"/>
              <w:spacing w:line="219" w:lineRule="auto"/>
              <w:ind w:left="599"/>
            </w:pPr>
            <w:r>
              <w:rPr>
                <w:spacing w:val="-3"/>
              </w:rPr>
              <w:t>（</w:t>
            </w:r>
            <w:r>
              <w:rPr>
                <w:rFonts w:ascii="Times New Roman" w:hAnsi="Times New Roman" w:eastAsia="Times New Roman" w:cs="Times New Roman"/>
                <w:spacing w:val="-3"/>
              </w:rPr>
              <w:t>5</w:t>
            </w:r>
            <w:r>
              <w:rPr>
                <w:spacing w:val="-3"/>
              </w:rPr>
              <w:t>）站内外道路施工</w:t>
            </w:r>
          </w:p>
          <w:p w14:paraId="0BE12FEC">
            <w:pPr>
              <w:pStyle w:val="9"/>
              <w:spacing w:before="172" w:line="354" w:lineRule="auto"/>
              <w:ind w:left="107" w:right="42" w:firstLine="482"/>
            </w:pPr>
            <w:r>
              <w:rPr>
                <w:spacing w:val="7"/>
              </w:rPr>
              <w:t>升压站站内占地面积为</w:t>
            </w:r>
            <w:r>
              <w:rPr>
                <w:rFonts w:ascii="Times New Roman" w:hAnsi="Times New Roman" w:eastAsia="Times New Roman" w:cs="Times New Roman"/>
                <w:spacing w:val="7"/>
              </w:rPr>
              <w:t>4.</w:t>
            </w:r>
            <w:r>
              <w:rPr>
                <w:rFonts w:ascii="Times New Roman" w:hAnsi="Times New Roman" w:eastAsia="Times New Roman" w:cs="Times New Roman"/>
                <w:spacing w:val="-27"/>
              </w:rPr>
              <w:t xml:space="preserve"> </w:t>
            </w:r>
            <w:r>
              <w:rPr>
                <w:rFonts w:ascii="Times New Roman" w:hAnsi="Times New Roman" w:eastAsia="Times New Roman" w:cs="Times New Roman"/>
                <w:spacing w:val="7"/>
              </w:rPr>
              <w:t>16</w:t>
            </w:r>
            <w:r>
              <w:rPr>
                <w:rFonts w:ascii="Times New Roman" w:hAnsi="Times New Roman" w:eastAsia="Times New Roman" w:cs="Times New Roman"/>
              </w:rPr>
              <w:t>hm</w:t>
            </w:r>
            <w:r>
              <w:rPr>
                <w:rFonts w:ascii="Times New Roman" w:hAnsi="Times New Roman" w:eastAsia="Times New Roman" w:cs="Times New Roman"/>
                <w:spacing w:val="7"/>
                <w:position w:val="7"/>
                <w:sz w:val="15"/>
                <w:szCs w:val="15"/>
              </w:rPr>
              <w:t xml:space="preserve">2 </w:t>
            </w:r>
            <w:r>
              <w:rPr>
                <w:spacing w:val="7"/>
              </w:rPr>
              <w:t>，站内道路采用郊区型混凝土道路，长</w:t>
            </w:r>
            <w:r>
              <w:rPr>
                <w:rFonts w:ascii="Times New Roman" w:hAnsi="Times New Roman" w:eastAsia="Times New Roman" w:cs="Times New Roman"/>
                <w:spacing w:val="-10"/>
              </w:rPr>
              <w:t>789m</w:t>
            </w:r>
            <w:r>
              <w:rPr>
                <w:spacing w:val="-10"/>
              </w:rPr>
              <w:t>，道路宽</w:t>
            </w:r>
            <w:r>
              <w:rPr>
                <w:rFonts w:ascii="Times New Roman" w:hAnsi="Times New Roman" w:eastAsia="Times New Roman" w:cs="Times New Roman"/>
                <w:spacing w:val="-10"/>
              </w:rPr>
              <w:t>4.0m</w:t>
            </w:r>
            <w:r>
              <w:rPr>
                <w:spacing w:val="-10"/>
              </w:rPr>
              <w:t>，转弯半径</w:t>
            </w:r>
            <w:r>
              <w:rPr>
                <w:rFonts w:ascii="Times New Roman" w:hAnsi="Times New Roman" w:eastAsia="Times New Roman" w:cs="Times New Roman"/>
                <w:spacing w:val="-10"/>
              </w:rPr>
              <w:t>9.0m</w:t>
            </w:r>
            <w:r>
              <w:rPr>
                <w:spacing w:val="-10"/>
              </w:rPr>
              <w:t>；进站道路依托风场已批进站道路，长</w:t>
            </w:r>
            <w:r>
              <w:rPr>
                <w:rFonts w:ascii="Times New Roman" w:hAnsi="Times New Roman" w:eastAsia="Times New Roman" w:cs="Times New Roman"/>
                <w:spacing w:val="-10"/>
              </w:rPr>
              <w:t>543m</w:t>
            </w:r>
            <w:r>
              <w:rPr>
                <w:spacing w:val="-10"/>
              </w:rPr>
              <w:t>，</w:t>
            </w:r>
            <w:r>
              <w:rPr>
                <w:spacing w:val="-2"/>
              </w:rPr>
              <w:t>路面宽</w:t>
            </w:r>
            <w:r>
              <w:rPr>
                <w:rFonts w:ascii="Times New Roman" w:hAnsi="Times New Roman" w:eastAsia="Times New Roman" w:cs="Times New Roman"/>
                <w:spacing w:val="-2"/>
              </w:rPr>
              <w:t>6m</w:t>
            </w:r>
            <w:r>
              <w:rPr>
                <w:spacing w:val="-2"/>
              </w:rPr>
              <w:t>。</w:t>
            </w:r>
          </w:p>
          <w:p w14:paraId="6D35A0C6">
            <w:pPr>
              <w:pStyle w:val="9"/>
              <w:spacing w:line="219" w:lineRule="auto"/>
              <w:ind w:left="591"/>
              <w:outlineLvl w:val="1"/>
            </w:pPr>
            <w:r>
              <w:rPr>
                <w:b/>
                <w:bCs/>
                <w:spacing w:val="-3"/>
              </w:rPr>
              <w:t>二、施工期产污环节分析</w:t>
            </w:r>
          </w:p>
          <w:p w14:paraId="170BDE24">
            <w:pPr>
              <w:pStyle w:val="9"/>
              <w:spacing w:before="176" w:line="220" w:lineRule="auto"/>
              <w:ind w:left="587"/>
            </w:pPr>
            <w:r>
              <w:rPr>
                <w:spacing w:val="-1"/>
              </w:rPr>
              <w:t>施工期的工艺流程及排污节点如下图所示。</w:t>
            </w:r>
          </w:p>
          <w:p w14:paraId="21803C90">
            <w:pPr>
              <w:pStyle w:val="9"/>
              <w:spacing w:before="177" w:line="322" w:lineRule="auto"/>
              <w:ind w:left="107" w:right="103" w:firstLine="483"/>
            </w:pPr>
            <w:r>
              <w:rPr>
                <w:spacing w:val="-3"/>
              </w:rPr>
              <w:t>建筑施工全过程按作业性质可以分为下列几个阶段：入场道路、</w:t>
            </w:r>
            <w:r>
              <w:rPr>
                <w:spacing w:val="-4"/>
              </w:rPr>
              <w:t>清理场地</w:t>
            </w:r>
            <w:r>
              <w:rPr>
                <w:spacing w:val="-3"/>
              </w:rPr>
              <w:t>阶段、基础工程阶段、主体工程阶段、装饰工程阶段、安装工程阶段等。施工阶段伴随施工扬尘、设备尾气、噪声、及少量建筑垃圾等产生，同时在施工时</w:t>
            </w:r>
            <w:r>
              <w:rPr>
                <w:spacing w:val="-1"/>
              </w:rPr>
              <w:t>会产生少量施工废水、施工人员生活污水。</w:t>
            </w:r>
          </w:p>
          <w:p w14:paraId="4D9ECAD7">
            <w:pPr>
              <w:spacing w:line="3262" w:lineRule="exact"/>
              <w:ind w:firstLine="98"/>
            </w:pPr>
            <w:r>
              <w:rPr>
                <w:position w:val="-65"/>
              </w:rPr>
              <w:drawing>
                <wp:inline distT="0" distB="0" distL="0" distR="0">
                  <wp:extent cx="4833620" cy="207073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236"/>
                          <a:stretch>
                            <a:fillRect/>
                          </a:stretch>
                        </pic:blipFill>
                        <pic:spPr>
                          <a:xfrm>
                            <a:off x="0" y="0"/>
                            <a:ext cx="4834128" cy="2071116"/>
                          </a:xfrm>
                          <a:prstGeom prst="rect">
                            <a:avLst/>
                          </a:prstGeom>
                        </pic:spPr>
                      </pic:pic>
                    </a:graphicData>
                  </a:graphic>
                </wp:inline>
              </w:drawing>
            </w:r>
          </w:p>
          <w:p w14:paraId="35280126">
            <w:pPr>
              <w:spacing w:line="379" w:lineRule="auto"/>
              <w:rPr>
                <w:rFonts w:ascii="Arial"/>
                <w:sz w:val="21"/>
              </w:rPr>
            </w:pPr>
          </w:p>
          <w:p w14:paraId="11EA1FCB">
            <w:pPr>
              <w:pStyle w:val="9"/>
              <w:spacing w:before="78" w:line="219" w:lineRule="auto"/>
              <w:ind w:left="1689"/>
              <w:outlineLvl w:val="2"/>
            </w:pPr>
            <w:r>
              <w:rPr>
                <w:b/>
                <w:bCs/>
                <w:spacing w:val="-3"/>
              </w:rPr>
              <w:t>图</w:t>
            </w:r>
            <w:r>
              <w:rPr>
                <w:spacing w:val="-49"/>
              </w:rPr>
              <w:t xml:space="preserve"> </w:t>
            </w:r>
            <w:r>
              <w:rPr>
                <w:rFonts w:ascii="Times New Roman" w:hAnsi="Times New Roman" w:eastAsia="Times New Roman" w:cs="Times New Roman"/>
                <w:b/>
                <w:bCs/>
                <w:spacing w:val="-3"/>
              </w:rPr>
              <w:t xml:space="preserve">2-3    </w:t>
            </w:r>
            <w:r>
              <w:rPr>
                <w:b/>
                <w:bCs/>
                <w:spacing w:val="-3"/>
              </w:rPr>
              <w:t>项目施工期工程工艺流程及产污环节图</w:t>
            </w:r>
          </w:p>
          <w:p w14:paraId="63F2C101">
            <w:pPr>
              <w:pStyle w:val="9"/>
              <w:spacing w:before="152" w:line="221" w:lineRule="auto"/>
              <w:ind w:left="588"/>
              <w:outlineLvl w:val="1"/>
            </w:pPr>
            <w:r>
              <w:rPr>
                <w:b/>
                <w:bCs/>
                <w:spacing w:val="-4"/>
              </w:rPr>
              <w:t>三、施工时序</w:t>
            </w:r>
          </w:p>
        </w:tc>
      </w:tr>
    </w:tbl>
    <w:p w14:paraId="6F06B16E">
      <w:pPr>
        <w:pStyle w:val="3"/>
      </w:pPr>
    </w:p>
    <w:p w14:paraId="76B9B6BA">
      <w:pPr>
        <w:sectPr>
          <w:footerReference r:id="rId30" w:type="default"/>
          <w:pgSz w:w="11906" w:h="16838"/>
          <w:pgMar w:top="1416" w:right="1414" w:bottom="1295" w:left="1414" w:header="0" w:footer="1133" w:gutter="0"/>
          <w:cols w:space="720" w:num="1"/>
        </w:sectPr>
      </w:pPr>
    </w:p>
    <w:tbl>
      <w:tblPr>
        <w:tblStyle w:val="8"/>
        <w:tblW w:w="9062"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76"/>
        <w:gridCol w:w="8286"/>
      </w:tblGrid>
      <w:tr w14:paraId="1A1DD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42" w:hRule="atLeast"/>
        </w:trPr>
        <w:tc>
          <w:tcPr>
            <w:tcW w:w="776" w:type="dxa"/>
            <w:tcBorders>
              <w:bottom w:val="single" w:color="000000" w:sz="2" w:space="0"/>
              <w:right w:val="single" w:color="000000" w:sz="2" w:space="0"/>
            </w:tcBorders>
            <w:vAlign w:val="top"/>
          </w:tcPr>
          <w:p w14:paraId="4E2FACC6">
            <w:pPr>
              <w:rPr>
                <w:rFonts w:ascii="Arial"/>
                <w:sz w:val="21"/>
              </w:rPr>
            </w:pPr>
          </w:p>
        </w:tc>
        <w:tc>
          <w:tcPr>
            <w:tcW w:w="8286" w:type="dxa"/>
            <w:tcBorders>
              <w:left w:val="single" w:color="000000" w:sz="2" w:space="0"/>
              <w:bottom w:val="single" w:color="000000" w:sz="2" w:space="0"/>
            </w:tcBorders>
            <w:vAlign w:val="top"/>
          </w:tcPr>
          <w:p w14:paraId="399B5FA4">
            <w:pPr>
              <w:pStyle w:val="9"/>
              <w:spacing w:before="166" w:line="354" w:lineRule="auto"/>
              <w:ind w:left="111" w:right="103" w:firstLine="477"/>
            </w:pPr>
            <w:r>
              <w:rPr>
                <w:spacing w:val="-1"/>
              </w:rPr>
              <w:t>本工程</w:t>
            </w:r>
            <w:r>
              <w:rPr>
                <w:spacing w:val="-53"/>
              </w:rPr>
              <w:t xml:space="preserve"> </w:t>
            </w:r>
            <w:r>
              <w:rPr>
                <w:rFonts w:ascii="Times New Roman" w:hAnsi="Times New Roman" w:eastAsia="Times New Roman" w:cs="Times New Roman"/>
                <w:spacing w:val="-1"/>
              </w:rPr>
              <w:t xml:space="preserve">2012 </w:t>
            </w:r>
            <w:r>
              <w:rPr>
                <w:spacing w:val="-1"/>
              </w:rPr>
              <w:t>年</w:t>
            </w:r>
            <w:r>
              <w:rPr>
                <w:spacing w:val="-50"/>
              </w:rPr>
              <w:t xml:space="preserve"> </w:t>
            </w:r>
            <w:r>
              <w:rPr>
                <w:rFonts w:ascii="Times New Roman" w:hAnsi="Times New Roman" w:eastAsia="Times New Roman" w:cs="Times New Roman"/>
                <w:spacing w:val="-1"/>
              </w:rPr>
              <w:t>9</w:t>
            </w:r>
            <w:r>
              <w:rPr>
                <w:rFonts w:ascii="Times New Roman" w:hAnsi="Times New Roman" w:eastAsia="Times New Roman" w:cs="Times New Roman"/>
                <w:spacing w:val="17"/>
                <w:w w:val="101"/>
              </w:rPr>
              <w:t xml:space="preserve"> </w:t>
            </w:r>
            <w:r>
              <w:rPr>
                <w:spacing w:val="-1"/>
              </w:rPr>
              <w:t>月开工建设，已于</w:t>
            </w:r>
            <w:r>
              <w:rPr>
                <w:spacing w:val="-55"/>
              </w:rPr>
              <w:t xml:space="preserve"> </w:t>
            </w:r>
            <w:r>
              <w:rPr>
                <w:rFonts w:ascii="Times New Roman" w:hAnsi="Times New Roman" w:eastAsia="Times New Roman" w:cs="Times New Roman"/>
                <w:spacing w:val="-1"/>
              </w:rPr>
              <w:t xml:space="preserve">2023 </w:t>
            </w:r>
            <w:r>
              <w:rPr>
                <w:spacing w:val="-1"/>
              </w:rPr>
              <w:t>年</w:t>
            </w:r>
            <w:r>
              <w:rPr>
                <w:spacing w:val="-30"/>
              </w:rPr>
              <w:t xml:space="preserve"> </w:t>
            </w:r>
            <w:r>
              <w:rPr>
                <w:rFonts w:ascii="Times New Roman" w:hAnsi="Times New Roman" w:eastAsia="Times New Roman" w:cs="Times New Roman"/>
                <w:spacing w:val="-1"/>
              </w:rPr>
              <w:t xml:space="preserve">11 </w:t>
            </w:r>
            <w:r>
              <w:rPr>
                <w:spacing w:val="-1"/>
              </w:rPr>
              <w:t>月</w:t>
            </w:r>
            <w:r>
              <w:rPr>
                <w:spacing w:val="-2"/>
              </w:rPr>
              <w:t>全部建设完成并投入运</w:t>
            </w:r>
            <w:r>
              <w:t>行</w:t>
            </w:r>
          </w:p>
          <w:p w14:paraId="70DF3977">
            <w:pPr>
              <w:pStyle w:val="9"/>
              <w:spacing w:before="1" w:line="286" w:lineRule="auto"/>
              <w:ind w:left="136" w:right="103" w:firstLine="450"/>
            </w:pPr>
            <w:r>
              <w:rPr>
                <w:spacing w:val="-6"/>
              </w:rPr>
              <w:t>截止</w:t>
            </w:r>
            <w:r>
              <w:rPr>
                <w:spacing w:val="-50"/>
              </w:rPr>
              <w:t xml:space="preserve"> </w:t>
            </w:r>
            <w:r>
              <w:rPr>
                <w:rFonts w:ascii="Times New Roman" w:hAnsi="Times New Roman" w:eastAsia="Times New Roman" w:cs="Times New Roman"/>
                <w:spacing w:val="-6"/>
              </w:rPr>
              <w:t xml:space="preserve">2026 </w:t>
            </w:r>
            <w:r>
              <w:rPr>
                <w:spacing w:val="-6"/>
              </w:rPr>
              <w:t>年</w:t>
            </w:r>
            <w:r>
              <w:rPr>
                <w:spacing w:val="-45"/>
              </w:rPr>
              <w:t xml:space="preserve"> </w:t>
            </w:r>
            <w:r>
              <w:rPr>
                <w:rFonts w:ascii="Times New Roman" w:hAnsi="Times New Roman" w:eastAsia="Times New Roman" w:cs="Times New Roman"/>
                <w:spacing w:val="-6"/>
              </w:rPr>
              <w:t>8</w:t>
            </w:r>
            <w:r>
              <w:rPr>
                <w:rFonts w:ascii="Times New Roman" w:hAnsi="Times New Roman" w:eastAsia="Times New Roman" w:cs="Times New Roman"/>
                <w:spacing w:val="15"/>
                <w:w w:val="101"/>
              </w:rPr>
              <w:t xml:space="preserve"> </w:t>
            </w:r>
            <w:r>
              <w:rPr>
                <w:spacing w:val="-6"/>
              </w:rPr>
              <w:t>月</w:t>
            </w:r>
            <w:r>
              <w:rPr>
                <w:spacing w:val="-32"/>
              </w:rPr>
              <w:t xml:space="preserve"> </w:t>
            </w:r>
            <w:r>
              <w:rPr>
                <w:rFonts w:ascii="Times New Roman" w:hAnsi="Times New Roman" w:eastAsia="Times New Roman" w:cs="Times New Roman"/>
                <w:spacing w:val="-6"/>
              </w:rPr>
              <w:t xml:space="preserve">1  </w:t>
            </w:r>
            <w:r>
              <w:rPr>
                <w:spacing w:val="-6"/>
              </w:rPr>
              <w:t>日现场勘查时，</w:t>
            </w:r>
            <w:r>
              <w:rPr>
                <w:rFonts w:ascii="Times New Roman" w:hAnsi="Times New Roman" w:eastAsia="Times New Roman" w:cs="Times New Roman"/>
                <w:spacing w:val="-6"/>
              </w:rPr>
              <w:t>4</w:t>
            </w:r>
            <w:r>
              <w:rPr>
                <w:rFonts w:ascii="Times New Roman" w:hAnsi="Times New Roman" w:eastAsia="Times New Roman" w:cs="Times New Roman"/>
                <w:spacing w:val="28"/>
              </w:rPr>
              <w:t xml:space="preserve"> </w:t>
            </w:r>
            <w:r>
              <w:rPr>
                <w:spacing w:val="-6"/>
              </w:rPr>
              <w:t>台主变及其配套的</w:t>
            </w:r>
            <w:r>
              <w:rPr>
                <w:spacing w:val="-52"/>
              </w:rPr>
              <w:t xml:space="preserve"> </w:t>
            </w:r>
            <w:r>
              <w:rPr>
                <w:rFonts w:ascii="Times New Roman" w:hAnsi="Times New Roman" w:eastAsia="Times New Roman" w:cs="Times New Roman"/>
                <w:spacing w:val="-6"/>
              </w:rPr>
              <w:t>GIS</w:t>
            </w:r>
            <w:r>
              <w:rPr>
                <w:rFonts w:ascii="Times New Roman" w:hAnsi="Times New Roman" w:eastAsia="Times New Roman" w:cs="Times New Roman"/>
                <w:spacing w:val="19"/>
              </w:rPr>
              <w:t xml:space="preserve"> </w:t>
            </w:r>
            <w:r>
              <w:rPr>
                <w:spacing w:val="-6"/>
              </w:rPr>
              <w:t>室、</w:t>
            </w:r>
            <w:r>
              <w:rPr>
                <w:rFonts w:ascii="Times New Roman" w:hAnsi="Times New Roman" w:eastAsia="Times New Roman" w:cs="Times New Roman"/>
                <w:spacing w:val="-6"/>
              </w:rPr>
              <w:t xml:space="preserve">35kV </w:t>
            </w:r>
            <w:r>
              <w:rPr>
                <w:spacing w:val="-6"/>
              </w:rPr>
              <w:t>配</w:t>
            </w:r>
            <w:r>
              <w:rPr>
                <w:spacing w:val="-3"/>
              </w:rPr>
              <w:t>电室、</w:t>
            </w:r>
            <w:r>
              <w:rPr>
                <w:rFonts w:ascii="Times New Roman" w:hAnsi="Times New Roman" w:eastAsia="Times New Roman" w:cs="Times New Roman"/>
                <w:spacing w:val="-3"/>
              </w:rPr>
              <w:t>SVG</w:t>
            </w:r>
            <w:r>
              <w:rPr>
                <w:rFonts w:ascii="Times New Roman" w:hAnsi="Times New Roman" w:eastAsia="Times New Roman" w:cs="Times New Roman"/>
                <w:spacing w:val="-27"/>
              </w:rPr>
              <w:t xml:space="preserve"> </w:t>
            </w:r>
            <w:r>
              <w:rPr>
                <w:spacing w:val="-3"/>
              </w:rPr>
              <w:t>、维检综合楼等工程已建成并投入使用。</w:t>
            </w:r>
          </w:p>
        </w:tc>
      </w:tr>
      <w:tr w14:paraId="6E98D6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741" w:hRule="atLeast"/>
        </w:trPr>
        <w:tc>
          <w:tcPr>
            <w:tcW w:w="776" w:type="dxa"/>
            <w:tcBorders>
              <w:top w:val="single" w:color="000000" w:sz="2" w:space="0"/>
              <w:right w:val="single" w:color="000000" w:sz="2" w:space="0"/>
            </w:tcBorders>
            <w:vAlign w:val="top"/>
          </w:tcPr>
          <w:p w14:paraId="43CBE1A1">
            <w:pPr>
              <w:spacing w:line="348" w:lineRule="auto"/>
              <w:rPr>
                <w:rFonts w:ascii="Arial"/>
                <w:sz w:val="21"/>
              </w:rPr>
            </w:pPr>
          </w:p>
          <w:p w14:paraId="607C123E">
            <w:pPr>
              <w:spacing w:line="349" w:lineRule="auto"/>
              <w:rPr>
                <w:rFonts w:ascii="Arial"/>
                <w:sz w:val="21"/>
              </w:rPr>
            </w:pPr>
          </w:p>
          <w:p w14:paraId="7E9664EE">
            <w:pPr>
              <w:pStyle w:val="9"/>
              <w:spacing w:before="65" w:line="228" w:lineRule="auto"/>
              <w:ind w:left="177"/>
              <w:outlineLvl w:val="2"/>
              <w:rPr>
                <w:sz w:val="20"/>
                <w:szCs w:val="20"/>
              </w:rPr>
            </w:pPr>
            <w:r>
              <w:rPr>
                <w:spacing w:val="4"/>
                <w:sz w:val="20"/>
                <w:szCs w:val="20"/>
              </w:rPr>
              <w:t>其他</w:t>
            </w:r>
          </w:p>
        </w:tc>
        <w:tc>
          <w:tcPr>
            <w:tcW w:w="8286" w:type="dxa"/>
            <w:tcBorders>
              <w:top w:val="single" w:color="000000" w:sz="2" w:space="0"/>
              <w:left w:val="single" w:color="000000" w:sz="2" w:space="0"/>
            </w:tcBorders>
            <w:vAlign w:val="top"/>
          </w:tcPr>
          <w:p w14:paraId="3449B304">
            <w:pPr>
              <w:spacing w:line="241" w:lineRule="auto"/>
              <w:rPr>
                <w:rFonts w:ascii="Arial"/>
                <w:sz w:val="21"/>
              </w:rPr>
            </w:pPr>
          </w:p>
          <w:p w14:paraId="293BE61D">
            <w:pPr>
              <w:spacing w:line="241" w:lineRule="auto"/>
              <w:rPr>
                <w:rFonts w:ascii="Arial"/>
                <w:sz w:val="21"/>
              </w:rPr>
            </w:pPr>
          </w:p>
          <w:p w14:paraId="665295D4">
            <w:pPr>
              <w:spacing w:line="242" w:lineRule="auto"/>
              <w:rPr>
                <w:rFonts w:ascii="Arial"/>
                <w:sz w:val="21"/>
              </w:rPr>
            </w:pPr>
          </w:p>
          <w:p w14:paraId="7A96EC9B">
            <w:pPr>
              <w:pStyle w:val="9"/>
              <w:spacing w:before="78" w:line="220" w:lineRule="auto"/>
              <w:ind w:left="4026"/>
            </w:pPr>
            <w:r>
              <w:t>无</w:t>
            </w:r>
          </w:p>
        </w:tc>
      </w:tr>
    </w:tbl>
    <w:p w14:paraId="57D5DC8D">
      <w:pPr>
        <w:pStyle w:val="3"/>
      </w:pPr>
    </w:p>
    <w:p w14:paraId="58C13F07">
      <w:pPr>
        <w:sectPr>
          <w:footerReference r:id="rId31" w:type="default"/>
          <w:pgSz w:w="11906" w:h="16838"/>
          <w:pgMar w:top="1416" w:right="1414" w:bottom="1295" w:left="1414" w:header="0" w:footer="1133" w:gutter="0"/>
          <w:cols w:space="720" w:num="1"/>
        </w:sectPr>
      </w:pPr>
    </w:p>
    <w:p w14:paraId="441858E6">
      <w:pPr>
        <w:spacing w:before="60" w:line="222" w:lineRule="auto"/>
        <w:ind w:left="1846"/>
        <w:outlineLvl w:val="0"/>
        <w:rPr>
          <w:rFonts w:ascii="黑体" w:hAnsi="黑体" w:eastAsia="黑体" w:cs="黑体"/>
          <w:sz w:val="30"/>
          <w:szCs w:val="30"/>
        </w:rPr>
      </w:pPr>
      <w:r>
        <w:rPr>
          <w:rFonts w:ascii="黑体" w:hAnsi="黑体" w:eastAsia="黑体" w:cs="黑体"/>
          <w:b/>
          <w:bCs/>
          <w:spacing w:val="-4"/>
          <w:sz w:val="30"/>
          <w:szCs w:val="30"/>
        </w:rPr>
        <w:t>三、生态环境现状、保护目标及评价标准</w:t>
      </w:r>
    </w:p>
    <w:p w14:paraId="3E733600">
      <w:pPr>
        <w:spacing w:line="179" w:lineRule="exact"/>
      </w:pPr>
    </w:p>
    <w:tbl>
      <w:tblPr>
        <w:tblStyle w:val="8"/>
        <w:tblW w:w="90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51"/>
        <w:gridCol w:w="8313"/>
      </w:tblGrid>
      <w:tr w14:paraId="020C10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747" w:hRule="atLeast"/>
        </w:trPr>
        <w:tc>
          <w:tcPr>
            <w:tcW w:w="751" w:type="dxa"/>
            <w:tcBorders>
              <w:right w:val="single" w:color="000000" w:sz="2" w:space="0"/>
            </w:tcBorders>
            <w:vAlign w:val="top"/>
          </w:tcPr>
          <w:p w14:paraId="3A6AA0FE">
            <w:pPr>
              <w:spacing w:line="245" w:lineRule="auto"/>
              <w:rPr>
                <w:rFonts w:ascii="Arial"/>
                <w:sz w:val="21"/>
              </w:rPr>
            </w:pPr>
          </w:p>
          <w:p w14:paraId="38F6C216">
            <w:pPr>
              <w:spacing w:line="245" w:lineRule="auto"/>
              <w:rPr>
                <w:rFonts w:ascii="Arial"/>
                <w:sz w:val="21"/>
              </w:rPr>
            </w:pPr>
          </w:p>
          <w:p w14:paraId="573D8487">
            <w:pPr>
              <w:spacing w:line="245" w:lineRule="auto"/>
              <w:rPr>
                <w:rFonts w:ascii="Arial"/>
                <w:sz w:val="21"/>
              </w:rPr>
            </w:pPr>
          </w:p>
          <w:p w14:paraId="2170C3A2">
            <w:pPr>
              <w:spacing w:line="245" w:lineRule="auto"/>
              <w:rPr>
                <w:rFonts w:ascii="Arial"/>
                <w:sz w:val="21"/>
              </w:rPr>
            </w:pPr>
          </w:p>
          <w:p w14:paraId="481E306D">
            <w:pPr>
              <w:spacing w:line="245" w:lineRule="auto"/>
              <w:rPr>
                <w:rFonts w:ascii="Arial"/>
                <w:sz w:val="21"/>
              </w:rPr>
            </w:pPr>
          </w:p>
          <w:p w14:paraId="466801FA">
            <w:pPr>
              <w:spacing w:line="245" w:lineRule="auto"/>
              <w:rPr>
                <w:rFonts w:ascii="Arial"/>
                <w:sz w:val="21"/>
              </w:rPr>
            </w:pPr>
          </w:p>
          <w:p w14:paraId="32A980C9">
            <w:pPr>
              <w:spacing w:line="245" w:lineRule="auto"/>
              <w:rPr>
                <w:rFonts w:ascii="Arial"/>
                <w:sz w:val="21"/>
              </w:rPr>
            </w:pPr>
          </w:p>
          <w:p w14:paraId="2C7B0442">
            <w:pPr>
              <w:spacing w:line="245" w:lineRule="auto"/>
              <w:rPr>
                <w:rFonts w:ascii="Arial"/>
                <w:sz w:val="21"/>
              </w:rPr>
            </w:pPr>
          </w:p>
          <w:p w14:paraId="39C5572C">
            <w:pPr>
              <w:spacing w:line="245" w:lineRule="auto"/>
              <w:rPr>
                <w:rFonts w:ascii="Arial"/>
                <w:sz w:val="21"/>
              </w:rPr>
            </w:pPr>
          </w:p>
          <w:p w14:paraId="60BEB40B">
            <w:pPr>
              <w:spacing w:line="245" w:lineRule="auto"/>
              <w:rPr>
                <w:rFonts w:ascii="Arial"/>
                <w:sz w:val="21"/>
              </w:rPr>
            </w:pPr>
          </w:p>
          <w:p w14:paraId="3D120574">
            <w:pPr>
              <w:spacing w:line="245" w:lineRule="auto"/>
              <w:rPr>
                <w:rFonts w:ascii="Arial"/>
                <w:sz w:val="21"/>
              </w:rPr>
            </w:pPr>
          </w:p>
          <w:p w14:paraId="7E94539B">
            <w:pPr>
              <w:spacing w:line="245" w:lineRule="auto"/>
              <w:rPr>
                <w:rFonts w:ascii="Arial"/>
                <w:sz w:val="21"/>
              </w:rPr>
            </w:pPr>
          </w:p>
          <w:p w14:paraId="19DAD455">
            <w:pPr>
              <w:spacing w:line="246" w:lineRule="auto"/>
              <w:rPr>
                <w:rFonts w:ascii="Arial"/>
                <w:sz w:val="21"/>
              </w:rPr>
            </w:pPr>
          </w:p>
          <w:p w14:paraId="6D06E64C">
            <w:pPr>
              <w:spacing w:line="246" w:lineRule="auto"/>
              <w:rPr>
                <w:rFonts w:ascii="Arial"/>
                <w:sz w:val="21"/>
              </w:rPr>
            </w:pPr>
          </w:p>
          <w:p w14:paraId="36061C69">
            <w:pPr>
              <w:spacing w:line="246" w:lineRule="auto"/>
              <w:rPr>
                <w:rFonts w:ascii="Arial"/>
                <w:sz w:val="21"/>
              </w:rPr>
            </w:pPr>
          </w:p>
          <w:p w14:paraId="0374B925">
            <w:pPr>
              <w:spacing w:line="246" w:lineRule="auto"/>
              <w:rPr>
                <w:rFonts w:ascii="Arial"/>
                <w:sz w:val="21"/>
              </w:rPr>
            </w:pPr>
          </w:p>
          <w:p w14:paraId="5BF23FD1">
            <w:pPr>
              <w:spacing w:line="246" w:lineRule="auto"/>
              <w:rPr>
                <w:rFonts w:ascii="Arial"/>
                <w:sz w:val="21"/>
              </w:rPr>
            </w:pPr>
          </w:p>
          <w:p w14:paraId="0C8794C2">
            <w:pPr>
              <w:spacing w:line="246" w:lineRule="auto"/>
              <w:rPr>
                <w:rFonts w:ascii="Arial"/>
                <w:sz w:val="21"/>
              </w:rPr>
            </w:pPr>
          </w:p>
          <w:p w14:paraId="4BB0EF16">
            <w:pPr>
              <w:spacing w:line="246" w:lineRule="auto"/>
              <w:rPr>
                <w:rFonts w:ascii="Arial"/>
                <w:sz w:val="21"/>
              </w:rPr>
            </w:pPr>
          </w:p>
          <w:p w14:paraId="01C5243F">
            <w:pPr>
              <w:spacing w:line="246" w:lineRule="auto"/>
              <w:rPr>
                <w:rFonts w:ascii="Arial"/>
                <w:sz w:val="21"/>
              </w:rPr>
            </w:pPr>
          </w:p>
          <w:p w14:paraId="2AB71F1E">
            <w:pPr>
              <w:spacing w:line="246" w:lineRule="auto"/>
              <w:rPr>
                <w:rFonts w:ascii="Arial"/>
                <w:sz w:val="21"/>
              </w:rPr>
            </w:pPr>
          </w:p>
          <w:p w14:paraId="45B811D6">
            <w:pPr>
              <w:spacing w:line="246" w:lineRule="auto"/>
              <w:rPr>
                <w:rFonts w:ascii="Arial"/>
                <w:sz w:val="21"/>
              </w:rPr>
            </w:pPr>
          </w:p>
          <w:p w14:paraId="110C7E55">
            <w:pPr>
              <w:pStyle w:val="9"/>
              <w:spacing w:before="65" w:line="251" w:lineRule="auto"/>
              <w:ind w:left="163" w:right="167" w:firstLine="1"/>
              <w:outlineLvl w:val="1"/>
              <w:rPr>
                <w:sz w:val="20"/>
                <w:szCs w:val="20"/>
              </w:rPr>
            </w:pPr>
            <w:r>
              <w:rPr>
                <w:spacing w:val="3"/>
                <w:sz w:val="20"/>
                <w:szCs w:val="20"/>
              </w:rPr>
              <w:t>生态</w:t>
            </w:r>
            <w:r>
              <w:rPr>
                <w:spacing w:val="4"/>
                <w:sz w:val="20"/>
                <w:szCs w:val="20"/>
              </w:rPr>
              <w:t>环境现状</w:t>
            </w:r>
          </w:p>
        </w:tc>
        <w:tc>
          <w:tcPr>
            <w:tcW w:w="8313" w:type="dxa"/>
            <w:tcBorders>
              <w:left w:val="single" w:color="000000" w:sz="2" w:space="0"/>
            </w:tcBorders>
            <w:vAlign w:val="top"/>
          </w:tcPr>
          <w:p w14:paraId="103756B4">
            <w:pPr>
              <w:pStyle w:val="9"/>
              <w:spacing w:before="138" w:line="221" w:lineRule="auto"/>
              <w:ind w:left="675"/>
              <w:rPr>
                <w:sz w:val="28"/>
                <w:szCs w:val="28"/>
              </w:rPr>
            </w:pPr>
            <w:r>
              <w:rPr>
                <w:b/>
                <w:bCs/>
                <w:spacing w:val="-4"/>
                <w:sz w:val="28"/>
                <w:szCs w:val="28"/>
              </w:rPr>
              <w:t>一、生态环境功能区划</w:t>
            </w:r>
          </w:p>
          <w:p w14:paraId="0955BEE4">
            <w:pPr>
              <w:pStyle w:val="9"/>
              <w:spacing w:before="163" w:line="220" w:lineRule="auto"/>
              <w:ind w:left="594"/>
            </w:pPr>
            <w:r>
              <w:rPr>
                <w:rFonts w:ascii="Times New Roman" w:hAnsi="Times New Roman" w:eastAsia="Times New Roman" w:cs="Times New Roman"/>
                <w:b/>
                <w:bCs/>
                <w:spacing w:val="-7"/>
              </w:rPr>
              <w:t>1.</w:t>
            </w:r>
            <w:r>
              <w:rPr>
                <w:rFonts w:ascii="Times New Roman" w:hAnsi="Times New Roman" w:eastAsia="Times New Roman" w:cs="Times New Roman"/>
                <w:b/>
                <w:bCs/>
                <w:spacing w:val="-20"/>
              </w:rPr>
              <w:t xml:space="preserve"> </w:t>
            </w:r>
            <w:r>
              <w:rPr>
                <w:b/>
                <w:bCs/>
                <w:spacing w:val="-7"/>
              </w:rPr>
              <w:t>国家生态功能区划</w:t>
            </w:r>
          </w:p>
          <w:p w14:paraId="7EA44C9C">
            <w:pPr>
              <w:pStyle w:val="9"/>
              <w:spacing w:before="178" w:line="362" w:lineRule="auto"/>
              <w:ind w:left="102" w:right="84" w:firstLine="485"/>
            </w:pPr>
            <w:r>
              <w:rPr>
                <w:spacing w:val="-4"/>
              </w:rPr>
              <w:t>根据《全国生态功能区划（修编版）》，拟建项目位于</w:t>
            </w:r>
            <w:r>
              <w:rPr>
                <w:rFonts w:ascii="Times New Roman" w:hAnsi="Times New Roman" w:eastAsia="Times New Roman" w:cs="Times New Roman"/>
                <w:spacing w:val="-4"/>
              </w:rPr>
              <w:t>Ⅰ-02-05</w:t>
            </w:r>
            <w:r>
              <w:rPr>
                <w:rFonts w:ascii="Times New Roman" w:hAnsi="Times New Roman" w:eastAsia="Times New Roman" w:cs="Times New Roman"/>
                <w:spacing w:val="16"/>
              </w:rPr>
              <w:t xml:space="preserve"> </w:t>
            </w:r>
            <w:r>
              <w:rPr>
                <w:spacing w:val="-4"/>
              </w:rPr>
              <w:t>大兴安岭南</w:t>
            </w:r>
            <w:r>
              <w:rPr>
                <w:spacing w:val="-2"/>
              </w:rPr>
              <w:t>部生物多样性保护与水源涵养功能区，全国共划分生物多样性保护生态功能区</w:t>
            </w:r>
            <w:r>
              <w:rPr>
                <w:rFonts w:ascii="Times New Roman" w:hAnsi="Times New Roman" w:eastAsia="Times New Roman" w:cs="Times New Roman"/>
                <w:spacing w:val="-3"/>
              </w:rPr>
              <w:t xml:space="preserve">43 </w:t>
            </w:r>
            <w:r>
              <w:rPr>
                <w:spacing w:val="-3"/>
              </w:rPr>
              <w:t>个，面积共计</w:t>
            </w:r>
            <w:r>
              <w:rPr>
                <w:spacing w:val="-46"/>
              </w:rPr>
              <w:t xml:space="preserve"> </w:t>
            </w:r>
            <w:r>
              <w:rPr>
                <w:rFonts w:ascii="Times New Roman" w:hAnsi="Times New Roman" w:eastAsia="Times New Roman" w:cs="Times New Roman"/>
                <w:spacing w:val="-3"/>
              </w:rPr>
              <w:t>220.8</w:t>
            </w:r>
            <w:r>
              <w:rPr>
                <w:rFonts w:ascii="Times New Roman" w:hAnsi="Times New Roman" w:eastAsia="Times New Roman" w:cs="Times New Roman"/>
                <w:spacing w:val="15"/>
                <w:w w:val="101"/>
              </w:rPr>
              <w:t xml:space="preserve"> </w:t>
            </w:r>
            <w:r>
              <w:rPr>
                <w:spacing w:val="-3"/>
              </w:rPr>
              <w:t>万平方公里，占全国国土面积的</w:t>
            </w:r>
            <w:r>
              <w:rPr>
                <w:spacing w:val="-55"/>
              </w:rPr>
              <w:t xml:space="preserve"> </w:t>
            </w:r>
            <w:r>
              <w:rPr>
                <w:rFonts w:ascii="Times New Roman" w:hAnsi="Times New Roman" w:eastAsia="Times New Roman" w:cs="Times New Roman"/>
                <w:spacing w:val="-3"/>
              </w:rPr>
              <w:t>23.</w:t>
            </w:r>
            <w:r>
              <w:rPr>
                <w:rFonts w:ascii="Times New Roman" w:hAnsi="Times New Roman" w:eastAsia="Times New Roman" w:cs="Times New Roman"/>
                <w:spacing w:val="-32"/>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25"/>
              </w:rPr>
              <w:t xml:space="preserve"> </w:t>
            </w:r>
            <w:r>
              <w:rPr>
                <w:spacing w:val="-3"/>
              </w:rPr>
              <w:t>。其中，对国家</w:t>
            </w:r>
            <w:r>
              <w:t>和区域生态安全具有重要作用的生物多样性保护生态功能区主要</w:t>
            </w:r>
            <w:r>
              <w:rPr>
                <w:spacing w:val="-1"/>
              </w:rPr>
              <w:t>包括秦岭一大巴山地、浙闽山地、武陵山地、南岭地区、海南中</w:t>
            </w:r>
            <w:r>
              <w:rPr>
                <w:spacing w:val="-2"/>
              </w:rPr>
              <w:t>部、滇南山地、藏东南、岷山一邛崃山区、滇西北、羌塘高原、三江平原湿地、黄河三角洲湿地、苏北</w:t>
            </w:r>
            <w:r>
              <w:t>滨海湿地、长江中下游湖泊湿地、东南沿海</w:t>
            </w:r>
            <w:r>
              <w:rPr>
                <w:spacing w:val="-1"/>
              </w:rPr>
              <w:t>红树林等，</w:t>
            </w:r>
          </w:p>
          <w:p w14:paraId="52618ACE">
            <w:pPr>
              <w:pStyle w:val="9"/>
              <w:spacing w:before="2" w:line="361" w:lineRule="auto"/>
              <w:ind w:left="106" w:right="40" w:firstLine="484"/>
            </w:pPr>
            <w:r>
              <w:rPr>
                <w:spacing w:val="-2"/>
              </w:rPr>
              <w:t>该类型区的主要生态问题：人口增加以及农业和城镇扩</w:t>
            </w:r>
            <w:r>
              <w:rPr>
                <w:spacing w:val="-3"/>
              </w:rPr>
              <w:t>张，交通、水电水</w:t>
            </w:r>
            <w:r>
              <w:rPr>
                <w:spacing w:val="-7"/>
              </w:rPr>
              <w:t>利设施建设、矿产资源开发，过度放牧、生物资源过度利用，外来物种入侵等，</w:t>
            </w:r>
            <w:r>
              <w:rPr>
                <w:spacing w:val="-2"/>
              </w:rPr>
              <w:t>导致生物资源退化，以及森林、草原、湿地等自然栖息地遭到破坏，栖息地破</w:t>
            </w:r>
            <w:r>
              <w:t>碎化严重</w:t>
            </w:r>
            <w:r>
              <w:rPr>
                <w:rFonts w:ascii="Times New Roman" w:hAnsi="Times New Roman" w:eastAsia="Times New Roman" w:cs="Times New Roman"/>
              </w:rPr>
              <w:t>:</w:t>
            </w:r>
            <w:r>
              <w:t>生物多样性受到严重威胁，部分野生动</w:t>
            </w:r>
            <w:r>
              <w:rPr>
                <w:spacing w:val="-1"/>
              </w:rPr>
              <w:t>植物物种濒临灭绝。</w:t>
            </w:r>
          </w:p>
          <w:p w14:paraId="658F1A6D">
            <w:pPr>
              <w:pStyle w:val="9"/>
              <w:spacing w:line="219" w:lineRule="auto"/>
              <w:ind w:left="591"/>
            </w:pPr>
            <w:r>
              <w:rPr>
                <w:spacing w:val="-1"/>
              </w:rPr>
              <w:t>该类型区生态保护的主要方向：</w:t>
            </w:r>
          </w:p>
          <w:p w14:paraId="008FEBC5">
            <w:pPr>
              <w:pStyle w:val="9"/>
              <w:spacing w:before="184" w:line="357" w:lineRule="auto"/>
              <w:ind w:left="126" w:right="102" w:firstLine="461"/>
            </w:pPr>
            <w:r>
              <w:rPr>
                <w:rFonts w:ascii="Times New Roman" w:hAnsi="Times New Roman" w:eastAsia="Times New Roman" w:cs="Times New Roman"/>
                <w:spacing w:val="-3"/>
              </w:rPr>
              <w:t>(1)</w:t>
            </w:r>
            <w:r>
              <w:rPr>
                <w:spacing w:val="-3"/>
              </w:rPr>
              <w:t>开展生物多样性资源调查与监测，评估生物多样性保护</w:t>
            </w:r>
            <w:r>
              <w:rPr>
                <w:spacing w:val="-4"/>
              </w:rPr>
              <w:t>状况、受威胁原</w:t>
            </w:r>
            <w:r>
              <w:rPr>
                <w:spacing w:val="-15"/>
              </w:rPr>
              <w:t>因。</w:t>
            </w:r>
          </w:p>
          <w:p w14:paraId="02A81B99">
            <w:pPr>
              <w:pStyle w:val="9"/>
              <w:spacing w:before="11" w:line="212" w:lineRule="auto"/>
              <w:ind w:left="588"/>
            </w:pPr>
            <w:r>
              <w:rPr>
                <w:rFonts w:ascii="Times New Roman" w:hAnsi="Times New Roman" w:eastAsia="Times New Roman" w:cs="Times New Roman"/>
                <w:spacing w:val="-1"/>
              </w:rPr>
              <w:t>(2)</w:t>
            </w:r>
            <w:r>
              <w:rPr>
                <w:spacing w:val="-1"/>
              </w:rPr>
              <w:t>禁止对野生动植物进行滥捕、乱采、乱猎</w:t>
            </w:r>
          </w:p>
          <w:p w14:paraId="41726037">
            <w:pPr>
              <w:pStyle w:val="9"/>
              <w:spacing w:before="195" w:line="360" w:lineRule="auto"/>
              <w:ind w:left="108" w:right="102" w:firstLine="479"/>
            </w:pPr>
            <w:r>
              <w:rPr>
                <w:rFonts w:ascii="Times New Roman" w:hAnsi="Times New Roman" w:eastAsia="Times New Roman" w:cs="Times New Roman"/>
                <w:spacing w:val="-3"/>
              </w:rPr>
              <w:t>(3)</w:t>
            </w:r>
            <w:r>
              <w:rPr>
                <w:spacing w:val="-3"/>
              </w:rPr>
              <w:t>保护自然生态系统与重要物种栖息地，限制或禁止各种</w:t>
            </w:r>
            <w:r>
              <w:rPr>
                <w:spacing w:val="-4"/>
              </w:rPr>
              <w:t>损害栖息地的经</w:t>
            </w:r>
            <w:r>
              <w:rPr>
                <w:spacing w:val="-2"/>
              </w:rPr>
              <w:t>济社会活动和生产方式，如无序采矿、毁林开荒、湿地和草地开垦、道路建设</w:t>
            </w:r>
            <w:r>
              <w:rPr>
                <w:spacing w:val="-1"/>
              </w:rPr>
              <w:t>等。防止生态建设导致栖息环境的改变。</w:t>
            </w:r>
          </w:p>
          <w:p w14:paraId="77326925">
            <w:pPr>
              <w:pStyle w:val="9"/>
              <w:spacing w:before="8" w:line="355" w:lineRule="auto"/>
              <w:ind w:left="107" w:right="102" w:firstLine="480"/>
            </w:pPr>
            <w:r>
              <w:rPr>
                <w:rFonts w:ascii="Times New Roman" w:hAnsi="Times New Roman" w:eastAsia="Times New Roman" w:cs="Times New Roman"/>
                <w:spacing w:val="-3"/>
              </w:rPr>
              <w:t>(4)</w:t>
            </w:r>
            <w:r>
              <w:rPr>
                <w:spacing w:val="-3"/>
              </w:rPr>
              <w:t>加强对外来物种入侵的控制，禁止在生物多样性保护功</w:t>
            </w:r>
            <w:r>
              <w:rPr>
                <w:spacing w:val="-4"/>
              </w:rPr>
              <w:t>能区引进外来物</w:t>
            </w:r>
            <w:r>
              <w:rPr>
                <w:spacing w:val="-5"/>
              </w:rPr>
              <w:t>种。</w:t>
            </w:r>
          </w:p>
          <w:p w14:paraId="1A89AF47">
            <w:pPr>
              <w:pStyle w:val="9"/>
              <w:spacing w:before="13" w:line="354" w:lineRule="auto"/>
              <w:ind w:left="109" w:right="62" w:firstLine="478"/>
            </w:pPr>
            <w:r>
              <w:rPr>
                <w:rFonts w:ascii="Times New Roman" w:hAnsi="Times New Roman" w:eastAsia="Times New Roman" w:cs="Times New Roman"/>
                <w:spacing w:val="-2"/>
              </w:rPr>
              <w:t>(5)</w:t>
            </w:r>
            <w:r>
              <w:rPr>
                <w:spacing w:val="-2"/>
              </w:rPr>
              <w:t>实施国家生物多样性保护重大工程，以生物多样性重要功能区为基础，</w:t>
            </w:r>
            <w:r>
              <w:rPr>
                <w:spacing w:val="-1"/>
              </w:rPr>
              <w:t>完善自然保护区体系与保护区群的建设。</w:t>
            </w:r>
          </w:p>
          <w:p w14:paraId="37B12EFD">
            <w:pPr>
              <w:pStyle w:val="9"/>
              <w:spacing w:before="21" w:line="219" w:lineRule="auto"/>
              <w:ind w:left="588"/>
            </w:pPr>
            <w:r>
              <w:rPr>
                <w:spacing w:val="-1"/>
              </w:rPr>
              <w:t>本项目在全国生态功能区划中的位置关系见下图。</w:t>
            </w:r>
          </w:p>
        </w:tc>
      </w:tr>
    </w:tbl>
    <w:p w14:paraId="59B2B2F3">
      <w:pPr>
        <w:pStyle w:val="3"/>
      </w:pPr>
    </w:p>
    <w:p w14:paraId="42587032">
      <w:pPr>
        <w:sectPr>
          <w:footerReference r:id="rId32" w:type="default"/>
          <w:pgSz w:w="11906" w:h="16838"/>
          <w:pgMar w:top="1400" w:right="1413" w:bottom="1295" w:left="1413" w:header="0" w:footer="1133" w:gutter="0"/>
          <w:cols w:space="720" w:num="1"/>
        </w:sectPr>
      </w:pPr>
    </w:p>
    <w:tbl>
      <w:tblPr>
        <w:tblStyle w:val="8"/>
        <w:tblW w:w="90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51"/>
        <w:gridCol w:w="8313"/>
      </w:tblGrid>
      <w:tr w14:paraId="2FDBD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371" w:hRule="atLeast"/>
        </w:trPr>
        <w:tc>
          <w:tcPr>
            <w:tcW w:w="751" w:type="dxa"/>
            <w:tcBorders>
              <w:right w:val="single" w:color="000000" w:sz="2" w:space="0"/>
            </w:tcBorders>
            <w:vAlign w:val="top"/>
          </w:tcPr>
          <w:p w14:paraId="58EE5E0B">
            <w:pPr>
              <w:rPr>
                <w:rFonts w:ascii="Arial"/>
                <w:sz w:val="21"/>
              </w:rPr>
            </w:pPr>
          </w:p>
        </w:tc>
        <w:tc>
          <w:tcPr>
            <w:tcW w:w="8313" w:type="dxa"/>
            <w:tcBorders>
              <w:left w:val="single" w:color="000000" w:sz="2" w:space="0"/>
            </w:tcBorders>
            <w:vAlign w:val="top"/>
          </w:tcPr>
          <w:p w14:paraId="3CF2CE20">
            <w:pPr>
              <w:spacing w:before="5" w:line="5134" w:lineRule="exact"/>
              <w:ind w:firstLine="100"/>
            </w:pPr>
            <w:r>
              <w:rPr>
                <w:position w:val="-102"/>
              </w:rPr>
              <w:drawing>
                <wp:inline distT="0" distB="0" distL="0" distR="0">
                  <wp:extent cx="5161280" cy="325945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237"/>
                          <a:stretch>
                            <a:fillRect/>
                          </a:stretch>
                        </pic:blipFill>
                        <pic:spPr>
                          <a:xfrm>
                            <a:off x="0" y="0"/>
                            <a:ext cx="5161788" cy="3259836"/>
                          </a:xfrm>
                          <a:prstGeom prst="rect">
                            <a:avLst/>
                          </a:prstGeom>
                        </pic:spPr>
                      </pic:pic>
                    </a:graphicData>
                  </a:graphic>
                </wp:inline>
              </w:drawing>
            </w:r>
          </w:p>
          <w:p w14:paraId="1907FFAB">
            <w:pPr>
              <w:pStyle w:val="9"/>
              <w:spacing w:before="171" w:line="219" w:lineRule="auto"/>
              <w:ind w:left="1945"/>
            </w:pPr>
            <w:r>
              <w:rPr>
                <w:b/>
                <w:bCs/>
                <w:spacing w:val="-3"/>
              </w:rPr>
              <w:t>图</w:t>
            </w:r>
            <w:r>
              <w:rPr>
                <w:spacing w:val="-51"/>
              </w:rPr>
              <w:t xml:space="preserve"> </w:t>
            </w:r>
            <w:r>
              <w:rPr>
                <w:rFonts w:ascii="Times New Roman" w:hAnsi="Times New Roman" w:eastAsia="Times New Roman" w:cs="Times New Roman"/>
                <w:b/>
                <w:bCs/>
                <w:spacing w:val="-3"/>
              </w:rPr>
              <w:t xml:space="preserve">3-1    </w:t>
            </w:r>
            <w:r>
              <w:rPr>
                <w:b/>
                <w:bCs/>
                <w:spacing w:val="-3"/>
              </w:rPr>
              <w:t>本项目在全国生态功能区划图中的位置</w:t>
            </w:r>
          </w:p>
          <w:p w14:paraId="080E35CF">
            <w:pPr>
              <w:pStyle w:val="9"/>
              <w:spacing w:before="183" w:line="220" w:lineRule="auto"/>
              <w:ind w:left="584"/>
            </w:pPr>
            <w:r>
              <w:rPr>
                <w:rFonts w:ascii="Times New Roman" w:hAnsi="Times New Roman" w:eastAsia="Times New Roman" w:cs="Times New Roman"/>
                <w:b/>
                <w:bCs/>
                <w:spacing w:val="-7"/>
              </w:rPr>
              <w:t>2.</w:t>
            </w:r>
            <w:r>
              <w:rPr>
                <w:rFonts w:ascii="Times New Roman" w:hAnsi="Times New Roman" w:eastAsia="Times New Roman" w:cs="Times New Roman"/>
                <w:b/>
                <w:bCs/>
                <w:spacing w:val="-6"/>
              </w:rPr>
              <w:t xml:space="preserve"> </w:t>
            </w:r>
            <w:r>
              <w:rPr>
                <w:b/>
                <w:bCs/>
                <w:spacing w:val="-7"/>
              </w:rPr>
              <w:t>自治区生态功能区划</w:t>
            </w:r>
          </w:p>
          <w:p w14:paraId="21F36986">
            <w:pPr>
              <w:pStyle w:val="9"/>
              <w:spacing w:before="180" w:line="362" w:lineRule="auto"/>
              <w:ind w:left="107" w:right="102" w:firstLine="480"/>
            </w:pPr>
            <w:r>
              <w:t>本项目位于通辽市扎鲁特旗，属于限制开发</w:t>
            </w:r>
            <w:r>
              <w:rPr>
                <w:spacing w:val="-1"/>
              </w:rPr>
              <w:t>区域（国家级重点生态功能</w:t>
            </w:r>
            <w:r>
              <w:rPr>
                <w:spacing w:val="-2"/>
              </w:rPr>
              <w:t>区），项目为风力发电项目，不属于限制和禁止发展类项目。根据《内蒙古自</w:t>
            </w:r>
            <w:r>
              <w:rPr>
                <w:spacing w:val="-4"/>
              </w:rPr>
              <w:t>治区生态功能区划》，项目所在区域属于</w:t>
            </w:r>
            <w:r>
              <w:rPr>
                <w:spacing w:val="-39"/>
              </w:rPr>
              <w:t xml:space="preserve"> </w:t>
            </w:r>
            <w:r>
              <w:rPr>
                <w:rFonts w:ascii="Times New Roman" w:hAnsi="Times New Roman" w:eastAsia="Times New Roman" w:cs="Times New Roman"/>
                <w:spacing w:val="-4"/>
              </w:rPr>
              <w:t>III-2-</w:t>
            </w:r>
            <w:r>
              <w:rPr>
                <w:rFonts w:ascii="Times New Roman" w:hAnsi="Times New Roman" w:eastAsia="Times New Roman" w:cs="Times New Roman"/>
                <w:spacing w:val="-33"/>
              </w:rPr>
              <w:t xml:space="preserve"> </w:t>
            </w:r>
            <w:r>
              <w:rPr>
                <w:rFonts w:ascii="Times New Roman" w:hAnsi="Times New Roman" w:eastAsia="Times New Roman" w:cs="Times New Roman"/>
                <w:spacing w:val="-4"/>
              </w:rPr>
              <w:t xml:space="preserve">1 </w:t>
            </w:r>
            <w:r>
              <w:rPr>
                <w:spacing w:val="-4"/>
              </w:rPr>
              <w:t>锡林郭勒草甸草原防风固沙生</w:t>
            </w:r>
            <w:r>
              <w:rPr>
                <w:spacing w:val="-2"/>
              </w:rPr>
              <w:t>态功能区。本区应采取生态移民措施，实施退耕还草措施，围栏封育，全面禁牧，恢复和建设植被等措施。在生态建设上，要按照生态规律搞好植被建设，</w:t>
            </w:r>
            <w:r>
              <w:rPr>
                <w:spacing w:val="-1"/>
              </w:rPr>
              <w:t>防止盲目引种，保证生物安全和土著物种的生长。</w:t>
            </w:r>
          </w:p>
          <w:p w14:paraId="2C1B0E0F">
            <w:pPr>
              <w:pStyle w:val="9"/>
              <w:spacing w:line="218" w:lineRule="auto"/>
              <w:ind w:left="591"/>
            </w:pPr>
            <w:r>
              <w:rPr>
                <w:spacing w:val="-1"/>
              </w:rPr>
              <w:t>该区主要生态环境问题为土地沙化、水土流失和农田土壤肥力低下。</w:t>
            </w:r>
          </w:p>
        </w:tc>
      </w:tr>
    </w:tbl>
    <w:p w14:paraId="3D5F523A">
      <w:pPr>
        <w:pStyle w:val="3"/>
      </w:pPr>
    </w:p>
    <w:p w14:paraId="0C15D6E0">
      <w:pPr>
        <w:sectPr>
          <w:footerReference r:id="rId33" w:type="default"/>
          <w:pgSz w:w="11906" w:h="16838"/>
          <w:pgMar w:top="1416" w:right="1413" w:bottom="1295" w:left="1413" w:header="0" w:footer="1133" w:gutter="0"/>
          <w:cols w:space="720" w:num="1"/>
        </w:sectPr>
      </w:pPr>
    </w:p>
    <w:tbl>
      <w:tblPr>
        <w:tblStyle w:val="8"/>
        <w:tblW w:w="90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51"/>
        <w:gridCol w:w="8313"/>
      </w:tblGrid>
      <w:tr w14:paraId="1110C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935" w:hRule="atLeast"/>
        </w:trPr>
        <w:tc>
          <w:tcPr>
            <w:tcW w:w="751" w:type="dxa"/>
            <w:tcBorders>
              <w:right w:val="single" w:color="000000" w:sz="2" w:space="0"/>
            </w:tcBorders>
            <w:vAlign w:val="top"/>
          </w:tcPr>
          <w:p w14:paraId="5D2126BC">
            <w:pPr>
              <w:rPr>
                <w:rFonts w:ascii="Arial"/>
                <w:sz w:val="21"/>
              </w:rPr>
            </w:pPr>
          </w:p>
        </w:tc>
        <w:tc>
          <w:tcPr>
            <w:tcW w:w="8313" w:type="dxa"/>
            <w:tcBorders>
              <w:left w:val="single" w:color="000000" w:sz="2" w:space="0"/>
            </w:tcBorders>
            <w:vAlign w:val="top"/>
          </w:tcPr>
          <w:p w14:paraId="3E8F5FD7">
            <w:pPr>
              <w:spacing w:before="5" w:line="5777" w:lineRule="exact"/>
              <w:ind w:firstLine="163"/>
            </w:pPr>
            <w:r>
              <w:rPr>
                <w:position w:val="-115"/>
              </w:rPr>
              <w:drawing>
                <wp:inline distT="0" distB="0" distL="0" distR="0">
                  <wp:extent cx="5064125" cy="3667760"/>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238"/>
                          <a:stretch>
                            <a:fillRect/>
                          </a:stretch>
                        </pic:blipFill>
                        <pic:spPr>
                          <a:xfrm>
                            <a:off x="0" y="0"/>
                            <a:ext cx="5064252" cy="3668268"/>
                          </a:xfrm>
                          <a:prstGeom prst="rect">
                            <a:avLst/>
                          </a:prstGeom>
                        </pic:spPr>
                      </pic:pic>
                    </a:graphicData>
                  </a:graphic>
                </wp:inline>
              </w:drawing>
            </w:r>
          </w:p>
          <w:p w14:paraId="02ED632E">
            <w:pPr>
              <w:pStyle w:val="9"/>
              <w:spacing w:before="168" w:line="219" w:lineRule="auto"/>
              <w:ind w:left="1463"/>
            </w:pPr>
            <w:r>
              <w:rPr>
                <w:b/>
                <w:bCs/>
                <w:spacing w:val="-3"/>
              </w:rPr>
              <w:t>图</w:t>
            </w:r>
            <w:r>
              <w:rPr>
                <w:spacing w:val="-44"/>
              </w:rPr>
              <w:t xml:space="preserve"> </w:t>
            </w:r>
            <w:r>
              <w:rPr>
                <w:rFonts w:ascii="Times New Roman" w:hAnsi="Times New Roman" w:eastAsia="Times New Roman" w:cs="Times New Roman"/>
                <w:b/>
                <w:bCs/>
                <w:spacing w:val="-3"/>
              </w:rPr>
              <w:t xml:space="preserve">3-2    </w:t>
            </w:r>
            <w:r>
              <w:rPr>
                <w:b/>
                <w:bCs/>
                <w:spacing w:val="-3"/>
              </w:rPr>
              <w:t>本项目在内蒙古自治区主体功能区划图中的位置</w:t>
            </w:r>
          </w:p>
          <w:p w14:paraId="308A63FA">
            <w:pPr>
              <w:spacing w:before="16" w:line="6212" w:lineRule="exact"/>
              <w:ind w:firstLine="232"/>
            </w:pPr>
            <w:r>
              <w:rPr>
                <w:position w:val="-124"/>
              </w:rPr>
              <w:drawing>
                <wp:inline distT="0" distB="0" distL="0" distR="0">
                  <wp:extent cx="4972685" cy="394398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239"/>
                          <a:stretch>
                            <a:fillRect/>
                          </a:stretch>
                        </pic:blipFill>
                        <pic:spPr>
                          <a:xfrm>
                            <a:off x="0" y="0"/>
                            <a:ext cx="4972812" cy="3944112"/>
                          </a:xfrm>
                          <a:prstGeom prst="rect">
                            <a:avLst/>
                          </a:prstGeom>
                        </pic:spPr>
                      </pic:pic>
                    </a:graphicData>
                  </a:graphic>
                </wp:inline>
              </w:drawing>
            </w:r>
          </w:p>
          <w:p w14:paraId="6382F0AD">
            <w:pPr>
              <w:pStyle w:val="9"/>
              <w:spacing w:before="168" w:line="219" w:lineRule="auto"/>
              <w:ind w:left="1523"/>
            </w:pPr>
            <w:r>
              <w:rPr>
                <w:b/>
                <w:bCs/>
                <w:spacing w:val="-3"/>
              </w:rPr>
              <w:t>图</w:t>
            </w:r>
            <w:r>
              <w:rPr>
                <w:spacing w:val="-42"/>
              </w:rPr>
              <w:t xml:space="preserve"> </w:t>
            </w:r>
            <w:r>
              <w:rPr>
                <w:rFonts w:ascii="Times New Roman" w:hAnsi="Times New Roman" w:eastAsia="Times New Roman" w:cs="Times New Roman"/>
                <w:b/>
                <w:bCs/>
                <w:spacing w:val="-3"/>
              </w:rPr>
              <w:t xml:space="preserve">3-3      </w:t>
            </w:r>
            <w:r>
              <w:rPr>
                <w:b/>
                <w:bCs/>
                <w:spacing w:val="-3"/>
              </w:rPr>
              <w:t>限制开发区域（重点生态功能区）分布图</w:t>
            </w:r>
          </w:p>
        </w:tc>
      </w:tr>
    </w:tbl>
    <w:p w14:paraId="5F370373">
      <w:pPr>
        <w:pStyle w:val="3"/>
      </w:pPr>
    </w:p>
    <w:p w14:paraId="5CCBCFE8">
      <w:pPr>
        <w:sectPr>
          <w:footerReference r:id="rId34" w:type="default"/>
          <w:pgSz w:w="11906" w:h="16838"/>
          <w:pgMar w:top="1416" w:right="1413" w:bottom="1295" w:left="1413" w:header="0" w:footer="1133" w:gutter="0"/>
          <w:cols w:space="720" w:num="1"/>
        </w:sectPr>
      </w:pPr>
    </w:p>
    <w:tbl>
      <w:tblPr>
        <w:tblStyle w:val="8"/>
        <w:tblW w:w="90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51"/>
        <w:gridCol w:w="8313"/>
      </w:tblGrid>
      <w:tr w14:paraId="4CB27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601" w:hRule="atLeast"/>
        </w:trPr>
        <w:tc>
          <w:tcPr>
            <w:tcW w:w="751" w:type="dxa"/>
            <w:tcBorders>
              <w:right w:val="single" w:color="000000" w:sz="2" w:space="0"/>
            </w:tcBorders>
            <w:vAlign w:val="top"/>
          </w:tcPr>
          <w:p w14:paraId="285ADA27">
            <w:pPr>
              <w:rPr>
                <w:rFonts w:ascii="Arial"/>
                <w:sz w:val="21"/>
              </w:rPr>
            </w:pPr>
          </w:p>
        </w:tc>
        <w:tc>
          <w:tcPr>
            <w:tcW w:w="8313" w:type="dxa"/>
            <w:tcBorders>
              <w:left w:val="single" w:color="000000" w:sz="2" w:space="0"/>
            </w:tcBorders>
            <w:vAlign w:val="top"/>
          </w:tcPr>
          <w:p w14:paraId="335BE286">
            <w:pPr>
              <w:spacing w:before="5" w:line="6795" w:lineRule="exact"/>
              <w:ind w:firstLine="194"/>
            </w:pPr>
            <w:r>
              <w:rPr>
                <w:position w:val="-135"/>
              </w:rPr>
              <w:drawing>
                <wp:inline distT="0" distB="0" distL="0" distR="0">
                  <wp:extent cx="5024120" cy="4314190"/>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240"/>
                          <a:stretch>
                            <a:fillRect/>
                          </a:stretch>
                        </pic:blipFill>
                        <pic:spPr>
                          <a:xfrm>
                            <a:off x="0" y="0"/>
                            <a:ext cx="5024628" cy="4314444"/>
                          </a:xfrm>
                          <a:prstGeom prst="rect">
                            <a:avLst/>
                          </a:prstGeom>
                        </pic:spPr>
                      </pic:pic>
                    </a:graphicData>
                  </a:graphic>
                </wp:inline>
              </w:drawing>
            </w:r>
          </w:p>
          <w:p w14:paraId="1FF7421F">
            <w:pPr>
              <w:pStyle w:val="9"/>
              <w:spacing w:before="258" w:line="219" w:lineRule="auto"/>
              <w:ind w:left="2365"/>
            </w:pPr>
            <w:r>
              <w:rPr>
                <w:b/>
                <w:bCs/>
                <w:spacing w:val="-6"/>
              </w:rPr>
              <w:t>图</w:t>
            </w:r>
            <w:r>
              <w:rPr>
                <w:spacing w:val="-55"/>
              </w:rPr>
              <w:t xml:space="preserve"> </w:t>
            </w:r>
            <w:r>
              <w:rPr>
                <w:rFonts w:ascii="Times New Roman" w:hAnsi="Times New Roman" w:eastAsia="Times New Roman" w:cs="Times New Roman"/>
                <w:b/>
                <w:bCs/>
                <w:spacing w:val="-6"/>
              </w:rPr>
              <w:t>3-4</w:t>
            </w:r>
            <w:r>
              <w:rPr>
                <w:rFonts w:ascii="Times New Roman" w:hAnsi="Times New Roman" w:eastAsia="Times New Roman" w:cs="Times New Roman"/>
                <w:b/>
                <w:bCs/>
                <w:spacing w:val="6"/>
              </w:rPr>
              <w:t xml:space="preserve">      </w:t>
            </w:r>
            <w:r>
              <w:rPr>
                <w:b/>
                <w:bCs/>
                <w:spacing w:val="-6"/>
              </w:rPr>
              <w:t>内蒙古自治区生态功能区划图</w:t>
            </w:r>
          </w:p>
          <w:p w14:paraId="51D8939E">
            <w:pPr>
              <w:pStyle w:val="9"/>
              <w:spacing w:before="281" w:line="219" w:lineRule="auto"/>
              <w:ind w:left="675"/>
              <w:outlineLvl w:val="0"/>
              <w:rPr>
                <w:sz w:val="28"/>
                <w:szCs w:val="28"/>
              </w:rPr>
            </w:pPr>
            <w:r>
              <w:rPr>
                <w:b/>
                <w:bCs/>
                <w:spacing w:val="-4"/>
                <w:sz w:val="28"/>
                <w:szCs w:val="28"/>
              </w:rPr>
              <w:t>二、生态环境现状调查与评价</w:t>
            </w:r>
          </w:p>
          <w:p w14:paraId="2334080D">
            <w:pPr>
              <w:pStyle w:val="9"/>
              <w:spacing w:before="174" w:line="219" w:lineRule="auto"/>
              <w:ind w:left="594"/>
              <w:outlineLvl w:val="1"/>
            </w:pPr>
            <w:r>
              <w:rPr>
                <w:rFonts w:ascii="Times New Roman" w:hAnsi="Times New Roman" w:eastAsia="Times New Roman" w:cs="Times New Roman"/>
                <w:b/>
                <w:bCs/>
                <w:spacing w:val="-6"/>
              </w:rPr>
              <w:t>1</w:t>
            </w:r>
            <w:r>
              <w:rPr>
                <w:rFonts w:ascii="Times New Roman" w:hAnsi="Times New Roman" w:eastAsia="Times New Roman" w:cs="Times New Roman"/>
                <w:b/>
                <w:bCs/>
                <w:spacing w:val="-23"/>
              </w:rPr>
              <w:t xml:space="preserve"> </w:t>
            </w:r>
            <w:r>
              <w:rPr>
                <w:b/>
                <w:bCs/>
                <w:spacing w:val="-6"/>
              </w:rPr>
              <w:t>、生态环境现状调查方法</w:t>
            </w:r>
          </w:p>
          <w:p w14:paraId="06E401A1">
            <w:pPr>
              <w:pStyle w:val="9"/>
              <w:spacing w:before="182" w:line="218" w:lineRule="auto"/>
              <w:ind w:left="599"/>
            </w:pPr>
            <w:r>
              <w:rPr>
                <w:spacing w:val="-2"/>
              </w:rPr>
              <w:t>（</w:t>
            </w:r>
            <w:r>
              <w:rPr>
                <w:rFonts w:ascii="Times New Roman" w:hAnsi="Times New Roman" w:eastAsia="Times New Roman" w:cs="Times New Roman"/>
                <w:spacing w:val="-2"/>
              </w:rPr>
              <w:t>1</w:t>
            </w:r>
            <w:r>
              <w:rPr>
                <w:spacing w:val="-2"/>
              </w:rPr>
              <w:t>）本次评价调查方法主要有：</w:t>
            </w:r>
          </w:p>
          <w:p w14:paraId="26074F5C">
            <w:pPr>
              <w:pStyle w:val="9"/>
              <w:spacing w:before="187" w:line="217" w:lineRule="auto"/>
              <w:ind w:left="586"/>
            </w:pPr>
            <w:r>
              <w:rPr>
                <w:spacing w:val="-2"/>
              </w:rPr>
              <w:t>①基础资料收集</w:t>
            </w:r>
          </w:p>
          <w:p w14:paraId="4036AEBB">
            <w:pPr>
              <w:pStyle w:val="9"/>
              <w:spacing w:before="188" w:line="362" w:lineRule="auto"/>
              <w:ind w:left="107" w:right="102" w:firstLine="488"/>
            </w:pPr>
            <w:r>
              <w:rPr>
                <w:spacing w:val="-2"/>
              </w:rPr>
              <w:t>收集整理评价范围及邻近地区的现有生物多</w:t>
            </w:r>
            <w:r>
              <w:rPr>
                <w:spacing w:val="-3"/>
              </w:rPr>
              <w:t>样性资料，在综合分析现有资</w:t>
            </w:r>
            <w:r>
              <w:rPr>
                <w:spacing w:val="-1"/>
              </w:rPr>
              <w:t>料 的基础上，确定实地考察的重点区域及考察路线。</w:t>
            </w:r>
          </w:p>
          <w:p w14:paraId="2800E247">
            <w:pPr>
              <w:pStyle w:val="9"/>
              <w:spacing w:line="217" w:lineRule="auto"/>
              <w:ind w:left="585"/>
            </w:pPr>
            <w:r>
              <w:rPr>
                <w:spacing w:val="-2"/>
              </w:rPr>
              <w:t>②野外调查法</w:t>
            </w:r>
          </w:p>
          <w:p w14:paraId="0FA42F8D">
            <w:pPr>
              <w:pStyle w:val="9"/>
              <w:spacing w:before="189" w:line="361" w:lineRule="auto"/>
              <w:ind w:left="108" w:right="102" w:firstLine="478"/>
            </w:pPr>
            <w:r>
              <w:rPr>
                <w:spacing w:val="-2"/>
              </w:rPr>
              <w:t>在拟建设区域及相关地区进行实地调查，调查的重点为建设区及</w:t>
            </w:r>
            <w:r>
              <w:rPr>
                <w:spacing w:val="-3"/>
              </w:rPr>
              <w:t>周边植被</w:t>
            </w:r>
            <w:r>
              <w:rPr>
                <w:spacing w:val="5"/>
              </w:rPr>
              <w:t>和动植物种类分布存在的主要问题以及开发建设时应注意保护的主要敏感目</w:t>
            </w:r>
            <w:r>
              <w:t>标</w:t>
            </w:r>
          </w:p>
          <w:p w14:paraId="3E1699BA">
            <w:pPr>
              <w:pStyle w:val="9"/>
              <w:spacing w:line="217" w:lineRule="auto"/>
              <w:ind w:left="585"/>
            </w:pPr>
            <w:r>
              <w:rPr>
                <w:spacing w:val="-1"/>
              </w:rPr>
              <w:t>③遥感数据源的选择与解译</w:t>
            </w:r>
          </w:p>
          <w:p w14:paraId="2F451C9E">
            <w:pPr>
              <w:pStyle w:val="9"/>
              <w:spacing w:before="187" w:line="293" w:lineRule="auto"/>
              <w:ind w:left="106" w:right="102" w:firstLine="480"/>
            </w:pPr>
            <w:r>
              <w:rPr>
                <w:spacing w:val="-3"/>
              </w:rPr>
              <w:t>解译使用的信息源主要为</w:t>
            </w:r>
            <w:r>
              <w:rPr>
                <w:spacing w:val="-51"/>
              </w:rPr>
              <w:t xml:space="preserve"> </w:t>
            </w:r>
            <w:r>
              <w:rPr>
                <w:rFonts w:ascii="Times New Roman" w:hAnsi="Times New Roman" w:eastAsia="Times New Roman" w:cs="Times New Roman"/>
                <w:spacing w:val="-3"/>
              </w:rPr>
              <w:t xml:space="preserve">LANDSAT-8 </w:t>
            </w:r>
            <w:r>
              <w:rPr>
                <w:spacing w:val="-3"/>
              </w:rPr>
              <w:t>遥感影像，空间分辨率为</w:t>
            </w:r>
            <w:r>
              <w:rPr>
                <w:spacing w:val="-32"/>
              </w:rPr>
              <w:t xml:space="preserve"> </w:t>
            </w:r>
            <w:r>
              <w:rPr>
                <w:rFonts w:ascii="Times New Roman" w:hAnsi="Times New Roman" w:eastAsia="Times New Roman" w:cs="Times New Roman"/>
                <w:spacing w:val="-3"/>
              </w:rPr>
              <w:t>15m</w:t>
            </w:r>
            <w:r>
              <w:rPr>
                <w:spacing w:val="-3"/>
              </w:rPr>
              <w:t>，数据获取时间为</w:t>
            </w:r>
            <w:r>
              <w:rPr>
                <w:spacing w:val="-55"/>
              </w:rPr>
              <w:t xml:space="preserve"> </w:t>
            </w:r>
            <w:r>
              <w:rPr>
                <w:rFonts w:ascii="Times New Roman" w:hAnsi="Times New Roman" w:eastAsia="Times New Roman" w:cs="Times New Roman"/>
                <w:spacing w:val="-3"/>
              </w:rPr>
              <w:t xml:space="preserve">2025 </w:t>
            </w:r>
            <w:r>
              <w:rPr>
                <w:spacing w:val="-3"/>
              </w:rPr>
              <w:t>年</w:t>
            </w:r>
            <w:r>
              <w:rPr>
                <w:spacing w:val="-50"/>
              </w:rPr>
              <w:t xml:space="preserve"> </w:t>
            </w:r>
            <w:r>
              <w:rPr>
                <w:rFonts w:ascii="Times New Roman" w:hAnsi="Times New Roman" w:eastAsia="Times New Roman" w:cs="Times New Roman"/>
                <w:spacing w:val="-3"/>
              </w:rPr>
              <w:t>6</w:t>
            </w:r>
            <w:r>
              <w:rPr>
                <w:rFonts w:ascii="Times New Roman" w:hAnsi="Times New Roman" w:eastAsia="Times New Roman" w:cs="Times New Roman"/>
                <w:spacing w:val="15"/>
                <w:w w:val="101"/>
              </w:rPr>
              <w:t xml:space="preserve"> </w:t>
            </w:r>
            <w:r>
              <w:rPr>
                <w:spacing w:val="-3"/>
              </w:rPr>
              <w:t>月。本次评价选用</w:t>
            </w:r>
            <w:r>
              <w:rPr>
                <w:spacing w:val="-56"/>
              </w:rPr>
              <w:t xml:space="preserve"> </w:t>
            </w:r>
            <w:r>
              <w:rPr>
                <w:rFonts w:ascii="Times New Roman" w:hAnsi="Times New Roman" w:eastAsia="Times New Roman" w:cs="Times New Roman"/>
                <w:spacing w:val="-3"/>
              </w:rPr>
              <w:t>RGB_543</w:t>
            </w:r>
            <w:r>
              <w:rPr>
                <w:spacing w:val="-3"/>
              </w:rPr>
              <w:t>（即影像波段</w:t>
            </w:r>
            <w:r>
              <w:rPr>
                <w:spacing w:val="-49"/>
              </w:rPr>
              <w:t xml:space="preserve"> </w:t>
            </w:r>
            <w:r>
              <w:rPr>
                <w:rFonts w:ascii="Times New Roman" w:hAnsi="Times New Roman" w:eastAsia="Times New Roman" w:cs="Times New Roman"/>
                <w:spacing w:val="-3"/>
              </w:rPr>
              <w:t>5</w:t>
            </w:r>
            <w:r>
              <w:rPr>
                <w:rFonts w:ascii="Times New Roman" w:hAnsi="Times New Roman" w:eastAsia="Times New Roman" w:cs="Times New Roman"/>
                <w:spacing w:val="-31"/>
              </w:rPr>
              <w:t xml:space="preserve"> </w:t>
            </w:r>
            <w:r>
              <w:rPr>
                <w:spacing w:val="-3"/>
              </w:rPr>
              <w:t>，</w:t>
            </w:r>
            <w:r>
              <w:rPr>
                <w:rFonts w:ascii="Times New Roman" w:hAnsi="Times New Roman" w:eastAsia="Times New Roman" w:cs="Times New Roman"/>
                <w:spacing w:val="-3"/>
              </w:rPr>
              <w:t>4</w:t>
            </w:r>
            <w:r>
              <w:rPr>
                <w:rFonts w:ascii="Times New Roman" w:hAnsi="Times New Roman" w:eastAsia="Times New Roman" w:cs="Times New Roman"/>
                <w:spacing w:val="-31"/>
              </w:rPr>
              <w:t xml:space="preserve"> </w:t>
            </w:r>
            <w:r>
              <w:rPr>
                <w:spacing w:val="-3"/>
              </w:rPr>
              <w:t>，</w:t>
            </w:r>
            <w:r>
              <w:rPr>
                <w:rFonts w:ascii="Times New Roman" w:hAnsi="Times New Roman" w:eastAsia="Times New Roman" w:cs="Times New Roman"/>
                <w:spacing w:val="-3"/>
              </w:rPr>
              <w:t>3</w:t>
            </w:r>
            <w:r>
              <w:rPr>
                <w:rFonts w:ascii="Times New Roman" w:hAnsi="Times New Roman" w:eastAsia="Times New Roman" w:cs="Times New Roman"/>
                <w:spacing w:val="-4"/>
              </w:rPr>
              <w:t xml:space="preserve"> </w:t>
            </w:r>
            <w:r>
              <w:rPr>
                <w:spacing w:val="-4"/>
              </w:rPr>
              <w:t>组</w:t>
            </w:r>
          </w:p>
        </w:tc>
      </w:tr>
    </w:tbl>
    <w:p w14:paraId="5C757151">
      <w:pPr>
        <w:pStyle w:val="3"/>
      </w:pPr>
    </w:p>
    <w:p w14:paraId="63762EC6">
      <w:pPr>
        <w:sectPr>
          <w:footerReference r:id="rId35" w:type="default"/>
          <w:pgSz w:w="11906" w:h="16838"/>
          <w:pgMar w:top="1416" w:right="1413" w:bottom="1295" w:left="1413" w:header="0" w:footer="1133" w:gutter="0"/>
          <w:cols w:space="720" w:num="1"/>
        </w:sectPr>
      </w:pPr>
    </w:p>
    <w:tbl>
      <w:tblPr>
        <w:tblStyle w:val="8"/>
        <w:tblW w:w="90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51"/>
        <w:gridCol w:w="8313"/>
      </w:tblGrid>
      <w:tr w14:paraId="54248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237" w:hRule="atLeast"/>
        </w:trPr>
        <w:tc>
          <w:tcPr>
            <w:tcW w:w="751" w:type="dxa"/>
            <w:tcBorders>
              <w:right w:val="single" w:color="000000" w:sz="2" w:space="0"/>
            </w:tcBorders>
            <w:vAlign w:val="top"/>
          </w:tcPr>
          <w:p w14:paraId="5A7D95DF">
            <w:pPr>
              <w:rPr>
                <w:rFonts w:ascii="Arial"/>
                <w:sz w:val="21"/>
              </w:rPr>
            </w:pPr>
          </w:p>
        </w:tc>
        <w:tc>
          <w:tcPr>
            <w:tcW w:w="8313" w:type="dxa"/>
            <w:tcBorders>
              <w:left w:val="single" w:color="000000" w:sz="2" w:space="0"/>
            </w:tcBorders>
            <w:vAlign w:val="top"/>
          </w:tcPr>
          <w:p w14:paraId="72C04115">
            <w:pPr>
              <w:pStyle w:val="9"/>
              <w:spacing w:before="174" w:line="362" w:lineRule="auto"/>
              <w:ind w:left="130" w:right="102" w:hanging="22"/>
            </w:pPr>
            <w:r>
              <w:rPr>
                <w:spacing w:val="-3"/>
              </w:rPr>
              <w:t>合）合成分辨率</w:t>
            </w:r>
            <w:r>
              <w:rPr>
                <w:spacing w:val="-42"/>
              </w:rPr>
              <w:t xml:space="preserve"> </w:t>
            </w:r>
            <w:r>
              <w:rPr>
                <w:rFonts w:ascii="Times New Roman" w:hAnsi="Times New Roman" w:eastAsia="Times New Roman" w:cs="Times New Roman"/>
                <w:spacing w:val="-3"/>
              </w:rPr>
              <w:t>30m</w:t>
            </w:r>
            <w:r>
              <w:rPr>
                <w:rFonts w:ascii="Times New Roman" w:hAnsi="Times New Roman" w:eastAsia="Times New Roman" w:cs="Times New Roman"/>
                <w:spacing w:val="29"/>
                <w:w w:val="101"/>
              </w:rPr>
              <w:t xml:space="preserve"> </w:t>
            </w:r>
            <w:r>
              <w:rPr>
                <w:spacing w:val="-3"/>
              </w:rPr>
              <w:t>的彩色图像，然后与波段</w:t>
            </w:r>
            <w:r>
              <w:rPr>
                <w:spacing w:val="-43"/>
              </w:rPr>
              <w:t xml:space="preserve"> </w:t>
            </w:r>
            <w:r>
              <w:rPr>
                <w:rFonts w:ascii="Times New Roman" w:hAnsi="Times New Roman" w:eastAsia="Times New Roman" w:cs="Times New Roman"/>
                <w:spacing w:val="-3"/>
              </w:rPr>
              <w:t>8</w:t>
            </w:r>
            <w:r>
              <w:rPr>
                <w:rFonts w:ascii="Times New Roman" w:hAnsi="Times New Roman" w:eastAsia="Times New Roman" w:cs="Times New Roman"/>
                <w:spacing w:val="15"/>
              </w:rPr>
              <w:t xml:space="preserve"> </w:t>
            </w:r>
            <w:r>
              <w:rPr>
                <w:spacing w:val="-3"/>
              </w:rPr>
              <w:t>融合得到分辨率</w:t>
            </w:r>
            <w:r>
              <w:rPr>
                <w:spacing w:val="-30"/>
              </w:rPr>
              <w:t xml:space="preserve"> </w:t>
            </w:r>
            <w:r>
              <w:rPr>
                <w:rFonts w:ascii="Times New Roman" w:hAnsi="Times New Roman" w:eastAsia="Times New Roman" w:cs="Times New Roman"/>
                <w:spacing w:val="-3"/>
              </w:rPr>
              <w:t>15m</w:t>
            </w:r>
            <w:r>
              <w:rPr>
                <w:rFonts w:ascii="Times New Roman" w:hAnsi="Times New Roman" w:eastAsia="Times New Roman" w:cs="Times New Roman"/>
                <w:spacing w:val="33"/>
              </w:rPr>
              <w:t xml:space="preserve"> </w:t>
            </w:r>
            <w:r>
              <w:rPr>
                <w:spacing w:val="-3"/>
              </w:rPr>
              <w:t>的彩色图像，以此作为解译和矢量化标准。</w:t>
            </w:r>
          </w:p>
          <w:p w14:paraId="6795E289">
            <w:pPr>
              <w:pStyle w:val="9"/>
              <w:spacing w:before="3" w:line="361" w:lineRule="auto"/>
              <w:ind w:left="110" w:right="102" w:firstLine="476"/>
            </w:pPr>
            <w:r>
              <w:rPr>
                <w:spacing w:val="-2"/>
              </w:rPr>
              <w:t>选取这一时间段遥感数据，主要考虑到这一时期的地表类型差异</w:t>
            </w:r>
            <w:r>
              <w:rPr>
                <w:spacing w:val="-3"/>
              </w:rPr>
              <w:t>是一年中</w:t>
            </w:r>
            <w:r>
              <w:rPr>
                <w:spacing w:val="-2"/>
              </w:rPr>
              <w:t>最明显的时候，该时间段具有地物区分显著、地表信息丰富的特</w:t>
            </w:r>
            <w:r>
              <w:rPr>
                <w:spacing w:val="-3"/>
              </w:rPr>
              <w:t>点，有利于对</w:t>
            </w:r>
            <w:r>
              <w:rPr>
                <w:spacing w:val="12"/>
              </w:rPr>
              <w:t>各生态环境因子的研判</w:t>
            </w:r>
            <w:r>
              <w:rPr>
                <w:spacing w:val="-68"/>
              </w:rPr>
              <w:t xml:space="preserve"> </w:t>
            </w:r>
            <w:r>
              <w:rPr>
                <w:spacing w:val="12"/>
              </w:rPr>
              <w:t>。评价范围为风场范围外扩</w:t>
            </w:r>
            <w:r>
              <w:rPr>
                <w:spacing w:val="-29"/>
              </w:rPr>
              <w:t xml:space="preserve"> </w:t>
            </w:r>
            <w:r>
              <w:rPr>
                <w:rFonts w:ascii="Times New Roman" w:hAnsi="Times New Roman" w:eastAsia="Times New Roman" w:cs="Times New Roman"/>
                <w:spacing w:val="12"/>
              </w:rPr>
              <w:t>500</w:t>
            </w:r>
            <w:r>
              <w:rPr>
                <w:rFonts w:ascii="Times New Roman" w:hAnsi="Times New Roman" w:eastAsia="Times New Roman" w:cs="Times New Roman"/>
                <w:spacing w:val="11"/>
              </w:rPr>
              <w:t>m</w:t>
            </w:r>
            <w:r>
              <w:rPr>
                <w:rFonts w:ascii="Times New Roman" w:hAnsi="Times New Roman" w:eastAsia="Times New Roman" w:cs="Times New Roman"/>
                <w:spacing w:val="-11"/>
              </w:rPr>
              <w:t xml:space="preserve"> </w:t>
            </w:r>
            <w:r>
              <w:rPr>
                <w:spacing w:val="11"/>
              </w:rPr>
              <w:t>，总评价面积约</w:t>
            </w:r>
            <w:r>
              <w:rPr>
                <w:rFonts w:ascii="Times New Roman" w:hAnsi="Times New Roman" w:eastAsia="Times New Roman" w:cs="Times New Roman"/>
                <w:spacing w:val="1"/>
              </w:rPr>
              <w:t>130.21</w:t>
            </w:r>
            <w:r>
              <w:rPr>
                <w:rFonts w:ascii="Times New Roman" w:hAnsi="Times New Roman" w:eastAsia="Times New Roman" w:cs="Times New Roman"/>
              </w:rPr>
              <w:t>hm</w:t>
            </w:r>
            <w:r>
              <w:rPr>
                <w:rFonts w:ascii="Times New Roman" w:hAnsi="Times New Roman" w:eastAsia="Times New Roman" w:cs="Times New Roman"/>
                <w:spacing w:val="1"/>
                <w:position w:val="8"/>
                <w:sz w:val="15"/>
                <w:szCs w:val="15"/>
              </w:rPr>
              <w:t xml:space="preserve">2 </w:t>
            </w:r>
            <w:r>
              <w:rPr>
                <w:spacing w:val="1"/>
              </w:rPr>
              <w:t>。此外，充分利用现有的景观生态调查、沙漠化普查、土地详查、</w:t>
            </w:r>
            <w:r>
              <w:t>资源遥感调查等资料，与实地调查相结合，</w:t>
            </w:r>
            <w:r>
              <w:rPr>
                <w:spacing w:val="-1"/>
              </w:rPr>
              <w:t>并采用综合的解译法进行分析。</w:t>
            </w:r>
          </w:p>
          <w:p w14:paraId="0480CBF1">
            <w:pPr>
              <w:pStyle w:val="9"/>
              <w:spacing w:before="1" w:line="217" w:lineRule="auto"/>
              <w:ind w:left="614"/>
            </w:pPr>
            <w:r>
              <w:rPr>
                <w:spacing w:val="6"/>
              </w:rPr>
              <w:t>以项目区边界外扩</w:t>
            </w:r>
            <w:r>
              <w:rPr>
                <w:spacing w:val="-38"/>
              </w:rPr>
              <w:t xml:space="preserve"> </w:t>
            </w:r>
            <w:r>
              <w:rPr>
                <w:rFonts w:ascii="Times New Roman" w:hAnsi="Times New Roman" w:eastAsia="Times New Roman" w:cs="Times New Roman"/>
                <w:spacing w:val="6"/>
              </w:rPr>
              <w:t>500m</w:t>
            </w:r>
            <w:r>
              <w:rPr>
                <w:rFonts w:ascii="Times New Roman" w:hAnsi="Times New Roman" w:eastAsia="Times New Roman" w:cs="Times New Roman"/>
                <w:spacing w:val="-19"/>
              </w:rPr>
              <w:t xml:space="preserve"> </w:t>
            </w:r>
            <w:r>
              <w:rPr>
                <w:spacing w:val="6"/>
              </w:rPr>
              <w:t>，作为本次生态现状的评价范围，评价区面积</w:t>
            </w:r>
          </w:p>
          <w:p w14:paraId="6BFA4CC9">
            <w:pPr>
              <w:pStyle w:val="9"/>
              <w:spacing w:before="204" w:line="199" w:lineRule="auto"/>
              <w:ind w:left="126"/>
            </w:pPr>
            <w:r>
              <w:rPr>
                <w:rFonts w:ascii="Times New Roman" w:hAnsi="Times New Roman" w:eastAsia="Times New Roman" w:cs="Times New Roman"/>
                <w:spacing w:val="-3"/>
              </w:rPr>
              <w:t>130.21hm</w:t>
            </w:r>
            <w:r>
              <w:rPr>
                <w:rFonts w:ascii="Times New Roman" w:hAnsi="Times New Roman" w:eastAsia="Times New Roman" w:cs="Times New Roman"/>
                <w:spacing w:val="-3"/>
                <w:position w:val="7"/>
                <w:sz w:val="15"/>
                <w:szCs w:val="15"/>
              </w:rPr>
              <w:t>2</w:t>
            </w:r>
            <w:r>
              <w:rPr>
                <w:spacing w:val="-3"/>
              </w:rPr>
              <w:t>。</w:t>
            </w:r>
          </w:p>
        </w:tc>
      </w:tr>
    </w:tbl>
    <w:p w14:paraId="0EA40018">
      <w:pPr>
        <w:pStyle w:val="3"/>
      </w:pPr>
    </w:p>
    <w:p w14:paraId="3777F2DC">
      <w:pPr>
        <w:sectPr>
          <w:footerReference r:id="rId36" w:type="default"/>
          <w:pgSz w:w="11906" w:h="16838"/>
          <w:pgMar w:top="1416" w:right="1413" w:bottom="1295" w:left="1413" w:header="0" w:footer="1133" w:gutter="0"/>
          <w:cols w:space="720" w:num="1"/>
        </w:sectPr>
      </w:pPr>
    </w:p>
    <w:tbl>
      <w:tblPr>
        <w:tblStyle w:val="8"/>
        <w:tblW w:w="90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51"/>
        <w:gridCol w:w="8313"/>
      </w:tblGrid>
      <w:tr w14:paraId="637E2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564" w:hRule="atLeast"/>
        </w:trPr>
        <w:tc>
          <w:tcPr>
            <w:tcW w:w="751" w:type="dxa"/>
            <w:tcBorders>
              <w:right w:val="single" w:color="000000" w:sz="2" w:space="0"/>
            </w:tcBorders>
            <w:vAlign w:val="top"/>
          </w:tcPr>
          <w:p w14:paraId="4D90DD89">
            <w:pPr>
              <w:rPr>
                <w:rFonts w:ascii="Arial"/>
                <w:sz w:val="21"/>
              </w:rPr>
            </w:pPr>
            <w:r>
              <w:drawing>
                <wp:anchor distT="0" distB="0" distL="0" distR="0" simplePos="0" relativeHeight="251663360" behindDoc="0" locked="0" layoutInCell="0" allowOverlap="1">
                  <wp:simplePos x="0" y="0"/>
                  <wp:positionH relativeFrom="page">
                    <wp:posOffset>1604645</wp:posOffset>
                  </wp:positionH>
                  <wp:positionV relativeFrom="page">
                    <wp:posOffset>912495</wp:posOffset>
                  </wp:positionV>
                  <wp:extent cx="4823460" cy="6818630"/>
                  <wp:effectExtent l="0" t="0" r="0" b="0"/>
                  <wp:wrapNone/>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241"/>
                          <a:stretch>
                            <a:fillRect/>
                          </a:stretch>
                        </pic:blipFill>
                        <pic:spPr>
                          <a:xfrm>
                            <a:off x="0" y="0"/>
                            <a:ext cx="4823460" cy="6818376"/>
                          </a:xfrm>
                          <a:prstGeom prst="rect">
                            <a:avLst/>
                          </a:prstGeom>
                        </pic:spPr>
                      </pic:pic>
                    </a:graphicData>
                  </a:graphic>
                </wp:anchor>
              </w:drawing>
            </w:r>
          </w:p>
        </w:tc>
        <w:tc>
          <w:tcPr>
            <w:tcW w:w="8313" w:type="dxa"/>
            <w:tcBorders>
              <w:left w:val="single" w:color="000000" w:sz="2" w:space="0"/>
            </w:tcBorders>
            <w:vAlign w:val="top"/>
          </w:tcPr>
          <w:p w14:paraId="16247BE1">
            <w:pPr>
              <w:spacing w:line="244" w:lineRule="auto"/>
              <w:rPr>
                <w:rFonts w:ascii="Arial"/>
                <w:sz w:val="21"/>
              </w:rPr>
            </w:pPr>
          </w:p>
          <w:p w14:paraId="310E6E31">
            <w:pPr>
              <w:spacing w:line="244" w:lineRule="auto"/>
              <w:rPr>
                <w:rFonts w:ascii="Arial"/>
                <w:sz w:val="21"/>
              </w:rPr>
            </w:pPr>
          </w:p>
          <w:p w14:paraId="5B37EE7F">
            <w:pPr>
              <w:spacing w:line="244" w:lineRule="auto"/>
              <w:rPr>
                <w:rFonts w:ascii="Arial"/>
                <w:sz w:val="21"/>
              </w:rPr>
            </w:pPr>
          </w:p>
          <w:p w14:paraId="285A5C81">
            <w:pPr>
              <w:spacing w:line="244" w:lineRule="auto"/>
              <w:rPr>
                <w:rFonts w:ascii="Arial"/>
                <w:sz w:val="21"/>
              </w:rPr>
            </w:pPr>
          </w:p>
          <w:p w14:paraId="26445FEB">
            <w:pPr>
              <w:spacing w:line="244" w:lineRule="auto"/>
              <w:rPr>
                <w:rFonts w:ascii="Arial"/>
                <w:sz w:val="21"/>
              </w:rPr>
            </w:pPr>
          </w:p>
          <w:p w14:paraId="22A57036">
            <w:pPr>
              <w:spacing w:line="244" w:lineRule="auto"/>
              <w:rPr>
                <w:rFonts w:ascii="Arial"/>
                <w:sz w:val="21"/>
              </w:rPr>
            </w:pPr>
          </w:p>
          <w:p w14:paraId="01E68548">
            <w:pPr>
              <w:spacing w:line="244" w:lineRule="auto"/>
              <w:rPr>
                <w:rFonts w:ascii="Arial"/>
                <w:sz w:val="21"/>
              </w:rPr>
            </w:pPr>
          </w:p>
          <w:p w14:paraId="410DAAA9">
            <w:pPr>
              <w:spacing w:line="244" w:lineRule="auto"/>
              <w:rPr>
                <w:rFonts w:ascii="Arial"/>
                <w:sz w:val="21"/>
              </w:rPr>
            </w:pPr>
          </w:p>
          <w:p w14:paraId="1F99E547">
            <w:pPr>
              <w:spacing w:line="244" w:lineRule="auto"/>
              <w:rPr>
                <w:rFonts w:ascii="Arial"/>
                <w:sz w:val="21"/>
              </w:rPr>
            </w:pPr>
          </w:p>
          <w:p w14:paraId="6E315002">
            <w:pPr>
              <w:spacing w:line="244" w:lineRule="auto"/>
              <w:rPr>
                <w:rFonts w:ascii="Arial"/>
                <w:sz w:val="21"/>
              </w:rPr>
            </w:pPr>
          </w:p>
          <w:p w14:paraId="386F54A9">
            <w:pPr>
              <w:spacing w:line="244" w:lineRule="auto"/>
              <w:rPr>
                <w:rFonts w:ascii="Arial"/>
                <w:sz w:val="21"/>
              </w:rPr>
            </w:pPr>
          </w:p>
          <w:p w14:paraId="4CDD3866">
            <w:pPr>
              <w:spacing w:line="244" w:lineRule="auto"/>
              <w:rPr>
                <w:rFonts w:ascii="Arial"/>
                <w:sz w:val="21"/>
              </w:rPr>
            </w:pPr>
          </w:p>
          <w:p w14:paraId="44EA27BE">
            <w:pPr>
              <w:spacing w:line="244" w:lineRule="auto"/>
              <w:rPr>
                <w:rFonts w:ascii="Arial"/>
                <w:sz w:val="21"/>
              </w:rPr>
            </w:pPr>
          </w:p>
          <w:p w14:paraId="0F8AC255">
            <w:pPr>
              <w:spacing w:line="245" w:lineRule="auto"/>
              <w:rPr>
                <w:rFonts w:ascii="Arial"/>
                <w:sz w:val="21"/>
              </w:rPr>
            </w:pPr>
          </w:p>
          <w:p w14:paraId="7E98F8AD">
            <w:pPr>
              <w:spacing w:line="245" w:lineRule="auto"/>
              <w:rPr>
                <w:rFonts w:ascii="Arial"/>
                <w:sz w:val="21"/>
              </w:rPr>
            </w:pPr>
          </w:p>
          <w:p w14:paraId="4C881F78">
            <w:pPr>
              <w:spacing w:line="245" w:lineRule="auto"/>
              <w:rPr>
                <w:rFonts w:ascii="Arial"/>
                <w:sz w:val="21"/>
              </w:rPr>
            </w:pPr>
          </w:p>
          <w:p w14:paraId="2013400A">
            <w:pPr>
              <w:spacing w:line="245" w:lineRule="auto"/>
              <w:rPr>
                <w:rFonts w:ascii="Arial"/>
                <w:sz w:val="21"/>
              </w:rPr>
            </w:pPr>
          </w:p>
          <w:p w14:paraId="399DA16C">
            <w:pPr>
              <w:spacing w:line="245" w:lineRule="auto"/>
              <w:rPr>
                <w:rFonts w:ascii="Arial"/>
                <w:sz w:val="21"/>
              </w:rPr>
            </w:pPr>
          </w:p>
          <w:p w14:paraId="0ED99744">
            <w:pPr>
              <w:spacing w:line="245" w:lineRule="auto"/>
              <w:rPr>
                <w:rFonts w:ascii="Arial"/>
                <w:sz w:val="21"/>
              </w:rPr>
            </w:pPr>
          </w:p>
          <w:p w14:paraId="55377097">
            <w:pPr>
              <w:spacing w:line="245" w:lineRule="auto"/>
              <w:rPr>
                <w:rFonts w:ascii="Arial"/>
                <w:sz w:val="21"/>
              </w:rPr>
            </w:pPr>
          </w:p>
          <w:p w14:paraId="05B80D52">
            <w:pPr>
              <w:spacing w:line="245" w:lineRule="auto"/>
              <w:rPr>
                <w:rFonts w:ascii="Arial"/>
                <w:sz w:val="21"/>
              </w:rPr>
            </w:pPr>
          </w:p>
          <w:p w14:paraId="450F1D66">
            <w:pPr>
              <w:spacing w:line="245" w:lineRule="auto"/>
              <w:rPr>
                <w:rFonts w:ascii="Arial"/>
                <w:sz w:val="21"/>
              </w:rPr>
            </w:pPr>
          </w:p>
          <w:p w14:paraId="08DA4FE8">
            <w:pPr>
              <w:spacing w:line="245" w:lineRule="auto"/>
              <w:rPr>
                <w:rFonts w:ascii="Arial"/>
                <w:sz w:val="21"/>
              </w:rPr>
            </w:pPr>
          </w:p>
          <w:p w14:paraId="5FD636A8">
            <w:pPr>
              <w:spacing w:line="245" w:lineRule="auto"/>
              <w:rPr>
                <w:rFonts w:ascii="Arial"/>
                <w:sz w:val="21"/>
              </w:rPr>
            </w:pPr>
          </w:p>
          <w:p w14:paraId="7CCF46E4">
            <w:pPr>
              <w:spacing w:line="245" w:lineRule="auto"/>
              <w:rPr>
                <w:rFonts w:ascii="Arial"/>
                <w:sz w:val="21"/>
              </w:rPr>
            </w:pPr>
          </w:p>
          <w:p w14:paraId="3C9F0BDD">
            <w:pPr>
              <w:spacing w:line="245" w:lineRule="auto"/>
              <w:rPr>
                <w:rFonts w:ascii="Arial"/>
                <w:sz w:val="21"/>
              </w:rPr>
            </w:pPr>
          </w:p>
          <w:p w14:paraId="2FB109F4">
            <w:pPr>
              <w:spacing w:line="245" w:lineRule="auto"/>
              <w:rPr>
                <w:rFonts w:ascii="Arial"/>
                <w:sz w:val="21"/>
              </w:rPr>
            </w:pPr>
          </w:p>
          <w:p w14:paraId="11257D41">
            <w:pPr>
              <w:spacing w:line="245" w:lineRule="auto"/>
              <w:rPr>
                <w:rFonts w:ascii="Arial"/>
                <w:sz w:val="21"/>
              </w:rPr>
            </w:pPr>
          </w:p>
          <w:p w14:paraId="05126DD7">
            <w:pPr>
              <w:spacing w:line="245" w:lineRule="auto"/>
              <w:rPr>
                <w:rFonts w:ascii="Arial"/>
                <w:sz w:val="21"/>
              </w:rPr>
            </w:pPr>
          </w:p>
          <w:p w14:paraId="0253E036">
            <w:pPr>
              <w:spacing w:line="245" w:lineRule="auto"/>
              <w:rPr>
                <w:rFonts w:ascii="Arial"/>
                <w:sz w:val="21"/>
              </w:rPr>
            </w:pPr>
          </w:p>
          <w:p w14:paraId="573FA14F">
            <w:pPr>
              <w:spacing w:line="245" w:lineRule="auto"/>
              <w:rPr>
                <w:rFonts w:ascii="Arial"/>
                <w:sz w:val="21"/>
              </w:rPr>
            </w:pPr>
          </w:p>
          <w:p w14:paraId="0EF8F0F0">
            <w:pPr>
              <w:spacing w:line="245" w:lineRule="auto"/>
              <w:rPr>
                <w:rFonts w:ascii="Arial"/>
                <w:sz w:val="21"/>
              </w:rPr>
            </w:pPr>
          </w:p>
          <w:p w14:paraId="6B0B7703">
            <w:pPr>
              <w:spacing w:line="245" w:lineRule="auto"/>
              <w:rPr>
                <w:rFonts w:ascii="Arial"/>
                <w:sz w:val="21"/>
              </w:rPr>
            </w:pPr>
          </w:p>
          <w:p w14:paraId="35895378">
            <w:pPr>
              <w:spacing w:line="245" w:lineRule="auto"/>
              <w:rPr>
                <w:rFonts w:ascii="Arial"/>
                <w:sz w:val="21"/>
              </w:rPr>
            </w:pPr>
          </w:p>
          <w:p w14:paraId="20A62D28">
            <w:pPr>
              <w:spacing w:line="245" w:lineRule="auto"/>
              <w:rPr>
                <w:rFonts w:ascii="Arial"/>
                <w:sz w:val="21"/>
              </w:rPr>
            </w:pPr>
          </w:p>
          <w:p w14:paraId="50C39BE8">
            <w:pPr>
              <w:spacing w:line="245" w:lineRule="auto"/>
              <w:rPr>
                <w:rFonts w:ascii="Arial"/>
                <w:sz w:val="21"/>
              </w:rPr>
            </w:pPr>
          </w:p>
          <w:p w14:paraId="5DF23D43">
            <w:pPr>
              <w:spacing w:line="245" w:lineRule="auto"/>
              <w:rPr>
                <w:rFonts w:ascii="Arial"/>
                <w:sz w:val="21"/>
              </w:rPr>
            </w:pPr>
          </w:p>
          <w:p w14:paraId="06E3A980">
            <w:pPr>
              <w:spacing w:line="245" w:lineRule="auto"/>
              <w:rPr>
                <w:rFonts w:ascii="Arial"/>
                <w:sz w:val="21"/>
              </w:rPr>
            </w:pPr>
          </w:p>
          <w:p w14:paraId="2EB1B715">
            <w:pPr>
              <w:spacing w:line="245" w:lineRule="auto"/>
              <w:rPr>
                <w:rFonts w:ascii="Arial"/>
                <w:sz w:val="21"/>
              </w:rPr>
            </w:pPr>
          </w:p>
          <w:p w14:paraId="0CB99B19">
            <w:pPr>
              <w:spacing w:line="245" w:lineRule="auto"/>
              <w:rPr>
                <w:rFonts w:ascii="Arial"/>
                <w:sz w:val="21"/>
              </w:rPr>
            </w:pPr>
          </w:p>
          <w:p w14:paraId="6495F949">
            <w:pPr>
              <w:spacing w:line="245" w:lineRule="auto"/>
              <w:rPr>
                <w:rFonts w:ascii="Arial"/>
                <w:sz w:val="21"/>
              </w:rPr>
            </w:pPr>
          </w:p>
          <w:p w14:paraId="6AB94EF5">
            <w:pPr>
              <w:spacing w:line="245" w:lineRule="auto"/>
              <w:rPr>
                <w:rFonts w:ascii="Arial"/>
                <w:sz w:val="21"/>
              </w:rPr>
            </w:pPr>
          </w:p>
          <w:p w14:paraId="7A8AA3F1">
            <w:pPr>
              <w:spacing w:line="245" w:lineRule="auto"/>
              <w:rPr>
                <w:rFonts w:ascii="Arial"/>
                <w:sz w:val="21"/>
              </w:rPr>
            </w:pPr>
          </w:p>
          <w:p w14:paraId="6AD75D19">
            <w:pPr>
              <w:spacing w:line="245" w:lineRule="auto"/>
              <w:rPr>
                <w:rFonts w:ascii="Arial"/>
                <w:sz w:val="21"/>
              </w:rPr>
            </w:pPr>
          </w:p>
          <w:p w14:paraId="08CFACBF">
            <w:pPr>
              <w:pStyle w:val="9"/>
              <w:spacing w:before="78" w:line="219" w:lineRule="auto"/>
              <w:ind w:left="2788"/>
            </w:pPr>
            <w:r>
              <w:rPr>
                <w:b/>
                <w:bCs/>
                <w:spacing w:val="-4"/>
              </w:rPr>
              <w:t>图</w:t>
            </w:r>
            <w:r>
              <w:rPr>
                <w:spacing w:val="-47"/>
              </w:rPr>
              <w:t xml:space="preserve"> </w:t>
            </w:r>
            <w:r>
              <w:rPr>
                <w:rFonts w:ascii="Times New Roman" w:hAnsi="Times New Roman" w:eastAsia="Times New Roman" w:cs="Times New Roman"/>
                <w:b/>
                <w:bCs/>
                <w:spacing w:val="-4"/>
              </w:rPr>
              <w:t xml:space="preserve">3-5    </w:t>
            </w:r>
            <w:r>
              <w:rPr>
                <w:b/>
                <w:bCs/>
                <w:spacing w:val="-4"/>
              </w:rPr>
              <w:t>本项目遥感影像图</w:t>
            </w:r>
          </w:p>
          <w:p w14:paraId="3376E571">
            <w:pPr>
              <w:pStyle w:val="9"/>
              <w:spacing w:before="186" w:line="218" w:lineRule="auto"/>
              <w:ind w:left="584"/>
              <w:outlineLvl w:val="1"/>
            </w:pPr>
            <w:r>
              <w:rPr>
                <w:rFonts w:ascii="Times New Roman" w:hAnsi="Times New Roman" w:eastAsia="Times New Roman" w:cs="Times New Roman"/>
                <w:b/>
                <w:bCs/>
                <w:spacing w:val="-2"/>
              </w:rPr>
              <w:t>2.</w:t>
            </w:r>
            <w:r>
              <w:rPr>
                <w:b/>
                <w:bCs/>
                <w:spacing w:val="-2"/>
              </w:rPr>
              <w:t>土地利用现状调查与评价</w:t>
            </w:r>
          </w:p>
          <w:p w14:paraId="430FE59C">
            <w:pPr>
              <w:pStyle w:val="9"/>
              <w:spacing w:before="186" w:line="361" w:lineRule="auto"/>
              <w:ind w:left="108" w:right="102" w:firstLine="479"/>
            </w:pPr>
            <w:r>
              <w:rPr>
                <w:spacing w:val="-2"/>
              </w:rPr>
              <w:t>根据《土地利用现状分类》（</w:t>
            </w:r>
            <w:r>
              <w:rPr>
                <w:rFonts w:ascii="Times New Roman" w:hAnsi="Times New Roman" w:eastAsia="Times New Roman" w:cs="Times New Roman"/>
                <w:spacing w:val="-2"/>
              </w:rPr>
              <w:t>GB/T21010</w:t>
            </w:r>
            <w:r>
              <w:rPr>
                <w:rFonts w:ascii="Times New Roman" w:hAnsi="Times New Roman" w:eastAsia="Times New Roman" w:cs="Times New Roman"/>
                <w:spacing w:val="-3"/>
              </w:rPr>
              <w:t>-2017</w:t>
            </w:r>
            <w:r>
              <w:rPr>
                <w:spacing w:val="-3"/>
              </w:rPr>
              <w:t>）的规定，将评价区的土地</w:t>
            </w:r>
            <w:r>
              <w:rPr>
                <w:spacing w:val="-1"/>
              </w:rPr>
              <w:t>利用现状分为</w:t>
            </w:r>
            <w:r>
              <w:rPr>
                <w:spacing w:val="-35"/>
              </w:rPr>
              <w:t xml:space="preserve"> </w:t>
            </w:r>
            <w:r>
              <w:rPr>
                <w:rFonts w:ascii="Times New Roman" w:hAnsi="Times New Roman" w:eastAsia="Times New Roman" w:cs="Times New Roman"/>
                <w:spacing w:val="-1"/>
              </w:rPr>
              <w:t xml:space="preserve">5 </w:t>
            </w:r>
            <w:r>
              <w:rPr>
                <w:spacing w:val="-1"/>
              </w:rPr>
              <w:t>个类型，最后绘制土地利用现状类型图</w:t>
            </w:r>
            <w:r>
              <w:rPr>
                <w:spacing w:val="-50"/>
              </w:rPr>
              <w:t xml:space="preserve"> </w:t>
            </w:r>
            <w:r>
              <w:rPr>
                <w:rFonts w:ascii="Times New Roman" w:hAnsi="Times New Roman" w:eastAsia="Times New Roman" w:cs="Times New Roman"/>
                <w:spacing w:val="-1"/>
              </w:rPr>
              <w:t>3-4</w:t>
            </w:r>
            <w:r>
              <w:rPr>
                <w:rFonts w:ascii="Times New Roman" w:hAnsi="Times New Roman" w:eastAsia="Times New Roman" w:cs="Times New Roman"/>
                <w:spacing w:val="-28"/>
              </w:rPr>
              <w:t xml:space="preserve"> </w:t>
            </w:r>
            <w:r>
              <w:rPr>
                <w:spacing w:val="-1"/>
              </w:rPr>
              <w:t>，评价区土地利用</w:t>
            </w:r>
          </w:p>
          <w:p w14:paraId="0306AE7A">
            <w:pPr>
              <w:pStyle w:val="9"/>
              <w:spacing w:line="219" w:lineRule="auto"/>
              <w:ind w:left="109"/>
            </w:pPr>
            <w:r>
              <w:rPr>
                <w:spacing w:val="-4"/>
              </w:rPr>
              <w:t>现状特征见表</w:t>
            </w:r>
            <w:r>
              <w:rPr>
                <w:spacing w:val="-32"/>
              </w:rPr>
              <w:t xml:space="preserve"> </w:t>
            </w:r>
            <w:r>
              <w:rPr>
                <w:rFonts w:ascii="Times New Roman" w:hAnsi="Times New Roman" w:eastAsia="Times New Roman" w:cs="Times New Roman"/>
                <w:spacing w:val="-4"/>
              </w:rPr>
              <w:t>3-</w:t>
            </w:r>
            <w:r>
              <w:rPr>
                <w:rFonts w:ascii="Times New Roman" w:hAnsi="Times New Roman" w:eastAsia="Times New Roman" w:cs="Times New Roman"/>
                <w:spacing w:val="-33"/>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31"/>
              </w:rPr>
              <w:t xml:space="preserve"> </w:t>
            </w:r>
            <w:r>
              <w:rPr>
                <w:spacing w:val="-4"/>
              </w:rPr>
              <w:t>，项目区土地利用现状特征见表</w:t>
            </w:r>
            <w:r>
              <w:rPr>
                <w:spacing w:val="-50"/>
              </w:rPr>
              <w:t xml:space="preserve"> </w:t>
            </w:r>
            <w:r>
              <w:rPr>
                <w:rFonts w:ascii="Times New Roman" w:hAnsi="Times New Roman" w:eastAsia="Times New Roman" w:cs="Times New Roman"/>
                <w:spacing w:val="-4"/>
              </w:rPr>
              <w:t>3-2</w:t>
            </w:r>
            <w:r>
              <w:rPr>
                <w:spacing w:val="-4"/>
              </w:rPr>
              <w:t>。</w:t>
            </w:r>
          </w:p>
          <w:p w14:paraId="3D6A828F">
            <w:pPr>
              <w:pStyle w:val="9"/>
              <w:spacing w:before="185" w:line="218" w:lineRule="auto"/>
              <w:ind w:left="2401"/>
            </w:pPr>
            <w:r>
              <w:rPr>
                <w:b/>
                <w:bCs/>
                <w:spacing w:val="-2"/>
              </w:rPr>
              <w:t>表</w:t>
            </w:r>
            <w:r>
              <w:rPr>
                <w:spacing w:val="-43"/>
              </w:rPr>
              <w:t xml:space="preserve"> </w:t>
            </w:r>
            <w:r>
              <w:rPr>
                <w:rFonts w:ascii="Times New Roman" w:hAnsi="Times New Roman" w:eastAsia="Times New Roman" w:cs="Times New Roman"/>
                <w:b/>
                <w:bCs/>
                <w:spacing w:val="-2"/>
              </w:rPr>
              <w:t xml:space="preserve">3-1        </w:t>
            </w:r>
            <w:r>
              <w:rPr>
                <w:b/>
                <w:bCs/>
                <w:spacing w:val="-2"/>
              </w:rPr>
              <w:t>评价区土地利用现状特征表</w:t>
            </w:r>
          </w:p>
        </w:tc>
      </w:tr>
    </w:tbl>
    <w:p w14:paraId="4DE1E189">
      <w:pPr>
        <w:pStyle w:val="3"/>
      </w:pPr>
    </w:p>
    <w:p w14:paraId="631DF2C2">
      <w:pPr>
        <w:sectPr>
          <w:footerReference r:id="rId37" w:type="default"/>
          <w:pgSz w:w="11906" w:h="16838"/>
          <w:pgMar w:top="1416" w:right="1413" w:bottom="1295" w:left="1413" w:header="0" w:footer="1133" w:gutter="0"/>
          <w:cols w:space="720" w:num="1"/>
        </w:sectPr>
      </w:pPr>
    </w:p>
    <w:tbl>
      <w:tblPr>
        <w:tblStyle w:val="8"/>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1"/>
        <w:gridCol w:w="157"/>
        <w:gridCol w:w="2033"/>
        <w:gridCol w:w="1704"/>
        <w:gridCol w:w="737"/>
        <w:gridCol w:w="1939"/>
        <w:gridCol w:w="1577"/>
        <w:gridCol w:w="166"/>
      </w:tblGrid>
      <w:tr w14:paraId="55CCFB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751" w:type="dxa"/>
            <w:vMerge w:val="restart"/>
            <w:tcBorders>
              <w:top w:val="single" w:color="000000" w:sz="6" w:space="0"/>
              <w:left w:val="single" w:color="000000" w:sz="6" w:space="0"/>
              <w:bottom w:val="nil"/>
            </w:tcBorders>
            <w:vAlign w:val="top"/>
          </w:tcPr>
          <w:p w14:paraId="4AE9D440">
            <w:pPr>
              <w:rPr>
                <w:rFonts w:ascii="Arial"/>
                <w:sz w:val="21"/>
              </w:rPr>
            </w:pPr>
          </w:p>
        </w:tc>
        <w:tc>
          <w:tcPr>
            <w:tcW w:w="157" w:type="dxa"/>
            <w:vMerge w:val="restart"/>
            <w:tcBorders>
              <w:top w:val="single" w:color="000000" w:sz="6" w:space="0"/>
              <w:bottom w:val="nil"/>
            </w:tcBorders>
            <w:vAlign w:val="top"/>
          </w:tcPr>
          <w:p w14:paraId="40D7006A">
            <w:pPr>
              <w:rPr>
                <w:rFonts w:ascii="Arial"/>
                <w:sz w:val="21"/>
              </w:rPr>
            </w:pPr>
          </w:p>
        </w:tc>
        <w:tc>
          <w:tcPr>
            <w:tcW w:w="2033" w:type="dxa"/>
            <w:vAlign w:val="top"/>
          </w:tcPr>
          <w:p w14:paraId="76557C9F">
            <w:pPr>
              <w:pStyle w:val="9"/>
              <w:spacing w:before="181" w:line="228" w:lineRule="auto"/>
              <w:ind w:left="178"/>
              <w:rPr>
                <w:sz w:val="20"/>
                <w:szCs w:val="20"/>
              </w:rPr>
            </w:pPr>
            <w:r>
              <w:rPr>
                <w:spacing w:val="8"/>
                <w:sz w:val="20"/>
                <w:szCs w:val="20"/>
              </w:rPr>
              <w:t>土地利用一级类型</w:t>
            </w:r>
          </w:p>
        </w:tc>
        <w:tc>
          <w:tcPr>
            <w:tcW w:w="1704" w:type="dxa"/>
            <w:vAlign w:val="top"/>
          </w:tcPr>
          <w:p w14:paraId="0F21251B">
            <w:pPr>
              <w:pStyle w:val="9"/>
              <w:spacing w:before="44" w:line="235" w:lineRule="auto"/>
              <w:ind w:left="756" w:right="118" w:hanging="636"/>
              <w:rPr>
                <w:sz w:val="20"/>
                <w:szCs w:val="20"/>
              </w:rPr>
            </w:pPr>
            <w:r>
              <w:rPr>
                <w:spacing w:val="8"/>
                <w:sz w:val="20"/>
                <w:szCs w:val="20"/>
              </w:rPr>
              <w:t>土地利用二级类</w:t>
            </w:r>
            <w:r>
              <w:rPr>
                <w:sz w:val="20"/>
                <w:szCs w:val="20"/>
              </w:rPr>
              <w:t>型</w:t>
            </w:r>
          </w:p>
        </w:tc>
        <w:tc>
          <w:tcPr>
            <w:tcW w:w="737" w:type="dxa"/>
            <w:vAlign w:val="top"/>
          </w:tcPr>
          <w:p w14:paraId="4FBFC1B3">
            <w:pPr>
              <w:pStyle w:val="9"/>
              <w:spacing w:before="44" w:line="235" w:lineRule="auto"/>
              <w:ind w:left="269" w:right="157" w:hanging="104"/>
              <w:rPr>
                <w:sz w:val="20"/>
                <w:szCs w:val="20"/>
              </w:rPr>
            </w:pPr>
            <w:r>
              <w:rPr>
                <w:spacing w:val="4"/>
                <w:sz w:val="20"/>
                <w:szCs w:val="20"/>
              </w:rPr>
              <w:t>斑块</w:t>
            </w:r>
            <w:r>
              <w:rPr>
                <w:sz w:val="20"/>
                <w:szCs w:val="20"/>
              </w:rPr>
              <w:t>数</w:t>
            </w:r>
          </w:p>
        </w:tc>
        <w:tc>
          <w:tcPr>
            <w:tcW w:w="1939" w:type="dxa"/>
            <w:vAlign w:val="top"/>
          </w:tcPr>
          <w:p w14:paraId="5537DF2A">
            <w:pPr>
              <w:pStyle w:val="9"/>
              <w:spacing w:before="182" w:line="228" w:lineRule="auto"/>
              <w:ind w:left="348"/>
              <w:rPr>
                <w:sz w:val="20"/>
                <w:szCs w:val="20"/>
              </w:rPr>
            </w:pPr>
            <w:r>
              <w:rPr>
                <w:spacing w:val="6"/>
                <w:sz w:val="20"/>
                <w:szCs w:val="20"/>
              </w:rPr>
              <w:t>面积（公顷）</w:t>
            </w:r>
          </w:p>
        </w:tc>
        <w:tc>
          <w:tcPr>
            <w:tcW w:w="1577" w:type="dxa"/>
            <w:vAlign w:val="top"/>
          </w:tcPr>
          <w:p w14:paraId="67959EA9">
            <w:pPr>
              <w:pStyle w:val="9"/>
              <w:spacing w:before="182" w:line="229" w:lineRule="auto"/>
              <w:ind w:left="360"/>
              <w:rPr>
                <w:sz w:val="20"/>
                <w:szCs w:val="20"/>
              </w:rPr>
            </w:pPr>
            <w:r>
              <w:rPr>
                <w:spacing w:val="-2"/>
                <w:sz w:val="20"/>
                <w:szCs w:val="20"/>
              </w:rPr>
              <w:t>占比（%）</w:t>
            </w:r>
          </w:p>
        </w:tc>
        <w:tc>
          <w:tcPr>
            <w:tcW w:w="166" w:type="dxa"/>
            <w:vMerge w:val="restart"/>
            <w:tcBorders>
              <w:top w:val="single" w:color="000000" w:sz="6" w:space="0"/>
              <w:bottom w:val="nil"/>
              <w:right w:val="single" w:color="000000" w:sz="6" w:space="0"/>
            </w:tcBorders>
            <w:vAlign w:val="top"/>
          </w:tcPr>
          <w:p w14:paraId="1CD84A21">
            <w:pPr>
              <w:rPr>
                <w:rFonts w:ascii="Arial"/>
                <w:sz w:val="21"/>
              </w:rPr>
            </w:pPr>
          </w:p>
        </w:tc>
      </w:tr>
      <w:tr w14:paraId="04D089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751" w:type="dxa"/>
            <w:vMerge w:val="continue"/>
            <w:tcBorders>
              <w:top w:val="nil"/>
              <w:left w:val="single" w:color="000000" w:sz="6" w:space="0"/>
              <w:bottom w:val="nil"/>
            </w:tcBorders>
            <w:vAlign w:val="top"/>
          </w:tcPr>
          <w:p w14:paraId="0714DDA7">
            <w:pPr>
              <w:rPr>
                <w:rFonts w:ascii="Arial"/>
                <w:sz w:val="21"/>
              </w:rPr>
            </w:pPr>
          </w:p>
        </w:tc>
        <w:tc>
          <w:tcPr>
            <w:tcW w:w="157" w:type="dxa"/>
            <w:vMerge w:val="continue"/>
            <w:tcBorders>
              <w:top w:val="nil"/>
              <w:bottom w:val="nil"/>
            </w:tcBorders>
            <w:vAlign w:val="top"/>
          </w:tcPr>
          <w:p w14:paraId="10EACB4A">
            <w:pPr>
              <w:rPr>
                <w:rFonts w:ascii="Arial"/>
                <w:sz w:val="21"/>
              </w:rPr>
            </w:pPr>
          </w:p>
        </w:tc>
        <w:tc>
          <w:tcPr>
            <w:tcW w:w="2033" w:type="dxa"/>
            <w:vAlign w:val="top"/>
          </w:tcPr>
          <w:p w14:paraId="0B82810A">
            <w:pPr>
              <w:pStyle w:val="9"/>
              <w:spacing w:before="95" w:line="228" w:lineRule="auto"/>
              <w:ind w:left="810"/>
              <w:rPr>
                <w:sz w:val="20"/>
                <w:szCs w:val="20"/>
              </w:rPr>
            </w:pPr>
            <w:r>
              <w:rPr>
                <w:spacing w:val="3"/>
                <w:sz w:val="20"/>
                <w:szCs w:val="20"/>
              </w:rPr>
              <w:t>草地</w:t>
            </w:r>
          </w:p>
        </w:tc>
        <w:tc>
          <w:tcPr>
            <w:tcW w:w="1704" w:type="dxa"/>
            <w:vAlign w:val="top"/>
          </w:tcPr>
          <w:p w14:paraId="02DC0210">
            <w:pPr>
              <w:pStyle w:val="9"/>
              <w:spacing w:before="95" w:line="228" w:lineRule="auto"/>
              <w:ind w:left="335"/>
              <w:rPr>
                <w:sz w:val="20"/>
                <w:szCs w:val="20"/>
              </w:rPr>
            </w:pPr>
            <w:r>
              <w:rPr>
                <w:spacing w:val="7"/>
                <w:sz w:val="20"/>
                <w:szCs w:val="20"/>
              </w:rPr>
              <w:t>天然牧草地</w:t>
            </w:r>
          </w:p>
        </w:tc>
        <w:tc>
          <w:tcPr>
            <w:tcW w:w="737" w:type="dxa"/>
            <w:vAlign w:val="top"/>
          </w:tcPr>
          <w:p w14:paraId="75353E7A">
            <w:pPr>
              <w:spacing w:before="131" w:line="195" w:lineRule="auto"/>
              <w:ind w:left="268"/>
              <w:rPr>
                <w:rFonts w:ascii="Times New Roman" w:hAnsi="Times New Roman" w:eastAsia="Times New Roman" w:cs="Times New Roman"/>
                <w:sz w:val="20"/>
                <w:szCs w:val="20"/>
              </w:rPr>
            </w:pPr>
            <w:r>
              <w:rPr>
                <w:rFonts w:ascii="Times New Roman" w:hAnsi="Times New Roman" w:eastAsia="Times New Roman" w:cs="Times New Roman"/>
                <w:sz w:val="20"/>
                <w:szCs w:val="20"/>
              </w:rPr>
              <w:t>32</w:t>
            </w:r>
          </w:p>
        </w:tc>
        <w:tc>
          <w:tcPr>
            <w:tcW w:w="1939" w:type="dxa"/>
            <w:vAlign w:val="top"/>
          </w:tcPr>
          <w:p w14:paraId="5CCBF776">
            <w:pPr>
              <w:spacing w:before="131" w:line="195" w:lineRule="auto"/>
              <w:ind w:left="74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81.66</w:t>
            </w:r>
          </w:p>
        </w:tc>
        <w:tc>
          <w:tcPr>
            <w:tcW w:w="1577" w:type="dxa"/>
            <w:vAlign w:val="top"/>
          </w:tcPr>
          <w:p w14:paraId="21FAF8B0">
            <w:pPr>
              <w:spacing w:before="131" w:line="195" w:lineRule="auto"/>
              <w:ind w:left="5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62.71</w:t>
            </w:r>
          </w:p>
        </w:tc>
        <w:tc>
          <w:tcPr>
            <w:tcW w:w="166" w:type="dxa"/>
            <w:vMerge w:val="continue"/>
            <w:tcBorders>
              <w:top w:val="nil"/>
              <w:bottom w:val="nil"/>
              <w:right w:val="single" w:color="000000" w:sz="6" w:space="0"/>
            </w:tcBorders>
            <w:vAlign w:val="top"/>
          </w:tcPr>
          <w:p w14:paraId="649BB8AB">
            <w:pPr>
              <w:rPr>
                <w:rFonts w:ascii="Arial"/>
                <w:sz w:val="21"/>
              </w:rPr>
            </w:pPr>
          </w:p>
        </w:tc>
      </w:tr>
      <w:tr w14:paraId="1E530F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751" w:type="dxa"/>
            <w:vMerge w:val="continue"/>
            <w:tcBorders>
              <w:top w:val="nil"/>
              <w:left w:val="single" w:color="000000" w:sz="6" w:space="0"/>
              <w:bottom w:val="nil"/>
            </w:tcBorders>
            <w:vAlign w:val="top"/>
          </w:tcPr>
          <w:p w14:paraId="7450B31B">
            <w:pPr>
              <w:rPr>
                <w:rFonts w:ascii="Arial"/>
                <w:sz w:val="21"/>
              </w:rPr>
            </w:pPr>
          </w:p>
        </w:tc>
        <w:tc>
          <w:tcPr>
            <w:tcW w:w="157" w:type="dxa"/>
            <w:vMerge w:val="continue"/>
            <w:tcBorders>
              <w:top w:val="nil"/>
              <w:bottom w:val="nil"/>
            </w:tcBorders>
            <w:vAlign w:val="top"/>
          </w:tcPr>
          <w:p w14:paraId="5FA0ABF7">
            <w:pPr>
              <w:rPr>
                <w:rFonts w:ascii="Arial"/>
                <w:sz w:val="21"/>
              </w:rPr>
            </w:pPr>
          </w:p>
        </w:tc>
        <w:tc>
          <w:tcPr>
            <w:tcW w:w="2033" w:type="dxa"/>
            <w:vAlign w:val="top"/>
          </w:tcPr>
          <w:p w14:paraId="5B3EF39A">
            <w:pPr>
              <w:pStyle w:val="9"/>
              <w:spacing w:before="97" w:line="228" w:lineRule="auto"/>
              <w:ind w:left="809"/>
              <w:rPr>
                <w:sz w:val="20"/>
                <w:szCs w:val="20"/>
              </w:rPr>
            </w:pPr>
            <w:r>
              <w:rPr>
                <w:spacing w:val="4"/>
                <w:sz w:val="20"/>
                <w:szCs w:val="20"/>
              </w:rPr>
              <w:t>林地</w:t>
            </w:r>
          </w:p>
        </w:tc>
        <w:tc>
          <w:tcPr>
            <w:tcW w:w="1704" w:type="dxa"/>
            <w:vAlign w:val="top"/>
          </w:tcPr>
          <w:p w14:paraId="4315F789">
            <w:pPr>
              <w:pStyle w:val="9"/>
              <w:spacing w:before="97" w:line="228" w:lineRule="auto"/>
              <w:ind w:left="439"/>
              <w:rPr>
                <w:sz w:val="20"/>
                <w:szCs w:val="20"/>
              </w:rPr>
            </w:pPr>
            <w:r>
              <w:rPr>
                <w:spacing w:val="6"/>
                <w:sz w:val="20"/>
                <w:szCs w:val="20"/>
              </w:rPr>
              <w:t>灌木林地</w:t>
            </w:r>
          </w:p>
        </w:tc>
        <w:tc>
          <w:tcPr>
            <w:tcW w:w="737" w:type="dxa"/>
            <w:vAlign w:val="top"/>
          </w:tcPr>
          <w:p w14:paraId="2E877621">
            <w:pPr>
              <w:spacing w:before="133"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20</w:t>
            </w:r>
          </w:p>
        </w:tc>
        <w:tc>
          <w:tcPr>
            <w:tcW w:w="1939" w:type="dxa"/>
            <w:vAlign w:val="top"/>
          </w:tcPr>
          <w:p w14:paraId="57D077CD">
            <w:pPr>
              <w:spacing w:before="133" w:line="195" w:lineRule="auto"/>
              <w:ind w:left="73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23.26</w:t>
            </w:r>
          </w:p>
        </w:tc>
        <w:tc>
          <w:tcPr>
            <w:tcW w:w="1577" w:type="dxa"/>
            <w:vAlign w:val="top"/>
          </w:tcPr>
          <w:p w14:paraId="46FEB2F7">
            <w:pPr>
              <w:spacing w:before="133" w:line="195" w:lineRule="auto"/>
              <w:ind w:left="58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17.86</w:t>
            </w:r>
          </w:p>
        </w:tc>
        <w:tc>
          <w:tcPr>
            <w:tcW w:w="166" w:type="dxa"/>
            <w:vMerge w:val="continue"/>
            <w:tcBorders>
              <w:top w:val="nil"/>
              <w:bottom w:val="nil"/>
              <w:right w:val="single" w:color="000000" w:sz="6" w:space="0"/>
            </w:tcBorders>
            <w:vAlign w:val="top"/>
          </w:tcPr>
          <w:p w14:paraId="20AAD007">
            <w:pPr>
              <w:rPr>
                <w:rFonts w:ascii="Arial"/>
                <w:sz w:val="21"/>
              </w:rPr>
            </w:pPr>
          </w:p>
        </w:tc>
      </w:tr>
      <w:tr w14:paraId="582E87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751" w:type="dxa"/>
            <w:vMerge w:val="continue"/>
            <w:tcBorders>
              <w:top w:val="nil"/>
              <w:left w:val="single" w:color="000000" w:sz="6" w:space="0"/>
              <w:bottom w:val="nil"/>
            </w:tcBorders>
            <w:vAlign w:val="top"/>
          </w:tcPr>
          <w:p w14:paraId="36CB8899">
            <w:pPr>
              <w:rPr>
                <w:rFonts w:ascii="Arial"/>
                <w:sz w:val="21"/>
              </w:rPr>
            </w:pPr>
          </w:p>
        </w:tc>
        <w:tc>
          <w:tcPr>
            <w:tcW w:w="157" w:type="dxa"/>
            <w:vMerge w:val="continue"/>
            <w:tcBorders>
              <w:top w:val="nil"/>
              <w:bottom w:val="nil"/>
            </w:tcBorders>
            <w:vAlign w:val="top"/>
          </w:tcPr>
          <w:p w14:paraId="4D953723">
            <w:pPr>
              <w:rPr>
                <w:rFonts w:ascii="Arial"/>
                <w:sz w:val="21"/>
              </w:rPr>
            </w:pPr>
          </w:p>
        </w:tc>
        <w:tc>
          <w:tcPr>
            <w:tcW w:w="2033" w:type="dxa"/>
            <w:vAlign w:val="top"/>
          </w:tcPr>
          <w:p w14:paraId="0B71A15D">
            <w:pPr>
              <w:pStyle w:val="9"/>
              <w:spacing w:before="96" w:line="228" w:lineRule="auto"/>
              <w:ind w:left="392"/>
              <w:rPr>
                <w:sz w:val="20"/>
                <w:szCs w:val="20"/>
              </w:rPr>
            </w:pPr>
            <w:r>
              <w:rPr>
                <w:spacing w:val="7"/>
                <w:sz w:val="20"/>
                <w:szCs w:val="20"/>
              </w:rPr>
              <w:t>交通运输用地</w:t>
            </w:r>
          </w:p>
        </w:tc>
        <w:tc>
          <w:tcPr>
            <w:tcW w:w="1704" w:type="dxa"/>
            <w:vAlign w:val="top"/>
          </w:tcPr>
          <w:p w14:paraId="0E2D9670">
            <w:pPr>
              <w:pStyle w:val="9"/>
              <w:spacing w:before="96" w:line="227" w:lineRule="auto"/>
              <w:ind w:left="436"/>
              <w:rPr>
                <w:sz w:val="20"/>
                <w:szCs w:val="20"/>
              </w:rPr>
            </w:pPr>
            <w:r>
              <w:rPr>
                <w:spacing w:val="7"/>
                <w:sz w:val="20"/>
                <w:szCs w:val="20"/>
              </w:rPr>
              <w:t>农村道路</w:t>
            </w:r>
          </w:p>
        </w:tc>
        <w:tc>
          <w:tcPr>
            <w:tcW w:w="737" w:type="dxa"/>
            <w:vAlign w:val="top"/>
          </w:tcPr>
          <w:p w14:paraId="4A668034">
            <w:pPr>
              <w:spacing w:before="135" w:line="195" w:lineRule="auto"/>
              <w:ind w:left="284"/>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17</w:t>
            </w:r>
          </w:p>
        </w:tc>
        <w:tc>
          <w:tcPr>
            <w:tcW w:w="1939" w:type="dxa"/>
            <w:vAlign w:val="top"/>
          </w:tcPr>
          <w:p w14:paraId="4AC80690">
            <w:pPr>
              <w:spacing w:before="135" w:line="195" w:lineRule="auto"/>
              <w:ind w:left="79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5.37</w:t>
            </w:r>
          </w:p>
        </w:tc>
        <w:tc>
          <w:tcPr>
            <w:tcW w:w="1577" w:type="dxa"/>
            <w:vAlign w:val="top"/>
          </w:tcPr>
          <w:p w14:paraId="41FF4101">
            <w:pPr>
              <w:spacing w:before="135" w:line="195" w:lineRule="auto"/>
              <w:ind w:left="61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4.13</w:t>
            </w:r>
          </w:p>
        </w:tc>
        <w:tc>
          <w:tcPr>
            <w:tcW w:w="166" w:type="dxa"/>
            <w:vMerge w:val="continue"/>
            <w:tcBorders>
              <w:top w:val="nil"/>
              <w:bottom w:val="nil"/>
              <w:right w:val="single" w:color="000000" w:sz="6" w:space="0"/>
            </w:tcBorders>
            <w:vAlign w:val="top"/>
          </w:tcPr>
          <w:p w14:paraId="0204D98D">
            <w:pPr>
              <w:rPr>
                <w:rFonts w:ascii="Arial"/>
                <w:sz w:val="21"/>
              </w:rPr>
            </w:pPr>
          </w:p>
        </w:tc>
      </w:tr>
      <w:tr w14:paraId="1962E0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751" w:type="dxa"/>
            <w:vMerge w:val="continue"/>
            <w:tcBorders>
              <w:top w:val="nil"/>
              <w:left w:val="single" w:color="000000" w:sz="6" w:space="0"/>
              <w:bottom w:val="nil"/>
            </w:tcBorders>
            <w:vAlign w:val="top"/>
          </w:tcPr>
          <w:p w14:paraId="39DFC90C">
            <w:pPr>
              <w:rPr>
                <w:rFonts w:ascii="Arial"/>
                <w:sz w:val="21"/>
              </w:rPr>
            </w:pPr>
          </w:p>
        </w:tc>
        <w:tc>
          <w:tcPr>
            <w:tcW w:w="157" w:type="dxa"/>
            <w:vMerge w:val="continue"/>
            <w:tcBorders>
              <w:top w:val="nil"/>
              <w:bottom w:val="nil"/>
            </w:tcBorders>
            <w:vAlign w:val="top"/>
          </w:tcPr>
          <w:p w14:paraId="7DFBE2B6">
            <w:pPr>
              <w:rPr>
                <w:rFonts w:ascii="Arial"/>
                <w:sz w:val="21"/>
              </w:rPr>
            </w:pPr>
          </w:p>
        </w:tc>
        <w:tc>
          <w:tcPr>
            <w:tcW w:w="2033" w:type="dxa"/>
            <w:vAlign w:val="top"/>
          </w:tcPr>
          <w:p w14:paraId="102C0E20">
            <w:pPr>
              <w:pStyle w:val="9"/>
              <w:spacing w:before="98" w:line="228" w:lineRule="auto"/>
              <w:ind w:left="391"/>
              <w:rPr>
                <w:sz w:val="20"/>
                <w:szCs w:val="20"/>
              </w:rPr>
            </w:pPr>
            <w:r>
              <w:rPr>
                <w:spacing w:val="7"/>
                <w:sz w:val="20"/>
                <w:szCs w:val="20"/>
              </w:rPr>
              <w:t>工矿仓储用地</w:t>
            </w:r>
          </w:p>
        </w:tc>
        <w:tc>
          <w:tcPr>
            <w:tcW w:w="1704" w:type="dxa"/>
            <w:vAlign w:val="top"/>
          </w:tcPr>
          <w:p w14:paraId="0F1A709E">
            <w:pPr>
              <w:pStyle w:val="9"/>
              <w:spacing w:before="98" w:line="229" w:lineRule="auto"/>
              <w:ind w:left="439"/>
              <w:rPr>
                <w:sz w:val="20"/>
                <w:szCs w:val="20"/>
              </w:rPr>
            </w:pPr>
            <w:r>
              <w:rPr>
                <w:spacing w:val="6"/>
                <w:sz w:val="20"/>
                <w:szCs w:val="20"/>
              </w:rPr>
              <w:t>工业用地</w:t>
            </w:r>
          </w:p>
        </w:tc>
        <w:tc>
          <w:tcPr>
            <w:tcW w:w="737" w:type="dxa"/>
            <w:vAlign w:val="top"/>
          </w:tcPr>
          <w:p w14:paraId="7DF89260">
            <w:pPr>
              <w:spacing w:before="137" w:line="192" w:lineRule="auto"/>
              <w:ind w:left="323"/>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939" w:type="dxa"/>
            <w:vAlign w:val="top"/>
          </w:tcPr>
          <w:p w14:paraId="6BF0E0D6">
            <w:pPr>
              <w:spacing w:before="134" w:line="195" w:lineRule="auto"/>
              <w:ind w:left="75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15.00</w:t>
            </w:r>
          </w:p>
        </w:tc>
        <w:tc>
          <w:tcPr>
            <w:tcW w:w="1577" w:type="dxa"/>
            <w:vAlign w:val="top"/>
          </w:tcPr>
          <w:p w14:paraId="4F1FDF54">
            <w:pPr>
              <w:spacing w:before="134" w:line="195" w:lineRule="auto"/>
              <w:ind w:left="58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11.52</w:t>
            </w:r>
          </w:p>
        </w:tc>
        <w:tc>
          <w:tcPr>
            <w:tcW w:w="166" w:type="dxa"/>
            <w:vMerge w:val="continue"/>
            <w:tcBorders>
              <w:top w:val="nil"/>
              <w:bottom w:val="nil"/>
              <w:right w:val="single" w:color="000000" w:sz="6" w:space="0"/>
            </w:tcBorders>
            <w:vAlign w:val="top"/>
          </w:tcPr>
          <w:p w14:paraId="759A842C">
            <w:pPr>
              <w:rPr>
                <w:rFonts w:ascii="Arial"/>
                <w:sz w:val="21"/>
              </w:rPr>
            </w:pPr>
          </w:p>
        </w:tc>
      </w:tr>
      <w:tr w14:paraId="7AA054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751" w:type="dxa"/>
            <w:vMerge w:val="continue"/>
            <w:tcBorders>
              <w:top w:val="nil"/>
              <w:left w:val="single" w:color="000000" w:sz="6" w:space="0"/>
              <w:bottom w:val="nil"/>
            </w:tcBorders>
            <w:vAlign w:val="top"/>
          </w:tcPr>
          <w:p w14:paraId="2D188289">
            <w:pPr>
              <w:rPr>
                <w:rFonts w:ascii="Arial"/>
                <w:sz w:val="21"/>
              </w:rPr>
            </w:pPr>
          </w:p>
        </w:tc>
        <w:tc>
          <w:tcPr>
            <w:tcW w:w="157" w:type="dxa"/>
            <w:vMerge w:val="continue"/>
            <w:tcBorders>
              <w:top w:val="nil"/>
              <w:bottom w:val="nil"/>
            </w:tcBorders>
            <w:vAlign w:val="top"/>
          </w:tcPr>
          <w:p w14:paraId="795001D8">
            <w:pPr>
              <w:rPr>
                <w:rFonts w:ascii="Arial"/>
                <w:sz w:val="21"/>
              </w:rPr>
            </w:pPr>
          </w:p>
        </w:tc>
        <w:tc>
          <w:tcPr>
            <w:tcW w:w="2033" w:type="dxa"/>
            <w:vAlign w:val="top"/>
          </w:tcPr>
          <w:p w14:paraId="6A52A032">
            <w:pPr>
              <w:pStyle w:val="9"/>
              <w:spacing w:before="100" w:line="228" w:lineRule="auto"/>
              <w:ind w:left="809"/>
              <w:rPr>
                <w:sz w:val="20"/>
                <w:szCs w:val="20"/>
              </w:rPr>
            </w:pPr>
            <w:r>
              <w:rPr>
                <w:spacing w:val="4"/>
                <w:sz w:val="20"/>
                <w:szCs w:val="20"/>
              </w:rPr>
              <w:t>其他</w:t>
            </w:r>
          </w:p>
        </w:tc>
        <w:tc>
          <w:tcPr>
            <w:tcW w:w="1704" w:type="dxa"/>
            <w:vAlign w:val="top"/>
          </w:tcPr>
          <w:p w14:paraId="58DADB24">
            <w:pPr>
              <w:pStyle w:val="9"/>
              <w:spacing w:before="100" w:line="228" w:lineRule="auto"/>
              <w:ind w:left="539"/>
              <w:rPr>
                <w:sz w:val="20"/>
                <w:szCs w:val="20"/>
              </w:rPr>
            </w:pPr>
            <w:r>
              <w:rPr>
                <w:spacing w:val="6"/>
                <w:sz w:val="20"/>
                <w:szCs w:val="20"/>
              </w:rPr>
              <w:t>裸土地</w:t>
            </w:r>
          </w:p>
        </w:tc>
        <w:tc>
          <w:tcPr>
            <w:tcW w:w="737" w:type="dxa"/>
            <w:vAlign w:val="top"/>
          </w:tcPr>
          <w:p w14:paraId="50D511E9">
            <w:pPr>
              <w:spacing w:before="136" w:line="195" w:lineRule="auto"/>
              <w:ind w:left="317"/>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939" w:type="dxa"/>
            <w:vAlign w:val="top"/>
          </w:tcPr>
          <w:p w14:paraId="731305D7">
            <w:pPr>
              <w:spacing w:before="136" w:line="195" w:lineRule="auto"/>
              <w:ind w:left="78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4.91</w:t>
            </w:r>
          </w:p>
        </w:tc>
        <w:tc>
          <w:tcPr>
            <w:tcW w:w="1577" w:type="dxa"/>
            <w:vAlign w:val="top"/>
          </w:tcPr>
          <w:p w14:paraId="7E6DD96F">
            <w:pPr>
              <w:spacing w:before="136" w:line="195" w:lineRule="auto"/>
              <w:ind w:left="61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3.77</w:t>
            </w:r>
          </w:p>
        </w:tc>
        <w:tc>
          <w:tcPr>
            <w:tcW w:w="166" w:type="dxa"/>
            <w:vMerge w:val="continue"/>
            <w:tcBorders>
              <w:top w:val="nil"/>
              <w:bottom w:val="nil"/>
              <w:right w:val="single" w:color="000000" w:sz="6" w:space="0"/>
            </w:tcBorders>
            <w:vAlign w:val="top"/>
          </w:tcPr>
          <w:p w14:paraId="1F58B63B">
            <w:pPr>
              <w:rPr>
                <w:rFonts w:ascii="Arial"/>
                <w:sz w:val="21"/>
              </w:rPr>
            </w:pPr>
          </w:p>
        </w:tc>
      </w:tr>
      <w:tr w14:paraId="60F30A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751" w:type="dxa"/>
            <w:vMerge w:val="continue"/>
            <w:tcBorders>
              <w:top w:val="nil"/>
              <w:left w:val="single" w:color="000000" w:sz="6" w:space="0"/>
              <w:bottom w:val="nil"/>
            </w:tcBorders>
            <w:vAlign w:val="top"/>
          </w:tcPr>
          <w:p w14:paraId="033E5374">
            <w:pPr>
              <w:rPr>
                <w:rFonts w:ascii="Arial"/>
                <w:sz w:val="21"/>
              </w:rPr>
            </w:pPr>
          </w:p>
        </w:tc>
        <w:tc>
          <w:tcPr>
            <w:tcW w:w="157" w:type="dxa"/>
            <w:vMerge w:val="continue"/>
            <w:tcBorders>
              <w:top w:val="nil"/>
              <w:bottom w:val="nil"/>
            </w:tcBorders>
            <w:vAlign w:val="top"/>
          </w:tcPr>
          <w:p w14:paraId="462CFD9A">
            <w:pPr>
              <w:rPr>
                <w:rFonts w:ascii="Arial"/>
                <w:sz w:val="21"/>
              </w:rPr>
            </w:pPr>
          </w:p>
        </w:tc>
        <w:tc>
          <w:tcPr>
            <w:tcW w:w="3737" w:type="dxa"/>
            <w:gridSpan w:val="2"/>
            <w:vAlign w:val="top"/>
          </w:tcPr>
          <w:p w14:paraId="0A39ABE1">
            <w:pPr>
              <w:pStyle w:val="9"/>
              <w:spacing w:before="99" w:line="229" w:lineRule="auto"/>
              <w:ind w:left="1661"/>
              <w:rPr>
                <w:sz w:val="20"/>
                <w:szCs w:val="20"/>
              </w:rPr>
            </w:pPr>
            <w:r>
              <w:rPr>
                <w:spacing w:val="4"/>
                <w:sz w:val="20"/>
                <w:szCs w:val="20"/>
              </w:rPr>
              <w:t>合计</w:t>
            </w:r>
          </w:p>
        </w:tc>
        <w:tc>
          <w:tcPr>
            <w:tcW w:w="737" w:type="dxa"/>
            <w:vAlign w:val="top"/>
          </w:tcPr>
          <w:p w14:paraId="45480817">
            <w:pPr>
              <w:spacing w:before="138" w:line="195" w:lineRule="auto"/>
              <w:ind w:left="26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76</w:t>
            </w:r>
          </w:p>
        </w:tc>
        <w:tc>
          <w:tcPr>
            <w:tcW w:w="1939" w:type="dxa"/>
            <w:vAlign w:val="top"/>
          </w:tcPr>
          <w:p w14:paraId="536FA1A0">
            <w:pPr>
              <w:spacing w:before="138" w:line="195" w:lineRule="auto"/>
              <w:ind w:left="704"/>
              <w:rPr>
                <w:rFonts w:ascii="Times New Roman" w:hAnsi="Times New Roman" w:eastAsia="Times New Roman" w:cs="Times New Roman"/>
                <w:sz w:val="20"/>
                <w:szCs w:val="20"/>
              </w:rPr>
            </w:pPr>
            <w:r>
              <w:rPr>
                <w:rFonts w:ascii="Times New Roman" w:hAnsi="Times New Roman" w:eastAsia="Times New Roman" w:cs="Times New Roman"/>
                <w:sz w:val="20"/>
                <w:szCs w:val="20"/>
              </w:rPr>
              <w:t>130.21</w:t>
            </w:r>
          </w:p>
        </w:tc>
        <w:tc>
          <w:tcPr>
            <w:tcW w:w="1577" w:type="dxa"/>
            <w:vAlign w:val="top"/>
          </w:tcPr>
          <w:p w14:paraId="11E77A40">
            <w:pPr>
              <w:spacing w:before="138" w:line="195" w:lineRule="auto"/>
              <w:ind w:left="65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100</w:t>
            </w:r>
          </w:p>
        </w:tc>
        <w:tc>
          <w:tcPr>
            <w:tcW w:w="166" w:type="dxa"/>
            <w:vMerge w:val="continue"/>
            <w:tcBorders>
              <w:top w:val="nil"/>
              <w:bottom w:val="nil"/>
              <w:right w:val="single" w:color="000000" w:sz="6" w:space="0"/>
            </w:tcBorders>
            <w:vAlign w:val="top"/>
          </w:tcPr>
          <w:p w14:paraId="5150A6AE">
            <w:pPr>
              <w:rPr>
                <w:rFonts w:ascii="Arial"/>
                <w:sz w:val="21"/>
              </w:rPr>
            </w:pPr>
          </w:p>
        </w:tc>
      </w:tr>
      <w:tr w14:paraId="16FC74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4" w:hRule="atLeast"/>
        </w:trPr>
        <w:tc>
          <w:tcPr>
            <w:tcW w:w="751" w:type="dxa"/>
            <w:vMerge w:val="continue"/>
            <w:tcBorders>
              <w:top w:val="nil"/>
              <w:left w:val="single" w:color="000000" w:sz="6" w:space="0"/>
              <w:bottom w:val="single" w:color="000000" w:sz="6" w:space="0"/>
            </w:tcBorders>
            <w:vAlign w:val="top"/>
          </w:tcPr>
          <w:p w14:paraId="6ED8A7C2">
            <w:pPr>
              <w:rPr>
                <w:rFonts w:ascii="Arial"/>
                <w:sz w:val="21"/>
              </w:rPr>
            </w:pPr>
          </w:p>
        </w:tc>
        <w:tc>
          <w:tcPr>
            <w:tcW w:w="8313" w:type="dxa"/>
            <w:gridSpan w:val="7"/>
            <w:tcBorders>
              <w:bottom w:val="single" w:color="000000" w:sz="6" w:space="0"/>
              <w:right w:val="single" w:color="000000" w:sz="6" w:space="0"/>
            </w:tcBorders>
            <w:vAlign w:val="top"/>
          </w:tcPr>
          <w:p w14:paraId="6BF93B84">
            <w:pPr>
              <w:pStyle w:val="9"/>
              <w:spacing w:before="175" w:line="218" w:lineRule="auto"/>
              <w:ind w:left="588"/>
            </w:pPr>
            <w:r>
              <w:t>此次评价区解译包括草地、林地、交通运输用</w:t>
            </w:r>
            <w:r>
              <w:rPr>
                <w:spacing w:val="-1"/>
              </w:rPr>
              <w:t>地、工矿仓储用地、其他。</w:t>
            </w:r>
          </w:p>
          <w:p w14:paraId="2AED67E0">
            <w:pPr>
              <w:pStyle w:val="9"/>
              <w:spacing w:before="186" w:line="362" w:lineRule="auto"/>
              <w:ind w:left="106" w:right="102" w:firstLine="481"/>
            </w:pPr>
            <w:r>
              <w:rPr>
                <w:spacing w:val="-1"/>
              </w:rPr>
              <w:t>其中天然牧草地占地面积</w:t>
            </w:r>
            <w:r>
              <w:rPr>
                <w:spacing w:val="-43"/>
              </w:rPr>
              <w:t xml:space="preserve"> </w:t>
            </w:r>
            <w:r>
              <w:rPr>
                <w:rFonts w:ascii="Times New Roman" w:hAnsi="Times New Roman" w:eastAsia="Times New Roman" w:cs="Times New Roman"/>
                <w:spacing w:val="-1"/>
              </w:rPr>
              <w:t>81.66hm</w:t>
            </w:r>
            <w:r>
              <w:rPr>
                <w:rFonts w:ascii="Times New Roman" w:hAnsi="Times New Roman" w:eastAsia="Times New Roman" w:cs="Times New Roman"/>
                <w:spacing w:val="-1"/>
                <w:position w:val="8"/>
                <w:sz w:val="15"/>
                <w:szCs w:val="15"/>
              </w:rPr>
              <w:t xml:space="preserve">2 </w:t>
            </w:r>
            <w:r>
              <w:rPr>
                <w:spacing w:val="-1"/>
              </w:rPr>
              <w:t>，</w:t>
            </w:r>
            <w:r>
              <w:rPr>
                <w:spacing w:val="-69"/>
              </w:rPr>
              <w:t xml:space="preserve"> </w:t>
            </w:r>
            <w:r>
              <w:rPr>
                <w:spacing w:val="-1"/>
              </w:rPr>
              <w:t>占总评价范</w:t>
            </w:r>
            <w:r>
              <w:rPr>
                <w:spacing w:val="-2"/>
              </w:rPr>
              <w:t>围</w:t>
            </w:r>
            <w:r>
              <w:rPr>
                <w:spacing w:val="-45"/>
              </w:rPr>
              <w:t xml:space="preserve"> </w:t>
            </w:r>
            <w:r>
              <w:rPr>
                <w:rFonts w:ascii="Times New Roman" w:hAnsi="Times New Roman" w:eastAsia="Times New Roman" w:cs="Times New Roman"/>
                <w:spacing w:val="-2"/>
              </w:rPr>
              <w:t>62.71%</w:t>
            </w:r>
            <w:r>
              <w:rPr>
                <w:spacing w:val="-2"/>
              </w:rPr>
              <w:t>；灌木林地占</w:t>
            </w:r>
            <w:r>
              <w:rPr>
                <w:spacing w:val="-4"/>
              </w:rPr>
              <w:t>地面积</w:t>
            </w:r>
            <w:r>
              <w:rPr>
                <w:spacing w:val="-52"/>
              </w:rPr>
              <w:t xml:space="preserve"> </w:t>
            </w:r>
            <w:r>
              <w:rPr>
                <w:rFonts w:ascii="Times New Roman" w:hAnsi="Times New Roman" w:eastAsia="Times New Roman" w:cs="Times New Roman"/>
                <w:spacing w:val="-4"/>
              </w:rPr>
              <w:t>23.26hm</w:t>
            </w:r>
            <w:r>
              <w:rPr>
                <w:rFonts w:ascii="Times New Roman" w:hAnsi="Times New Roman" w:eastAsia="Times New Roman" w:cs="Times New Roman"/>
                <w:spacing w:val="-4"/>
                <w:position w:val="8"/>
                <w:sz w:val="15"/>
                <w:szCs w:val="15"/>
              </w:rPr>
              <w:t>2</w:t>
            </w:r>
            <w:r>
              <w:rPr>
                <w:rFonts w:ascii="Times New Roman" w:hAnsi="Times New Roman" w:eastAsia="Times New Roman" w:cs="Times New Roman"/>
                <w:spacing w:val="-8"/>
                <w:position w:val="8"/>
                <w:sz w:val="15"/>
                <w:szCs w:val="15"/>
              </w:rPr>
              <w:t xml:space="preserve"> </w:t>
            </w:r>
            <w:r>
              <w:rPr>
                <w:spacing w:val="-4"/>
              </w:rPr>
              <w:t>，</w:t>
            </w:r>
            <w:r>
              <w:rPr>
                <w:spacing w:val="-68"/>
              </w:rPr>
              <w:t xml:space="preserve"> </w:t>
            </w:r>
            <w:r>
              <w:rPr>
                <w:spacing w:val="-4"/>
              </w:rPr>
              <w:t>占总评价范围</w:t>
            </w:r>
            <w:r>
              <w:rPr>
                <w:spacing w:val="-32"/>
              </w:rPr>
              <w:t xml:space="preserve"> </w:t>
            </w:r>
            <w:r>
              <w:rPr>
                <w:rFonts w:ascii="Times New Roman" w:hAnsi="Times New Roman" w:eastAsia="Times New Roman" w:cs="Times New Roman"/>
                <w:spacing w:val="-4"/>
              </w:rPr>
              <w:t>17.86%</w:t>
            </w:r>
            <w:r>
              <w:rPr>
                <w:spacing w:val="-4"/>
              </w:rPr>
              <w:t>；工业用地占地面积</w:t>
            </w:r>
            <w:r>
              <w:rPr>
                <w:spacing w:val="-30"/>
              </w:rPr>
              <w:t xml:space="preserve"> </w:t>
            </w:r>
            <w:r>
              <w:rPr>
                <w:rFonts w:ascii="Times New Roman" w:hAnsi="Times New Roman" w:eastAsia="Times New Roman" w:cs="Times New Roman"/>
                <w:spacing w:val="-4"/>
              </w:rPr>
              <w:t>15.00hm</w:t>
            </w:r>
            <w:r>
              <w:rPr>
                <w:rFonts w:ascii="Times New Roman" w:hAnsi="Times New Roman" w:eastAsia="Times New Roman" w:cs="Times New Roman"/>
                <w:spacing w:val="-5"/>
                <w:position w:val="8"/>
                <w:sz w:val="15"/>
                <w:szCs w:val="15"/>
              </w:rPr>
              <w:t>2</w:t>
            </w:r>
            <w:r>
              <w:rPr>
                <w:rFonts w:ascii="Times New Roman" w:hAnsi="Times New Roman" w:eastAsia="Times New Roman" w:cs="Times New Roman"/>
                <w:spacing w:val="-7"/>
                <w:position w:val="8"/>
                <w:sz w:val="15"/>
                <w:szCs w:val="15"/>
              </w:rPr>
              <w:t xml:space="preserve"> </w:t>
            </w:r>
            <w:r>
              <w:rPr>
                <w:spacing w:val="-5"/>
              </w:rPr>
              <w:t>，</w:t>
            </w:r>
            <w:r>
              <w:rPr>
                <w:spacing w:val="-69"/>
              </w:rPr>
              <w:t xml:space="preserve"> </w:t>
            </w:r>
            <w:r>
              <w:rPr>
                <w:spacing w:val="-5"/>
              </w:rPr>
              <w:t>占总</w:t>
            </w:r>
            <w:r>
              <w:rPr>
                <w:spacing w:val="-4"/>
              </w:rPr>
              <w:t>评价范围</w:t>
            </w:r>
            <w:r>
              <w:rPr>
                <w:spacing w:val="-21"/>
              </w:rPr>
              <w:t xml:space="preserve"> </w:t>
            </w:r>
            <w:r>
              <w:rPr>
                <w:rFonts w:ascii="Times New Roman" w:hAnsi="Times New Roman" w:eastAsia="Times New Roman" w:cs="Times New Roman"/>
                <w:spacing w:val="-4"/>
              </w:rPr>
              <w:t>11.52%</w:t>
            </w:r>
            <w:r>
              <w:rPr>
                <w:spacing w:val="-4"/>
              </w:rPr>
              <w:t>；农村道路占地面积</w:t>
            </w:r>
            <w:r>
              <w:rPr>
                <w:spacing w:val="-49"/>
              </w:rPr>
              <w:t xml:space="preserve"> </w:t>
            </w:r>
            <w:r>
              <w:rPr>
                <w:rFonts w:ascii="Times New Roman" w:hAnsi="Times New Roman" w:eastAsia="Times New Roman" w:cs="Times New Roman"/>
                <w:spacing w:val="-4"/>
              </w:rPr>
              <w:t>5.37hm</w:t>
            </w:r>
            <w:r>
              <w:rPr>
                <w:rFonts w:ascii="Times New Roman" w:hAnsi="Times New Roman" w:eastAsia="Times New Roman" w:cs="Times New Roman"/>
                <w:spacing w:val="-4"/>
                <w:position w:val="8"/>
                <w:sz w:val="15"/>
                <w:szCs w:val="15"/>
              </w:rPr>
              <w:t>2</w:t>
            </w:r>
            <w:r>
              <w:rPr>
                <w:rFonts w:ascii="Times New Roman" w:hAnsi="Times New Roman" w:eastAsia="Times New Roman" w:cs="Times New Roman"/>
                <w:spacing w:val="-9"/>
                <w:position w:val="8"/>
                <w:sz w:val="15"/>
                <w:szCs w:val="15"/>
              </w:rPr>
              <w:t xml:space="preserve"> </w:t>
            </w:r>
            <w:r>
              <w:rPr>
                <w:spacing w:val="-4"/>
              </w:rPr>
              <w:t>，</w:t>
            </w:r>
            <w:r>
              <w:rPr>
                <w:spacing w:val="-71"/>
              </w:rPr>
              <w:t xml:space="preserve"> </w:t>
            </w:r>
            <w:r>
              <w:rPr>
                <w:spacing w:val="-4"/>
              </w:rPr>
              <w:t>占总评价范围</w:t>
            </w:r>
            <w:r>
              <w:rPr>
                <w:spacing w:val="-57"/>
              </w:rPr>
              <w:t xml:space="preserve"> </w:t>
            </w:r>
            <w:r>
              <w:rPr>
                <w:rFonts w:ascii="Times New Roman" w:hAnsi="Times New Roman" w:eastAsia="Times New Roman" w:cs="Times New Roman"/>
                <w:spacing w:val="-4"/>
              </w:rPr>
              <w:t>4.</w:t>
            </w:r>
            <w:r>
              <w:rPr>
                <w:rFonts w:ascii="Times New Roman" w:hAnsi="Times New Roman" w:eastAsia="Times New Roman" w:cs="Times New Roman"/>
                <w:spacing w:val="-32"/>
              </w:rPr>
              <w:t xml:space="preserve"> </w:t>
            </w:r>
            <w:r>
              <w:rPr>
                <w:rFonts w:ascii="Times New Roman" w:hAnsi="Times New Roman" w:eastAsia="Times New Roman" w:cs="Times New Roman"/>
                <w:spacing w:val="-4"/>
              </w:rPr>
              <w:t>13%</w:t>
            </w:r>
            <w:r>
              <w:rPr>
                <w:spacing w:val="-4"/>
              </w:rPr>
              <w:t>；裸土地占地面积</w:t>
            </w:r>
            <w:r>
              <w:rPr>
                <w:spacing w:val="-56"/>
              </w:rPr>
              <w:t xml:space="preserve"> </w:t>
            </w:r>
            <w:r>
              <w:rPr>
                <w:rFonts w:ascii="Times New Roman" w:hAnsi="Times New Roman" w:eastAsia="Times New Roman" w:cs="Times New Roman"/>
                <w:spacing w:val="-4"/>
              </w:rPr>
              <w:t>4.91hm</w:t>
            </w:r>
            <w:r>
              <w:rPr>
                <w:rFonts w:ascii="Times New Roman" w:hAnsi="Times New Roman" w:eastAsia="Times New Roman" w:cs="Times New Roman"/>
                <w:spacing w:val="-4"/>
                <w:position w:val="7"/>
                <w:sz w:val="15"/>
                <w:szCs w:val="15"/>
              </w:rPr>
              <w:t>2</w:t>
            </w:r>
            <w:r>
              <w:rPr>
                <w:rFonts w:ascii="Times New Roman" w:hAnsi="Times New Roman" w:eastAsia="Times New Roman" w:cs="Times New Roman"/>
                <w:spacing w:val="-10"/>
                <w:position w:val="7"/>
                <w:sz w:val="15"/>
                <w:szCs w:val="15"/>
              </w:rPr>
              <w:t xml:space="preserve"> </w:t>
            </w:r>
            <w:r>
              <w:rPr>
                <w:spacing w:val="-4"/>
              </w:rPr>
              <w:t>，</w:t>
            </w:r>
            <w:r>
              <w:rPr>
                <w:spacing w:val="-71"/>
              </w:rPr>
              <w:t xml:space="preserve"> </w:t>
            </w:r>
            <w:r>
              <w:rPr>
                <w:spacing w:val="-4"/>
              </w:rPr>
              <w:t>占总评价范围</w:t>
            </w:r>
            <w:r>
              <w:rPr>
                <w:spacing w:val="-50"/>
              </w:rPr>
              <w:t xml:space="preserve"> </w:t>
            </w:r>
            <w:r>
              <w:rPr>
                <w:rFonts w:ascii="Times New Roman" w:hAnsi="Times New Roman" w:eastAsia="Times New Roman" w:cs="Times New Roman"/>
                <w:spacing w:val="-4"/>
              </w:rPr>
              <w:t>3.77</w:t>
            </w:r>
            <w:r>
              <w:rPr>
                <w:rFonts w:ascii="Times New Roman" w:hAnsi="Times New Roman" w:eastAsia="Times New Roman" w:cs="Times New Roman"/>
                <w:spacing w:val="-5"/>
              </w:rPr>
              <w:t>%</w:t>
            </w:r>
            <w:r>
              <w:rPr>
                <w:spacing w:val="-5"/>
              </w:rPr>
              <w:t>。</w:t>
            </w:r>
          </w:p>
          <w:p w14:paraId="58C1E66D">
            <w:pPr>
              <w:pStyle w:val="9"/>
              <w:spacing w:line="219" w:lineRule="auto"/>
              <w:ind w:left="2401"/>
            </w:pPr>
            <w:r>
              <w:rPr>
                <w:b/>
                <w:bCs/>
                <w:spacing w:val="-2"/>
              </w:rPr>
              <w:t>表</w:t>
            </w:r>
            <w:r>
              <w:rPr>
                <w:spacing w:val="-43"/>
              </w:rPr>
              <w:t xml:space="preserve"> </w:t>
            </w:r>
            <w:r>
              <w:rPr>
                <w:rFonts w:ascii="Times New Roman" w:hAnsi="Times New Roman" w:eastAsia="Times New Roman" w:cs="Times New Roman"/>
                <w:b/>
                <w:bCs/>
                <w:spacing w:val="-2"/>
              </w:rPr>
              <w:t xml:space="preserve">3-2        </w:t>
            </w:r>
            <w:r>
              <w:rPr>
                <w:b/>
                <w:bCs/>
                <w:spacing w:val="-2"/>
              </w:rPr>
              <w:t>项目区土地利用现状特征表</w:t>
            </w:r>
          </w:p>
          <w:p w14:paraId="0888FED8">
            <w:pPr>
              <w:spacing w:line="14" w:lineRule="exact"/>
            </w:pPr>
          </w:p>
          <w:tbl>
            <w:tblPr>
              <w:tblStyle w:val="8"/>
              <w:tblW w:w="8095" w:type="dxa"/>
              <w:tblInd w:w="1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82"/>
              <w:gridCol w:w="1778"/>
              <w:gridCol w:w="1778"/>
              <w:gridCol w:w="2757"/>
            </w:tblGrid>
            <w:tr w14:paraId="77CFDE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782" w:type="dxa"/>
                  <w:vAlign w:val="top"/>
                </w:tcPr>
                <w:p w14:paraId="0A56CAA0">
                  <w:pPr>
                    <w:pStyle w:val="9"/>
                    <w:spacing w:before="41" w:line="223" w:lineRule="auto"/>
                    <w:ind w:left="266"/>
                    <w:rPr>
                      <w:sz w:val="20"/>
                      <w:szCs w:val="20"/>
                    </w:rPr>
                  </w:pPr>
                  <w:r>
                    <w:rPr>
                      <w:b/>
                      <w:bCs/>
                      <w:spacing w:val="6"/>
                      <w:sz w:val="20"/>
                      <w:szCs w:val="20"/>
                    </w:rPr>
                    <w:t>土地利用类型</w:t>
                  </w:r>
                </w:p>
              </w:tc>
              <w:tc>
                <w:tcPr>
                  <w:tcW w:w="1778" w:type="dxa"/>
                  <w:vAlign w:val="top"/>
                </w:tcPr>
                <w:p w14:paraId="7041653D">
                  <w:pPr>
                    <w:pStyle w:val="9"/>
                    <w:spacing w:before="41" w:line="223" w:lineRule="auto"/>
                    <w:ind w:left="262"/>
                    <w:rPr>
                      <w:sz w:val="20"/>
                      <w:szCs w:val="20"/>
                    </w:rPr>
                  </w:pPr>
                  <w:r>
                    <w:rPr>
                      <w:b/>
                      <w:bCs/>
                      <w:spacing w:val="5"/>
                      <w:sz w:val="20"/>
                      <w:szCs w:val="20"/>
                    </w:rPr>
                    <w:t>斑块数（个）</w:t>
                  </w:r>
                </w:p>
              </w:tc>
              <w:tc>
                <w:tcPr>
                  <w:tcW w:w="1778" w:type="dxa"/>
                  <w:vAlign w:val="top"/>
                </w:tcPr>
                <w:p w14:paraId="25F0532F">
                  <w:pPr>
                    <w:pStyle w:val="9"/>
                    <w:spacing w:before="41" w:line="223" w:lineRule="auto"/>
                    <w:ind w:left="294"/>
                    <w:rPr>
                      <w:sz w:val="20"/>
                      <w:szCs w:val="20"/>
                    </w:rPr>
                  </w:pPr>
                  <w:r>
                    <w:rPr>
                      <w:b/>
                      <w:bCs/>
                      <w:spacing w:val="6"/>
                      <w:sz w:val="20"/>
                      <w:szCs w:val="20"/>
                    </w:rPr>
                    <w:t>面积（</w:t>
                  </w:r>
                  <w:r>
                    <w:rPr>
                      <w:rFonts w:ascii="Times New Roman" w:hAnsi="Times New Roman" w:eastAsia="Times New Roman" w:cs="Times New Roman"/>
                      <w:b/>
                      <w:bCs/>
                      <w:sz w:val="20"/>
                      <w:szCs w:val="20"/>
                    </w:rPr>
                    <w:t>hm</w:t>
                  </w:r>
                  <w:r>
                    <w:rPr>
                      <w:rFonts w:ascii="Times New Roman" w:hAnsi="Times New Roman" w:eastAsia="Times New Roman" w:cs="Times New Roman"/>
                      <w:b/>
                      <w:bCs/>
                      <w:spacing w:val="6"/>
                      <w:sz w:val="13"/>
                      <w:szCs w:val="13"/>
                    </w:rPr>
                    <w:t>2</w:t>
                  </w:r>
                  <w:r>
                    <w:rPr>
                      <w:b/>
                      <w:bCs/>
                      <w:spacing w:val="6"/>
                      <w:sz w:val="20"/>
                      <w:szCs w:val="20"/>
                    </w:rPr>
                    <w:t>）</w:t>
                  </w:r>
                </w:p>
              </w:tc>
              <w:tc>
                <w:tcPr>
                  <w:tcW w:w="2757" w:type="dxa"/>
                  <w:vAlign w:val="top"/>
                </w:tcPr>
                <w:p w14:paraId="68FA14AF">
                  <w:pPr>
                    <w:pStyle w:val="9"/>
                    <w:spacing w:before="41" w:line="223" w:lineRule="auto"/>
                    <w:ind w:left="470"/>
                    <w:rPr>
                      <w:sz w:val="20"/>
                      <w:szCs w:val="20"/>
                    </w:rPr>
                  </w:pPr>
                  <w:r>
                    <w:rPr>
                      <w:b/>
                      <w:bCs/>
                      <w:spacing w:val="2"/>
                      <w:sz w:val="20"/>
                      <w:szCs w:val="20"/>
                    </w:rPr>
                    <w:t>占总面积比例（</w:t>
                  </w:r>
                  <w:r>
                    <w:rPr>
                      <w:rFonts w:ascii="Times New Roman" w:hAnsi="Times New Roman" w:eastAsia="Times New Roman" w:cs="Times New Roman"/>
                      <w:b/>
                      <w:bCs/>
                      <w:spacing w:val="2"/>
                      <w:sz w:val="20"/>
                      <w:szCs w:val="20"/>
                    </w:rPr>
                    <w:t>%</w:t>
                  </w:r>
                  <w:r>
                    <w:rPr>
                      <w:b/>
                      <w:bCs/>
                      <w:spacing w:val="2"/>
                      <w:sz w:val="20"/>
                      <w:szCs w:val="20"/>
                    </w:rPr>
                    <w:t>）</w:t>
                  </w:r>
                </w:p>
              </w:tc>
            </w:tr>
            <w:tr w14:paraId="2BFFE5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82" w:type="dxa"/>
                  <w:vAlign w:val="top"/>
                </w:tcPr>
                <w:p w14:paraId="53825A90">
                  <w:pPr>
                    <w:pStyle w:val="9"/>
                    <w:spacing w:before="38" w:line="221" w:lineRule="auto"/>
                    <w:ind w:left="479"/>
                    <w:rPr>
                      <w:sz w:val="20"/>
                      <w:szCs w:val="20"/>
                    </w:rPr>
                  </w:pPr>
                  <w:r>
                    <w:rPr>
                      <w:spacing w:val="6"/>
                      <w:sz w:val="20"/>
                      <w:szCs w:val="20"/>
                    </w:rPr>
                    <w:t>工业用地</w:t>
                  </w:r>
                </w:p>
              </w:tc>
              <w:tc>
                <w:tcPr>
                  <w:tcW w:w="1778" w:type="dxa"/>
                  <w:vAlign w:val="top"/>
                </w:tcPr>
                <w:p w14:paraId="52BC5269">
                  <w:pPr>
                    <w:spacing w:before="74" w:line="195" w:lineRule="auto"/>
                    <w:ind w:left="859"/>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778" w:type="dxa"/>
                  <w:vAlign w:val="top"/>
                </w:tcPr>
                <w:p w14:paraId="74DE1BC3">
                  <w:pPr>
                    <w:spacing w:before="74" w:line="195" w:lineRule="auto"/>
                    <w:ind w:left="70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4.66</w:t>
                  </w:r>
                </w:p>
              </w:tc>
              <w:tc>
                <w:tcPr>
                  <w:tcW w:w="2757" w:type="dxa"/>
                  <w:vAlign w:val="top"/>
                </w:tcPr>
                <w:p w14:paraId="726816D7">
                  <w:pPr>
                    <w:spacing w:before="74" w:line="195" w:lineRule="auto"/>
                    <w:ind w:left="1112"/>
                    <w:rPr>
                      <w:rFonts w:ascii="Times New Roman" w:hAnsi="Times New Roman" w:eastAsia="Times New Roman" w:cs="Times New Roman"/>
                      <w:sz w:val="20"/>
                      <w:szCs w:val="20"/>
                    </w:rPr>
                  </w:pPr>
                  <w:r>
                    <w:rPr>
                      <w:rFonts w:ascii="Times New Roman" w:hAnsi="Times New Roman" w:eastAsia="Times New Roman" w:cs="Times New Roman"/>
                      <w:sz w:val="20"/>
                      <w:szCs w:val="20"/>
                    </w:rPr>
                    <w:t>100.00</w:t>
                  </w:r>
                </w:p>
              </w:tc>
            </w:tr>
            <w:tr w14:paraId="5FF0E4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782" w:type="dxa"/>
                  <w:vAlign w:val="top"/>
                </w:tcPr>
                <w:p w14:paraId="75792DC4">
                  <w:pPr>
                    <w:pStyle w:val="9"/>
                    <w:spacing w:before="41" w:line="223" w:lineRule="auto"/>
                    <w:ind w:left="691"/>
                    <w:rPr>
                      <w:sz w:val="20"/>
                      <w:szCs w:val="20"/>
                    </w:rPr>
                  </w:pPr>
                  <w:r>
                    <w:rPr>
                      <w:spacing w:val="2"/>
                      <w:sz w:val="20"/>
                      <w:szCs w:val="20"/>
                    </w:rPr>
                    <w:t>总计</w:t>
                  </w:r>
                </w:p>
              </w:tc>
              <w:tc>
                <w:tcPr>
                  <w:tcW w:w="1778" w:type="dxa"/>
                  <w:vAlign w:val="top"/>
                </w:tcPr>
                <w:p w14:paraId="63127421">
                  <w:pPr>
                    <w:spacing w:before="77" w:line="195" w:lineRule="auto"/>
                    <w:ind w:left="859"/>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778" w:type="dxa"/>
                  <w:vAlign w:val="top"/>
                </w:tcPr>
                <w:p w14:paraId="45B07371">
                  <w:pPr>
                    <w:spacing w:before="76" w:line="195" w:lineRule="auto"/>
                    <w:ind w:left="70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4.66</w:t>
                  </w:r>
                </w:p>
              </w:tc>
              <w:tc>
                <w:tcPr>
                  <w:tcW w:w="2757" w:type="dxa"/>
                  <w:vAlign w:val="top"/>
                </w:tcPr>
                <w:p w14:paraId="798BF2C0">
                  <w:pPr>
                    <w:spacing w:before="76" w:line="195" w:lineRule="auto"/>
                    <w:ind w:left="1112"/>
                    <w:rPr>
                      <w:rFonts w:ascii="Times New Roman" w:hAnsi="Times New Roman" w:eastAsia="Times New Roman" w:cs="Times New Roman"/>
                      <w:sz w:val="20"/>
                      <w:szCs w:val="20"/>
                    </w:rPr>
                  </w:pPr>
                  <w:r>
                    <w:rPr>
                      <w:rFonts w:ascii="Times New Roman" w:hAnsi="Times New Roman" w:eastAsia="Times New Roman" w:cs="Times New Roman"/>
                      <w:sz w:val="20"/>
                      <w:szCs w:val="20"/>
                    </w:rPr>
                    <w:t>100.00</w:t>
                  </w:r>
                </w:p>
              </w:tc>
            </w:tr>
          </w:tbl>
          <w:p w14:paraId="1BA960EC">
            <w:pPr>
              <w:pStyle w:val="9"/>
              <w:spacing w:before="169" w:line="219" w:lineRule="auto"/>
              <w:ind w:left="588"/>
            </w:pPr>
            <w:r>
              <w:rPr>
                <w:spacing w:val="-4"/>
              </w:rPr>
              <w:t>此次项目区解译全部为工业用地，</w:t>
            </w:r>
            <w:r>
              <w:rPr>
                <w:spacing w:val="-64"/>
              </w:rPr>
              <w:t xml:space="preserve"> </w:t>
            </w:r>
            <w:r>
              <w:rPr>
                <w:spacing w:val="-4"/>
              </w:rPr>
              <w:t>占项目区</w:t>
            </w:r>
            <w:r>
              <w:rPr>
                <w:spacing w:val="-32"/>
              </w:rPr>
              <w:t xml:space="preserve"> </w:t>
            </w:r>
            <w:r>
              <w:rPr>
                <w:rFonts w:ascii="Times New Roman" w:hAnsi="Times New Roman" w:eastAsia="Times New Roman" w:cs="Times New Roman"/>
                <w:spacing w:val="-4"/>
              </w:rPr>
              <w:t>100%</w:t>
            </w:r>
            <w:r>
              <w:rPr>
                <w:spacing w:val="-4"/>
              </w:rPr>
              <w:t>。</w:t>
            </w:r>
          </w:p>
        </w:tc>
      </w:tr>
    </w:tbl>
    <w:p w14:paraId="457A8AC4">
      <w:pPr>
        <w:pStyle w:val="3"/>
      </w:pPr>
    </w:p>
    <w:p w14:paraId="44A8E501">
      <w:pPr>
        <w:sectPr>
          <w:footerReference r:id="rId38" w:type="default"/>
          <w:pgSz w:w="11906" w:h="16838"/>
          <w:pgMar w:top="1416" w:right="1413" w:bottom="1295" w:left="1413" w:header="0" w:footer="1133" w:gutter="0"/>
          <w:cols w:space="720" w:num="1"/>
        </w:sectPr>
      </w:pPr>
    </w:p>
    <w:tbl>
      <w:tblPr>
        <w:tblStyle w:val="8"/>
        <w:tblW w:w="90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51"/>
        <w:gridCol w:w="8313"/>
      </w:tblGrid>
      <w:tr w14:paraId="4DAFD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551" w:hRule="atLeast"/>
        </w:trPr>
        <w:tc>
          <w:tcPr>
            <w:tcW w:w="751" w:type="dxa"/>
            <w:tcBorders>
              <w:right w:val="single" w:color="000000" w:sz="2" w:space="0"/>
            </w:tcBorders>
            <w:vAlign w:val="top"/>
          </w:tcPr>
          <w:p w14:paraId="138DB712">
            <w:pPr>
              <w:rPr>
                <w:rFonts w:ascii="Arial"/>
                <w:sz w:val="21"/>
              </w:rPr>
            </w:pPr>
            <w:r>
              <w:drawing>
                <wp:anchor distT="0" distB="0" distL="0" distR="0" simplePos="0" relativeHeight="251664384" behindDoc="0" locked="0" layoutInCell="0" allowOverlap="1">
                  <wp:simplePos x="0" y="0"/>
                  <wp:positionH relativeFrom="page">
                    <wp:posOffset>1444625</wp:posOffset>
                  </wp:positionH>
                  <wp:positionV relativeFrom="page">
                    <wp:posOffset>950595</wp:posOffset>
                  </wp:positionV>
                  <wp:extent cx="5143500" cy="7266305"/>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242"/>
                          <a:stretch>
                            <a:fillRect/>
                          </a:stretch>
                        </pic:blipFill>
                        <pic:spPr>
                          <a:xfrm>
                            <a:off x="0" y="0"/>
                            <a:ext cx="5143500" cy="7266431"/>
                          </a:xfrm>
                          <a:prstGeom prst="rect">
                            <a:avLst/>
                          </a:prstGeom>
                        </pic:spPr>
                      </pic:pic>
                    </a:graphicData>
                  </a:graphic>
                </wp:anchor>
              </w:drawing>
            </w:r>
          </w:p>
        </w:tc>
        <w:tc>
          <w:tcPr>
            <w:tcW w:w="8313" w:type="dxa"/>
            <w:tcBorders>
              <w:left w:val="single" w:color="000000" w:sz="2" w:space="0"/>
            </w:tcBorders>
            <w:vAlign w:val="top"/>
          </w:tcPr>
          <w:p w14:paraId="7E03E27E">
            <w:pPr>
              <w:spacing w:line="243" w:lineRule="auto"/>
              <w:rPr>
                <w:rFonts w:ascii="Arial"/>
                <w:sz w:val="21"/>
              </w:rPr>
            </w:pPr>
          </w:p>
          <w:p w14:paraId="716032D7">
            <w:pPr>
              <w:spacing w:line="243" w:lineRule="auto"/>
              <w:rPr>
                <w:rFonts w:ascii="Arial"/>
                <w:sz w:val="21"/>
              </w:rPr>
            </w:pPr>
          </w:p>
          <w:p w14:paraId="23EE4B64">
            <w:pPr>
              <w:spacing w:line="243" w:lineRule="auto"/>
              <w:rPr>
                <w:rFonts w:ascii="Arial"/>
                <w:sz w:val="21"/>
              </w:rPr>
            </w:pPr>
          </w:p>
          <w:p w14:paraId="632056FD">
            <w:pPr>
              <w:spacing w:line="243" w:lineRule="auto"/>
              <w:rPr>
                <w:rFonts w:ascii="Arial"/>
                <w:sz w:val="21"/>
              </w:rPr>
            </w:pPr>
          </w:p>
          <w:p w14:paraId="2CDD7429">
            <w:pPr>
              <w:spacing w:line="243" w:lineRule="auto"/>
              <w:rPr>
                <w:rFonts w:ascii="Arial"/>
                <w:sz w:val="21"/>
              </w:rPr>
            </w:pPr>
          </w:p>
          <w:p w14:paraId="5673B5C8">
            <w:pPr>
              <w:spacing w:line="243" w:lineRule="auto"/>
              <w:rPr>
                <w:rFonts w:ascii="Arial"/>
                <w:sz w:val="21"/>
              </w:rPr>
            </w:pPr>
          </w:p>
          <w:p w14:paraId="42DD558F">
            <w:pPr>
              <w:spacing w:line="243" w:lineRule="auto"/>
              <w:rPr>
                <w:rFonts w:ascii="Arial"/>
                <w:sz w:val="21"/>
              </w:rPr>
            </w:pPr>
          </w:p>
          <w:p w14:paraId="4360E62F">
            <w:pPr>
              <w:spacing w:line="243" w:lineRule="auto"/>
              <w:rPr>
                <w:rFonts w:ascii="Arial"/>
                <w:sz w:val="21"/>
              </w:rPr>
            </w:pPr>
          </w:p>
          <w:p w14:paraId="11A0706D">
            <w:pPr>
              <w:spacing w:line="243" w:lineRule="auto"/>
              <w:rPr>
                <w:rFonts w:ascii="Arial"/>
                <w:sz w:val="21"/>
              </w:rPr>
            </w:pPr>
          </w:p>
          <w:p w14:paraId="14206831">
            <w:pPr>
              <w:spacing w:line="243" w:lineRule="auto"/>
              <w:rPr>
                <w:rFonts w:ascii="Arial"/>
                <w:sz w:val="21"/>
              </w:rPr>
            </w:pPr>
          </w:p>
          <w:p w14:paraId="30638B95">
            <w:pPr>
              <w:spacing w:line="243" w:lineRule="auto"/>
              <w:rPr>
                <w:rFonts w:ascii="Arial"/>
                <w:sz w:val="21"/>
              </w:rPr>
            </w:pPr>
          </w:p>
          <w:p w14:paraId="6569DB46">
            <w:pPr>
              <w:spacing w:line="243" w:lineRule="auto"/>
              <w:rPr>
                <w:rFonts w:ascii="Arial"/>
                <w:sz w:val="21"/>
              </w:rPr>
            </w:pPr>
          </w:p>
          <w:p w14:paraId="3B03D1B8">
            <w:pPr>
              <w:spacing w:line="243" w:lineRule="auto"/>
              <w:rPr>
                <w:rFonts w:ascii="Arial"/>
                <w:sz w:val="21"/>
              </w:rPr>
            </w:pPr>
          </w:p>
          <w:p w14:paraId="393E7A48">
            <w:pPr>
              <w:spacing w:line="243" w:lineRule="auto"/>
              <w:rPr>
                <w:rFonts w:ascii="Arial"/>
                <w:sz w:val="21"/>
              </w:rPr>
            </w:pPr>
          </w:p>
          <w:p w14:paraId="228ECDCD">
            <w:pPr>
              <w:spacing w:line="243" w:lineRule="auto"/>
              <w:rPr>
                <w:rFonts w:ascii="Arial"/>
                <w:sz w:val="21"/>
              </w:rPr>
            </w:pPr>
          </w:p>
          <w:p w14:paraId="18A2A673">
            <w:pPr>
              <w:spacing w:line="243" w:lineRule="auto"/>
              <w:rPr>
                <w:rFonts w:ascii="Arial"/>
                <w:sz w:val="21"/>
              </w:rPr>
            </w:pPr>
          </w:p>
          <w:p w14:paraId="442FB02C">
            <w:pPr>
              <w:spacing w:line="243" w:lineRule="auto"/>
              <w:rPr>
                <w:rFonts w:ascii="Arial"/>
                <w:sz w:val="21"/>
              </w:rPr>
            </w:pPr>
          </w:p>
          <w:p w14:paraId="0AF8BBD6">
            <w:pPr>
              <w:spacing w:line="243" w:lineRule="auto"/>
              <w:rPr>
                <w:rFonts w:ascii="Arial"/>
                <w:sz w:val="21"/>
              </w:rPr>
            </w:pPr>
          </w:p>
          <w:p w14:paraId="6565D3B2">
            <w:pPr>
              <w:spacing w:line="243" w:lineRule="auto"/>
              <w:rPr>
                <w:rFonts w:ascii="Arial"/>
                <w:sz w:val="21"/>
              </w:rPr>
            </w:pPr>
          </w:p>
          <w:p w14:paraId="10B4913F">
            <w:pPr>
              <w:spacing w:line="243" w:lineRule="auto"/>
              <w:rPr>
                <w:rFonts w:ascii="Arial"/>
                <w:sz w:val="21"/>
              </w:rPr>
            </w:pPr>
          </w:p>
          <w:p w14:paraId="2F6A10FD">
            <w:pPr>
              <w:spacing w:line="243" w:lineRule="auto"/>
              <w:rPr>
                <w:rFonts w:ascii="Arial"/>
                <w:sz w:val="21"/>
              </w:rPr>
            </w:pPr>
          </w:p>
          <w:p w14:paraId="4F030E44">
            <w:pPr>
              <w:spacing w:line="243" w:lineRule="auto"/>
              <w:rPr>
                <w:rFonts w:ascii="Arial"/>
                <w:sz w:val="21"/>
              </w:rPr>
            </w:pPr>
          </w:p>
          <w:p w14:paraId="150E3663">
            <w:pPr>
              <w:spacing w:line="243" w:lineRule="auto"/>
              <w:rPr>
                <w:rFonts w:ascii="Arial"/>
                <w:sz w:val="21"/>
              </w:rPr>
            </w:pPr>
          </w:p>
          <w:p w14:paraId="009C1B42">
            <w:pPr>
              <w:spacing w:line="243" w:lineRule="auto"/>
              <w:rPr>
                <w:rFonts w:ascii="Arial"/>
                <w:sz w:val="21"/>
              </w:rPr>
            </w:pPr>
          </w:p>
          <w:p w14:paraId="1D337BA8">
            <w:pPr>
              <w:spacing w:line="244" w:lineRule="auto"/>
              <w:rPr>
                <w:rFonts w:ascii="Arial"/>
                <w:sz w:val="21"/>
              </w:rPr>
            </w:pPr>
          </w:p>
          <w:p w14:paraId="00AC05B6">
            <w:pPr>
              <w:spacing w:line="244" w:lineRule="auto"/>
              <w:rPr>
                <w:rFonts w:ascii="Arial"/>
                <w:sz w:val="21"/>
              </w:rPr>
            </w:pPr>
          </w:p>
          <w:p w14:paraId="0526C063">
            <w:pPr>
              <w:spacing w:line="244" w:lineRule="auto"/>
              <w:rPr>
                <w:rFonts w:ascii="Arial"/>
                <w:sz w:val="21"/>
              </w:rPr>
            </w:pPr>
          </w:p>
          <w:p w14:paraId="54159235">
            <w:pPr>
              <w:spacing w:line="244" w:lineRule="auto"/>
              <w:rPr>
                <w:rFonts w:ascii="Arial"/>
                <w:sz w:val="21"/>
              </w:rPr>
            </w:pPr>
          </w:p>
          <w:p w14:paraId="65E5D31A">
            <w:pPr>
              <w:spacing w:line="244" w:lineRule="auto"/>
              <w:rPr>
                <w:rFonts w:ascii="Arial"/>
                <w:sz w:val="21"/>
              </w:rPr>
            </w:pPr>
          </w:p>
          <w:p w14:paraId="2EDEBD95">
            <w:pPr>
              <w:spacing w:line="244" w:lineRule="auto"/>
              <w:rPr>
                <w:rFonts w:ascii="Arial"/>
                <w:sz w:val="21"/>
              </w:rPr>
            </w:pPr>
          </w:p>
          <w:p w14:paraId="5FA29385">
            <w:pPr>
              <w:spacing w:line="244" w:lineRule="auto"/>
              <w:rPr>
                <w:rFonts w:ascii="Arial"/>
                <w:sz w:val="21"/>
              </w:rPr>
            </w:pPr>
          </w:p>
          <w:p w14:paraId="7C98A568">
            <w:pPr>
              <w:spacing w:line="244" w:lineRule="auto"/>
              <w:rPr>
                <w:rFonts w:ascii="Arial"/>
                <w:sz w:val="21"/>
              </w:rPr>
            </w:pPr>
          </w:p>
          <w:p w14:paraId="4AD3CED8">
            <w:pPr>
              <w:spacing w:line="244" w:lineRule="auto"/>
              <w:rPr>
                <w:rFonts w:ascii="Arial"/>
                <w:sz w:val="21"/>
              </w:rPr>
            </w:pPr>
          </w:p>
          <w:p w14:paraId="6DB3083C">
            <w:pPr>
              <w:spacing w:line="244" w:lineRule="auto"/>
              <w:rPr>
                <w:rFonts w:ascii="Arial"/>
                <w:sz w:val="21"/>
              </w:rPr>
            </w:pPr>
          </w:p>
          <w:p w14:paraId="6DC1651C">
            <w:pPr>
              <w:spacing w:line="244" w:lineRule="auto"/>
              <w:rPr>
                <w:rFonts w:ascii="Arial"/>
                <w:sz w:val="21"/>
              </w:rPr>
            </w:pPr>
          </w:p>
          <w:p w14:paraId="3FDB2761">
            <w:pPr>
              <w:spacing w:line="244" w:lineRule="auto"/>
              <w:rPr>
                <w:rFonts w:ascii="Arial"/>
                <w:sz w:val="21"/>
              </w:rPr>
            </w:pPr>
          </w:p>
          <w:p w14:paraId="38A7C29C">
            <w:pPr>
              <w:spacing w:line="244" w:lineRule="auto"/>
              <w:rPr>
                <w:rFonts w:ascii="Arial"/>
                <w:sz w:val="21"/>
              </w:rPr>
            </w:pPr>
          </w:p>
          <w:p w14:paraId="7C2D8680">
            <w:pPr>
              <w:spacing w:line="244" w:lineRule="auto"/>
              <w:rPr>
                <w:rFonts w:ascii="Arial"/>
                <w:sz w:val="21"/>
              </w:rPr>
            </w:pPr>
          </w:p>
          <w:p w14:paraId="3DBCBFE3">
            <w:pPr>
              <w:spacing w:line="244" w:lineRule="auto"/>
              <w:rPr>
                <w:rFonts w:ascii="Arial"/>
                <w:sz w:val="21"/>
              </w:rPr>
            </w:pPr>
          </w:p>
          <w:p w14:paraId="30DB9DBA">
            <w:pPr>
              <w:spacing w:line="244" w:lineRule="auto"/>
              <w:rPr>
                <w:rFonts w:ascii="Arial"/>
                <w:sz w:val="21"/>
              </w:rPr>
            </w:pPr>
          </w:p>
          <w:p w14:paraId="45432A8D">
            <w:pPr>
              <w:spacing w:line="244" w:lineRule="auto"/>
              <w:rPr>
                <w:rFonts w:ascii="Arial"/>
                <w:sz w:val="21"/>
              </w:rPr>
            </w:pPr>
          </w:p>
          <w:p w14:paraId="5871DD07">
            <w:pPr>
              <w:spacing w:line="244" w:lineRule="auto"/>
              <w:rPr>
                <w:rFonts w:ascii="Arial"/>
                <w:sz w:val="21"/>
              </w:rPr>
            </w:pPr>
          </w:p>
          <w:p w14:paraId="50AFF0E0">
            <w:pPr>
              <w:spacing w:line="244" w:lineRule="auto"/>
              <w:rPr>
                <w:rFonts w:ascii="Arial"/>
                <w:sz w:val="21"/>
              </w:rPr>
            </w:pPr>
          </w:p>
          <w:p w14:paraId="3DF12690">
            <w:pPr>
              <w:spacing w:line="244" w:lineRule="auto"/>
              <w:rPr>
                <w:rFonts w:ascii="Arial"/>
                <w:sz w:val="21"/>
              </w:rPr>
            </w:pPr>
          </w:p>
          <w:p w14:paraId="1C46C289">
            <w:pPr>
              <w:spacing w:line="244" w:lineRule="auto"/>
              <w:rPr>
                <w:rFonts w:ascii="Arial"/>
                <w:sz w:val="21"/>
              </w:rPr>
            </w:pPr>
          </w:p>
          <w:p w14:paraId="0D84ED25">
            <w:pPr>
              <w:spacing w:line="244" w:lineRule="auto"/>
              <w:rPr>
                <w:rFonts w:ascii="Arial"/>
                <w:sz w:val="21"/>
              </w:rPr>
            </w:pPr>
          </w:p>
          <w:p w14:paraId="6AF6F1EC">
            <w:pPr>
              <w:spacing w:line="244" w:lineRule="auto"/>
              <w:rPr>
                <w:rFonts w:ascii="Arial"/>
                <w:sz w:val="21"/>
              </w:rPr>
            </w:pPr>
          </w:p>
          <w:p w14:paraId="3478A14C">
            <w:pPr>
              <w:spacing w:line="244" w:lineRule="auto"/>
              <w:rPr>
                <w:rFonts w:ascii="Arial"/>
                <w:sz w:val="21"/>
              </w:rPr>
            </w:pPr>
          </w:p>
          <w:p w14:paraId="597C5992">
            <w:pPr>
              <w:pStyle w:val="9"/>
              <w:spacing w:before="78" w:line="219" w:lineRule="auto"/>
              <w:ind w:left="2548"/>
            </w:pPr>
            <w:r>
              <w:rPr>
                <w:b/>
                <w:bCs/>
                <w:spacing w:val="-4"/>
              </w:rPr>
              <w:t>图</w:t>
            </w:r>
            <w:r>
              <w:rPr>
                <w:spacing w:val="-41"/>
              </w:rPr>
              <w:t xml:space="preserve"> </w:t>
            </w:r>
            <w:r>
              <w:rPr>
                <w:rFonts w:ascii="Times New Roman" w:hAnsi="Times New Roman" w:eastAsia="Times New Roman" w:cs="Times New Roman"/>
                <w:b/>
                <w:bCs/>
                <w:spacing w:val="-4"/>
              </w:rPr>
              <w:t xml:space="preserve">3-6    </w:t>
            </w:r>
            <w:r>
              <w:rPr>
                <w:b/>
                <w:bCs/>
                <w:spacing w:val="-4"/>
              </w:rPr>
              <w:t>本项目土地利用类型图</w:t>
            </w:r>
          </w:p>
          <w:p w14:paraId="17081D61">
            <w:pPr>
              <w:pStyle w:val="9"/>
              <w:spacing w:before="186" w:line="218" w:lineRule="auto"/>
              <w:ind w:left="582"/>
              <w:outlineLvl w:val="0"/>
            </w:pPr>
            <w:r>
              <w:rPr>
                <w:rFonts w:ascii="Times New Roman" w:hAnsi="Times New Roman" w:eastAsia="Times New Roman" w:cs="Times New Roman"/>
                <w:b/>
                <w:bCs/>
                <w:spacing w:val="-2"/>
              </w:rPr>
              <w:t>3.</w:t>
            </w:r>
            <w:r>
              <w:rPr>
                <w:b/>
                <w:bCs/>
                <w:spacing w:val="-2"/>
              </w:rPr>
              <w:t>植被植物资源评价</w:t>
            </w:r>
          </w:p>
          <w:p w14:paraId="00878222">
            <w:pPr>
              <w:pStyle w:val="9"/>
              <w:spacing w:before="187" w:line="218" w:lineRule="auto"/>
              <w:ind w:left="599"/>
              <w:outlineLvl w:val="1"/>
            </w:pPr>
            <w:r>
              <w:rPr>
                <w:b/>
                <w:bCs/>
                <w:spacing w:val="-4"/>
              </w:rPr>
              <w:t>（</w:t>
            </w:r>
            <w:r>
              <w:rPr>
                <w:rFonts w:ascii="Times New Roman" w:hAnsi="Times New Roman" w:eastAsia="Times New Roman" w:cs="Times New Roman"/>
                <w:b/>
                <w:bCs/>
                <w:spacing w:val="-4"/>
              </w:rPr>
              <w:t>1</w:t>
            </w:r>
            <w:r>
              <w:rPr>
                <w:b/>
                <w:bCs/>
                <w:spacing w:val="-4"/>
              </w:rPr>
              <w:t>）植被现状调查与评价</w:t>
            </w:r>
          </w:p>
          <w:p w14:paraId="048F9C86">
            <w:pPr>
              <w:pStyle w:val="9"/>
              <w:spacing w:before="187" w:line="219" w:lineRule="auto"/>
              <w:ind w:left="591"/>
            </w:pPr>
            <w:r>
              <w:rPr>
                <w:spacing w:val="-2"/>
              </w:rPr>
              <w:t>项目位于内蒙古自治区通辽市扎鲁特旗境内，在植物地</w:t>
            </w:r>
            <w:r>
              <w:rPr>
                <w:spacing w:val="-3"/>
              </w:rPr>
              <w:t>理区系上，属欧亚</w:t>
            </w:r>
          </w:p>
        </w:tc>
      </w:tr>
    </w:tbl>
    <w:p w14:paraId="4C5346EA">
      <w:pPr>
        <w:pStyle w:val="3"/>
      </w:pPr>
    </w:p>
    <w:p w14:paraId="4A51FE01">
      <w:pPr>
        <w:sectPr>
          <w:footerReference r:id="rId39" w:type="default"/>
          <w:pgSz w:w="11906" w:h="16838"/>
          <w:pgMar w:top="1416" w:right="1413" w:bottom="1295" w:left="1413" w:header="0" w:footer="1133" w:gutter="0"/>
          <w:cols w:space="720" w:num="1"/>
        </w:sectPr>
      </w:pPr>
    </w:p>
    <w:tbl>
      <w:tblPr>
        <w:tblStyle w:val="8"/>
        <w:tblW w:w="90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51"/>
        <w:gridCol w:w="8313"/>
      </w:tblGrid>
      <w:tr w14:paraId="306380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638" w:hRule="atLeast"/>
        </w:trPr>
        <w:tc>
          <w:tcPr>
            <w:tcW w:w="751" w:type="dxa"/>
            <w:tcBorders>
              <w:right w:val="single" w:color="000000" w:sz="2" w:space="0"/>
            </w:tcBorders>
            <w:vAlign w:val="top"/>
          </w:tcPr>
          <w:p w14:paraId="2273126D">
            <w:pPr>
              <w:rPr>
                <w:rFonts w:ascii="Arial"/>
                <w:sz w:val="21"/>
              </w:rPr>
            </w:pPr>
          </w:p>
        </w:tc>
        <w:tc>
          <w:tcPr>
            <w:tcW w:w="8313" w:type="dxa"/>
            <w:tcBorders>
              <w:left w:val="single" w:color="000000" w:sz="2" w:space="0"/>
            </w:tcBorders>
            <w:vAlign w:val="top"/>
          </w:tcPr>
          <w:p w14:paraId="391BD408">
            <w:pPr>
              <w:pStyle w:val="9"/>
              <w:spacing w:before="174" w:line="362" w:lineRule="auto"/>
              <w:ind w:left="107" w:right="102" w:firstLine="1"/>
              <w:jc w:val="both"/>
            </w:pPr>
            <w:r>
              <w:rPr>
                <w:spacing w:val="-2"/>
              </w:rPr>
              <w:t>草原植物区－蒙古高原草原省－大兴安岭西鹭洲，本项目在植被地带上，</w:t>
            </w:r>
            <w:r>
              <w:rPr>
                <w:spacing w:val="-3"/>
              </w:rPr>
              <w:t>属中</w:t>
            </w:r>
            <w:r>
              <w:t>温型草原带中的典型草原亚带。植被类型图</w:t>
            </w:r>
            <w:r>
              <w:rPr>
                <w:spacing w:val="-1"/>
              </w:rPr>
              <w:t>见</w:t>
            </w:r>
            <w:r>
              <w:rPr>
                <w:spacing w:val="-48"/>
              </w:rPr>
              <w:t xml:space="preserve"> </w:t>
            </w:r>
            <w:r>
              <w:rPr>
                <w:rFonts w:ascii="Times New Roman" w:hAnsi="Times New Roman" w:eastAsia="Times New Roman" w:cs="Times New Roman"/>
                <w:spacing w:val="-1"/>
              </w:rPr>
              <w:t>3-5</w:t>
            </w:r>
            <w:r>
              <w:rPr>
                <w:rFonts w:ascii="Times New Roman" w:hAnsi="Times New Roman" w:eastAsia="Times New Roman" w:cs="Times New Roman"/>
                <w:spacing w:val="-24"/>
              </w:rPr>
              <w:t xml:space="preserve"> </w:t>
            </w:r>
            <w:r>
              <w:rPr>
                <w:spacing w:val="-1"/>
              </w:rPr>
              <w:t>。评价区植被类型及面积统</w:t>
            </w:r>
            <w:r>
              <w:rPr>
                <w:spacing w:val="-2"/>
              </w:rPr>
              <w:t>计见表</w:t>
            </w:r>
            <w:r>
              <w:rPr>
                <w:spacing w:val="-50"/>
              </w:rPr>
              <w:t xml:space="preserve"> </w:t>
            </w:r>
            <w:r>
              <w:rPr>
                <w:rFonts w:ascii="Times New Roman" w:hAnsi="Times New Roman" w:eastAsia="Times New Roman" w:cs="Times New Roman"/>
                <w:spacing w:val="-2"/>
              </w:rPr>
              <w:t>3-3</w:t>
            </w:r>
            <w:r>
              <w:rPr>
                <w:rFonts w:ascii="Times New Roman" w:hAnsi="Times New Roman" w:eastAsia="Times New Roman" w:cs="Times New Roman"/>
                <w:spacing w:val="-34"/>
              </w:rPr>
              <w:t xml:space="preserve"> </w:t>
            </w:r>
            <w:r>
              <w:rPr>
                <w:spacing w:val="-2"/>
              </w:rPr>
              <w:t>、项目区植被类型及面积统计</w:t>
            </w:r>
            <w:r>
              <w:rPr>
                <w:spacing w:val="-3"/>
              </w:rPr>
              <w:t>见表</w:t>
            </w:r>
            <w:r>
              <w:rPr>
                <w:spacing w:val="-50"/>
              </w:rPr>
              <w:t xml:space="preserve"> </w:t>
            </w:r>
            <w:r>
              <w:rPr>
                <w:rFonts w:ascii="Times New Roman" w:hAnsi="Times New Roman" w:eastAsia="Times New Roman" w:cs="Times New Roman"/>
                <w:spacing w:val="-3"/>
              </w:rPr>
              <w:t>3-4</w:t>
            </w:r>
            <w:r>
              <w:rPr>
                <w:spacing w:val="-3"/>
              </w:rPr>
              <w:t>。</w:t>
            </w:r>
          </w:p>
          <w:p w14:paraId="3B3C1BB4">
            <w:pPr>
              <w:pStyle w:val="9"/>
              <w:spacing w:before="1" w:line="217" w:lineRule="auto"/>
              <w:ind w:left="2643"/>
            </w:pPr>
            <w:r>
              <w:rPr>
                <w:b/>
                <w:bCs/>
                <w:spacing w:val="-2"/>
              </w:rPr>
              <w:t>表</w:t>
            </w:r>
            <w:r>
              <w:rPr>
                <w:spacing w:val="-45"/>
              </w:rPr>
              <w:t xml:space="preserve"> </w:t>
            </w:r>
            <w:r>
              <w:rPr>
                <w:rFonts w:ascii="Times New Roman" w:hAnsi="Times New Roman" w:eastAsia="Times New Roman" w:cs="Times New Roman"/>
                <w:b/>
                <w:bCs/>
                <w:spacing w:val="-2"/>
              </w:rPr>
              <w:t xml:space="preserve">3-3        </w:t>
            </w:r>
            <w:r>
              <w:rPr>
                <w:b/>
                <w:bCs/>
                <w:spacing w:val="-2"/>
              </w:rPr>
              <w:t>评价区植被类型特征表</w:t>
            </w:r>
          </w:p>
          <w:p w14:paraId="12F3E274">
            <w:pPr>
              <w:spacing w:line="15" w:lineRule="exact"/>
            </w:pPr>
          </w:p>
          <w:tbl>
            <w:tblPr>
              <w:tblStyle w:val="8"/>
              <w:tblW w:w="8007" w:type="dxa"/>
              <w:tblInd w:w="14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5"/>
              <w:gridCol w:w="2121"/>
              <w:gridCol w:w="752"/>
              <w:gridCol w:w="1571"/>
              <w:gridCol w:w="1568"/>
            </w:tblGrid>
            <w:tr w14:paraId="15E808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4116" w:type="dxa"/>
                  <w:gridSpan w:val="2"/>
                  <w:vAlign w:val="top"/>
                </w:tcPr>
                <w:p w14:paraId="4101F3DF">
                  <w:pPr>
                    <w:pStyle w:val="9"/>
                    <w:spacing w:before="171" w:line="228" w:lineRule="auto"/>
                    <w:ind w:left="1645"/>
                    <w:rPr>
                      <w:sz w:val="20"/>
                      <w:szCs w:val="20"/>
                    </w:rPr>
                  </w:pPr>
                  <w:r>
                    <w:rPr>
                      <w:spacing w:val="7"/>
                      <w:sz w:val="20"/>
                      <w:szCs w:val="20"/>
                    </w:rPr>
                    <w:t>植被类型</w:t>
                  </w:r>
                </w:p>
              </w:tc>
              <w:tc>
                <w:tcPr>
                  <w:tcW w:w="752" w:type="dxa"/>
                  <w:vAlign w:val="top"/>
                </w:tcPr>
                <w:p w14:paraId="07271C1F">
                  <w:pPr>
                    <w:pStyle w:val="9"/>
                    <w:spacing w:before="37" w:line="234" w:lineRule="auto"/>
                    <w:ind w:left="278" w:right="166" w:hanging="107"/>
                    <w:rPr>
                      <w:sz w:val="20"/>
                      <w:szCs w:val="20"/>
                    </w:rPr>
                  </w:pPr>
                  <w:r>
                    <w:rPr>
                      <w:spacing w:val="4"/>
                      <w:sz w:val="20"/>
                      <w:szCs w:val="20"/>
                    </w:rPr>
                    <w:t>斑块</w:t>
                  </w:r>
                  <w:r>
                    <w:rPr>
                      <w:sz w:val="20"/>
                      <w:szCs w:val="20"/>
                    </w:rPr>
                    <w:t>数</w:t>
                  </w:r>
                </w:p>
              </w:tc>
              <w:tc>
                <w:tcPr>
                  <w:tcW w:w="1571" w:type="dxa"/>
                  <w:vAlign w:val="top"/>
                </w:tcPr>
                <w:p w14:paraId="32B6F017">
                  <w:pPr>
                    <w:pStyle w:val="9"/>
                    <w:spacing w:before="171" w:line="228" w:lineRule="auto"/>
                    <w:ind w:left="164"/>
                    <w:rPr>
                      <w:sz w:val="20"/>
                      <w:szCs w:val="20"/>
                    </w:rPr>
                  </w:pPr>
                  <w:r>
                    <w:rPr>
                      <w:spacing w:val="6"/>
                      <w:sz w:val="20"/>
                      <w:szCs w:val="20"/>
                    </w:rPr>
                    <w:t>面积（公顷）</w:t>
                  </w:r>
                </w:p>
              </w:tc>
              <w:tc>
                <w:tcPr>
                  <w:tcW w:w="1568" w:type="dxa"/>
                  <w:vAlign w:val="top"/>
                </w:tcPr>
                <w:p w14:paraId="09BC2406">
                  <w:pPr>
                    <w:pStyle w:val="9"/>
                    <w:spacing w:before="171" w:line="229" w:lineRule="auto"/>
                    <w:ind w:left="316"/>
                    <w:rPr>
                      <w:sz w:val="20"/>
                      <w:szCs w:val="20"/>
                    </w:rPr>
                  </w:pPr>
                  <w:r>
                    <w:rPr>
                      <w:spacing w:val="-2"/>
                      <w:sz w:val="20"/>
                      <w:szCs w:val="20"/>
                    </w:rPr>
                    <w:t>占比（</w:t>
                  </w:r>
                  <w:r>
                    <w:rPr>
                      <w:rFonts w:ascii="Times New Roman" w:hAnsi="Times New Roman" w:eastAsia="Times New Roman" w:cs="Times New Roman"/>
                      <w:spacing w:val="-2"/>
                      <w:sz w:val="20"/>
                      <w:szCs w:val="20"/>
                    </w:rPr>
                    <w:t>%</w:t>
                  </w:r>
                  <w:r>
                    <w:rPr>
                      <w:spacing w:val="-2"/>
                      <w:sz w:val="20"/>
                      <w:szCs w:val="20"/>
                    </w:rPr>
                    <w:t>）</w:t>
                  </w:r>
                </w:p>
              </w:tc>
            </w:tr>
            <w:tr w14:paraId="4A5314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995" w:type="dxa"/>
                  <w:vMerge w:val="restart"/>
                  <w:tcBorders>
                    <w:bottom w:val="nil"/>
                  </w:tcBorders>
                  <w:vAlign w:val="top"/>
                </w:tcPr>
                <w:p w14:paraId="7DBB9817">
                  <w:pPr>
                    <w:spacing w:line="439" w:lineRule="auto"/>
                    <w:rPr>
                      <w:rFonts w:ascii="Arial"/>
                      <w:sz w:val="21"/>
                    </w:rPr>
                  </w:pPr>
                </w:p>
                <w:p w14:paraId="325EAA89">
                  <w:pPr>
                    <w:pStyle w:val="9"/>
                    <w:spacing w:before="65" w:line="228" w:lineRule="auto"/>
                    <w:ind w:left="585"/>
                    <w:rPr>
                      <w:sz w:val="20"/>
                      <w:szCs w:val="20"/>
                    </w:rPr>
                  </w:pPr>
                  <w:r>
                    <w:rPr>
                      <w:spacing w:val="6"/>
                      <w:sz w:val="20"/>
                      <w:szCs w:val="20"/>
                    </w:rPr>
                    <w:t>草原植被</w:t>
                  </w:r>
                </w:p>
              </w:tc>
              <w:tc>
                <w:tcPr>
                  <w:tcW w:w="2121" w:type="dxa"/>
                  <w:vAlign w:val="top"/>
                </w:tcPr>
                <w:p w14:paraId="30A1BA2D">
                  <w:pPr>
                    <w:pStyle w:val="9"/>
                    <w:spacing w:before="94" w:line="228" w:lineRule="auto"/>
                    <w:ind w:left="542"/>
                    <w:rPr>
                      <w:sz w:val="20"/>
                      <w:szCs w:val="20"/>
                    </w:rPr>
                  </w:pPr>
                  <w:r>
                    <w:rPr>
                      <w:spacing w:val="7"/>
                      <w:sz w:val="20"/>
                      <w:szCs w:val="20"/>
                    </w:rPr>
                    <w:t>沙打旺群落</w:t>
                  </w:r>
                </w:p>
              </w:tc>
              <w:tc>
                <w:tcPr>
                  <w:tcW w:w="752" w:type="dxa"/>
                  <w:vAlign w:val="top"/>
                </w:tcPr>
                <w:p w14:paraId="439C10BA">
                  <w:pPr>
                    <w:spacing w:before="133" w:line="195" w:lineRule="auto"/>
                    <w:ind w:left="293"/>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12</w:t>
                  </w:r>
                </w:p>
              </w:tc>
              <w:tc>
                <w:tcPr>
                  <w:tcW w:w="1571" w:type="dxa"/>
                  <w:vAlign w:val="top"/>
                </w:tcPr>
                <w:p w14:paraId="4E684DE9">
                  <w:pPr>
                    <w:spacing w:before="133" w:line="195" w:lineRule="auto"/>
                    <w:ind w:left="55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39.01</w:t>
                  </w:r>
                </w:p>
              </w:tc>
              <w:tc>
                <w:tcPr>
                  <w:tcW w:w="1568" w:type="dxa"/>
                  <w:vAlign w:val="top"/>
                </w:tcPr>
                <w:p w14:paraId="4EAF02F1">
                  <w:pPr>
                    <w:spacing w:before="133" w:line="195" w:lineRule="auto"/>
                    <w:ind w:left="54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29.96</w:t>
                  </w:r>
                </w:p>
              </w:tc>
            </w:tr>
            <w:tr w14:paraId="67A272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995" w:type="dxa"/>
                  <w:vMerge w:val="continue"/>
                  <w:tcBorders>
                    <w:top w:val="nil"/>
                    <w:bottom w:val="nil"/>
                  </w:tcBorders>
                  <w:vAlign w:val="top"/>
                </w:tcPr>
                <w:p w14:paraId="52CBDF1A">
                  <w:pPr>
                    <w:rPr>
                      <w:rFonts w:ascii="Arial"/>
                      <w:sz w:val="21"/>
                    </w:rPr>
                  </w:pPr>
                </w:p>
              </w:tc>
              <w:tc>
                <w:tcPr>
                  <w:tcW w:w="2121" w:type="dxa"/>
                  <w:vAlign w:val="top"/>
                </w:tcPr>
                <w:p w14:paraId="4BB0B71D">
                  <w:pPr>
                    <w:pStyle w:val="9"/>
                    <w:spacing w:before="96" w:line="228" w:lineRule="auto"/>
                    <w:ind w:left="540"/>
                    <w:rPr>
                      <w:sz w:val="20"/>
                      <w:szCs w:val="20"/>
                    </w:rPr>
                  </w:pPr>
                  <w:r>
                    <w:rPr>
                      <w:spacing w:val="8"/>
                      <w:sz w:val="20"/>
                      <w:szCs w:val="20"/>
                    </w:rPr>
                    <w:t>披碱草群落</w:t>
                  </w:r>
                </w:p>
              </w:tc>
              <w:tc>
                <w:tcPr>
                  <w:tcW w:w="752" w:type="dxa"/>
                  <w:vAlign w:val="top"/>
                </w:tcPr>
                <w:p w14:paraId="7E30D4D3">
                  <w:pPr>
                    <w:spacing w:before="132" w:line="195" w:lineRule="auto"/>
                    <w:ind w:left="293"/>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10</w:t>
                  </w:r>
                </w:p>
              </w:tc>
              <w:tc>
                <w:tcPr>
                  <w:tcW w:w="1571" w:type="dxa"/>
                  <w:vAlign w:val="top"/>
                </w:tcPr>
                <w:p w14:paraId="53296F8A">
                  <w:pPr>
                    <w:spacing w:before="132" w:line="195" w:lineRule="auto"/>
                    <w:ind w:left="55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23.40</w:t>
                  </w:r>
                </w:p>
              </w:tc>
              <w:tc>
                <w:tcPr>
                  <w:tcW w:w="1568" w:type="dxa"/>
                  <w:vAlign w:val="top"/>
                </w:tcPr>
                <w:p w14:paraId="6A2ABA1B">
                  <w:pPr>
                    <w:spacing w:before="132" w:line="195" w:lineRule="auto"/>
                    <w:ind w:left="56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17.97</w:t>
                  </w:r>
                </w:p>
              </w:tc>
            </w:tr>
            <w:tr w14:paraId="454D13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995" w:type="dxa"/>
                  <w:vMerge w:val="continue"/>
                  <w:tcBorders>
                    <w:top w:val="nil"/>
                  </w:tcBorders>
                  <w:vAlign w:val="top"/>
                </w:tcPr>
                <w:p w14:paraId="61FB0C51">
                  <w:pPr>
                    <w:rPr>
                      <w:rFonts w:ascii="Arial"/>
                      <w:sz w:val="21"/>
                    </w:rPr>
                  </w:pPr>
                </w:p>
              </w:tc>
              <w:tc>
                <w:tcPr>
                  <w:tcW w:w="2121" w:type="dxa"/>
                  <w:vAlign w:val="top"/>
                </w:tcPr>
                <w:p w14:paraId="115D8A7F">
                  <w:pPr>
                    <w:pStyle w:val="9"/>
                    <w:spacing w:before="97" w:line="228" w:lineRule="auto"/>
                    <w:ind w:left="645"/>
                    <w:rPr>
                      <w:sz w:val="20"/>
                      <w:szCs w:val="20"/>
                    </w:rPr>
                  </w:pPr>
                  <w:r>
                    <w:rPr>
                      <w:spacing w:val="7"/>
                      <w:sz w:val="20"/>
                      <w:szCs w:val="20"/>
                    </w:rPr>
                    <w:t>冰草群落</w:t>
                  </w:r>
                </w:p>
              </w:tc>
              <w:tc>
                <w:tcPr>
                  <w:tcW w:w="752" w:type="dxa"/>
                  <w:vAlign w:val="top"/>
                </w:tcPr>
                <w:p w14:paraId="5355B67B">
                  <w:pPr>
                    <w:spacing w:before="133" w:line="195" w:lineRule="auto"/>
                    <w:ind w:left="293"/>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10</w:t>
                  </w:r>
                </w:p>
              </w:tc>
              <w:tc>
                <w:tcPr>
                  <w:tcW w:w="1571" w:type="dxa"/>
                  <w:vAlign w:val="top"/>
                </w:tcPr>
                <w:p w14:paraId="742C5C1A">
                  <w:pPr>
                    <w:spacing w:before="133" w:line="195" w:lineRule="auto"/>
                    <w:ind w:left="57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19.25</w:t>
                  </w:r>
                </w:p>
              </w:tc>
              <w:tc>
                <w:tcPr>
                  <w:tcW w:w="1568" w:type="dxa"/>
                  <w:vAlign w:val="top"/>
                </w:tcPr>
                <w:p w14:paraId="589BC228">
                  <w:pPr>
                    <w:spacing w:before="133" w:line="195" w:lineRule="auto"/>
                    <w:ind w:left="56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14.78</w:t>
                  </w:r>
                </w:p>
              </w:tc>
            </w:tr>
            <w:tr w14:paraId="6BE613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995" w:type="dxa"/>
                  <w:vMerge w:val="restart"/>
                  <w:tcBorders>
                    <w:bottom w:val="nil"/>
                  </w:tcBorders>
                  <w:vAlign w:val="top"/>
                </w:tcPr>
                <w:p w14:paraId="68BBCFC1">
                  <w:pPr>
                    <w:pStyle w:val="9"/>
                    <w:spacing w:before="302" w:line="228" w:lineRule="auto"/>
                    <w:ind w:left="584"/>
                    <w:rPr>
                      <w:sz w:val="20"/>
                      <w:szCs w:val="20"/>
                    </w:rPr>
                  </w:pPr>
                  <w:r>
                    <w:rPr>
                      <w:spacing w:val="7"/>
                      <w:sz w:val="20"/>
                      <w:szCs w:val="20"/>
                    </w:rPr>
                    <w:t>森林植被</w:t>
                  </w:r>
                </w:p>
              </w:tc>
              <w:tc>
                <w:tcPr>
                  <w:tcW w:w="2121" w:type="dxa"/>
                  <w:vAlign w:val="top"/>
                </w:tcPr>
                <w:p w14:paraId="12F7855B">
                  <w:pPr>
                    <w:pStyle w:val="9"/>
                    <w:spacing w:before="96" w:line="230" w:lineRule="auto"/>
                    <w:ind w:left="873"/>
                    <w:rPr>
                      <w:sz w:val="20"/>
                      <w:szCs w:val="20"/>
                    </w:rPr>
                  </w:pPr>
                  <w:r>
                    <w:rPr>
                      <w:spacing w:val="-5"/>
                      <w:sz w:val="20"/>
                      <w:szCs w:val="20"/>
                    </w:rPr>
                    <w:t>山杏</w:t>
                  </w:r>
                </w:p>
              </w:tc>
              <w:tc>
                <w:tcPr>
                  <w:tcW w:w="752" w:type="dxa"/>
                  <w:vAlign w:val="top"/>
                </w:tcPr>
                <w:p w14:paraId="62EF2039">
                  <w:pPr>
                    <w:spacing w:before="135" w:line="195" w:lineRule="auto"/>
                    <w:ind w:left="293"/>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11</w:t>
                  </w:r>
                </w:p>
              </w:tc>
              <w:tc>
                <w:tcPr>
                  <w:tcW w:w="1571" w:type="dxa"/>
                  <w:vAlign w:val="top"/>
                </w:tcPr>
                <w:p w14:paraId="03C96310">
                  <w:pPr>
                    <w:spacing w:before="135" w:line="195" w:lineRule="auto"/>
                    <w:ind w:left="57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14.62</w:t>
                  </w:r>
                </w:p>
              </w:tc>
              <w:tc>
                <w:tcPr>
                  <w:tcW w:w="1568" w:type="dxa"/>
                  <w:vAlign w:val="top"/>
                </w:tcPr>
                <w:p w14:paraId="7A17BC0B">
                  <w:pPr>
                    <w:spacing w:before="135" w:line="195" w:lineRule="auto"/>
                    <w:ind w:left="56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11.23</w:t>
                  </w:r>
                </w:p>
              </w:tc>
            </w:tr>
            <w:tr w14:paraId="387A43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1995" w:type="dxa"/>
                  <w:vMerge w:val="continue"/>
                  <w:tcBorders>
                    <w:top w:val="nil"/>
                  </w:tcBorders>
                  <w:vAlign w:val="top"/>
                </w:tcPr>
                <w:p w14:paraId="67E955EB">
                  <w:pPr>
                    <w:rPr>
                      <w:rFonts w:ascii="Arial"/>
                      <w:sz w:val="21"/>
                    </w:rPr>
                  </w:pPr>
                </w:p>
              </w:tc>
              <w:tc>
                <w:tcPr>
                  <w:tcW w:w="2121" w:type="dxa"/>
                  <w:vAlign w:val="top"/>
                </w:tcPr>
                <w:p w14:paraId="08BE77DF">
                  <w:pPr>
                    <w:pStyle w:val="9"/>
                    <w:spacing w:before="98" w:line="228" w:lineRule="auto"/>
                    <w:ind w:left="545"/>
                    <w:rPr>
                      <w:sz w:val="20"/>
                      <w:szCs w:val="20"/>
                    </w:rPr>
                  </w:pPr>
                  <w:r>
                    <w:rPr>
                      <w:spacing w:val="7"/>
                      <w:sz w:val="20"/>
                      <w:szCs w:val="20"/>
                    </w:rPr>
                    <w:t>小叶锦鸡儿</w:t>
                  </w:r>
                </w:p>
              </w:tc>
              <w:tc>
                <w:tcPr>
                  <w:tcW w:w="752" w:type="dxa"/>
                  <w:vAlign w:val="top"/>
                </w:tcPr>
                <w:p w14:paraId="3EE9B75C">
                  <w:pPr>
                    <w:spacing w:before="134" w:line="195" w:lineRule="auto"/>
                    <w:ind w:left="329"/>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tc>
              <w:tc>
                <w:tcPr>
                  <w:tcW w:w="1571" w:type="dxa"/>
                  <w:vAlign w:val="top"/>
                </w:tcPr>
                <w:p w14:paraId="0BBF2FBF">
                  <w:pPr>
                    <w:spacing w:before="134" w:line="195" w:lineRule="auto"/>
                    <w:ind w:left="61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8.64</w:t>
                  </w:r>
                </w:p>
              </w:tc>
              <w:tc>
                <w:tcPr>
                  <w:tcW w:w="1568" w:type="dxa"/>
                  <w:vAlign w:val="top"/>
                </w:tcPr>
                <w:p w14:paraId="0D433CB2">
                  <w:pPr>
                    <w:spacing w:before="134" w:line="195" w:lineRule="auto"/>
                    <w:ind w:left="60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6.63</w:t>
                  </w:r>
                </w:p>
              </w:tc>
            </w:tr>
            <w:tr w14:paraId="3B14F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7" w:hRule="atLeast"/>
              </w:trPr>
              <w:tc>
                <w:tcPr>
                  <w:tcW w:w="1995" w:type="dxa"/>
                  <w:vMerge w:val="restart"/>
                  <w:tcBorders>
                    <w:bottom w:val="nil"/>
                  </w:tcBorders>
                  <w:vAlign w:val="top"/>
                </w:tcPr>
                <w:p w14:paraId="7EBEF4D8">
                  <w:pPr>
                    <w:spacing w:line="442" w:lineRule="auto"/>
                    <w:rPr>
                      <w:rFonts w:ascii="Arial"/>
                      <w:sz w:val="21"/>
                    </w:rPr>
                  </w:pPr>
                </w:p>
                <w:p w14:paraId="7E814C09">
                  <w:pPr>
                    <w:pStyle w:val="9"/>
                    <w:spacing w:before="65" w:line="228" w:lineRule="auto"/>
                    <w:ind w:left="691"/>
                    <w:rPr>
                      <w:sz w:val="20"/>
                      <w:szCs w:val="20"/>
                    </w:rPr>
                  </w:pPr>
                  <w:r>
                    <w:rPr>
                      <w:spacing w:val="6"/>
                      <w:sz w:val="20"/>
                      <w:szCs w:val="20"/>
                    </w:rPr>
                    <w:t>无植被</w:t>
                  </w:r>
                </w:p>
              </w:tc>
              <w:tc>
                <w:tcPr>
                  <w:tcW w:w="2121" w:type="dxa"/>
                  <w:vAlign w:val="top"/>
                </w:tcPr>
                <w:p w14:paraId="2CEED86D">
                  <w:pPr>
                    <w:pStyle w:val="9"/>
                    <w:spacing w:before="100" w:line="227" w:lineRule="auto"/>
                    <w:ind w:left="645"/>
                    <w:rPr>
                      <w:sz w:val="20"/>
                      <w:szCs w:val="20"/>
                    </w:rPr>
                  </w:pPr>
                  <w:r>
                    <w:rPr>
                      <w:spacing w:val="7"/>
                      <w:sz w:val="20"/>
                      <w:szCs w:val="20"/>
                    </w:rPr>
                    <w:t>农村道路</w:t>
                  </w:r>
                </w:p>
              </w:tc>
              <w:tc>
                <w:tcPr>
                  <w:tcW w:w="752" w:type="dxa"/>
                  <w:vAlign w:val="top"/>
                </w:tcPr>
                <w:p w14:paraId="7FA697D3">
                  <w:pPr>
                    <w:spacing w:before="136" w:line="195" w:lineRule="auto"/>
                    <w:ind w:left="293"/>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17</w:t>
                  </w:r>
                </w:p>
              </w:tc>
              <w:tc>
                <w:tcPr>
                  <w:tcW w:w="1571" w:type="dxa"/>
                  <w:vAlign w:val="top"/>
                </w:tcPr>
                <w:p w14:paraId="7BD4BFC3">
                  <w:pPr>
                    <w:spacing w:before="136" w:line="195" w:lineRule="auto"/>
                    <w:ind w:left="61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5.37</w:t>
                  </w:r>
                </w:p>
              </w:tc>
              <w:tc>
                <w:tcPr>
                  <w:tcW w:w="1568" w:type="dxa"/>
                  <w:vAlign w:val="top"/>
                </w:tcPr>
                <w:p w14:paraId="0B46EB48">
                  <w:pPr>
                    <w:spacing w:before="136" w:line="195" w:lineRule="auto"/>
                    <w:ind w:left="60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4.13</w:t>
                  </w:r>
                </w:p>
              </w:tc>
            </w:tr>
            <w:tr w14:paraId="160FB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995" w:type="dxa"/>
                  <w:vMerge w:val="continue"/>
                  <w:tcBorders>
                    <w:top w:val="nil"/>
                    <w:bottom w:val="nil"/>
                  </w:tcBorders>
                  <w:vAlign w:val="top"/>
                </w:tcPr>
                <w:p w14:paraId="74F28544">
                  <w:pPr>
                    <w:rPr>
                      <w:rFonts w:ascii="Arial"/>
                      <w:sz w:val="21"/>
                    </w:rPr>
                  </w:pPr>
                </w:p>
              </w:tc>
              <w:tc>
                <w:tcPr>
                  <w:tcW w:w="2121" w:type="dxa"/>
                  <w:vAlign w:val="top"/>
                </w:tcPr>
                <w:p w14:paraId="5756E4BD">
                  <w:pPr>
                    <w:pStyle w:val="9"/>
                    <w:spacing w:before="98" w:line="229" w:lineRule="auto"/>
                    <w:ind w:left="648"/>
                    <w:rPr>
                      <w:sz w:val="20"/>
                      <w:szCs w:val="20"/>
                    </w:rPr>
                  </w:pPr>
                  <w:r>
                    <w:rPr>
                      <w:spacing w:val="6"/>
                      <w:sz w:val="20"/>
                      <w:szCs w:val="20"/>
                    </w:rPr>
                    <w:t>工业用地</w:t>
                  </w:r>
                </w:p>
              </w:tc>
              <w:tc>
                <w:tcPr>
                  <w:tcW w:w="752" w:type="dxa"/>
                  <w:vAlign w:val="top"/>
                </w:tcPr>
                <w:p w14:paraId="62769EC9">
                  <w:pPr>
                    <w:spacing w:before="140" w:line="192" w:lineRule="auto"/>
                    <w:ind w:left="331"/>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571" w:type="dxa"/>
                  <w:vAlign w:val="top"/>
                </w:tcPr>
                <w:p w14:paraId="1374FCEF">
                  <w:pPr>
                    <w:spacing w:before="137" w:line="195" w:lineRule="auto"/>
                    <w:ind w:left="57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15.00</w:t>
                  </w:r>
                </w:p>
              </w:tc>
              <w:tc>
                <w:tcPr>
                  <w:tcW w:w="1568" w:type="dxa"/>
                  <w:vAlign w:val="top"/>
                </w:tcPr>
                <w:p w14:paraId="50978859">
                  <w:pPr>
                    <w:spacing w:before="137" w:line="195" w:lineRule="auto"/>
                    <w:ind w:left="56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11.52</w:t>
                  </w:r>
                </w:p>
              </w:tc>
            </w:tr>
            <w:tr w14:paraId="32D7BB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995" w:type="dxa"/>
                  <w:vMerge w:val="continue"/>
                  <w:tcBorders>
                    <w:top w:val="nil"/>
                  </w:tcBorders>
                  <w:vAlign w:val="top"/>
                </w:tcPr>
                <w:p w14:paraId="2087CE0D">
                  <w:pPr>
                    <w:rPr>
                      <w:rFonts w:ascii="Arial"/>
                      <w:sz w:val="21"/>
                    </w:rPr>
                  </w:pPr>
                </w:p>
              </w:tc>
              <w:tc>
                <w:tcPr>
                  <w:tcW w:w="2121" w:type="dxa"/>
                  <w:vAlign w:val="top"/>
                </w:tcPr>
                <w:p w14:paraId="46E40391">
                  <w:pPr>
                    <w:pStyle w:val="9"/>
                    <w:spacing w:before="100" w:line="228" w:lineRule="auto"/>
                    <w:ind w:left="751"/>
                    <w:rPr>
                      <w:sz w:val="20"/>
                      <w:szCs w:val="20"/>
                    </w:rPr>
                  </w:pPr>
                  <w:r>
                    <w:rPr>
                      <w:spacing w:val="6"/>
                      <w:sz w:val="20"/>
                      <w:szCs w:val="20"/>
                    </w:rPr>
                    <w:t>裸土地</w:t>
                  </w:r>
                </w:p>
              </w:tc>
              <w:tc>
                <w:tcPr>
                  <w:tcW w:w="752" w:type="dxa"/>
                  <w:vAlign w:val="top"/>
                </w:tcPr>
                <w:p w14:paraId="37802131">
                  <w:pPr>
                    <w:spacing w:before="135" w:line="195" w:lineRule="auto"/>
                    <w:ind w:left="325"/>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571" w:type="dxa"/>
                  <w:vAlign w:val="top"/>
                </w:tcPr>
                <w:p w14:paraId="0C06F262">
                  <w:pPr>
                    <w:spacing w:before="135" w:line="195" w:lineRule="auto"/>
                    <w:ind w:left="60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4.91</w:t>
                  </w:r>
                </w:p>
              </w:tc>
              <w:tc>
                <w:tcPr>
                  <w:tcW w:w="1568" w:type="dxa"/>
                  <w:vAlign w:val="top"/>
                </w:tcPr>
                <w:p w14:paraId="48B1966A">
                  <w:pPr>
                    <w:spacing w:before="135" w:line="195" w:lineRule="auto"/>
                    <w:ind w:left="60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3.77</w:t>
                  </w:r>
                </w:p>
              </w:tc>
            </w:tr>
            <w:tr w14:paraId="303E9A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4116" w:type="dxa"/>
                  <w:gridSpan w:val="2"/>
                  <w:vAlign w:val="top"/>
                </w:tcPr>
                <w:p w14:paraId="26189289">
                  <w:pPr>
                    <w:pStyle w:val="9"/>
                    <w:spacing w:before="40" w:line="225" w:lineRule="auto"/>
                    <w:ind w:left="1854"/>
                    <w:rPr>
                      <w:sz w:val="20"/>
                      <w:szCs w:val="20"/>
                    </w:rPr>
                  </w:pPr>
                  <w:r>
                    <w:rPr>
                      <w:spacing w:val="4"/>
                      <w:sz w:val="20"/>
                      <w:szCs w:val="20"/>
                    </w:rPr>
                    <w:t>合计</w:t>
                  </w:r>
                </w:p>
              </w:tc>
              <w:tc>
                <w:tcPr>
                  <w:tcW w:w="752" w:type="dxa"/>
                  <w:vAlign w:val="top"/>
                </w:tcPr>
                <w:p w14:paraId="7F0E4851">
                  <w:pPr>
                    <w:spacing w:before="76" w:line="195" w:lineRule="auto"/>
                    <w:ind w:left="27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76</w:t>
                  </w:r>
                </w:p>
              </w:tc>
              <w:tc>
                <w:tcPr>
                  <w:tcW w:w="1571" w:type="dxa"/>
                  <w:vAlign w:val="top"/>
                </w:tcPr>
                <w:p w14:paraId="233394AD">
                  <w:pPr>
                    <w:spacing w:before="76" w:line="195" w:lineRule="auto"/>
                    <w:ind w:left="520"/>
                    <w:rPr>
                      <w:rFonts w:ascii="Times New Roman" w:hAnsi="Times New Roman" w:eastAsia="Times New Roman" w:cs="Times New Roman"/>
                      <w:sz w:val="20"/>
                      <w:szCs w:val="20"/>
                    </w:rPr>
                  </w:pPr>
                  <w:r>
                    <w:rPr>
                      <w:rFonts w:ascii="Times New Roman" w:hAnsi="Times New Roman" w:eastAsia="Times New Roman" w:cs="Times New Roman"/>
                      <w:sz w:val="20"/>
                      <w:szCs w:val="20"/>
                    </w:rPr>
                    <w:t>130.21</w:t>
                  </w:r>
                </w:p>
              </w:tc>
              <w:tc>
                <w:tcPr>
                  <w:tcW w:w="1568" w:type="dxa"/>
                  <w:vAlign w:val="top"/>
                </w:tcPr>
                <w:p w14:paraId="1584671F">
                  <w:pPr>
                    <w:spacing w:before="76" w:line="195" w:lineRule="auto"/>
                    <w:ind w:left="64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100</w:t>
                  </w:r>
                </w:p>
              </w:tc>
            </w:tr>
          </w:tbl>
          <w:p w14:paraId="57DF62FE">
            <w:pPr>
              <w:pStyle w:val="9"/>
              <w:spacing w:before="169" w:line="362" w:lineRule="auto"/>
              <w:ind w:left="106" w:right="102" w:firstLine="481"/>
            </w:pPr>
            <w:r>
              <w:rPr>
                <w:spacing w:val="-2"/>
              </w:rPr>
              <w:t>此次评价区解译包括沙打旺群落、披碱草群落、冰草群落、山</w:t>
            </w:r>
            <w:r>
              <w:rPr>
                <w:spacing w:val="-3"/>
              </w:rPr>
              <w:t>杏、小叶锦</w:t>
            </w:r>
            <w:r>
              <w:rPr>
                <w:spacing w:val="-1"/>
              </w:rPr>
              <w:t>鸡儿、农村道路、工业用地、裸土地。</w:t>
            </w:r>
          </w:p>
          <w:p w14:paraId="57BD1D24">
            <w:pPr>
              <w:pStyle w:val="9"/>
              <w:spacing w:before="4" w:line="361" w:lineRule="auto"/>
              <w:ind w:left="107" w:right="43" w:firstLine="480"/>
              <w:jc w:val="both"/>
            </w:pPr>
            <w:r>
              <w:rPr>
                <w:spacing w:val="-1"/>
              </w:rPr>
              <w:t>其中沙打旺群落占地面积</w:t>
            </w:r>
            <w:r>
              <w:rPr>
                <w:spacing w:val="-48"/>
              </w:rPr>
              <w:t xml:space="preserve"> </w:t>
            </w:r>
            <w:r>
              <w:rPr>
                <w:rFonts w:ascii="Times New Roman" w:hAnsi="Times New Roman" w:eastAsia="Times New Roman" w:cs="Times New Roman"/>
                <w:spacing w:val="-1"/>
              </w:rPr>
              <w:t>39.01hm</w:t>
            </w:r>
            <w:r>
              <w:rPr>
                <w:rFonts w:ascii="Times New Roman" w:hAnsi="Times New Roman" w:eastAsia="Times New Roman" w:cs="Times New Roman"/>
                <w:spacing w:val="-1"/>
                <w:position w:val="8"/>
                <w:sz w:val="15"/>
                <w:szCs w:val="15"/>
              </w:rPr>
              <w:t xml:space="preserve">2 </w:t>
            </w:r>
            <w:r>
              <w:rPr>
                <w:spacing w:val="-1"/>
              </w:rPr>
              <w:t>，</w:t>
            </w:r>
            <w:r>
              <w:rPr>
                <w:spacing w:val="-69"/>
              </w:rPr>
              <w:t xml:space="preserve"> </w:t>
            </w:r>
            <w:r>
              <w:rPr>
                <w:spacing w:val="-1"/>
              </w:rPr>
              <w:t>占评价区</w:t>
            </w:r>
            <w:r>
              <w:rPr>
                <w:spacing w:val="-53"/>
              </w:rPr>
              <w:t xml:space="preserve"> </w:t>
            </w:r>
            <w:r>
              <w:rPr>
                <w:rFonts w:ascii="Times New Roman" w:hAnsi="Times New Roman" w:eastAsia="Times New Roman" w:cs="Times New Roman"/>
                <w:spacing w:val="-1"/>
              </w:rPr>
              <w:t>29.96%</w:t>
            </w:r>
            <w:r>
              <w:rPr>
                <w:spacing w:val="-1"/>
              </w:rPr>
              <w:t>；披碱草群落占地面积</w:t>
            </w:r>
            <w:r>
              <w:rPr>
                <w:spacing w:val="-41"/>
              </w:rPr>
              <w:t xml:space="preserve"> </w:t>
            </w:r>
            <w:r>
              <w:rPr>
                <w:rFonts w:ascii="Times New Roman" w:hAnsi="Times New Roman" w:eastAsia="Times New Roman" w:cs="Times New Roman"/>
                <w:spacing w:val="-1"/>
              </w:rPr>
              <w:t>23.40hm</w:t>
            </w:r>
            <w:r>
              <w:rPr>
                <w:rFonts w:ascii="Times New Roman" w:hAnsi="Times New Roman" w:eastAsia="Times New Roman" w:cs="Times New Roman"/>
                <w:spacing w:val="-1"/>
                <w:position w:val="7"/>
                <w:sz w:val="15"/>
                <w:szCs w:val="15"/>
              </w:rPr>
              <w:t xml:space="preserve">2 </w:t>
            </w:r>
            <w:r>
              <w:rPr>
                <w:spacing w:val="-1"/>
              </w:rPr>
              <w:t>，</w:t>
            </w:r>
            <w:r>
              <w:rPr>
                <w:spacing w:val="-60"/>
              </w:rPr>
              <w:t xml:space="preserve"> </w:t>
            </w:r>
            <w:r>
              <w:rPr>
                <w:spacing w:val="-1"/>
              </w:rPr>
              <w:t xml:space="preserve">占评价区 </w:t>
            </w:r>
            <w:r>
              <w:rPr>
                <w:rFonts w:ascii="Times New Roman" w:hAnsi="Times New Roman" w:eastAsia="Times New Roman" w:cs="Times New Roman"/>
                <w:spacing w:val="-1"/>
              </w:rPr>
              <w:t>17.97%</w:t>
            </w:r>
            <w:r>
              <w:rPr>
                <w:spacing w:val="-1"/>
              </w:rPr>
              <w:t xml:space="preserve">；冰草群落占地面积 </w:t>
            </w:r>
            <w:r>
              <w:rPr>
                <w:rFonts w:ascii="Times New Roman" w:hAnsi="Times New Roman" w:eastAsia="Times New Roman" w:cs="Times New Roman"/>
                <w:spacing w:val="-1"/>
              </w:rPr>
              <w:t>19.25hm</w:t>
            </w:r>
            <w:r>
              <w:rPr>
                <w:rFonts w:ascii="Times New Roman" w:hAnsi="Times New Roman" w:eastAsia="Times New Roman" w:cs="Times New Roman"/>
                <w:spacing w:val="-1"/>
                <w:position w:val="7"/>
                <w:sz w:val="15"/>
                <w:szCs w:val="15"/>
              </w:rPr>
              <w:t xml:space="preserve">2 </w:t>
            </w:r>
            <w:r>
              <w:rPr>
                <w:spacing w:val="-1"/>
              </w:rPr>
              <w:t>，</w:t>
            </w:r>
            <w:r>
              <w:rPr>
                <w:spacing w:val="-59"/>
              </w:rPr>
              <w:t xml:space="preserve"> </w:t>
            </w:r>
            <w:r>
              <w:rPr>
                <w:spacing w:val="-1"/>
              </w:rPr>
              <w:t>占评价区</w:t>
            </w:r>
            <w:r>
              <w:rPr>
                <w:rFonts w:ascii="Times New Roman" w:hAnsi="Times New Roman" w:eastAsia="Times New Roman" w:cs="Times New Roman"/>
                <w:spacing w:val="3"/>
              </w:rPr>
              <w:t xml:space="preserve">14.78% </w:t>
            </w:r>
            <w:r>
              <w:rPr>
                <w:spacing w:val="3"/>
              </w:rPr>
              <w:t>；</w:t>
            </w:r>
            <w:r>
              <w:rPr>
                <w:spacing w:val="-66"/>
              </w:rPr>
              <w:t xml:space="preserve"> </w:t>
            </w:r>
            <w:r>
              <w:rPr>
                <w:spacing w:val="3"/>
              </w:rPr>
              <w:t xml:space="preserve">山杏占地面积 </w:t>
            </w:r>
            <w:r>
              <w:rPr>
                <w:rFonts w:ascii="Times New Roman" w:hAnsi="Times New Roman" w:eastAsia="Times New Roman" w:cs="Times New Roman"/>
                <w:spacing w:val="3"/>
              </w:rPr>
              <w:t>14.62</w:t>
            </w:r>
            <w:r>
              <w:rPr>
                <w:rFonts w:ascii="Times New Roman" w:hAnsi="Times New Roman" w:eastAsia="Times New Roman" w:cs="Times New Roman"/>
              </w:rPr>
              <w:t>hm</w:t>
            </w:r>
            <w:r>
              <w:rPr>
                <w:rFonts w:ascii="Times New Roman" w:hAnsi="Times New Roman" w:eastAsia="Times New Roman" w:cs="Times New Roman"/>
                <w:spacing w:val="3"/>
                <w:position w:val="7"/>
                <w:sz w:val="15"/>
                <w:szCs w:val="15"/>
              </w:rPr>
              <w:t>2</w:t>
            </w:r>
            <w:r>
              <w:rPr>
                <w:rFonts w:ascii="Times New Roman" w:hAnsi="Times New Roman" w:eastAsia="Times New Roman" w:cs="Times New Roman"/>
                <w:spacing w:val="15"/>
                <w:position w:val="7"/>
                <w:sz w:val="15"/>
                <w:szCs w:val="15"/>
              </w:rPr>
              <w:t xml:space="preserve"> </w:t>
            </w:r>
            <w:r>
              <w:rPr>
                <w:spacing w:val="3"/>
              </w:rPr>
              <w:t>，</w:t>
            </w:r>
            <w:r>
              <w:rPr>
                <w:spacing w:val="-48"/>
              </w:rPr>
              <w:t xml:space="preserve"> </w:t>
            </w:r>
            <w:r>
              <w:rPr>
                <w:spacing w:val="3"/>
              </w:rPr>
              <w:t>占评价</w:t>
            </w:r>
            <w:r>
              <w:rPr>
                <w:spacing w:val="2"/>
              </w:rPr>
              <w:t xml:space="preserve">区 </w:t>
            </w:r>
            <w:r>
              <w:rPr>
                <w:rFonts w:ascii="Times New Roman" w:hAnsi="Times New Roman" w:eastAsia="Times New Roman" w:cs="Times New Roman"/>
                <w:spacing w:val="2"/>
              </w:rPr>
              <w:t xml:space="preserve">11.23% </w:t>
            </w:r>
            <w:r>
              <w:rPr>
                <w:spacing w:val="2"/>
              </w:rPr>
              <w:t>；工业用地占地面积</w:t>
            </w:r>
            <w:r>
              <w:rPr>
                <w:rFonts w:ascii="Times New Roman" w:hAnsi="Times New Roman" w:eastAsia="Times New Roman" w:cs="Times New Roman"/>
                <w:spacing w:val="-6"/>
              </w:rPr>
              <w:t>15.00hm</w:t>
            </w:r>
            <w:r>
              <w:rPr>
                <w:rFonts w:ascii="Times New Roman" w:hAnsi="Times New Roman" w:eastAsia="Times New Roman" w:cs="Times New Roman"/>
                <w:spacing w:val="-6"/>
                <w:position w:val="8"/>
                <w:sz w:val="15"/>
                <w:szCs w:val="15"/>
              </w:rPr>
              <w:t>2</w:t>
            </w:r>
            <w:r>
              <w:rPr>
                <w:rFonts w:ascii="Times New Roman" w:hAnsi="Times New Roman" w:eastAsia="Times New Roman" w:cs="Times New Roman"/>
                <w:spacing w:val="7"/>
                <w:position w:val="8"/>
                <w:sz w:val="15"/>
                <w:szCs w:val="15"/>
              </w:rPr>
              <w:t xml:space="preserve"> </w:t>
            </w:r>
            <w:r>
              <w:rPr>
                <w:spacing w:val="-6"/>
              </w:rPr>
              <w:t>，占评价区</w:t>
            </w:r>
            <w:r>
              <w:rPr>
                <w:spacing w:val="-32"/>
              </w:rPr>
              <w:t xml:space="preserve"> </w:t>
            </w:r>
            <w:r>
              <w:rPr>
                <w:rFonts w:ascii="Times New Roman" w:hAnsi="Times New Roman" w:eastAsia="Times New Roman" w:cs="Times New Roman"/>
                <w:spacing w:val="-6"/>
              </w:rPr>
              <w:t>11.52%</w:t>
            </w:r>
            <w:r>
              <w:rPr>
                <w:spacing w:val="-6"/>
              </w:rPr>
              <w:t>；小叶锦鸡儿占地面积</w:t>
            </w:r>
            <w:r>
              <w:rPr>
                <w:spacing w:val="-45"/>
              </w:rPr>
              <w:t xml:space="preserve"> </w:t>
            </w:r>
            <w:r>
              <w:rPr>
                <w:rFonts w:ascii="Times New Roman" w:hAnsi="Times New Roman" w:eastAsia="Times New Roman" w:cs="Times New Roman"/>
                <w:spacing w:val="-6"/>
              </w:rPr>
              <w:t>8.64hm</w:t>
            </w:r>
            <w:r>
              <w:rPr>
                <w:rFonts w:ascii="Times New Roman" w:hAnsi="Times New Roman" w:eastAsia="Times New Roman" w:cs="Times New Roman"/>
                <w:spacing w:val="-6"/>
                <w:position w:val="8"/>
                <w:sz w:val="15"/>
                <w:szCs w:val="15"/>
              </w:rPr>
              <w:t xml:space="preserve">2 </w:t>
            </w:r>
            <w:r>
              <w:rPr>
                <w:spacing w:val="-6"/>
              </w:rPr>
              <w:t>，占评价区</w:t>
            </w:r>
            <w:r>
              <w:rPr>
                <w:spacing w:val="-50"/>
              </w:rPr>
              <w:t xml:space="preserve"> </w:t>
            </w:r>
            <w:r>
              <w:rPr>
                <w:rFonts w:ascii="Times New Roman" w:hAnsi="Times New Roman" w:eastAsia="Times New Roman" w:cs="Times New Roman"/>
                <w:spacing w:val="-6"/>
              </w:rPr>
              <w:t>6.63%</w:t>
            </w:r>
            <w:r>
              <w:rPr>
                <w:spacing w:val="-6"/>
              </w:rPr>
              <w:t>；</w:t>
            </w:r>
            <w:r>
              <w:rPr>
                <w:spacing w:val="-4"/>
              </w:rPr>
              <w:t>农村道路占地面积</w:t>
            </w:r>
            <w:r>
              <w:rPr>
                <w:spacing w:val="-48"/>
              </w:rPr>
              <w:t xml:space="preserve"> </w:t>
            </w:r>
            <w:r>
              <w:rPr>
                <w:rFonts w:ascii="Times New Roman" w:hAnsi="Times New Roman" w:eastAsia="Times New Roman" w:cs="Times New Roman"/>
                <w:spacing w:val="-4"/>
              </w:rPr>
              <w:t>5.37hm</w:t>
            </w:r>
            <w:r>
              <w:rPr>
                <w:rFonts w:ascii="Times New Roman" w:hAnsi="Times New Roman" w:eastAsia="Times New Roman" w:cs="Times New Roman"/>
                <w:spacing w:val="-4"/>
                <w:position w:val="8"/>
                <w:sz w:val="15"/>
                <w:szCs w:val="15"/>
              </w:rPr>
              <w:t>2</w:t>
            </w:r>
            <w:r>
              <w:rPr>
                <w:rFonts w:ascii="Times New Roman" w:hAnsi="Times New Roman" w:eastAsia="Times New Roman" w:cs="Times New Roman"/>
                <w:spacing w:val="-10"/>
                <w:position w:val="8"/>
                <w:sz w:val="15"/>
                <w:szCs w:val="15"/>
              </w:rPr>
              <w:t xml:space="preserve"> </w:t>
            </w:r>
            <w:r>
              <w:rPr>
                <w:spacing w:val="-4"/>
              </w:rPr>
              <w:t>，占评价区</w:t>
            </w:r>
            <w:r>
              <w:rPr>
                <w:spacing w:val="-56"/>
              </w:rPr>
              <w:t xml:space="preserve"> </w:t>
            </w:r>
            <w:r>
              <w:rPr>
                <w:rFonts w:ascii="Times New Roman" w:hAnsi="Times New Roman" w:eastAsia="Times New Roman" w:cs="Times New Roman"/>
                <w:spacing w:val="-4"/>
              </w:rPr>
              <w:t>4.</w:t>
            </w:r>
            <w:r>
              <w:rPr>
                <w:rFonts w:ascii="Times New Roman" w:hAnsi="Times New Roman" w:eastAsia="Times New Roman" w:cs="Times New Roman"/>
                <w:spacing w:val="-32"/>
              </w:rPr>
              <w:t xml:space="preserve"> </w:t>
            </w:r>
            <w:r>
              <w:rPr>
                <w:rFonts w:ascii="Times New Roman" w:hAnsi="Times New Roman" w:eastAsia="Times New Roman" w:cs="Times New Roman"/>
                <w:spacing w:val="-4"/>
              </w:rPr>
              <w:t>13%</w:t>
            </w:r>
            <w:r>
              <w:rPr>
                <w:spacing w:val="-4"/>
              </w:rPr>
              <w:t>；裸土地占地面积</w:t>
            </w:r>
            <w:r>
              <w:rPr>
                <w:spacing w:val="-56"/>
              </w:rPr>
              <w:t xml:space="preserve"> </w:t>
            </w:r>
            <w:r>
              <w:rPr>
                <w:rFonts w:ascii="Times New Roman" w:hAnsi="Times New Roman" w:eastAsia="Times New Roman" w:cs="Times New Roman"/>
                <w:spacing w:val="-4"/>
              </w:rPr>
              <w:t>4.91hm</w:t>
            </w:r>
            <w:r>
              <w:rPr>
                <w:rFonts w:ascii="Times New Roman" w:hAnsi="Times New Roman" w:eastAsia="Times New Roman" w:cs="Times New Roman"/>
                <w:spacing w:val="-4"/>
                <w:position w:val="8"/>
                <w:sz w:val="15"/>
                <w:szCs w:val="15"/>
              </w:rPr>
              <w:t>2</w:t>
            </w:r>
            <w:r>
              <w:rPr>
                <w:rFonts w:ascii="Times New Roman" w:hAnsi="Times New Roman" w:eastAsia="Times New Roman" w:cs="Times New Roman"/>
                <w:spacing w:val="-10"/>
                <w:position w:val="8"/>
                <w:sz w:val="15"/>
                <w:szCs w:val="15"/>
              </w:rPr>
              <w:t xml:space="preserve"> </w:t>
            </w:r>
            <w:r>
              <w:rPr>
                <w:spacing w:val="-5"/>
              </w:rPr>
              <w:t>，占评</w:t>
            </w:r>
            <w:r>
              <w:rPr>
                <w:spacing w:val="-3"/>
              </w:rPr>
              <w:t>价区</w:t>
            </w:r>
            <w:r>
              <w:rPr>
                <w:spacing w:val="-47"/>
              </w:rPr>
              <w:t xml:space="preserve"> </w:t>
            </w:r>
            <w:r>
              <w:rPr>
                <w:rFonts w:ascii="Times New Roman" w:hAnsi="Times New Roman" w:eastAsia="Times New Roman" w:cs="Times New Roman"/>
                <w:spacing w:val="-3"/>
              </w:rPr>
              <w:t>3.77%</w:t>
            </w:r>
            <w:r>
              <w:rPr>
                <w:spacing w:val="-3"/>
              </w:rPr>
              <w:t>。</w:t>
            </w:r>
          </w:p>
          <w:p w14:paraId="7D23F177">
            <w:pPr>
              <w:pStyle w:val="9"/>
              <w:spacing w:line="219" w:lineRule="auto"/>
              <w:ind w:left="2703"/>
            </w:pPr>
            <w:r>
              <w:rPr>
                <w:b/>
                <w:bCs/>
                <w:spacing w:val="-2"/>
              </w:rPr>
              <w:t>表</w:t>
            </w:r>
            <w:r>
              <w:rPr>
                <w:spacing w:val="-49"/>
              </w:rPr>
              <w:t xml:space="preserve"> </w:t>
            </w:r>
            <w:r>
              <w:rPr>
                <w:rFonts w:ascii="Times New Roman" w:hAnsi="Times New Roman" w:eastAsia="Times New Roman" w:cs="Times New Roman"/>
                <w:b/>
                <w:bCs/>
                <w:spacing w:val="-2"/>
              </w:rPr>
              <w:t xml:space="preserve">3-4      </w:t>
            </w:r>
            <w:r>
              <w:rPr>
                <w:b/>
                <w:bCs/>
                <w:spacing w:val="-2"/>
              </w:rPr>
              <w:t>项目区植被类型特征表</w:t>
            </w:r>
          </w:p>
          <w:p w14:paraId="608EBDBC">
            <w:pPr>
              <w:spacing w:line="14" w:lineRule="exact"/>
            </w:pPr>
          </w:p>
          <w:tbl>
            <w:tblPr>
              <w:tblStyle w:val="8"/>
              <w:tblW w:w="8095" w:type="dxa"/>
              <w:tblInd w:w="1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82"/>
              <w:gridCol w:w="1778"/>
              <w:gridCol w:w="1778"/>
              <w:gridCol w:w="2757"/>
            </w:tblGrid>
            <w:tr w14:paraId="13B415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782" w:type="dxa"/>
                  <w:vAlign w:val="top"/>
                </w:tcPr>
                <w:p w14:paraId="1C427A31">
                  <w:pPr>
                    <w:pStyle w:val="9"/>
                    <w:spacing w:before="41" w:line="223" w:lineRule="auto"/>
                    <w:ind w:left="477"/>
                    <w:rPr>
                      <w:sz w:val="20"/>
                      <w:szCs w:val="20"/>
                    </w:rPr>
                  </w:pPr>
                  <w:r>
                    <w:rPr>
                      <w:b/>
                      <w:bCs/>
                      <w:spacing w:val="6"/>
                      <w:sz w:val="20"/>
                      <w:szCs w:val="20"/>
                    </w:rPr>
                    <w:t>植被类型</w:t>
                  </w:r>
                </w:p>
              </w:tc>
              <w:tc>
                <w:tcPr>
                  <w:tcW w:w="1778" w:type="dxa"/>
                  <w:vAlign w:val="top"/>
                </w:tcPr>
                <w:p w14:paraId="0DCB0712">
                  <w:pPr>
                    <w:pStyle w:val="9"/>
                    <w:spacing w:before="41" w:line="223" w:lineRule="auto"/>
                    <w:ind w:left="262"/>
                    <w:rPr>
                      <w:sz w:val="20"/>
                      <w:szCs w:val="20"/>
                    </w:rPr>
                  </w:pPr>
                  <w:r>
                    <w:rPr>
                      <w:b/>
                      <w:bCs/>
                      <w:spacing w:val="5"/>
                      <w:sz w:val="20"/>
                      <w:szCs w:val="20"/>
                    </w:rPr>
                    <w:t>斑块数（个）</w:t>
                  </w:r>
                </w:p>
              </w:tc>
              <w:tc>
                <w:tcPr>
                  <w:tcW w:w="1778" w:type="dxa"/>
                  <w:vAlign w:val="top"/>
                </w:tcPr>
                <w:p w14:paraId="1BB25638">
                  <w:pPr>
                    <w:pStyle w:val="9"/>
                    <w:spacing w:before="41" w:line="223" w:lineRule="auto"/>
                    <w:ind w:left="294"/>
                    <w:rPr>
                      <w:sz w:val="20"/>
                      <w:szCs w:val="20"/>
                    </w:rPr>
                  </w:pPr>
                  <w:r>
                    <w:rPr>
                      <w:b/>
                      <w:bCs/>
                      <w:spacing w:val="6"/>
                      <w:sz w:val="20"/>
                      <w:szCs w:val="20"/>
                    </w:rPr>
                    <w:t>面积（</w:t>
                  </w:r>
                  <w:r>
                    <w:rPr>
                      <w:rFonts w:ascii="Times New Roman" w:hAnsi="Times New Roman" w:eastAsia="Times New Roman" w:cs="Times New Roman"/>
                      <w:b/>
                      <w:bCs/>
                      <w:sz w:val="20"/>
                      <w:szCs w:val="20"/>
                    </w:rPr>
                    <w:t>hm</w:t>
                  </w:r>
                  <w:r>
                    <w:rPr>
                      <w:rFonts w:ascii="Times New Roman" w:hAnsi="Times New Roman" w:eastAsia="Times New Roman" w:cs="Times New Roman"/>
                      <w:b/>
                      <w:bCs/>
                      <w:spacing w:val="6"/>
                      <w:sz w:val="13"/>
                      <w:szCs w:val="13"/>
                    </w:rPr>
                    <w:t>2</w:t>
                  </w:r>
                  <w:r>
                    <w:rPr>
                      <w:b/>
                      <w:bCs/>
                      <w:spacing w:val="6"/>
                      <w:sz w:val="20"/>
                      <w:szCs w:val="20"/>
                    </w:rPr>
                    <w:t>）</w:t>
                  </w:r>
                </w:p>
              </w:tc>
              <w:tc>
                <w:tcPr>
                  <w:tcW w:w="2757" w:type="dxa"/>
                  <w:vAlign w:val="top"/>
                </w:tcPr>
                <w:p w14:paraId="4A254106">
                  <w:pPr>
                    <w:pStyle w:val="9"/>
                    <w:spacing w:before="41" w:line="223" w:lineRule="auto"/>
                    <w:ind w:left="470"/>
                    <w:rPr>
                      <w:sz w:val="20"/>
                      <w:szCs w:val="20"/>
                    </w:rPr>
                  </w:pPr>
                  <w:r>
                    <w:rPr>
                      <w:b/>
                      <w:bCs/>
                      <w:spacing w:val="2"/>
                      <w:sz w:val="20"/>
                      <w:szCs w:val="20"/>
                    </w:rPr>
                    <w:t>占总面积比例（</w:t>
                  </w:r>
                  <w:r>
                    <w:rPr>
                      <w:rFonts w:ascii="Times New Roman" w:hAnsi="Times New Roman" w:eastAsia="Times New Roman" w:cs="Times New Roman"/>
                      <w:b/>
                      <w:bCs/>
                      <w:spacing w:val="2"/>
                      <w:sz w:val="20"/>
                      <w:szCs w:val="20"/>
                    </w:rPr>
                    <w:t>%</w:t>
                  </w:r>
                  <w:r>
                    <w:rPr>
                      <w:b/>
                      <w:bCs/>
                      <w:spacing w:val="2"/>
                      <w:sz w:val="20"/>
                      <w:szCs w:val="20"/>
                    </w:rPr>
                    <w:t>）</w:t>
                  </w:r>
                </w:p>
              </w:tc>
            </w:tr>
            <w:tr w14:paraId="5CC7BE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82" w:type="dxa"/>
                  <w:vAlign w:val="top"/>
                </w:tcPr>
                <w:p w14:paraId="604B7B44">
                  <w:pPr>
                    <w:pStyle w:val="9"/>
                    <w:spacing w:before="38" w:line="221" w:lineRule="auto"/>
                    <w:ind w:left="479"/>
                    <w:rPr>
                      <w:sz w:val="20"/>
                      <w:szCs w:val="20"/>
                    </w:rPr>
                  </w:pPr>
                  <w:r>
                    <w:rPr>
                      <w:spacing w:val="6"/>
                      <w:sz w:val="20"/>
                      <w:szCs w:val="20"/>
                    </w:rPr>
                    <w:t>工业用地</w:t>
                  </w:r>
                </w:p>
              </w:tc>
              <w:tc>
                <w:tcPr>
                  <w:tcW w:w="1778" w:type="dxa"/>
                  <w:vAlign w:val="top"/>
                </w:tcPr>
                <w:p w14:paraId="2ABA3134">
                  <w:pPr>
                    <w:spacing w:before="74" w:line="195" w:lineRule="auto"/>
                    <w:ind w:left="859"/>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778" w:type="dxa"/>
                  <w:vAlign w:val="top"/>
                </w:tcPr>
                <w:p w14:paraId="7A968E98">
                  <w:pPr>
                    <w:spacing w:before="74" w:line="195" w:lineRule="auto"/>
                    <w:ind w:left="70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4.66</w:t>
                  </w:r>
                </w:p>
              </w:tc>
              <w:tc>
                <w:tcPr>
                  <w:tcW w:w="2757" w:type="dxa"/>
                  <w:vAlign w:val="top"/>
                </w:tcPr>
                <w:p w14:paraId="2FDF9457">
                  <w:pPr>
                    <w:spacing w:before="74" w:line="195" w:lineRule="auto"/>
                    <w:ind w:left="1112"/>
                    <w:rPr>
                      <w:rFonts w:ascii="Times New Roman" w:hAnsi="Times New Roman" w:eastAsia="Times New Roman" w:cs="Times New Roman"/>
                      <w:sz w:val="20"/>
                      <w:szCs w:val="20"/>
                    </w:rPr>
                  </w:pPr>
                  <w:r>
                    <w:rPr>
                      <w:rFonts w:ascii="Times New Roman" w:hAnsi="Times New Roman" w:eastAsia="Times New Roman" w:cs="Times New Roman"/>
                      <w:sz w:val="20"/>
                      <w:szCs w:val="20"/>
                    </w:rPr>
                    <w:t>100.00</w:t>
                  </w:r>
                </w:p>
              </w:tc>
            </w:tr>
            <w:tr w14:paraId="1B4328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782" w:type="dxa"/>
                  <w:vAlign w:val="top"/>
                </w:tcPr>
                <w:p w14:paraId="06CA4341">
                  <w:pPr>
                    <w:pStyle w:val="9"/>
                    <w:spacing w:before="40" w:line="224" w:lineRule="auto"/>
                    <w:ind w:left="691"/>
                    <w:rPr>
                      <w:sz w:val="20"/>
                      <w:szCs w:val="20"/>
                    </w:rPr>
                  </w:pPr>
                  <w:r>
                    <w:rPr>
                      <w:spacing w:val="2"/>
                      <w:sz w:val="20"/>
                      <w:szCs w:val="20"/>
                    </w:rPr>
                    <w:t>总计</w:t>
                  </w:r>
                </w:p>
              </w:tc>
              <w:tc>
                <w:tcPr>
                  <w:tcW w:w="1778" w:type="dxa"/>
                  <w:vAlign w:val="top"/>
                </w:tcPr>
                <w:p w14:paraId="6AABEDEF">
                  <w:pPr>
                    <w:spacing w:before="76" w:line="195" w:lineRule="auto"/>
                    <w:ind w:left="859"/>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778" w:type="dxa"/>
                  <w:vAlign w:val="top"/>
                </w:tcPr>
                <w:p w14:paraId="4F736738">
                  <w:pPr>
                    <w:spacing w:before="76" w:line="195" w:lineRule="auto"/>
                    <w:ind w:left="70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4.66</w:t>
                  </w:r>
                </w:p>
              </w:tc>
              <w:tc>
                <w:tcPr>
                  <w:tcW w:w="2757" w:type="dxa"/>
                  <w:vAlign w:val="top"/>
                </w:tcPr>
                <w:p w14:paraId="71C1AB15">
                  <w:pPr>
                    <w:spacing w:before="76" w:line="195" w:lineRule="auto"/>
                    <w:ind w:left="1112"/>
                    <w:rPr>
                      <w:rFonts w:ascii="Times New Roman" w:hAnsi="Times New Roman" w:eastAsia="Times New Roman" w:cs="Times New Roman"/>
                      <w:sz w:val="20"/>
                      <w:szCs w:val="20"/>
                    </w:rPr>
                  </w:pPr>
                  <w:r>
                    <w:rPr>
                      <w:rFonts w:ascii="Times New Roman" w:hAnsi="Times New Roman" w:eastAsia="Times New Roman" w:cs="Times New Roman"/>
                      <w:sz w:val="20"/>
                      <w:szCs w:val="20"/>
                    </w:rPr>
                    <w:t>100.00</w:t>
                  </w:r>
                </w:p>
              </w:tc>
            </w:tr>
          </w:tbl>
          <w:p w14:paraId="777AC396">
            <w:pPr>
              <w:pStyle w:val="9"/>
              <w:spacing w:before="170" w:line="219" w:lineRule="auto"/>
              <w:ind w:left="588"/>
            </w:pPr>
            <w:r>
              <w:rPr>
                <w:spacing w:val="-4"/>
              </w:rPr>
              <w:t>此次项目区解译全部为工业用地，</w:t>
            </w:r>
            <w:r>
              <w:rPr>
                <w:spacing w:val="-64"/>
              </w:rPr>
              <w:t xml:space="preserve"> </w:t>
            </w:r>
            <w:r>
              <w:rPr>
                <w:spacing w:val="-4"/>
              </w:rPr>
              <w:t>占项目区</w:t>
            </w:r>
            <w:r>
              <w:rPr>
                <w:spacing w:val="-32"/>
              </w:rPr>
              <w:t xml:space="preserve"> </w:t>
            </w:r>
            <w:r>
              <w:rPr>
                <w:rFonts w:ascii="Times New Roman" w:hAnsi="Times New Roman" w:eastAsia="Times New Roman" w:cs="Times New Roman"/>
                <w:spacing w:val="-4"/>
              </w:rPr>
              <w:t>100%</w:t>
            </w:r>
            <w:r>
              <w:rPr>
                <w:spacing w:val="-4"/>
              </w:rPr>
              <w:t>。</w:t>
            </w:r>
          </w:p>
        </w:tc>
      </w:tr>
    </w:tbl>
    <w:p w14:paraId="1FE45A98">
      <w:pPr>
        <w:pStyle w:val="3"/>
      </w:pPr>
    </w:p>
    <w:p w14:paraId="1B8DB20F">
      <w:pPr>
        <w:sectPr>
          <w:footerReference r:id="rId40" w:type="default"/>
          <w:pgSz w:w="11906" w:h="16838"/>
          <w:pgMar w:top="1416" w:right="1413" w:bottom="1295" w:left="1413" w:header="0" w:footer="1133" w:gutter="0"/>
          <w:cols w:space="720" w:num="1"/>
        </w:sectPr>
      </w:pPr>
    </w:p>
    <w:tbl>
      <w:tblPr>
        <w:tblStyle w:val="8"/>
        <w:tblW w:w="90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51"/>
        <w:gridCol w:w="8313"/>
      </w:tblGrid>
      <w:tr w14:paraId="1D1EF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838" w:hRule="atLeast"/>
        </w:trPr>
        <w:tc>
          <w:tcPr>
            <w:tcW w:w="751" w:type="dxa"/>
            <w:tcBorders>
              <w:right w:val="single" w:color="000000" w:sz="2" w:space="0"/>
            </w:tcBorders>
            <w:vAlign w:val="top"/>
          </w:tcPr>
          <w:p w14:paraId="6FA829B4">
            <w:pPr>
              <w:rPr>
                <w:rFonts w:ascii="Arial"/>
                <w:sz w:val="21"/>
              </w:rPr>
            </w:pPr>
            <w:r>
              <w:drawing>
                <wp:anchor distT="0" distB="0" distL="0" distR="0" simplePos="0" relativeHeight="251665408" behindDoc="0" locked="0" layoutInCell="0" allowOverlap="1">
                  <wp:simplePos x="0" y="0"/>
                  <wp:positionH relativeFrom="page">
                    <wp:posOffset>1674495</wp:posOffset>
                  </wp:positionH>
                  <wp:positionV relativeFrom="page">
                    <wp:posOffset>950595</wp:posOffset>
                  </wp:positionV>
                  <wp:extent cx="4611370" cy="6515100"/>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243"/>
                          <a:stretch>
                            <a:fillRect/>
                          </a:stretch>
                        </pic:blipFill>
                        <pic:spPr>
                          <a:xfrm>
                            <a:off x="0" y="0"/>
                            <a:ext cx="4611624" cy="6515100"/>
                          </a:xfrm>
                          <a:prstGeom prst="rect">
                            <a:avLst/>
                          </a:prstGeom>
                        </pic:spPr>
                      </pic:pic>
                    </a:graphicData>
                  </a:graphic>
                </wp:anchor>
              </w:drawing>
            </w:r>
          </w:p>
        </w:tc>
        <w:tc>
          <w:tcPr>
            <w:tcW w:w="8313" w:type="dxa"/>
            <w:tcBorders>
              <w:left w:val="single" w:color="000000" w:sz="2" w:space="0"/>
            </w:tcBorders>
            <w:vAlign w:val="top"/>
          </w:tcPr>
          <w:p w14:paraId="034C1E6A">
            <w:pPr>
              <w:spacing w:line="244" w:lineRule="auto"/>
              <w:rPr>
                <w:rFonts w:ascii="Arial"/>
                <w:sz w:val="21"/>
              </w:rPr>
            </w:pPr>
          </w:p>
          <w:p w14:paraId="365C3164">
            <w:pPr>
              <w:spacing w:line="244" w:lineRule="auto"/>
              <w:rPr>
                <w:rFonts w:ascii="Arial"/>
                <w:sz w:val="21"/>
              </w:rPr>
            </w:pPr>
          </w:p>
          <w:p w14:paraId="7466C578">
            <w:pPr>
              <w:spacing w:line="244" w:lineRule="auto"/>
              <w:rPr>
                <w:rFonts w:ascii="Arial"/>
                <w:sz w:val="21"/>
              </w:rPr>
            </w:pPr>
          </w:p>
          <w:p w14:paraId="50BF3915">
            <w:pPr>
              <w:spacing w:line="244" w:lineRule="auto"/>
              <w:rPr>
                <w:rFonts w:ascii="Arial"/>
                <w:sz w:val="21"/>
              </w:rPr>
            </w:pPr>
          </w:p>
          <w:p w14:paraId="067E0827">
            <w:pPr>
              <w:spacing w:line="244" w:lineRule="auto"/>
              <w:rPr>
                <w:rFonts w:ascii="Arial"/>
                <w:sz w:val="21"/>
              </w:rPr>
            </w:pPr>
          </w:p>
          <w:p w14:paraId="7B3DAD21">
            <w:pPr>
              <w:spacing w:line="244" w:lineRule="auto"/>
              <w:rPr>
                <w:rFonts w:ascii="Arial"/>
                <w:sz w:val="21"/>
              </w:rPr>
            </w:pPr>
          </w:p>
          <w:p w14:paraId="452BB422">
            <w:pPr>
              <w:spacing w:line="244" w:lineRule="auto"/>
              <w:rPr>
                <w:rFonts w:ascii="Arial"/>
                <w:sz w:val="21"/>
              </w:rPr>
            </w:pPr>
          </w:p>
          <w:p w14:paraId="762AD467">
            <w:pPr>
              <w:spacing w:line="244" w:lineRule="auto"/>
              <w:rPr>
                <w:rFonts w:ascii="Arial"/>
                <w:sz w:val="21"/>
              </w:rPr>
            </w:pPr>
          </w:p>
          <w:p w14:paraId="2AEB1F99">
            <w:pPr>
              <w:spacing w:line="244" w:lineRule="auto"/>
              <w:rPr>
                <w:rFonts w:ascii="Arial"/>
                <w:sz w:val="21"/>
              </w:rPr>
            </w:pPr>
          </w:p>
          <w:p w14:paraId="6311C376">
            <w:pPr>
              <w:spacing w:line="244" w:lineRule="auto"/>
              <w:rPr>
                <w:rFonts w:ascii="Arial"/>
                <w:sz w:val="21"/>
              </w:rPr>
            </w:pPr>
          </w:p>
          <w:p w14:paraId="384CBE84">
            <w:pPr>
              <w:spacing w:line="244" w:lineRule="auto"/>
              <w:rPr>
                <w:rFonts w:ascii="Arial"/>
                <w:sz w:val="21"/>
              </w:rPr>
            </w:pPr>
          </w:p>
          <w:p w14:paraId="0B81F192">
            <w:pPr>
              <w:spacing w:line="244" w:lineRule="auto"/>
              <w:rPr>
                <w:rFonts w:ascii="Arial"/>
                <w:sz w:val="21"/>
              </w:rPr>
            </w:pPr>
          </w:p>
          <w:p w14:paraId="4099D3F0">
            <w:pPr>
              <w:spacing w:line="244" w:lineRule="auto"/>
              <w:rPr>
                <w:rFonts w:ascii="Arial"/>
                <w:sz w:val="21"/>
              </w:rPr>
            </w:pPr>
          </w:p>
          <w:p w14:paraId="67D3E389">
            <w:pPr>
              <w:spacing w:line="244" w:lineRule="auto"/>
              <w:rPr>
                <w:rFonts w:ascii="Arial"/>
                <w:sz w:val="21"/>
              </w:rPr>
            </w:pPr>
          </w:p>
          <w:p w14:paraId="03CD973E">
            <w:pPr>
              <w:spacing w:line="244" w:lineRule="auto"/>
              <w:rPr>
                <w:rFonts w:ascii="Arial"/>
                <w:sz w:val="21"/>
              </w:rPr>
            </w:pPr>
          </w:p>
          <w:p w14:paraId="0F2533DD">
            <w:pPr>
              <w:spacing w:line="244" w:lineRule="auto"/>
              <w:rPr>
                <w:rFonts w:ascii="Arial"/>
                <w:sz w:val="21"/>
              </w:rPr>
            </w:pPr>
          </w:p>
          <w:p w14:paraId="27A26093">
            <w:pPr>
              <w:spacing w:line="244" w:lineRule="auto"/>
              <w:rPr>
                <w:rFonts w:ascii="Arial"/>
                <w:sz w:val="21"/>
              </w:rPr>
            </w:pPr>
          </w:p>
          <w:p w14:paraId="3226BAFB">
            <w:pPr>
              <w:spacing w:line="244" w:lineRule="auto"/>
              <w:rPr>
                <w:rFonts w:ascii="Arial"/>
                <w:sz w:val="21"/>
              </w:rPr>
            </w:pPr>
          </w:p>
          <w:p w14:paraId="3DEA0789">
            <w:pPr>
              <w:spacing w:line="244" w:lineRule="auto"/>
              <w:rPr>
                <w:rFonts w:ascii="Arial"/>
                <w:sz w:val="21"/>
              </w:rPr>
            </w:pPr>
          </w:p>
          <w:p w14:paraId="6D18901E">
            <w:pPr>
              <w:spacing w:line="244" w:lineRule="auto"/>
              <w:rPr>
                <w:rFonts w:ascii="Arial"/>
                <w:sz w:val="21"/>
              </w:rPr>
            </w:pPr>
          </w:p>
          <w:p w14:paraId="5BE51F4E">
            <w:pPr>
              <w:spacing w:line="244" w:lineRule="auto"/>
              <w:rPr>
                <w:rFonts w:ascii="Arial"/>
                <w:sz w:val="21"/>
              </w:rPr>
            </w:pPr>
          </w:p>
          <w:p w14:paraId="4C974BC5">
            <w:pPr>
              <w:spacing w:line="244" w:lineRule="auto"/>
              <w:rPr>
                <w:rFonts w:ascii="Arial"/>
                <w:sz w:val="21"/>
              </w:rPr>
            </w:pPr>
          </w:p>
          <w:p w14:paraId="0B19ED97">
            <w:pPr>
              <w:spacing w:line="244" w:lineRule="auto"/>
              <w:rPr>
                <w:rFonts w:ascii="Arial"/>
                <w:sz w:val="21"/>
              </w:rPr>
            </w:pPr>
          </w:p>
          <w:p w14:paraId="7164CF70">
            <w:pPr>
              <w:spacing w:line="245" w:lineRule="auto"/>
              <w:rPr>
                <w:rFonts w:ascii="Arial"/>
                <w:sz w:val="21"/>
              </w:rPr>
            </w:pPr>
          </w:p>
          <w:p w14:paraId="45395CD8">
            <w:pPr>
              <w:spacing w:line="245" w:lineRule="auto"/>
              <w:rPr>
                <w:rFonts w:ascii="Arial"/>
                <w:sz w:val="21"/>
              </w:rPr>
            </w:pPr>
          </w:p>
          <w:p w14:paraId="3CE56D2E">
            <w:pPr>
              <w:spacing w:line="245" w:lineRule="auto"/>
              <w:rPr>
                <w:rFonts w:ascii="Arial"/>
                <w:sz w:val="21"/>
              </w:rPr>
            </w:pPr>
          </w:p>
          <w:p w14:paraId="0F53250F">
            <w:pPr>
              <w:spacing w:line="245" w:lineRule="auto"/>
              <w:rPr>
                <w:rFonts w:ascii="Arial"/>
                <w:sz w:val="21"/>
              </w:rPr>
            </w:pPr>
          </w:p>
          <w:p w14:paraId="1DDE6404">
            <w:pPr>
              <w:spacing w:line="245" w:lineRule="auto"/>
              <w:rPr>
                <w:rFonts w:ascii="Arial"/>
                <w:sz w:val="21"/>
              </w:rPr>
            </w:pPr>
          </w:p>
          <w:p w14:paraId="4FD52ECC">
            <w:pPr>
              <w:spacing w:line="245" w:lineRule="auto"/>
              <w:rPr>
                <w:rFonts w:ascii="Arial"/>
                <w:sz w:val="21"/>
              </w:rPr>
            </w:pPr>
          </w:p>
          <w:p w14:paraId="3C2C46B9">
            <w:pPr>
              <w:spacing w:line="245" w:lineRule="auto"/>
              <w:rPr>
                <w:rFonts w:ascii="Arial"/>
                <w:sz w:val="21"/>
              </w:rPr>
            </w:pPr>
          </w:p>
          <w:p w14:paraId="7BCE0E4C">
            <w:pPr>
              <w:spacing w:line="245" w:lineRule="auto"/>
              <w:rPr>
                <w:rFonts w:ascii="Arial"/>
                <w:sz w:val="21"/>
              </w:rPr>
            </w:pPr>
          </w:p>
          <w:p w14:paraId="6A71CFEC">
            <w:pPr>
              <w:spacing w:line="245" w:lineRule="auto"/>
              <w:rPr>
                <w:rFonts w:ascii="Arial"/>
                <w:sz w:val="21"/>
              </w:rPr>
            </w:pPr>
          </w:p>
          <w:p w14:paraId="59BE4760">
            <w:pPr>
              <w:spacing w:line="245" w:lineRule="auto"/>
              <w:rPr>
                <w:rFonts w:ascii="Arial"/>
                <w:sz w:val="21"/>
              </w:rPr>
            </w:pPr>
          </w:p>
          <w:p w14:paraId="272B5181">
            <w:pPr>
              <w:spacing w:line="245" w:lineRule="auto"/>
              <w:rPr>
                <w:rFonts w:ascii="Arial"/>
                <w:sz w:val="21"/>
              </w:rPr>
            </w:pPr>
          </w:p>
          <w:p w14:paraId="7D937A0D">
            <w:pPr>
              <w:spacing w:line="245" w:lineRule="auto"/>
              <w:rPr>
                <w:rFonts w:ascii="Arial"/>
                <w:sz w:val="21"/>
              </w:rPr>
            </w:pPr>
          </w:p>
          <w:p w14:paraId="4B0748A1">
            <w:pPr>
              <w:spacing w:line="245" w:lineRule="auto"/>
              <w:rPr>
                <w:rFonts w:ascii="Arial"/>
                <w:sz w:val="21"/>
              </w:rPr>
            </w:pPr>
          </w:p>
          <w:p w14:paraId="7E7EDB50">
            <w:pPr>
              <w:spacing w:line="245" w:lineRule="auto"/>
              <w:rPr>
                <w:rFonts w:ascii="Arial"/>
                <w:sz w:val="21"/>
              </w:rPr>
            </w:pPr>
          </w:p>
          <w:p w14:paraId="63F2FC54">
            <w:pPr>
              <w:spacing w:line="245" w:lineRule="auto"/>
              <w:rPr>
                <w:rFonts w:ascii="Arial"/>
                <w:sz w:val="21"/>
              </w:rPr>
            </w:pPr>
          </w:p>
          <w:p w14:paraId="12ADD988">
            <w:pPr>
              <w:spacing w:line="245" w:lineRule="auto"/>
              <w:rPr>
                <w:rFonts w:ascii="Arial"/>
                <w:sz w:val="21"/>
              </w:rPr>
            </w:pPr>
          </w:p>
          <w:p w14:paraId="77075700">
            <w:pPr>
              <w:spacing w:line="245" w:lineRule="auto"/>
              <w:rPr>
                <w:rFonts w:ascii="Arial"/>
                <w:sz w:val="21"/>
              </w:rPr>
            </w:pPr>
          </w:p>
          <w:p w14:paraId="3D68DB52">
            <w:pPr>
              <w:spacing w:line="245" w:lineRule="auto"/>
              <w:rPr>
                <w:rFonts w:ascii="Arial"/>
                <w:sz w:val="21"/>
              </w:rPr>
            </w:pPr>
          </w:p>
          <w:p w14:paraId="481AD567">
            <w:pPr>
              <w:spacing w:line="245" w:lineRule="auto"/>
              <w:rPr>
                <w:rFonts w:ascii="Arial"/>
                <w:sz w:val="21"/>
              </w:rPr>
            </w:pPr>
          </w:p>
          <w:p w14:paraId="0E140DDC">
            <w:pPr>
              <w:spacing w:line="245" w:lineRule="auto"/>
              <w:rPr>
                <w:rFonts w:ascii="Arial"/>
                <w:sz w:val="21"/>
              </w:rPr>
            </w:pPr>
          </w:p>
          <w:p w14:paraId="48BB92BF">
            <w:pPr>
              <w:pStyle w:val="9"/>
              <w:spacing w:before="78" w:line="219" w:lineRule="auto"/>
              <w:ind w:left="2788"/>
            </w:pPr>
            <w:r>
              <w:rPr>
                <w:b/>
                <w:bCs/>
                <w:spacing w:val="-4"/>
              </w:rPr>
              <w:t>图</w:t>
            </w:r>
            <w:r>
              <w:rPr>
                <w:spacing w:val="-47"/>
              </w:rPr>
              <w:t xml:space="preserve"> </w:t>
            </w:r>
            <w:r>
              <w:rPr>
                <w:rFonts w:ascii="Times New Roman" w:hAnsi="Times New Roman" w:eastAsia="Times New Roman" w:cs="Times New Roman"/>
                <w:b/>
                <w:bCs/>
                <w:spacing w:val="-4"/>
              </w:rPr>
              <w:t xml:space="preserve">3-7    </w:t>
            </w:r>
            <w:r>
              <w:rPr>
                <w:b/>
                <w:bCs/>
                <w:spacing w:val="-4"/>
              </w:rPr>
              <w:t>本项目植被类型图</w:t>
            </w:r>
          </w:p>
          <w:p w14:paraId="1FA05EB6">
            <w:pPr>
              <w:pStyle w:val="9"/>
              <w:spacing w:before="186" w:line="219" w:lineRule="auto"/>
              <w:ind w:left="599"/>
            </w:pPr>
            <w:r>
              <w:rPr>
                <w:b/>
                <w:bCs/>
                <w:spacing w:val="-5"/>
              </w:rPr>
              <w:t>（</w:t>
            </w:r>
            <w:r>
              <w:rPr>
                <w:rFonts w:ascii="Times New Roman" w:hAnsi="Times New Roman" w:eastAsia="Times New Roman" w:cs="Times New Roman"/>
                <w:b/>
                <w:bCs/>
                <w:spacing w:val="-5"/>
              </w:rPr>
              <w:t>2</w:t>
            </w:r>
            <w:r>
              <w:rPr>
                <w:b/>
                <w:bCs/>
                <w:spacing w:val="-5"/>
              </w:rPr>
              <w:t>）常见植被名录</w:t>
            </w:r>
          </w:p>
          <w:p w14:paraId="1977F99A">
            <w:pPr>
              <w:pStyle w:val="9"/>
              <w:spacing w:before="184" w:line="316" w:lineRule="auto"/>
              <w:ind w:left="109" w:right="102" w:firstLine="479"/>
              <w:jc w:val="both"/>
            </w:pPr>
            <w:r>
              <w:rPr>
                <w:spacing w:val="-2"/>
              </w:rPr>
              <w:t>本项目位于内蒙古自治区通辽市扎鲁特旗境内，在植物地理区</w:t>
            </w:r>
            <w:r>
              <w:rPr>
                <w:spacing w:val="-3"/>
              </w:rPr>
              <w:t>系上，属欧</w:t>
            </w:r>
            <w:r>
              <w:rPr>
                <w:spacing w:val="-2"/>
              </w:rPr>
              <w:t>亚草原植物区－蒙古高原草原省－大兴安岭西鹭洲，本项目在植被地带上</w:t>
            </w:r>
            <w:r>
              <w:rPr>
                <w:spacing w:val="-3"/>
              </w:rPr>
              <w:t>，属</w:t>
            </w:r>
            <w:r>
              <w:rPr>
                <w:spacing w:val="-1"/>
              </w:rPr>
              <w:t>中温型草原带中的典型草原亚带。</w:t>
            </w:r>
          </w:p>
        </w:tc>
      </w:tr>
    </w:tbl>
    <w:p w14:paraId="6CBAC808">
      <w:pPr>
        <w:pStyle w:val="3"/>
      </w:pPr>
    </w:p>
    <w:p w14:paraId="45395982">
      <w:pPr>
        <w:sectPr>
          <w:footerReference r:id="rId41" w:type="default"/>
          <w:pgSz w:w="11906" w:h="16838"/>
          <w:pgMar w:top="1416" w:right="1413" w:bottom="1295" w:left="1413" w:header="0" w:footer="1133" w:gutter="0"/>
          <w:cols w:space="720" w:num="1"/>
        </w:sectPr>
      </w:pPr>
    </w:p>
    <w:tbl>
      <w:tblPr>
        <w:tblStyle w:val="8"/>
        <w:tblW w:w="90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51"/>
        <w:gridCol w:w="8313"/>
      </w:tblGrid>
      <w:tr w14:paraId="69C3F0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666" w:hRule="atLeast"/>
        </w:trPr>
        <w:tc>
          <w:tcPr>
            <w:tcW w:w="751" w:type="dxa"/>
            <w:tcBorders>
              <w:right w:val="single" w:color="000000" w:sz="2" w:space="0"/>
            </w:tcBorders>
            <w:vAlign w:val="top"/>
          </w:tcPr>
          <w:p w14:paraId="78EFC4E0">
            <w:pPr>
              <w:rPr>
                <w:rFonts w:ascii="Arial"/>
                <w:sz w:val="21"/>
              </w:rPr>
            </w:pPr>
          </w:p>
        </w:tc>
        <w:tc>
          <w:tcPr>
            <w:tcW w:w="8313" w:type="dxa"/>
            <w:tcBorders>
              <w:left w:val="single" w:color="000000" w:sz="2" w:space="0"/>
            </w:tcBorders>
            <w:vAlign w:val="top"/>
          </w:tcPr>
          <w:p w14:paraId="034144AB">
            <w:pPr>
              <w:spacing w:before="5" w:line="5753" w:lineRule="exact"/>
              <w:ind w:firstLine="100"/>
            </w:pPr>
            <w:r>
              <w:rPr>
                <w:position w:val="-115"/>
              </w:rPr>
              <w:drawing>
                <wp:inline distT="0" distB="0" distL="0" distR="0">
                  <wp:extent cx="5143500" cy="3652520"/>
                  <wp:effectExtent l="0" t="0" r="0" b="508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244"/>
                          <a:stretch>
                            <a:fillRect/>
                          </a:stretch>
                        </pic:blipFill>
                        <pic:spPr>
                          <a:xfrm>
                            <a:off x="0" y="0"/>
                            <a:ext cx="5143500" cy="3653027"/>
                          </a:xfrm>
                          <a:prstGeom prst="rect">
                            <a:avLst/>
                          </a:prstGeom>
                        </pic:spPr>
                      </pic:pic>
                    </a:graphicData>
                  </a:graphic>
                </wp:inline>
              </w:drawing>
            </w:r>
          </w:p>
          <w:p w14:paraId="22749D3B">
            <w:pPr>
              <w:pStyle w:val="9"/>
              <w:spacing w:before="308" w:line="219" w:lineRule="auto"/>
              <w:ind w:left="2728"/>
            </w:pPr>
            <w:r>
              <w:rPr>
                <w:b/>
                <w:bCs/>
                <w:spacing w:val="-7"/>
              </w:rPr>
              <w:t>图</w:t>
            </w:r>
            <w:r>
              <w:rPr>
                <w:spacing w:val="-54"/>
              </w:rPr>
              <w:t xml:space="preserve"> </w:t>
            </w:r>
            <w:r>
              <w:rPr>
                <w:rFonts w:ascii="Times New Roman" w:hAnsi="Times New Roman" w:eastAsia="Times New Roman" w:cs="Times New Roman"/>
                <w:b/>
                <w:bCs/>
                <w:spacing w:val="-7"/>
              </w:rPr>
              <w:t>3-8</w:t>
            </w:r>
            <w:r>
              <w:rPr>
                <w:rFonts w:ascii="Times New Roman" w:hAnsi="Times New Roman" w:eastAsia="Times New Roman" w:cs="Times New Roman"/>
                <w:b/>
                <w:bCs/>
                <w:spacing w:val="6"/>
              </w:rPr>
              <w:t xml:space="preserve">      </w:t>
            </w:r>
            <w:r>
              <w:rPr>
                <w:b/>
                <w:bCs/>
                <w:spacing w:val="-7"/>
              </w:rPr>
              <w:t>内蒙古植物区系分区图</w:t>
            </w:r>
          </w:p>
          <w:p w14:paraId="45A23A5E">
            <w:pPr>
              <w:spacing w:before="13" w:line="5887" w:lineRule="exact"/>
              <w:ind w:firstLine="103"/>
            </w:pPr>
            <w:r>
              <w:rPr>
                <w:position w:val="-117"/>
              </w:rPr>
              <w:drawing>
                <wp:inline distT="0" distB="0" distL="0" distR="0">
                  <wp:extent cx="5138420" cy="3738245"/>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245"/>
                          <a:stretch>
                            <a:fillRect/>
                          </a:stretch>
                        </pic:blipFill>
                        <pic:spPr>
                          <a:xfrm>
                            <a:off x="0" y="0"/>
                            <a:ext cx="5138928" cy="3738371"/>
                          </a:xfrm>
                          <a:prstGeom prst="rect">
                            <a:avLst/>
                          </a:prstGeom>
                        </pic:spPr>
                      </pic:pic>
                    </a:graphicData>
                  </a:graphic>
                </wp:inline>
              </w:drawing>
            </w:r>
          </w:p>
          <w:p w14:paraId="36B9EE87">
            <w:pPr>
              <w:pStyle w:val="9"/>
              <w:spacing w:before="172" w:line="219" w:lineRule="auto"/>
              <w:ind w:left="3028"/>
            </w:pPr>
            <w:r>
              <w:rPr>
                <w:b/>
                <w:bCs/>
                <w:spacing w:val="-8"/>
              </w:rPr>
              <w:t>图</w:t>
            </w:r>
            <w:r>
              <w:rPr>
                <w:spacing w:val="-53"/>
              </w:rPr>
              <w:t xml:space="preserve"> </w:t>
            </w:r>
            <w:r>
              <w:rPr>
                <w:rFonts w:ascii="Times New Roman" w:hAnsi="Times New Roman" w:eastAsia="Times New Roman" w:cs="Times New Roman"/>
                <w:b/>
                <w:bCs/>
                <w:spacing w:val="-8"/>
              </w:rPr>
              <w:t>3-9</w:t>
            </w:r>
            <w:r>
              <w:rPr>
                <w:rFonts w:ascii="Times New Roman" w:hAnsi="Times New Roman" w:eastAsia="Times New Roman" w:cs="Times New Roman"/>
                <w:b/>
                <w:bCs/>
                <w:spacing w:val="9"/>
              </w:rPr>
              <w:t xml:space="preserve">    </w:t>
            </w:r>
            <w:r>
              <w:rPr>
                <w:b/>
                <w:bCs/>
                <w:spacing w:val="-8"/>
              </w:rPr>
              <w:t>内蒙古植被地带图</w:t>
            </w:r>
          </w:p>
          <w:p w14:paraId="54D85361">
            <w:pPr>
              <w:pStyle w:val="9"/>
              <w:spacing w:before="184" w:line="219" w:lineRule="auto"/>
              <w:ind w:left="587"/>
            </w:pPr>
            <w:r>
              <w:rPr>
                <w:spacing w:val="-1"/>
              </w:rPr>
              <w:t>根据实地调查与历史资料，本项目占地范围内常见植被名录见表</w:t>
            </w:r>
            <w:r>
              <w:rPr>
                <w:spacing w:val="-40"/>
              </w:rPr>
              <w:t xml:space="preserve"> </w:t>
            </w:r>
            <w:r>
              <w:rPr>
                <w:rFonts w:ascii="Times New Roman" w:hAnsi="Times New Roman" w:eastAsia="Times New Roman" w:cs="Times New Roman"/>
                <w:spacing w:val="-1"/>
              </w:rPr>
              <w:t>3-5</w:t>
            </w:r>
            <w:r>
              <w:rPr>
                <w:spacing w:val="-1"/>
              </w:rPr>
              <w:t>。</w:t>
            </w:r>
          </w:p>
          <w:p w14:paraId="45FCD3BD">
            <w:pPr>
              <w:pStyle w:val="9"/>
              <w:spacing w:before="184" w:line="218" w:lineRule="auto"/>
              <w:ind w:left="2523"/>
            </w:pPr>
            <w:r>
              <w:rPr>
                <w:b/>
                <w:bCs/>
                <w:spacing w:val="-2"/>
              </w:rPr>
              <w:t>表</w:t>
            </w:r>
            <w:r>
              <w:rPr>
                <w:spacing w:val="-53"/>
              </w:rPr>
              <w:t xml:space="preserve"> </w:t>
            </w:r>
            <w:r>
              <w:rPr>
                <w:rFonts w:ascii="Times New Roman" w:hAnsi="Times New Roman" w:eastAsia="Times New Roman" w:cs="Times New Roman"/>
                <w:b/>
                <w:bCs/>
                <w:spacing w:val="-2"/>
              </w:rPr>
              <w:t xml:space="preserve">3-5    </w:t>
            </w:r>
            <w:r>
              <w:rPr>
                <w:b/>
                <w:bCs/>
                <w:spacing w:val="-2"/>
              </w:rPr>
              <w:t>评价区域常见植被名录</w:t>
            </w:r>
          </w:p>
        </w:tc>
      </w:tr>
    </w:tbl>
    <w:p w14:paraId="19A3E3AF">
      <w:pPr>
        <w:pStyle w:val="3"/>
      </w:pPr>
    </w:p>
    <w:p w14:paraId="350BE772">
      <w:pPr>
        <w:sectPr>
          <w:footerReference r:id="rId42" w:type="default"/>
          <w:pgSz w:w="11906" w:h="16838"/>
          <w:pgMar w:top="1416" w:right="1413" w:bottom="1295" w:left="1413" w:header="0" w:footer="1133" w:gutter="0"/>
          <w:cols w:space="720" w:num="1"/>
        </w:sectPr>
      </w:pPr>
    </w:p>
    <w:tbl>
      <w:tblPr>
        <w:tblStyle w:val="8"/>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1"/>
        <w:gridCol w:w="113"/>
        <w:gridCol w:w="240"/>
        <w:gridCol w:w="980"/>
        <w:gridCol w:w="3998"/>
        <w:gridCol w:w="2859"/>
        <w:gridCol w:w="123"/>
      </w:tblGrid>
      <w:tr w14:paraId="1E6E1B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751" w:type="dxa"/>
            <w:vMerge w:val="restart"/>
            <w:tcBorders>
              <w:top w:val="single" w:color="000000" w:sz="6" w:space="0"/>
              <w:left w:val="single" w:color="000000" w:sz="6" w:space="0"/>
              <w:bottom w:val="nil"/>
            </w:tcBorders>
            <w:vAlign w:val="top"/>
          </w:tcPr>
          <w:p w14:paraId="62360D1A">
            <w:pPr>
              <w:rPr>
                <w:rFonts w:ascii="Arial"/>
                <w:sz w:val="21"/>
              </w:rPr>
            </w:pPr>
          </w:p>
        </w:tc>
        <w:tc>
          <w:tcPr>
            <w:tcW w:w="113" w:type="dxa"/>
            <w:tcBorders>
              <w:top w:val="single" w:color="000000" w:sz="6" w:space="0"/>
              <w:bottom w:val="nil"/>
            </w:tcBorders>
            <w:vAlign w:val="top"/>
          </w:tcPr>
          <w:p w14:paraId="3E01387D">
            <w:pPr>
              <w:rPr>
                <w:rFonts w:ascii="Arial"/>
                <w:sz w:val="21"/>
              </w:rPr>
            </w:pPr>
          </w:p>
        </w:tc>
        <w:tc>
          <w:tcPr>
            <w:tcW w:w="240" w:type="dxa"/>
            <w:tcBorders>
              <w:top w:val="single" w:color="000000" w:sz="6" w:space="0"/>
            </w:tcBorders>
            <w:textDirection w:val="tbRlV"/>
            <w:vAlign w:val="top"/>
          </w:tcPr>
          <w:p w14:paraId="7050DC83">
            <w:pPr>
              <w:spacing w:line="235" w:lineRule="exact"/>
              <w:rPr>
                <w:rFonts w:ascii="Arial"/>
                <w:sz w:val="19"/>
              </w:rPr>
            </w:pPr>
            <w:r>
              <w:pict>
                <v:shape id="_x0000_s1034" o:spid="_x0000_s1034" o:spt="202" type="#_x0000_t202" style="position:absolute;left:0pt;margin-left:1.3pt;margin-top:2pt;height:26.15pt;width:14.15pt;mso-position-horizontal-relative:page;mso-position-vertical-relative:page;z-index:251666432;mso-width-relative:page;mso-height-relative:page;" filled="f" stroked="f" coordsize="21600,21600">
                  <v:path/>
                  <v:fill on="f" focussize="0,0"/>
                  <v:stroke on="f"/>
                  <v:imagedata o:title=""/>
                  <o:lock v:ext="edit" aspectratio="f"/>
                  <v:textbox inset="0mm,0mm,0mm,0mm" style="layout-flow:vertical-ideographic;">
                    <w:txbxContent>
                      <w:p w14:paraId="247A7A1D">
                        <w:pPr>
                          <w:pStyle w:val="9"/>
                          <w:spacing w:before="19" w:line="218" w:lineRule="auto"/>
                          <w:ind w:left="20"/>
                          <w:rPr>
                            <w:sz w:val="20"/>
                            <w:szCs w:val="20"/>
                          </w:rPr>
                        </w:pPr>
                        <w:r>
                          <w:rPr>
                            <w:spacing w:val="8"/>
                            <w:sz w:val="20"/>
                            <w:szCs w:val="20"/>
                          </w:rPr>
                          <w:t>序</w:t>
                        </w:r>
                        <w:r>
                          <w:rPr>
                            <w:spacing w:val="-35"/>
                            <w:sz w:val="20"/>
                            <w:szCs w:val="20"/>
                          </w:rPr>
                          <w:t xml:space="preserve"> </w:t>
                        </w:r>
                        <w:r>
                          <w:rPr>
                            <w:spacing w:val="8"/>
                            <w:sz w:val="20"/>
                            <w:szCs w:val="20"/>
                          </w:rPr>
                          <w:t>号</w:t>
                        </w:r>
                      </w:p>
                    </w:txbxContent>
                  </v:textbox>
                </v:shape>
              </w:pict>
            </w:r>
          </w:p>
        </w:tc>
        <w:tc>
          <w:tcPr>
            <w:tcW w:w="980" w:type="dxa"/>
            <w:tcBorders>
              <w:top w:val="single" w:color="000000" w:sz="6" w:space="0"/>
            </w:tcBorders>
            <w:vAlign w:val="top"/>
          </w:tcPr>
          <w:p w14:paraId="0214895E">
            <w:pPr>
              <w:pStyle w:val="9"/>
              <w:spacing w:before="182" w:line="228" w:lineRule="auto"/>
              <w:ind w:left="195"/>
              <w:rPr>
                <w:sz w:val="20"/>
                <w:szCs w:val="20"/>
              </w:rPr>
            </w:pPr>
            <w:r>
              <w:rPr>
                <w:sz w:val="20"/>
                <w:szCs w:val="20"/>
              </w:rPr>
              <w:t>中文名</w:t>
            </w:r>
          </w:p>
        </w:tc>
        <w:tc>
          <w:tcPr>
            <w:tcW w:w="3998" w:type="dxa"/>
            <w:tcBorders>
              <w:top w:val="single" w:color="000000" w:sz="6" w:space="0"/>
            </w:tcBorders>
            <w:vAlign w:val="top"/>
          </w:tcPr>
          <w:p w14:paraId="158DE900">
            <w:pPr>
              <w:pStyle w:val="9"/>
              <w:spacing w:before="182" w:line="229" w:lineRule="auto"/>
              <w:ind w:left="1796"/>
              <w:rPr>
                <w:sz w:val="20"/>
                <w:szCs w:val="20"/>
              </w:rPr>
            </w:pPr>
            <w:r>
              <w:rPr>
                <w:spacing w:val="2"/>
                <w:sz w:val="20"/>
                <w:szCs w:val="20"/>
              </w:rPr>
              <w:t>学名</w:t>
            </w:r>
          </w:p>
        </w:tc>
        <w:tc>
          <w:tcPr>
            <w:tcW w:w="2859" w:type="dxa"/>
            <w:tcBorders>
              <w:top w:val="single" w:color="000000" w:sz="6" w:space="0"/>
            </w:tcBorders>
            <w:vAlign w:val="top"/>
          </w:tcPr>
          <w:p w14:paraId="66E73989">
            <w:pPr>
              <w:pStyle w:val="9"/>
              <w:spacing w:before="182" w:line="228" w:lineRule="auto"/>
              <w:ind w:left="1021"/>
              <w:rPr>
                <w:sz w:val="20"/>
                <w:szCs w:val="20"/>
              </w:rPr>
            </w:pPr>
            <w:r>
              <w:rPr>
                <w:spacing w:val="7"/>
                <w:sz w:val="20"/>
                <w:szCs w:val="20"/>
              </w:rPr>
              <w:t>栖息生境</w:t>
            </w:r>
          </w:p>
        </w:tc>
        <w:tc>
          <w:tcPr>
            <w:tcW w:w="123" w:type="dxa"/>
            <w:tcBorders>
              <w:top w:val="single" w:color="000000" w:sz="6" w:space="0"/>
              <w:bottom w:val="nil"/>
              <w:right w:val="single" w:color="000000" w:sz="6" w:space="0"/>
            </w:tcBorders>
            <w:vAlign w:val="top"/>
          </w:tcPr>
          <w:p w14:paraId="305552CD">
            <w:pPr>
              <w:rPr>
                <w:rFonts w:ascii="Arial"/>
                <w:sz w:val="21"/>
              </w:rPr>
            </w:pPr>
          </w:p>
        </w:tc>
      </w:tr>
      <w:tr w14:paraId="502866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751" w:type="dxa"/>
            <w:vMerge w:val="continue"/>
            <w:tcBorders>
              <w:top w:val="nil"/>
              <w:left w:val="single" w:color="000000" w:sz="6" w:space="0"/>
              <w:bottom w:val="nil"/>
            </w:tcBorders>
            <w:vAlign w:val="top"/>
          </w:tcPr>
          <w:p w14:paraId="7B1CA4C8">
            <w:pPr>
              <w:rPr>
                <w:rFonts w:ascii="Arial"/>
                <w:sz w:val="21"/>
              </w:rPr>
            </w:pPr>
          </w:p>
        </w:tc>
        <w:tc>
          <w:tcPr>
            <w:tcW w:w="113" w:type="dxa"/>
            <w:tcBorders>
              <w:top w:val="nil"/>
              <w:bottom w:val="nil"/>
            </w:tcBorders>
            <w:vAlign w:val="top"/>
          </w:tcPr>
          <w:p w14:paraId="6BD3D152">
            <w:pPr>
              <w:rPr>
                <w:rFonts w:ascii="Arial"/>
                <w:sz w:val="21"/>
              </w:rPr>
            </w:pPr>
          </w:p>
        </w:tc>
        <w:tc>
          <w:tcPr>
            <w:tcW w:w="8077" w:type="dxa"/>
            <w:gridSpan w:val="4"/>
            <w:vAlign w:val="top"/>
          </w:tcPr>
          <w:p w14:paraId="01A0BE45">
            <w:pPr>
              <w:pStyle w:val="9"/>
              <w:spacing w:before="1" w:line="277" w:lineRule="exact"/>
              <w:ind w:left="3042"/>
              <w:rPr>
                <w:rFonts w:ascii="Times New Roman" w:hAnsi="Times New Roman" w:eastAsia="Times New Roman" w:cs="Times New Roman"/>
                <w:sz w:val="20"/>
                <w:szCs w:val="20"/>
              </w:rPr>
            </w:pPr>
            <w:r>
              <w:rPr>
                <w:spacing w:val="16"/>
                <w:position w:val="1"/>
                <w:sz w:val="20"/>
                <w:szCs w:val="20"/>
              </w:rPr>
              <w:t>一、杨柳科</w:t>
            </w:r>
            <w:r>
              <w:rPr>
                <w:spacing w:val="-46"/>
                <w:position w:val="1"/>
                <w:sz w:val="20"/>
                <w:szCs w:val="20"/>
              </w:rPr>
              <w:t xml:space="preserve"> </w:t>
            </w:r>
            <w:r>
              <w:rPr>
                <w:rFonts w:ascii="Times New Roman" w:hAnsi="Times New Roman" w:eastAsia="Times New Roman" w:cs="Times New Roman"/>
                <w:i/>
                <w:iCs/>
                <w:position w:val="1"/>
                <w:sz w:val="20"/>
                <w:szCs w:val="20"/>
              </w:rPr>
              <w:t>Salicaceae</w:t>
            </w:r>
          </w:p>
        </w:tc>
        <w:tc>
          <w:tcPr>
            <w:tcW w:w="123" w:type="dxa"/>
            <w:tcBorders>
              <w:top w:val="nil"/>
              <w:bottom w:val="nil"/>
              <w:right w:val="single" w:color="000000" w:sz="6" w:space="0"/>
            </w:tcBorders>
            <w:vAlign w:val="top"/>
          </w:tcPr>
          <w:p w14:paraId="210C6198">
            <w:pPr>
              <w:rPr>
                <w:rFonts w:ascii="Arial"/>
                <w:sz w:val="21"/>
              </w:rPr>
            </w:pPr>
          </w:p>
        </w:tc>
      </w:tr>
      <w:tr w14:paraId="7F465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751" w:type="dxa"/>
            <w:vMerge w:val="continue"/>
            <w:tcBorders>
              <w:top w:val="nil"/>
              <w:left w:val="single" w:color="000000" w:sz="6" w:space="0"/>
              <w:bottom w:val="nil"/>
            </w:tcBorders>
            <w:vAlign w:val="top"/>
          </w:tcPr>
          <w:p w14:paraId="72A930CE">
            <w:pPr>
              <w:rPr>
                <w:rFonts w:ascii="Arial"/>
                <w:sz w:val="21"/>
              </w:rPr>
            </w:pPr>
          </w:p>
        </w:tc>
        <w:tc>
          <w:tcPr>
            <w:tcW w:w="113" w:type="dxa"/>
            <w:tcBorders>
              <w:top w:val="nil"/>
              <w:bottom w:val="nil"/>
            </w:tcBorders>
            <w:vAlign w:val="top"/>
          </w:tcPr>
          <w:p w14:paraId="1B3DD8E9">
            <w:pPr>
              <w:rPr>
                <w:rFonts w:ascii="Arial"/>
                <w:sz w:val="21"/>
              </w:rPr>
            </w:pPr>
          </w:p>
        </w:tc>
        <w:tc>
          <w:tcPr>
            <w:tcW w:w="240" w:type="dxa"/>
            <w:vAlign w:val="top"/>
          </w:tcPr>
          <w:p w14:paraId="41198EFD">
            <w:pPr>
              <w:spacing w:before="203" w:line="195" w:lineRule="auto"/>
              <w:ind w:left="101"/>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980" w:type="dxa"/>
            <w:vAlign w:val="top"/>
          </w:tcPr>
          <w:p w14:paraId="19E254AB">
            <w:pPr>
              <w:pStyle w:val="9"/>
              <w:spacing w:before="167" w:line="228" w:lineRule="auto"/>
              <w:ind w:left="283"/>
              <w:rPr>
                <w:sz w:val="20"/>
                <w:szCs w:val="20"/>
              </w:rPr>
            </w:pPr>
            <w:r>
              <w:rPr>
                <w:spacing w:val="3"/>
                <w:sz w:val="20"/>
                <w:szCs w:val="20"/>
              </w:rPr>
              <w:t>杨树</w:t>
            </w:r>
          </w:p>
        </w:tc>
        <w:tc>
          <w:tcPr>
            <w:tcW w:w="3998" w:type="dxa"/>
            <w:vAlign w:val="top"/>
          </w:tcPr>
          <w:p w14:paraId="12C18EF8">
            <w:pPr>
              <w:spacing w:before="133" w:line="277" w:lineRule="exact"/>
              <w:ind w:left="1561"/>
              <w:rPr>
                <w:rFonts w:ascii="Times New Roman" w:hAnsi="Times New Roman" w:eastAsia="Times New Roman" w:cs="Times New Roman"/>
                <w:sz w:val="20"/>
                <w:szCs w:val="20"/>
              </w:rPr>
            </w:pPr>
            <w:r>
              <w:rPr>
                <w:rFonts w:ascii="Times New Roman" w:hAnsi="Times New Roman" w:eastAsia="Times New Roman" w:cs="Times New Roman"/>
                <w:i/>
                <w:iCs/>
                <w:spacing w:val="4"/>
                <w:position w:val="4"/>
                <w:sz w:val="20"/>
                <w:szCs w:val="20"/>
              </w:rPr>
              <w:t>PopulusL.</w:t>
            </w:r>
          </w:p>
        </w:tc>
        <w:tc>
          <w:tcPr>
            <w:tcW w:w="2859" w:type="dxa"/>
            <w:vAlign w:val="top"/>
          </w:tcPr>
          <w:p w14:paraId="223308D1">
            <w:pPr>
              <w:pStyle w:val="9"/>
              <w:spacing w:before="30" w:line="227" w:lineRule="auto"/>
              <w:ind w:left="93"/>
              <w:rPr>
                <w:sz w:val="20"/>
                <w:szCs w:val="20"/>
              </w:rPr>
            </w:pPr>
            <w:r>
              <w:rPr>
                <w:spacing w:val="6"/>
                <w:sz w:val="20"/>
                <w:szCs w:val="20"/>
              </w:rPr>
              <w:t>河流两侧、道路旁、田间、村</w:t>
            </w:r>
          </w:p>
          <w:p w14:paraId="11A5410C">
            <w:pPr>
              <w:pStyle w:val="9"/>
              <w:spacing w:before="27" w:line="216" w:lineRule="auto"/>
              <w:ind w:left="1126"/>
              <w:rPr>
                <w:sz w:val="20"/>
                <w:szCs w:val="20"/>
              </w:rPr>
            </w:pPr>
            <w:r>
              <w:rPr>
                <w:spacing w:val="6"/>
                <w:sz w:val="20"/>
                <w:szCs w:val="20"/>
              </w:rPr>
              <w:t>庄附近</w:t>
            </w:r>
          </w:p>
        </w:tc>
        <w:tc>
          <w:tcPr>
            <w:tcW w:w="123" w:type="dxa"/>
            <w:tcBorders>
              <w:top w:val="nil"/>
              <w:bottom w:val="nil"/>
              <w:right w:val="single" w:color="000000" w:sz="6" w:space="0"/>
            </w:tcBorders>
            <w:vAlign w:val="top"/>
          </w:tcPr>
          <w:p w14:paraId="15070FFE">
            <w:pPr>
              <w:rPr>
                <w:rFonts w:ascii="Arial"/>
                <w:sz w:val="21"/>
              </w:rPr>
            </w:pPr>
          </w:p>
        </w:tc>
      </w:tr>
      <w:tr w14:paraId="32A0BC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1" w:type="dxa"/>
            <w:vMerge w:val="continue"/>
            <w:tcBorders>
              <w:top w:val="nil"/>
              <w:left w:val="single" w:color="000000" w:sz="6" w:space="0"/>
              <w:bottom w:val="nil"/>
            </w:tcBorders>
            <w:vAlign w:val="top"/>
          </w:tcPr>
          <w:p w14:paraId="3E8FEB22">
            <w:pPr>
              <w:rPr>
                <w:rFonts w:ascii="Arial"/>
                <w:sz w:val="21"/>
              </w:rPr>
            </w:pPr>
          </w:p>
        </w:tc>
        <w:tc>
          <w:tcPr>
            <w:tcW w:w="113" w:type="dxa"/>
            <w:tcBorders>
              <w:top w:val="nil"/>
              <w:bottom w:val="nil"/>
            </w:tcBorders>
            <w:vAlign w:val="top"/>
          </w:tcPr>
          <w:p w14:paraId="7D58052A">
            <w:pPr>
              <w:rPr>
                <w:rFonts w:ascii="Arial"/>
                <w:sz w:val="21"/>
              </w:rPr>
            </w:pPr>
          </w:p>
        </w:tc>
        <w:tc>
          <w:tcPr>
            <w:tcW w:w="240" w:type="dxa"/>
            <w:vAlign w:val="top"/>
          </w:tcPr>
          <w:p w14:paraId="41658089">
            <w:pPr>
              <w:spacing w:before="204" w:line="195" w:lineRule="auto"/>
              <w:ind w:left="80"/>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980" w:type="dxa"/>
            <w:vAlign w:val="top"/>
          </w:tcPr>
          <w:p w14:paraId="758895E4">
            <w:pPr>
              <w:pStyle w:val="9"/>
              <w:spacing w:before="168" w:line="228" w:lineRule="auto"/>
              <w:ind w:left="181"/>
              <w:rPr>
                <w:sz w:val="20"/>
                <w:szCs w:val="20"/>
              </w:rPr>
            </w:pPr>
            <w:r>
              <w:rPr>
                <w:spacing w:val="5"/>
                <w:sz w:val="20"/>
                <w:szCs w:val="20"/>
              </w:rPr>
              <w:t>小叶杨</w:t>
            </w:r>
          </w:p>
        </w:tc>
        <w:tc>
          <w:tcPr>
            <w:tcW w:w="3998" w:type="dxa"/>
            <w:vAlign w:val="top"/>
          </w:tcPr>
          <w:p w14:paraId="72CBD1CD">
            <w:pPr>
              <w:spacing w:before="134" w:line="278" w:lineRule="exact"/>
              <w:ind w:left="918"/>
              <w:rPr>
                <w:rFonts w:ascii="Times New Roman" w:hAnsi="Times New Roman" w:eastAsia="Times New Roman" w:cs="Times New Roman"/>
                <w:sz w:val="20"/>
                <w:szCs w:val="20"/>
              </w:rPr>
            </w:pPr>
            <w:r>
              <w:rPr>
                <w:rFonts w:ascii="Times New Roman" w:hAnsi="Times New Roman" w:eastAsia="Times New Roman" w:cs="Times New Roman"/>
                <w:i/>
                <w:iCs/>
                <w:spacing w:val="3"/>
                <w:position w:val="4"/>
                <w:sz w:val="20"/>
                <w:szCs w:val="20"/>
              </w:rPr>
              <w:t>Populus simonii</w:t>
            </w:r>
            <w:r>
              <w:rPr>
                <w:rFonts w:ascii="Times New Roman" w:hAnsi="Times New Roman" w:eastAsia="Times New Roman" w:cs="Times New Roman"/>
                <w:i/>
                <w:iCs/>
                <w:spacing w:val="34"/>
                <w:w w:val="101"/>
                <w:position w:val="4"/>
                <w:sz w:val="20"/>
                <w:szCs w:val="20"/>
              </w:rPr>
              <w:t xml:space="preserve"> </w:t>
            </w:r>
            <w:r>
              <w:rPr>
                <w:rFonts w:ascii="Times New Roman" w:hAnsi="Times New Roman" w:eastAsia="Times New Roman" w:cs="Times New Roman"/>
                <w:i/>
                <w:iCs/>
                <w:spacing w:val="3"/>
                <w:position w:val="4"/>
                <w:sz w:val="20"/>
                <w:szCs w:val="20"/>
              </w:rPr>
              <w:t>Carrière</w:t>
            </w:r>
          </w:p>
        </w:tc>
        <w:tc>
          <w:tcPr>
            <w:tcW w:w="2859" w:type="dxa"/>
            <w:vAlign w:val="top"/>
          </w:tcPr>
          <w:p w14:paraId="6ACED102">
            <w:pPr>
              <w:pStyle w:val="9"/>
              <w:spacing w:before="34" w:line="227" w:lineRule="auto"/>
              <w:ind w:left="93"/>
              <w:rPr>
                <w:sz w:val="20"/>
                <w:szCs w:val="20"/>
              </w:rPr>
            </w:pPr>
            <w:r>
              <w:rPr>
                <w:spacing w:val="6"/>
                <w:sz w:val="20"/>
                <w:szCs w:val="20"/>
              </w:rPr>
              <w:t>河流两侧、道路旁、田间、村</w:t>
            </w:r>
          </w:p>
          <w:p w14:paraId="3D6658FD">
            <w:pPr>
              <w:pStyle w:val="9"/>
              <w:spacing w:before="25" w:line="215" w:lineRule="auto"/>
              <w:ind w:left="1126"/>
              <w:rPr>
                <w:sz w:val="20"/>
                <w:szCs w:val="20"/>
              </w:rPr>
            </w:pPr>
            <w:r>
              <w:rPr>
                <w:spacing w:val="6"/>
                <w:sz w:val="20"/>
                <w:szCs w:val="20"/>
              </w:rPr>
              <w:t>庄附近</w:t>
            </w:r>
          </w:p>
        </w:tc>
        <w:tc>
          <w:tcPr>
            <w:tcW w:w="123" w:type="dxa"/>
            <w:tcBorders>
              <w:top w:val="nil"/>
              <w:bottom w:val="nil"/>
              <w:right w:val="single" w:color="000000" w:sz="6" w:space="0"/>
            </w:tcBorders>
            <w:vAlign w:val="top"/>
          </w:tcPr>
          <w:p w14:paraId="0A09A150">
            <w:pPr>
              <w:rPr>
                <w:rFonts w:ascii="Arial"/>
                <w:sz w:val="21"/>
              </w:rPr>
            </w:pPr>
          </w:p>
        </w:tc>
      </w:tr>
      <w:tr w14:paraId="4C6079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751" w:type="dxa"/>
            <w:vMerge w:val="continue"/>
            <w:tcBorders>
              <w:top w:val="nil"/>
              <w:left w:val="single" w:color="000000" w:sz="6" w:space="0"/>
              <w:bottom w:val="nil"/>
            </w:tcBorders>
            <w:vAlign w:val="top"/>
          </w:tcPr>
          <w:p w14:paraId="7885E24F">
            <w:pPr>
              <w:rPr>
                <w:rFonts w:ascii="Arial"/>
                <w:sz w:val="21"/>
              </w:rPr>
            </w:pPr>
          </w:p>
        </w:tc>
        <w:tc>
          <w:tcPr>
            <w:tcW w:w="113" w:type="dxa"/>
            <w:tcBorders>
              <w:top w:val="nil"/>
              <w:bottom w:val="nil"/>
            </w:tcBorders>
            <w:vAlign w:val="top"/>
          </w:tcPr>
          <w:p w14:paraId="3B93E015">
            <w:pPr>
              <w:rPr>
                <w:rFonts w:ascii="Arial"/>
                <w:sz w:val="21"/>
              </w:rPr>
            </w:pPr>
          </w:p>
        </w:tc>
        <w:tc>
          <w:tcPr>
            <w:tcW w:w="8077" w:type="dxa"/>
            <w:gridSpan w:val="4"/>
            <w:vAlign w:val="top"/>
          </w:tcPr>
          <w:p w14:paraId="31FFD6AB">
            <w:pPr>
              <w:pStyle w:val="9"/>
              <w:spacing w:before="5" w:line="273" w:lineRule="exact"/>
              <w:ind w:left="3176"/>
              <w:rPr>
                <w:rFonts w:ascii="Times New Roman" w:hAnsi="Times New Roman" w:eastAsia="Times New Roman" w:cs="Times New Roman"/>
                <w:sz w:val="20"/>
                <w:szCs w:val="20"/>
              </w:rPr>
            </w:pPr>
            <w:r>
              <w:rPr>
                <w:spacing w:val="11"/>
                <w:position w:val="1"/>
                <w:sz w:val="20"/>
                <w:szCs w:val="20"/>
              </w:rPr>
              <w:t>二、榆科</w:t>
            </w:r>
            <w:r>
              <w:rPr>
                <w:spacing w:val="-26"/>
                <w:position w:val="1"/>
                <w:sz w:val="20"/>
                <w:szCs w:val="20"/>
              </w:rPr>
              <w:t xml:space="preserve"> </w:t>
            </w:r>
            <w:r>
              <w:rPr>
                <w:rFonts w:ascii="Times New Roman" w:hAnsi="Times New Roman" w:eastAsia="Times New Roman" w:cs="Times New Roman"/>
                <w:i/>
                <w:iCs/>
                <w:position w:val="1"/>
                <w:sz w:val="20"/>
                <w:szCs w:val="20"/>
              </w:rPr>
              <w:t>Ulmaceae</w:t>
            </w:r>
          </w:p>
        </w:tc>
        <w:tc>
          <w:tcPr>
            <w:tcW w:w="123" w:type="dxa"/>
            <w:tcBorders>
              <w:top w:val="nil"/>
              <w:bottom w:val="nil"/>
              <w:right w:val="single" w:color="000000" w:sz="6" w:space="0"/>
            </w:tcBorders>
            <w:vAlign w:val="top"/>
          </w:tcPr>
          <w:p w14:paraId="0BD543B4">
            <w:pPr>
              <w:rPr>
                <w:rFonts w:ascii="Arial"/>
                <w:sz w:val="21"/>
              </w:rPr>
            </w:pPr>
          </w:p>
        </w:tc>
      </w:tr>
      <w:tr w14:paraId="73975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1" w:type="dxa"/>
            <w:vMerge w:val="continue"/>
            <w:tcBorders>
              <w:top w:val="nil"/>
              <w:left w:val="single" w:color="000000" w:sz="6" w:space="0"/>
              <w:bottom w:val="nil"/>
            </w:tcBorders>
            <w:vAlign w:val="top"/>
          </w:tcPr>
          <w:p w14:paraId="5A671410">
            <w:pPr>
              <w:rPr>
                <w:rFonts w:ascii="Arial"/>
                <w:sz w:val="21"/>
              </w:rPr>
            </w:pPr>
          </w:p>
        </w:tc>
        <w:tc>
          <w:tcPr>
            <w:tcW w:w="113" w:type="dxa"/>
            <w:tcBorders>
              <w:top w:val="nil"/>
              <w:bottom w:val="nil"/>
            </w:tcBorders>
            <w:vAlign w:val="top"/>
          </w:tcPr>
          <w:p w14:paraId="436783B7">
            <w:pPr>
              <w:rPr>
                <w:rFonts w:ascii="Arial"/>
                <w:sz w:val="21"/>
              </w:rPr>
            </w:pPr>
          </w:p>
        </w:tc>
        <w:tc>
          <w:tcPr>
            <w:tcW w:w="240" w:type="dxa"/>
            <w:vAlign w:val="top"/>
          </w:tcPr>
          <w:p w14:paraId="78FDAEA6">
            <w:pPr>
              <w:spacing w:before="207" w:line="195" w:lineRule="auto"/>
              <w:ind w:left="85"/>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980" w:type="dxa"/>
            <w:vAlign w:val="top"/>
          </w:tcPr>
          <w:p w14:paraId="0BB1204E">
            <w:pPr>
              <w:pStyle w:val="9"/>
              <w:spacing w:before="168" w:line="228" w:lineRule="auto"/>
              <w:ind w:left="281"/>
              <w:rPr>
                <w:sz w:val="20"/>
                <w:szCs w:val="20"/>
              </w:rPr>
            </w:pPr>
            <w:r>
              <w:rPr>
                <w:spacing w:val="4"/>
                <w:sz w:val="20"/>
                <w:szCs w:val="20"/>
              </w:rPr>
              <w:t>榆树</w:t>
            </w:r>
          </w:p>
        </w:tc>
        <w:tc>
          <w:tcPr>
            <w:tcW w:w="3998" w:type="dxa"/>
            <w:vAlign w:val="top"/>
          </w:tcPr>
          <w:p w14:paraId="0422301A">
            <w:pPr>
              <w:spacing w:before="137" w:line="277" w:lineRule="exact"/>
              <w:ind w:left="1367"/>
              <w:rPr>
                <w:rFonts w:ascii="Times New Roman" w:hAnsi="Times New Roman" w:eastAsia="Times New Roman" w:cs="Times New Roman"/>
                <w:sz w:val="20"/>
                <w:szCs w:val="20"/>
              </w:rPr>
            </w:pPr>
            <w:r>
              <w:rPr>
                <w:rFonts w:ascii="Times New Roman" w:hAnsi="Times New Roman" w:eastAsia="Times New Roman" w:cs="Times New Roman"/>
                <w:i/>
                <w:iCs/>
                <w:spacing w:val="2"/>
                <w:position w:val="4"/>
                <w:sz w:val="20"/>
                <w:szCs w:val="20"/>
              </w:rPr>
              <w:t>UlmuspumilaL.</w:t>
            </w:r>
          </w:p>
        </w:tc>
        <w:tc>
          <w:tcPr>
            <w:tcW w:w="2859" w:type="dxa"/>
            <w:vAlign w:val="top"/>
          </w:tcPr>
          <w:p w14:paraId="79A90D2B">
            <w:pPr>
              <w:pStyle w:val="9"/>
              <w:spacing w:before="34" w:line="228" w:lineRule="auto"/>
              <w:jc w:val="right"/>
              <w:rPr>
                <w:sz w:val="20"/>
                <w:szCs w:val="20"/>
              </w:rPr>
            </w:pPr>
            <w:r>
              <w:rPr>
                <w:spacing w:val="-4"/>
                <w:sz w:val="20"/>
                <w:szCs w:val="20"/>
              </w:rPr>
              <w:t>丘陵阴坡、人工栽培、道路旁、</w:t>
            </w:r>
          </w:p>
          <w:p w14:paraId="4EE73D20">
            <w:pPr>
              <w:pStyle w:val="9"/>
              <w:spacing w:before="24" w:line="215" w:lineRule="auto"/>
              <w:ind w:left="1021"/>
              <w:rPr>
                <w:sz w:val="20"/>
                <w:szCs w:val="20"/>
              </w:rPr>
            </w:pPr>
            <w:r>
              <w:rPr>
                <w:spacing w:val="7"/>
                <w:sz w:val="20"/>
                <w:szCs w:val="20"/>
              </w:rPr>
              <w:t>村庄附近</w:t>
            </w:r>
          </w:p>
        </w:tc>
        <w:tc>
          <w:tcPr>
            <w:tcW w:w="123" w:type="dxa"/>
            <w:tcBorders>
              <w:top w:val="nil"/>
              <w:bottom w:val="nil"/>
              <w:right w:val="single" w:color="000000" w:sz="6" w:space="0"/>
            </w:tcBorders>
            <w:vAlign w:val="top"/>
          </w:tcPr>
          <w:p w14:paraId="15CECF05">
            <w:pPr>
              <w:rPr>
                <w:rFonts w:ascii="Arial"/>
                <w:sz w:val="21"/>
              </w:rPr>
            </w:pPr>
          </w:p>
        </w:tc>
      </w:tr>
      <w:tr w14:paraId="4B67BE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751" w:type="dxa"/>
            <w:vMerge w:val="continue"/>
            <w:tcBorders>
              <w:top w:val="nil"/>
              <w:left w:val="single" w:color="000000" w:sz="6" w:space="0"/>
              <w:bottom w:val="nil"/>
            </w:tcBorders>
            <w:vAlign w:val="top"/>
          </w:tcPr>
          <w:p w14:paraId="28A963F3">
            <w:pPr>
              <w:rPr>
                <w:rFonts w:ascii="Arial"/>
                <w:sz w:val="21"/>
              </w:rPr>
            </w:pPr>
          </w:p>
        </w:tc>
        <w:tc>
          <w:tcPr>
            <w:tcW w:w="113" w:type="dxa"/>
            <w:tcBorders>
              <w:top w:val="nil"/>
              <w:bottom w:val="nil"/>
            </w:tcBorders>
            <w:vAlign w:val="top"/>
          </w:tcPr>
          <w:p w14:paraId="710553F0">
            <w:pPr>
              <w:rPr>
                <w:rFonts w:ascii="Arial"/>
                <w:sz w:val="21"/>
              </w:rPr>
            </w:pPr>
          </w:p>
        </w:tc>
        <w:tc>
          <w:tcPr>
            <w:tcW w:w="8077" w:type="dxa"/>
            <w:gridSpan w:val="4"/>
            <w:vAlign w:val="top"/>
          </w:tcPr>
          <w:p w14:paraId="48DEE47A">
            <w:pPr>
              <w:pStyle w:val="9"/>
              <w:spacing w:before="5" w:line="273" w:lineRule="exact"/>
              <w:ind w:left="2892"/>
              <w:rPr>
                <w:rFonts w:ascii="Times New Roman" w:hAnsi="Times New Roman" w:eastAsia="Times New Roman" w:cs="Times New Roman"/>
                <w:sz w:val="20"/>
                <w:szCs w:val="20"/>
              </w:rPr>
            </w:pPr>
            <w:r>
              <w:rPr>
                <w:spacing w:val="20"/>
                <w:position w:val="2"/>
                <w:sz w:val="20"/>
                <w:szCs w:val="20"/>
              </w:rPr>
              <w:t>三、藜科</w:t>
            </w:r>
            <w:r>
              <w:rPr>
                <w:spacing w:val="-31"/>
                <w:position w:val="2"/>
                <w:sz w:val="20"/>
                <w:szCs w:val="20"/>
              </w:rPr>
              <w:t xml:space="preserve"> </w:t>
            </w:r>
            <w:r>
              <w:rPr>
                <w:rFonts w:ascii="Times New Roman" w:hAnsi="Times New Roman" w:eastAsia="Times New Roman" w:cs="Times New Roman"/>
                <w:i/>
                <w:iCs/>
                <w:position w:val="2"/>
                <w:sz w:val="20"/>
                <w:szCs w:val="20"/>
              </w:rPr>
              <w:t>Chenopodiaceae</w:t>
            </w:r>
          </w:p>
        </w:tc>
        <w:tc>
          <w:tcPr>
            <w:tcW w:w="123" w:type="dxa"/>
            <w:tcBorders>
              <w:top w:val="nil"/>
              <w:bottom w:val="nil"/>
              <w:right w:val="single" w:color="000000" w:sz="6" w:space="0"/>
            </w:tcBorders>
            <w:vAlign w:val="top"/>
          </w:tcPr>
          <w:p w14:paraId="02A0B844">
            <w:pPr>
              <w:rPr>
                <w:rFonts w:ascii="Arial"/>
                <w:sz w:val="21"/>
              </w:rPr>
            </w:pPr>
          </w:p>
        </w:tc>
      </w:tr>
      <w:tr w14:paraId="36C236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751" w:type="dxa"/>
            <w:vMerge w:val="continue"/>
            <w:tcBorders>
              <w:top w:val="nil"/>
              <w:left w:val="single" w:color="000000" w:sz="6" w:space="0"/>
              <w:bottom w:val="nil"/>
            </w:tcBorders>
            <w:vAlign w:val="top"/>
          </w:tcPr>
          <w:p w14:paraId="00C9AD2F">
            <w:pPr>
              <w:rPr>
                <w:rFonts w:ascii="Arial"/>
                <w:sz w:val="21"/>
              </w:rPr>
            </w:pPr>
          </w:p>
        </w:tc>
        <w:tc>
          <w:tcPr>
            <w:tcW w:w="113" w:type="dxa"/>
            <w:tcBorders>
              <w:top w:val="nil"/>
              <w:bottom w:val="nil"/>
            </w:tcBorders>
            <w:vAlign w:val="top"/>
          </w:tcPr>
          <w:p w14:paraId="57525DF4">
            <w:pPr>
              <w:rPr>
                <w:rFonts w:ascii="Arial"/>
                <w:sz w:val="21"/>
              </w:rPr>
            </w:pPr>
          </w:p>
        </w:tc>
        <w:tc>
          <w:tcPr>
            <w:tcW w:w="240" w:type="dxa"/>
            <w:vAlign w:val="top"/>
          </w:tcPr>
          <w:p w14:paraId="5D65DFB4">
            <w:pPr>
              <w:spacing w:before="90" w:line="195" w:lineRule="auto"/>
              <w:ind w:left="6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980" w:type="dxa"/>
            <w:vAlign w:val="top"/>
          </w:tcPr>
          <w:p w14:paraId="4F703495">
            <w:pPr>
              <w:pStyle w:val="9"/>
              <w:spacing w:before="53" w:line="228" w:lineRule="auto"/>
              <w:ind w:left="175"/>
              <w:rPr>
                <w:sz w:val="20"/>
                <w:szCs w:val="20"/>
              </w:rPr>
            </w:pPr>
            <w:r>
              <w:rPr>
                <w:spacing w:val="6"/>
                <w:sz w:val="20"/>
                <w:szCs w:val="20"/>
              </w:rPr>
              <w:t>猪毛菜</w:t>
            </w:r>
          </w:p>
        </w:tc>
        <w:tc>
          <w:tcPr>
            <w:tcW w:w="3998" w:type="dxa"/>
            <w:vAlign w:val="top"/>
          </w:tcPr>
          <w:p w14:paraId="44D0A677">
            <w:pPr>
              <w:spacing w:before="19" w:line="278" w:lineRule="exact"/>
              <w:ind w:left="1394"/>
              <w:rPr>
                <w:rFonts w:ascii="Times New Roman" w:hAnsi="Times New Roman" w:eastAsia="Times New Roman" w:cs="Times New Roman"/>
                <w:sz w:val="20"/>
                <w:szCs w:val="20"/>
              </w:rPr>
            </w:pPr>
            <w:r>
              <w:rPr>
                <w:rFonts w:ascii="Times New Roman" w:hAnsi="Times New Roman" w:eastAsia="Times New Roman" w:cs="Times New Roman"/>
                <w:i/>
                <w:iCs/>
                <w:spacing w:val="3"/>
                <w:position w:val="2"/>
                <w:sz w:val="20"/>
                <w:szCs w:val="20"/>
              </w:rPr>
              <w:t>Salsolacollina</w:t>
            </w:r>
          </w:p>
        </w:tc>
        <w:tc>
          <w:tcPr>
            <w:tcW w:w="2859" w:type="dxa"/>
            <w:vAlign w:val="top"/>
          </w:tcPr>
          <w:p w14:paraId="0B38B6E9">
            <w:pPr>
              <w:pStyle w:val="9"/>
              <w:spacing w:before="53" w:line="227" w:lineRule="auto"/>
              <w:ind w:left="813"/>
              <w:rPr>
                <w:sz w:val="20"/>
                <w:szCs w:val="20"/>
              </w:rPr>
            </w:pPr>
            <w:r>
              <w:rPr>
                <w:spacing w:val="7"/>
                <w:sz w:val="20"/>
                <w:szCs w:val="20"/>
              </w:rPr>
              <w:t>生村边、路旁</w:t>
            </w:r>
          </w:p>
        </w:tc>
        <w:tc>
          <w:tcPr>
            <w:tcW w:w="123" w:type="dxa"/>
            <w:tcBorders>
              <w:top w:val="nil"/>
              <w:bottom w:val="nil"/>
              <w:right w:val="single" w:color="000000" w:sz="6" w:space="0"/>
            </w:tcBorders>
            <w:vAlign w:val="top"/>
          </w:tcPr>
          <w:p w14:paraId="21988AA0">
            <w:pPr>
              <w:rPr>
                <w:rFonts w:ascii="Arial"/>
                <w:sz w:val="21"/>
              </w:rPr>
            </w:pPr>
          </w:p>
        </w:tc>
      </w:tr>
      <w:tr w14:paraId="38E066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751" w:type="dxa"/>
            <w:vMerge w:val="continue"/>
            <w:tcBorders>
              <w:top w:val="nil"/>
              <w:left w:val="single" w:color="000000" w:sz="6" w:space="0"/>
              <w:bottom w:val="nil"/>
            </w:tcBorders>
            <w:vAlign w:val="top"/>
          </w:tcPr>
          <w:p w14:paraId="1CC602C2">
            <w:pPr>
              <w:rPr>
                <w:rFonts w:ascii="Arial"/>
                <w:sz w:val="21"/>
              </w:rPr>
            </w:pPr>
          </w:p>
        </w:tc>
        <w:tc>
          <w:tcPr>
            <w:tcW w:w="113" w:type="dxa"/>
            <w:tcBorders>
              <w:top w:val="nil"/>
              <w:bottom w:val="nil"/>
            </w:tcBorders>
            <w:vAlign w:val="top"/>
          </w:tcPr>
          <w:p w14:paraId="3278817F">
            <w:pPr>
              <w:rPr>
                <w:rFonts w:ascii="Arial"/>
                <w:sz w:val="21"/>
              </w:rPr>
            </w:pPr>
          </w:p>
        </w:tc>
        <w:tc>
          <w:tcPr>
            <w:tcW w:w="8077" w:type="dxa"/>
            <w:gridSpan w:val="4"/>
            <w:vAlign w:val="top"/>
          </w:tcPr>
          <w:p w14:paraId="5BE656A4">
            <w:pPr>
              <w:pStyle w:val="9"/>
              <w:spacing w:before="20" w:line="278" w:lineRule="exact"/>
              <w:ind w:left="2953"/>
              <w:rPr>
                <w:rFonts w:ascii="Times New Roman" w:hAnsi="Times New Roman" w:eastAsia="Times New Roman" w:cs="Times New Roman"/>
                <w:sz w:val="20"/>
                <w:szCs w:val="20"/>
              </w:rPr>
            </w:pPr>
            <w:r>
              <w:rPr>
                <w:spacing w:val="9"/>
                <w:position w:val="2"/>
                <w:sz w:val="20"/>
                <w:szCs w:val="20"/>
              </w:rPr>
              <w:t>四、十字花科</w:t>
            </w:r>
            <w:r>
              <w:rPr>
                <w:spacing w:val="-28"/>
                <w:position w:val="2"/>
                <w:sz w:val="20"/>
                <w:szCs w:val="20"/>
              </w:rPr>
              <w:t xml:space="preserve"> </w:t>
            </w:r>
            <w:r>
              <w:rPr>
                <w:rFonts w:ascii="Times New Roman" w:hAnsi="Times New Roman" w:eastAsia="Times New Roman" w:cs="Times New Roman"/>
                <w:i/>
                <w:iCs/>
                <w:position w:val="2"/>
                <w:sz w:val="20"/>
                <w:szCs w:val="20"/>
              </w:rPr>
              <w:t>Cruciferae</w:t>
            </w:r>
          </w:p>
        </w:tc>
        <w:tc>
          <w:tcPr>
            <w:tcW w:w="123" w:type="dxa"/>
            <w:tcBorders>
              <w:top w:val="nil"/>
              <w:bottom w:val="nil"/>
              <w:right w:val="single" w:color="000000" w:sz="6" w:space="0"/>
            </w:tcBorders>
            <w:vAlign w:val="top"/>
          </w:tcPr>
          <w:p w14:paraId="756F4E41">
            <w:pPr>
              <w:rPr>
                <w:rFonts w:ascii="Arial"/>
                <w:sz w:val="21"/>
              </w:rPr>
            </w:pPr>
          </w:p>
        </w:tc>
      </w:tr>
      <w:tr w14:paraId="7028FD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51" w:type="dxa"/>
            <w:vMerge w:val="continue"/>
            <w:tcBorders>
              <w:top w:val="nil"/>
              <w:left w:val="single" w:color="000000" w:sz="6" w:space="0"/>
              <w:bottom w:val="nil"/>
            </w:tcBorders>
            <w:vAlign w:val="top"/>
          </w:tcPr>
          <w:p w14:paraId="4444782E">
            <w:pPr>
              <w:rPr>
                <w:rFonts w:ascii="Arial"/>
                <w:sz w:val="21"/>
              </w:rPr>
            </w:pPr>
          </w:p>
        </w:tc>
        <w:tc>
          <w:tcPr>
            <w:tcW w:w="113" w:type="dxa"/>
            <w:tcBorders>
              <w:top w:val="nil"/>
              <w:bottom w:val="nil"/>
            </w:tcBorders>
            <w:vAlign w:val="top"/>
          </w:tcPr>
          <w:p w14:paraId="485D89D2">
            <w:pPr>
              <w:rPr>
                <w:rFonts w:ascii="Arial"/>
                <w:sz w:val="21"/>
              </w:rPr>
            </w:pPr>
          </w:p>
        </w:tc>
        <w:tc>
          <w:tcPr>
            <w:tcW w:w="240" w:type="dxa"/>
            <w:vAlign w:val="top"/>
          </w:tcPr>
          <w:p w14:paraId="389F1FCD">
            <w:pPr>
              <w:spacing w:before="92" w:line="192" w:lineRule="auto"/>
              <w:ind w:left="67"/>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980" w:type="dxa"/>
            <w:vAlign w:val="top"/>
          </w:tcPr>
          <w:p w14:paraId="4EA3F6DE">
            <w:pPr>
              <w:pStyle w:val="9"/>
              <w:spacing w:before="53" w:line="228" w:lineRule="auto"/>
              <w:ind w:left="175"/>
              <w:rPr>
                <w:sz w:val="20"/>
                <w:szCs w:val="20"/>
              </w:rPr>
            </w:pPr>
            <w:r>
              <w:rPr>
                <w:spacing w:val="6"/>
                <w:sz w:val="20"/>
                <w:szCs w:val="20"/>
              </w:rPr>
              <w:t>独行菜</w:t>
            </w:r>
          </w:p>
        </w:tc>
        <w:tc>
          <w:tcPr>
            <w:tcW w:w="3998" w:type="dxa"/>
            <w:vAlign w:val="top"/>
          </w:tcPr>
          <w:p w14:paraId="0BBC0C9E">
            <w:pPr>
              <w:spacing w:before="19" w:line="278" w:lineRule="exact"/>
              <w:ind w:left="1202"/>
              <w:rPr>
                <w:rFonts w:ascii="Times New Roman" w:hAnsi="Times New Roman" w:eastAsia="Times New Roman" w:cs="Times New Roman"/>
                <w:sz w:val="20"/>
                <w:szCs w:val="20"/>
              </w:rPr>
            </w:pPr>
            <w:r>
              <w:rPr>
                <w:rFonts w:ascii="Times New Roman" w:hAnsi="Times New Roman" w:eastAsia="Times New Roman" w:cs="Times New Roman"/>
                <w:i/>
                <w:iCs/>
                <w:spacing w:val="5"/>
                <w:position w:val="4"/>
                <w:sz w:val="20"/>
                <w:szCs w:val="20"/>
              </w:rPr>
              <w:t>Lepidiumapetalum</w:t>
            </w:r>
          </w:p>
        </w:tc>
        <w:tc>
          <w:tcPr>
            <w:tcW w:w="2859" w:type="dxa"/>
            <w:vAlign w:val="top"/>
          </w:tcPr>
          <w:p w14:paraId="750698DF">
            <w:pPr>
              <w:pStyle w:val="9"/>
              <w:spacing w:before="53" w:line="228" w:lineRule="auto"/>
              <w:ind w:left="916"/>
              <w:rPr>
                <w:sz w:val="20"/>
                <w:szCs w:val="20"/>
              </w:rPr>
            </w:pPr>
            <w:r>
              <w:rPr>
                <w:spacing w:val="7"/>
                <w:sz w:val="20"/>
                <w:szCs w:val="20"/>
              </w:rPr>
              <w:t>路旁、田间</w:t>
            </w:r>
          </w:p>
        </w:tc>
        <w:tc>
          <w:tcPr>
            <w:tcW w:w="123" w:type="dxa"/>
            <w:tcBorders>
              <w:top w:val="nil"/>
              <w:bottom w:val="nil"/>
              <w:right w:val="single" w:color="000000" w:sz="6" w:space="0"/>
            </w:tcBorders>
            <w:vAlign w:val="top"/>
          </w:tcPr>
          <w:p w14:paraId="6A74797F">
            <w:pPr>
              <w:rPr>
                <w:rFonts w:ascii="Arial"/>
                <w:sz w:val="21"/>
              </w:rPr>
            </w:pPr>
          </w:p>
        </w:tc>
      </w:tr>
      <w:tr w14:paraId="4DFFBD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trPr>
        <w:tc>
          <w:tcPr>
            <w:tcW w:w="751" w:type="dxa"/>
            <w:vMerge w:val="continue"/>
            <w:tcBorders>
              <w:top w:val="nil"/>
              <w:left w:val="single" w:color="000000" w:sz="6" w:space="0"/>
              <w:bottom w:val="nil"/>
            </w:tcBorders>
            <w:vAlign w:val="top"/>
          </w:tcPr>
          <w:p w14:paraId="258A7947">
            <w:pPr>
              <w:rPr>
                <w:rFonts w:ascii="Arial"/>
                <w:sz w:val="21"/>
              </w:rPr>
            </w:pPr>
          </w:p>
        </w:tc>
        <w:tc>
          <w:tcPr>
            <w:tcW w:w="113" w:type="dxa"/>
            <w:tcBorders>
              <w:top w:val="nil"/>
              <w:bottom w:val="nil"/>
            </w:tcBorders>
            <w:vAlign w:val="top"/>
          </w:tcPr>
          <w:p w14:paraId="3ECC7E2F">
            <w:pPr>
              <w:rPr>
                <w:rFonts w:ascii="Arial"/>
                <w:sz w:val="21"/>
              </w:rPr>
            </w:pPr>
          </w:p>
        </w:tc>
        <w:tc>
          <w:tcPr>
            <w:tcW w:w="240" w:type="dxa"/>
            <w:vAlign w:val="top"/>
          </w:tcPr>
          <w:p w14:paraId="5A1B51BB">
            <w:pPr>
              <w:spacing w:before="221" w:line="195" w:lineRule="auto"/>
              <w:ind w:left="66"/>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980" w:type="dxa"/>
            <w:vAlign w:val="top"/>
          </w:tcPr>
          <w:p w14:paraId="318DBE66">
            <w:pPr>
              <w:pStyle w:val="9"/>
              <w:spacing w:before="50" w:line="239" w:lineRule="auto"/>
              <w:ind w:left="384" w:right="75" w:hanging="303"/>
              <w:rPr>
                <w:sz w:val="20"/>
                <w:szCs w:val="20"/>
              </w:rPr>
            </w:pPr>
            <w:r>
              <w:rPr>
                <w:spacing w:val="4"/>
                <w:sz w:val="20"/>
                <w:szCs w:val="20"/>
              </w:rPr>
              <w:t>宽叶独行</w:t>
            </w:r>
            <w:r>
              <w:rPr>
                <w:sz w:val="20"/>
                <w:szCs w:val="20"/>
              </w:rPr>
              <w:t>菜</w:t>
            </w:r>
          </w:p>
        </w:tc>
        <w:tc>
          <w:tcPr>
            <w:tcW w:w="3998" w:type="dxa"/>
            <w:vAlign w:val="top"/>
          </w:tcPr>
          <w:p w14:paraId="46A363B5">
            <w:pPr>
              <w:spacing w:before="150" w:line="278" w:lineRule="exact"/>
              <w:ind w:left="1506"/>
              <w:rPr>
                <w:rFonts w:ascii="Times New Roman" w:hAnsi="Times New Roman" w:eastAsia="Times New Roman" w:cs="Times New Roman"/>
                <w:sz w:val="20"/>
                <w:szCs w:val="20"/>
              </w:rPr>
            </w:pPr>
            <w:r>
              <w:rPr>
                <w:rFonts w:ascii="Times New Roman" w:hAnsi="Times New Roman" w:eastAsia="Times New Roman" w:cs="Times New Roman"/>
                <w:i/>
                <w:iCs/>
                <w:spacing w:val="4"/>
                <w:position w:val="4"/>
                <w:sz w:val="20"/>
                <w:szCs w:val="20"/>
              </w:rPr>
              <w:t>L.lstifolium</w:t>
            </w:r>
          </w:p>
        </w:tc>
        <w:tc>
          <w:tcPr>
            <w:tcW w:w="2859" w:type="dxa"/>
            <w:vAlign w:val="top"/>
          </w:tcPr>
          <w:p w14:paraId="3AD82B7D">
            <w:pPr>
              <w:pStyle w:val="9"/>
              <w:spacing w:before="184" w:line="228" w:lineRule="auto"/>
              <w:ind w:left="916"/>
              <w:rPr>
                <w:sz w:val="20"/>
                <w:szCs w:val="20"/>
              </w:rPr>
            </w:pPr>
            <w:r>
              <w:rPr>
                <w:spacing w:val="7"/>
                <w:sz w:val="20"/>
                <w:szCs w:val="20"/>
              </w:rPr>
              <w:t>路旁、田间</w:t>
            </w:r>
          </w:p>
        </w:tc>
        <w:tc>
          <w:tcPr>
            <w:tcW w:w="123" w:type="dxa"/>
            <w:tcBorders>
              <w:top w:val="nil"/>
              <w:bottom w:val="nil"/>
              <w:right w:val="single" w:color="000000" w:sz="6" w:space="0"/>
            </w:tcBorders>
            <w:vAlign w:val="top"/>
          </w:tcPr>
          <w:p w14:paraId="028282B6">
            <w:pPr>
              <w:rPr>
                <w:rFonts w:ascii="Arial"/>
                <w:sz w:val="21"/>
              </w:rPr>
            </w:pPr>
          </w:p>
        </w:tc>
      </w:tr>
      <w:tr w14:paraId="100AA5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751" w:type="dxa"/>
            <w:vMerge w:val="continue"/>
            <w:tcBorders>
              <w:top w:val="nil"/>
              <w:left w:val="single" w:color="000000" w:sz="6" w:space="0"/>
              <w:bottom w:val="nil"/>
            </w:tcBorders>
            <w:vAlign w:val="top"/>
          </w:tcPr>
          <w:p w14:paraId="7E332FE4">
            <w:pPr>
              <w:rPr>
                <w:rFonts w:ascii="Arial"/>
                <w:sz w:val="21"/>
              </w:rPr>
            </w:pPr>
          </w:p>
        </w:tc>
        <w:tc>
          <w:tcPr>
            <w:tcW w:w="113" w:type="dxa"/>
            <w:tcBorders>
              <w:top w:val="nil"/>
              <w:bottom w:val="nil"/>
            </w:tcBorders>
            <w:vAlign w:val="top"/>
          </w:tcPr>
          <w:p w14:paraId="2C223D64">
            <w:pPr>
              <w:rPr>
                <w:rFonts w:ascii="Arial"/>
                <w:sz w:val="21"/>
              </w:rPr>
            </w:pPr>
          </w:p>
        </w:tc>
        <w:tc>
          <w:tcPr>
            <w:tcW w:w="8077" w:type="dxa"/>
            <w:gridSpan w:val="4"/>
            <w:vAlign w:val="top"/>
          </w:tcPr>
          <w:p w14:paraId="2337F2BC">
            <w:pPr>
              <w:pStyle w:val="9"/>
              <w:spacing w:before="23" w:line="278" w:lineRule="exact"/>
              <w:ind w:left="2526"/>
              <w:rPr>
                <w:rFonts w:ascii="Times New Roman" w:hAnsi="Times New Roman" w:eastAsia="Times New Roman" w:cs="Times New Roman"/>
                <w:sz w:val="20"/>
                <w:szCs w:val="20"/>
              </w:rPr>
            </w:pPr>
            <w:r>
              <w:rPr>
                <w:spacing w:val="22"/>
                <w:position w:val="1"/>
                <w:sz w:val="20"/>
                <w:szCs w:val="20"/>
              </w:rPr>
              <w:t>五、蔷嶶科</w:t>
            </w:r>
            <w:r>
              <w:rPr>
                <w:spacing w:val="-49"/>
                <w:position w:val="1"/>
                <w:sz w:val="20"/>
                <w:szCs w:val="20"/>
              </w:rPr>
              <w:t xml:space="preserve"> </w:t>
            </w:r>
            <w:r>
              <w:rPr>
                <w:rFonts w:ascii="Times New Roman" w:hAnsi="Times New Roman" w:eastAsia="Times New Roman" w:cs="Times New Roman"/>
                <w:i/>
                <w:iCs/>
                <w:position w:val="1"/>
                <w:sz w:val="20"/>
                <w:szCs w:val="20"/>
              </w:rPr>
              <w:t>PotentillachinensisSer</w:t>
            </w:r>
            <w:r>
              <w:rPr>
                <w:rFonts w:ascii="Times New Roman" w:hAnsi="Times New Roman" w:eastAsia="Times New Roman" w:cs="Times New Roman"/>
                <w:i/>
                <w:iCs/>
                <w:spacing w:val="22"/>
                <w:position w:val="1"/>
                <w:sz w:val="20"/>
                <w:szCs w:val="20"/>
              </w:rPr>
              <w:t>.</w:t>
            </w:r>
          </w:p>
        </w:tc>
        <w:tc>
          <w:tcPr>
            <w:tcW w:w="123" w:type="dxa"/>
            <w:tcBorders>
              <w:top w:val="nil"/>
              <w:bottom w:val="nil"/>
              <w:right w:val="single" w:color="000000" w:sz="6" w:space="0"/>
            </w:tcBorders>
            <w:vAlign w:val="top"/>
          </w:tcPr>
          <w:p w14:paraId="5E78175D">
            <w:pPr>
              <w:rPr>
                <w:rFonts w:ascii="Arial"/>
                <w:sz w:val="21"/>
              </w:rPr>
            </w:pPr>
          </w:p>
        </w:tc>
      </w:tr>
      <w:tr w14:paraId="3F95EC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751" w:type="dxa"/>
            <w:vMerge w:val="continue"/>
            <w:tcBorders>
              <w:top w:val="nil"/>
              <w:left w:val="single" w:color="000000" w:sz="6" w:space="0"/>
              <w:bottom w:val="nil"/>
            </w:tcBorders>
            <w:vAlign w:val="top"/>
          </w:tcPr>
          <w:p w14:paraId="0F35EB5B">
            <w:pPr>
              <w:rPr>
                <w:rFonts w:ascii="Arial"/>
                <w:sz w:val="21"/>
              </w:rPr>
            </w:pPr>
          </w:p>
        </w:tc>
        <w:tc>
          <w:tcPr>
            <w:tcW w:w="113" w:type="dxa"/>
            <w:tcBorders>
              <w:top w:val="nil"/>
              <w:bottom w:val="nil"/>
            </w:tcBorders>
            <w:vAlign w:val="top"/>
          </w:tcPr>
          <w:p w14:paraId="402B024F">
            <w:pPr>
              <w:rPr>
                <w:rFonts w:ascii="Arial"/>
                <w:sz w:val="21"/>
              </w:rPr>
            </w:pPr>
          </w:p>
        </w:tc>
        <w:tc>
          <w:tcPr>
            <w:tcW w:w="240" w:type="dxa"/>
            <w:vAlign w:val="top"/>
          </w:tcPr>
          <w:p w14:paraId="36AA8CB9">
            <w:pPr>
              <w:spacing w:before="227" w:line="192" w:lineRule="auto"/>
              <w:ind w:left="65"/>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980" w:type="dxa"/>
            <w:vAlign w:val="top"/>
          </w:tcPr>
          <w:p w14:paraId="6A8B1109">
            <w:pPr>
              <w:pStyle w:val="9"/>
              <w:spacing w:before="51" w:line="239" w:lineRule="auto"/>
              <w:ind w:left="384" w:right="75" w:hanging="311"/>
              <w:rPr>
                <w:sz w:val="20"/>
                <w:szCs w:val="20"/>
              </w:rPr>
            </w:pPr>
            <w:r>
              <w:rPr>
                <w:spacing w:val="6"/>
                <w:sz w:val="20"/>
                <w:szCs w:val="20"/>
              </w:rPr>
              <w:t>二裂委陵</w:t>
            </w:r>
            <w:r>
              <w:rPr>
                <w:sz w:val="20"/>
                <w:szCs w:val="20"/>
              </w:rPr>
              <w:t>菜</w:t>
            </w:r>
          </w:p>
        </w:tc>
        <w:tc>
          <w:tcPr>
            <w:tcW w:w="3998" w:type="dxa"/>
            <w:vAlign w:val="top"/>
          </w:tcPr>
          <w:p w14:paraId="2F6375F6">
            <w:pPr>
              <w:spacing w:before="154" w:line="278" w:lineRule="exact"/>
              <w:ind w:left="1597"/>
              <w:rPr>
                <w:rFonts w:ascii="Times New Roman" w:hAnsi="Times New Roman" w:eastAsia="Times New Roman" w:cs="Times New Roman"/>
                <w:sz w:val="20"/>
                <w:szCs w:val="20"/>
              </w:rPr>
            </w:pPr>
            <w:r>
              <w:rPr>
                <w:rFonts w:ascii="Times New Roman" w:hAnsi="Times New Roman" w:eastAsia="Times New Roman" w:cs="Times New Roman"/>
                <w:i/>
                <w:iCs/>
                <w:spacing w:val="20"/>
                <w:position w:val="4"/>
                <w:sz w:val="20"/>
                <w:szCs w:val="20"/>
              </w:rPr>
              <w:t>P.</w:t>
            </w:r>
            <w:r>
              <w:rPr>
                <w:rFonts w:ascii="Times New Roman" w:hAnsi="Times New Roman" w:eastAsia="Times New Roman" w:cs="Times New Roman"/>
                <w:i/>
                <w:iCs/>
                <w:position w:val="4"/>
                <w:sz w:val="20"/>
                <w:szCs w:val="20"/>
              </w:rPr>
              <w:t>bifurca</w:t>
            </w:r>
          </w:p>
        </w:tc>
        <w:tc>
          <w:tcPr>
            <w:tcW w:w="2859" w:type="dxa"/>
            <w:vAlign w:val="top"/>
          </w:tcPr>
          <w:p w14:paraId="2B53F0DE">
            <w:pPr>
              <w:pStyle w:val="9"/>
              <w:spacing w:before="186" w:line="228" w:lineRule="auto"/>
              <w:ind w:left="705"/>
              <w:rPr>
                <w:sz w:val="20"/>
                <w:szCs w:val="20"/>
              </w:rPr>
            </w:pPr>
            <w:r>
              <w:rPr>
                <w:spacing w:val="8"/>
                <w:sz w:val="20"/>
                <w:szCs w:val="20"/>
              </w:rPr>
              <w:t>道旁、山坡草地</w:t>
            </w:r>
          </w:p>
        </w:tc>
        <w:tc>
          <w:tcPr>
            <w:tcW w:w="123" w:type="dxa"/>
            <w:tcBorders>
              <w:top w:val="nil"/>
              <w:bottom w:val="nil"/>
              <w:right w:val="single" w:color="000000" w:sz="6" w:space="0"/>
            </w:tcBorders>
            <w:vAlign w:val="top"/>
          </w:tcPr>
          <w:p w14:paraId="3D499C53">
            <w:pPr>
              <w:rPr>
                <w:rFonts w:ascii="Arial"/>
                <w:sz w:val="21"/>
              </w:rPr>
            </w:pPr>
          </w:p>
        </w:tc>
      </w:tr>
      <w:tr w14:paraId="04C6CC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751" w:type="dxa"/>
            <w:vMerge w:val="continue"/>
            <w:tcBorders>
              <w:top w:val="nil"/>
              <w:left w:val="single" w:color="000000" w:sz="6" w:space="0"/>
              <w:bottom w:val="nil"/>
            </w:tcBorders>
            <w:vAlign w:val="top"/>
          </w:tcPr>
          <w:p w14:paraId="39846DD1">
            <w:pPr>
              <w:rPr>
                <w:rFonts w:ascii="Arial"/>
                <w:sz w:val="21"/>
              </w:rPr>
            </w:pPr>
          </w:p>
        </w:tc>
        <w:tc>
          <w:tcPr>
            <w:tcW w:w="113" w:type="dxa"/>
            <w:tcBorders>
              <w:top w:val="nil"/>
              <w:bottom w:val="nil"/>
            </w:tcBorders>
            <w:vAlign w:val="top"/>
          </w:tcPr>
          <w:p w14:paraId="2940DA8D">
            <w:pPr>
              <w:rPr>
                <w:rFonts w:ascii="Arial"/>
                <w:sz w:val="21"/>
              </w:rPr>
            </w:pPr>
          </w:p>
        </w:tc>
        <w:tc>
          <w:tcPr>
            <w:tcW w:w="240" w:type="dxa"/>
            <w:vAlign w:val="top"/>
          </w:tcPr>
          <w:p w14:paraId="0015DC1D">
            <w:pPr>
              <w:spacing w:before="94" w:line="195" w:lineRule="auto"/>
              <w:ind w:left="70"/>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980" w:type="dxa"/>
            <w:vAlign w:val="top"/>
          </w:tcPr>
          <w:p w14:paraId="29B6595A">
            <w:pPr>
              <w:pStyle w:val="9"/>
              <w:spacing w:before="58" w:line="228" w:lineRule="auto"/>
              <w:ind w:left="281"/>
              <w:rPr>
                <w:sz w:val="20"/>
                <w:szCs w:val="20"/>
              </w:rPr>
            </w:pPr>
            <w:r>
              <w:rPr>
                <w:spacing w:val="4"/>
                <w:sz w:val="20"/>
                <w:szCs w:val="20"/>
              </w:rPr>
              <w:t>地榆</w:t>
            </w:r>
          </w:p>
        </w:tc>
        <w:tc>
          <w:tcPr>
            <w:tcW w:w="3998" w:type="dxa"/>
            <w:vAlign w:val="top"/>
          </w:tcPr>
          <w:p w14:paraId="7F1B78F3">
            <w:pPr>
              <w:spacing w:before="24" w:line="277" w:lineRule="exact"/>
              <w:ind w:left="962"/>
              <w:rPr>
                <w:rFonts w:ascii="Times New Roman" w:hAnsi="Times New Roman" w:eastAsia="Times New Roman" w:cs="Times New Roman"/>
                <w:sz w:val="20"/>
                <w:szCs w:val="20"/>
              </w:rPr>
            </w:pPr>
            <w:r>
              <w:rPr>
                <w:rFonts w:ascii="Times New Roman" w:hAnsi="Times New Roman" w:eastAsia="Times New Roman" w:cs="Times New Roman"/>
                <w:i/>
                <w:iCs/>
                <w:spacing w:val="6"/>
                <w:position w:val="4"/>
                <w:sz w:val="20"/>
                <w:szCs w:val="20"/>
              </w:rPr>
              <w:t>SanguisorbaoficinalisL.</w:t>
            </w:r>
          </w:p>
        </w:tc>
        <w:tc>
          <w:tcPr>
            <w:tcW w:w="2859" w:type="dxa"/>
            <w:vAlign w:val="top"/>
          </w:tcPr>
          <w:p w14:paraId="1E068239">
            <w:pPr>
              <w:pStyle w:val="9"/>
              <w:spacing w:before="58" w:line="228" w:lineRule="auto"/>
              <w:ind w:left="724"/>
              <w:rPr>
                <w:sz w:val="20"/>
                <w:szCs w:val="20"/>
              </w:rPr>
            </w:pPr>
            <w:r>
              <w:rPr>
                <w:spacing w:val="5"/>
                <w:sz w:val="20"/>
                <w:szCs w:val="20"/>
              </w:rPr>
              <w:t>山坡草地、道旁</w:t>
            </w:r>
          </w:p>
        </w:tc>
        <w:tc>
          <w:tcPr>
            <w:tcW w:w="123" w:type="dxa"/>
            <w:tcBorders>
              <w:top w:val="nil"/>
              <w:bottom w:val="nil"/>
              <w:right w:val="single" w:color="000000" w:sz="6" w:space="0"/>
            </w:tcBorders>
            <w:vAlign w:val="top"/>
          </w:tcPr>
          <w:p w14:paraId="56D3AE08">
            <w:pPr>
              <w:rPr>
                <w:rFonts w:ascii="Arial"/>
                <w:sz w:val="21"/>
              </w:rPr>
            </w:pPr>
          </w:p>
        </w:tc>
      </w:tr>
      <w:tr w14:paraId="5712C8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751" w:type="dxa"/>
            <w:vMerge w:val="continue"/>
            <w:tcBorders>
              <w:top w:val="nil"/>
              <w:left w:val="single" w:color="000000" w:sz="6" w:space="0"/>
              <w:bottom w:val="nil"/>
            </w:tcBorders>
            <w:vAlign w:val="top"/>
          </w:tcPr>
          <w:p w14:paraId="602526FF">
            <w:pPr>
              <w:rPr>
                <w:rFonts w:ascii="Arial"/>
                <w:sz w:val="21"/>
              </w:rPr>
            </w:pPr>
          </w:p>
        </w:tc>
        <w:tc>
          <w:tcPr>
            <w:tcW w:w="113" w:type="dxa"/>
            <w:tcBorders>
              <w:top w:val="nil"/>
              <w:bottom w:val="nil"/>
            </w:tcBorders>
            <w:vAlign w:val="top"/>
          </w:tcPr>
          <w:p w14:paraId="0E04CF26">
            <w:pPr>
              <w:rPr>
                <w:rFonts w:ascii="Arial"/>
                <w:sz w:val="21"/>
              </w:rPr>
            </w:pPr>
          </w:p>
        </w:tc>
        <w:tc>
          <w:tcPr>
            <w:tcW w:w="240" w:type="dxa"/>
            <w:vAlign w:val="top"/>
          </w:tcPr>
          <w:p w14:paraId="36D6E145">
            <w:pPr>
              <w:spacing w:before="95" w:line="195" w:lineRule="auto"/>
              <w:ind w:left="65"/>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tc>
        <w:tc>
          <w:tcPr>
            <w:tcW w:w="980" w:type="dxa"/>
            <w:vAlign w:val="top"/>
          </w:tcPr>
          <w:p w14:paraId="70FFB12B">
            <w:pPr>
              <w:pStyle w:val="9"/>
              <w:spacing w:before="59" w:line="229" w:lineRule="auto"/>
              <w:ind w:left="300"/>
              <w:rPr>
                <w:sz w:val="20"/>
                <w:szCs w:val="20"/>
              </w:rPr>
            </w:pPr>
            <w:r>
              <w:rPr>
                <w:spacing w:val="-5"/>
                <w:sz w:val="20"/>
                <w:szCs w:val="20"/>
              </w:rPr>
              <w:t>山杏</w:t>
            </w:r>
          </w:p>
        </w:tc>
        <w:tc>
          <w:tcPr>
            <w:tcW w:w="3998" w:type="dxa"/>
            <w:vAlign w:val="top"/>
          </w:tcPr>
          <w:p w14:paraId="13774BBA">
            <w:pPr>
              <w:spacing w:before="25" w:line="277" w:lineRule="exact"/>
              <w:ind w:left="783"/>
              <w:rPr>
                <w:rFonts w:ascii="Times New Roman" w:hAnsi="Times New Roman" w:eastAsia="Times New Roman" w:cs="Times New Roman"/>
                <w:sz w:val="20"/>
                <w:szCs w:val="20"/>
              </w:rPr>
            </w:pPr>
            <w:r>
              <w:rPr>
                <w:rFonts w:ascii="Times New Roman" w:hAnsi="Times New Roman" w:eastAsia="Times New Roman" w:cs="Times New Roman"/>
                <w:i/>
                <w:iCs/>
                <w:position w:val="4"/>
                <w:sz w:val="20"/>
                <w:szCs w:val="20"/>
              </w:rPr>
              <w:t>Armeniaca</w:t>
            </w:r>
            <w:r>
              <w:rPr>
                <w:rFonts w:ascii="Times New Roman" w:hAnsi="Times New Roman" w:eastAsia="Times New Roman" w:cs="Times New Roman"/>
                <w:i/>
                <w:iCs/>
                <w:spacing w:val="17"/>
                <w:position w:val="4"/>
                <w:sz w:val="20"/>
                <w:szCs w:val="20"/>
              </w:rPr>
              <w:t xml:space="preserve"> </w:t>
            </w:r>
            <w:r>
              <w:rPr>
                <w:rFonts w:ascii="Times New Roman" w:hAnsi="Times New Roman" w:eastAsia="Times New Roman" w:cs="Times New Roman"/>
                <w:i/>
                <w:iCs/>
                <w:position w:val="4"/>
                <w:sz w:val="20"/>
                <w:szCs w:val="20"/>
              </w:rPr>
              <w:t>sibirica</w:t>
            </w:r>
            <w:r>
              <w:rPr>
                <w:rFonts w:ascii="Times New Roman" w:hAnsi="Times New Roman" w:eastAsia="Times New Roman" w:cs="Times New Roman"/>
                <w:i/>
                <w:iCs/>
                <w:spacing w:val="20"/>
                <w:position w:val="4"/>
                <w:sz w:val="20"/>
                <w:szCs w:val="20"/>
              </w:rPr>
              <w:t xml:space="preserve"> </w:t>
            </w:r>
            <w:r>
              <w:rPr>
                <w:rFonts w:ascii="Times New Roman" w:hAnsi="Times New Roman" w:eastAsia="Times New Roman" w:cs="Times New Roman"/>
                <w:i/>
                <w:iCs/>
                <w:spacing w:val="17"/>
                <w:position w:val="4"/>
                <w:sz w:val="20"/>
                <w:szCs w:val="20"/>
              </w:rPr>
              <w:t xml:space="preserve">(L.) </w:t>
            </w:r>
            <w:r>
              <w:rPr>
                <w:rFonts w:ascii="Times New Roman" w:hAnsi="Times New Roman" w:eastAsia="Times New Roman" w:cs="Times New Roman"/>
                <w:i/>
                <w:iCs/>
                <w:position w:val="4"/>
                <w:sz w:val="20"/>
                <w:szCs w:val="20"/>
              </w:rPr>
              <w:t>Lam</w:t>
            </w:r>
          </w:p>
        </w:tc>
        <w:tc>
          <w:tcPr>
            <w:tcW w:w="2859" w:type="dxa"/>
            <w:vAlign w:val="top"/>
          </w:tcPr>
          <w:p w14:paraId="0E5F280F">
            <w:pPr>
              <w:pStyle w:val="9"/>
              <w:spacing w:before="26" w:line="272" w:lineRule="exact"/>
              <w:ind w:left="934"/>
              <w:rPr>
                <w:sz w:val="20"/>
                <w:szCs w:val="20"/>
              </w:rPr>
            </w:pPr>
            <w:r>
              <w:rPr>
                <w:spacing w:val="4"/>
                <w:position w:val="1"/>
                <w:sz w:val="20"/>
                <w:szCs w:val="20"/>
              </w:rPr>
              <w:t>中山、</w:t>
            </w:r>
            <w:r>
              <w:fldChar w:fldCharType="begin"/>
            </w:r>
            <w:r>
              <w:instrText xml:space="preserve"> HYPERLINK "https://baike.so.com/doc/6411632-7570483.html" </w:instrText>
            </w:r>
            <w:r>
              <w:fldChar w:fldCharType="separate"/>
            </w:r>
            <w:r>
              <w:rPr>
                <w:spacing w:val="4"/>
                <w:position w:val="1"/>
                <w:sz w:val="20"/>
                <w:szCs w:val="20"/>
              </w:rPr>
              <w:t>丘陵</w:t>
            </w:r>
            <w:r>
              <w:rPr>
                <w:spacing w:val="4"/>
                <w:position w:val="1"/>
                <w:sz w:val="20"/>
                <w:szCs w:val="20"/>
              </w:rPr>
              <w:fldChar w:fldCharType="end"/>
            </w:r>
          </w:p>
        </w:tc>
        <w:tc>
          <w:tcPr>
            <w:tcW w:w="123" w:type="dxa"/>
            <w:tcBorders>
              <w:top w:val="nil"/>
              <w:bottom w:val="nil"/>
              <w:right w:val="single" w:color="000000" w:sz="6" w:space="0"/>
            </w:tcBorders>
            <w:vAlign w:val="top"/>
          </w:tcPr>
          <w:p w14:paraId="334272E1">
            <w:pPr>
              <w:rPr>
                <w:rFonts w:ascii="Arial"/>
                <w:sz w:val="21"/>
              </w:rPr>
            </w:pPr>
          </w:p>
        </w:tc>
      </w:tr>
      <w:tr w14:paraId="50BBD9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751" w:type="dxa"/>
            <w:vMerge w:val="continue"/>
            <w:tcBorders>
              <w:top w:val="nil"/>
              <w:left w:val="single" w:color="000000" w:sz="6" w:space="0"/>
              <w:bottom w:val="nil"/>
            </w:tcBorders>
            <w:vAlign w:val="top"/>
          </w:tcPr>
          <w:p w14:paraId="03CF8266">
            <w:pPr>
              <w:rPr>
                <w:rFonts w:ascii="Arial"/>
                <w:sz w:val="21"/>
              </w:rPr>
            </w:pPr>
          </w:p>
        </w:tc>
        <w:tc>
          <w:tcPr>
            <w:tcW w:w="113" w:type="dxa"/>
            <w:tcBorders>
              <w:top w:val="nil"/>
              <w:bottom w:val="nil"/>
            </w:tcBorders>
            <w:vAlign w:val="top"/>
          </w:tcPr>
          <w:p w14:paraId="4CEE3842">
            <w:pPr>
              <w:rPr>
                <w:rFonts w:ascii="Arial"/>
                <w:sz w:val="21"/>
              </w:rPr>
            </w:pPr>
          </w:p>
        </w:tc>
        <w:tc>
          <w:tcPr>
            <w:tcW w:w="8077" w:type="dxa"/>
            <w:gridSpan w:val="4"/>
            <w:vAlign w:val="top"/>
          </w:tcPr>
          <w:p w14:paraId="4C6B1297">
            <w:pPr>
              <w:pStyle w:val="9"/>
              <w:spacing w:before="23" w:line="278" w:lineRule="exact"/>
              <w:ind w:left="2829"/>
              <w:rPr>
                <w:rFonts w:ascii="Times New Roman" w:hAnsi="Times New Roman" w:eastAsia="Times New Roman" w:cs="Times New Roman"/>
                <w:sz w:val="20"/>
                <w:szCs w:val="20"/>
              </w:rPr>
            </w:pPr>
            <w:r>
              <w:rPr>
                <w:spacing w:val="20"/>
                <w:position w:val="2"/>
                <w:sz w:val="20"/>
                <w:szCs w:val="20"/>
              </w:rPr>
              <w:t>六、蒺藜科</w:t>
            </w:r>
            <w:r>
              <w:rPr>
                <w:spacing w:val="-45"/>
                <w:position w:val="2"/>
                <w:sz w:val="20"/>
                <w:szCs w:val="20"/>
              </w:rPr>
              <w:t xml:space="preserve"> </w:t>
            </w:r>
            <w:r>
              <w:rPr>
                <w:rFonts w:ascii="Times New Roman" w:hAnsi="Times New Roman" w:eastAsia="Times New Roman" w:cs="Times New Roman"/>
                <w:i/>
                <w:iCs/>
                <w:position w:val="2"/>
                <w:sz w:val="20"/>
                <w:szCs w:val="20"/>
              </w:rPr>
              <w:t>Zygophyllaceae</w:t>
            </w:r>
          </w:p>
        </w:tc>
        <w:tc>
          <w:tcPr>
            <w:tcW w:w="123" w:type="dxa"/>
            <w:tcBorders>
              <w:top w:val="nil"/>
              <w:bottom w:val="nil"/>
              <w:right w:val="single" w:color="000000" w:sz="6" w:space="0"/>
            </w:tcBorders>
            <w:vAlign w:val="top"/>
          </w:tcPr>
          <w:p w14:paraId="690102C9">
            <w:pPr>
              <w:rPr>
                <w:rFonts w:ascii="Arial"/>
                <w:sz w:val="21"/>
              </w:rPr>
            </w:pPr>
          </w:p>
        </w:tc>
      </w:tr>
      <w:tr w14:paraId="6A71C6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751" w:type="dxa"/>
            <w:vMerge w:val="continue"/>
            <w:tcBorders>
              <w:top w:val="nil"/>
              <w:left w:val="single" w:color="000000" w:sz="6" w:space="0"/>
              <w:bottom w:val="nil"/>
            </w:tcBorders>
            <w:vAlign w:val="top"/>
          </w:tcPr>
          <w:p w14:paraId="0E5E6326">
            <w:pPr>
              <w:rPr>
                <w:rFonts w:ascii="Arial"/>
                <w:sz w:val="21"/>
              </w:rPr>
            </w:pPr>
          </w:p>
        </w:tc>
        <w:tc>
          <w:tcPr>
            <w:tcW w:w="113" w:type="dxa"/>
            <w:tcBorders>
              <w:top w:val="nil"/>
              <w:bottom w:val="nil"/>
            </w:tcBorders>
            <w:vAlign w:val="top"/>
          </w:tcPr>
          <w:p w14:paraId="702B080B">
            <w:pPr>
              <w:rPr>
                <w:rFonts w:ascii="Arial"/>
                <w:sz w:val="21"/>
              </w:rPr>
            </w:pPr>
          </w:p>
        </w:tc>
        <w:tc>
          <w:tcPr>
            <w:tcW w:w="240" w:type="dxa"/>
            <w:vAlign w:val="top"/>
          </w:tcPr>
          <w:p w14:paraId="34E0E4F6">
            <w:pPr>
              <w:spacing w:before="94" w:line="195" w:lineRule="auto"/>
              <w:ind w:left="31"/>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10</w:t>
            </w:r>
          </w:p>
        </w:tc>
        <w:tc>
          <w:tcPr>
            <w:tcW w:w="980" w:type="dxa"/>
            <w:vAlign w:val="top"/>
          </w:tcPr>
          <w:p w14:paraId="72861557">
            <w:pPr>
              <w:pStyle w:val="9"/>
              <w:spacing w:before="59" w:line="228" w:lineRule="auto"/>
              <w:ind w:left="386"/>
              <w:rPr>
                <w:sz w:val="20"/>
                <w:szCs w:val="20"/>
              </w:rPr>
            </w:pPr>
            <w:r>
              <w:rPr>
                <w:sz w:val="20"/>
                <w:szCs w:val="20"/>
              </w:rPr>
              <w:t>藜</w:t>
            </w:r>
          </w:p>
        </w:tc>
        <w:tc>
          <w:tcPr>
            <w:tcW w:w="3998" w:type="dxa"/>
            <w:vAlign w:val="top"/>
          </w:tcPr>
          <w:p w14:paraId="42DA375F">
            <w:pPr>
              <w:spacing w:before="91" w:line="199" w:lineRule="auto"/>
              <w:ind w:left="127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Tribulusterrestris</w:t>
            </w:r>
          </w:p>
        </w:tc>
        <w:tc>
          <w:tcPr>
            <w:tcW w:w="2859" w:type="dxa"/>
            <w:vAlign w:val="top"/>
          </w:tcPr>
          <w:p w14:paraId="4E660187">
            <w:pPr>
              <w:pStyle w:val="9"/>
              <w:spacing w:before="58" w:line="227" w:lineRule="auto"/>
              <w:ind w:left="707"/>
              <w:rPr>
                <w:sz w:val="20"/>
                <w:szCs w:val="20"/>
              </w:rPr>
            </w:pPr>
            <w:r>
              <w:rPr>
                <w:spacing w:val="8"/>
                <w:sz w:val="20"/>
                <w:szCs w:val="20"/>
              </w:rPr>
              <w:t>路边、房屋附近</w:t>
            </w:r>
          </w:p>
        </w:tc>
        <w:tc>
          <w:tcPr>
            <w:tcW w:w="123" w:type="dxa"/>
            <w:tcBorders>
              <w:top w:val="nil"/>
              <w:bottom w:val="nil"/>
              <w:right w:val="single" w:color="000000" w:sz="6" w:space="0"/>
            </w:tcBorders>
            <w:vAlign w:val="top"/>
          </w:tcPr>
          <w:p w14:paraId="5D480B9D">
            <w:pPr>
              <w:rPr>
                <w:rFonts w:ascii="Arial"/>
                <w:sz w:val="21"/>
              </w:rPr>
            </w:pPr>
          </w:p>
        </w:tc>
      </w:tr>
      <w:tr w14:paraId="6C48C1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751" w:type="dxa"/>
            <w:vMerge w:val="continue"/>
            <w:tcBorders>
              <w:top w:val="nil"/>
              <w:left w:val="single" w:color="000000" w:sz="6" w:space="0"/>
              <w:bottom w:val="nil"/>
            </w:tcBorders>
            <w:vAlign w:val="top"/>
          </w:tcPr>
          <w:p w14:paraId="6E7844E1">
            <w:pPr>
              <w:rPr>
                <w:rFonts w:ascii="Arial"/>
                <w:sz w:val="21"/>
              </w:rPr>
            </w:pPr>
          </w:p>
        </w:tc>
        <w:tc>
          <w:tcPr>
            <w:tcW w:w="113" w:type="dxa"/>
            <w:tcBorders>
              <w:top w:val="nil"/>
              <w:bottom w:val="nil"/>
            </w:tcBorders>
            <w:vAlign w:val="top"/>
          </w:tcPr>
          <w:p w14:paraId="51C0C27C">
            <w:pPr>
              <w:rPr>
                <w:rFonts w:ascii="Arial"/>
                <w:sz w:val="21"/>
              </w:rPr>
            </w:pPr>
          </w:p>
        </w:tc>
        <w:tc>
          <w:tcPr>
            <w:tcW w:w="8077" w:type="dxa"/>
            <w:gridSpan w:val="4"/>
            <w:vAlign w:val="top"/>
          </w:tcPr>
          <w:p w14:paraId="33DD57E8">
            <w:pPr>
              <w:pStyle w:val="9"/>
              <w:spacing w:before="23" w:line="278" w:lineRule="exact"/>
              <w:ind w:left="2851"/>
              <w:rPr>
                <w:rFonts w:ascii="Times New Roman" w:hAnsi="Times New Roman" w:eastAsia="Times New Roman" w:cs="Times New Roman"/>
                <w:sz w:val="20"/>
                <w:szCs w:val="20"/>
              </w:rPr>
            </w:pPr>
            <w:r>
              <w:rPr>
                <w:spacing w:val="21"/>
                <w:position w:val="2"/>
                <w:sz w:val="20"/>
                <w:szCs w:val="20"/>
              </w:rPr>
              <w:t>七、大戟科</w:t>
            </w:r>
            <w:r>
              <w:rPr>
                <w:spacing w:val="-51"/>
                <w:position w:val="2"/>
                <w:sz w:val="20"/>
                <w:szCs w:val="20"/>
              </w:rPr>
              <w:t xml:space="preserve"> </w:t>
            </w:r>
            <w:r>
              <w:rPr>
                <w:rFonts w:ascii="Times New Roman" w:hAnsi="Times New Roman" w:eastAsia="Times New Roman" w:cs="Times New Roman"/>
                <w:i/>
                <w:iCs/>
                <w:position w:val="2"/>
                <w:sz w:val="20"/>
                <w:szCs w:val="20"/>
              </w:rPr>
              <w:t>Euphorbiaceae</w:t>
            </w:r>
          </w:p>
        </w:tc>
        <w:tc>
          <w:tcPr>
            <w:tcW w:w="123" w:type="dxa"/>
            <w:tcBorders>
              <w:top w:val="nil"/>
              <w:bottom w:val="nil"/>
              <w:right w:val="single" w:color="000000" w:sz="6" w:space="0"/>
            </w:tcBorders>
            <w:vAlign w:val="top"/>
          </w:tcPr>
          <w:p w14:paraId="21B7803D">
            <w:pPr>
              <w:rPr>
                <w:rFonts w:ascii="Arial"/>
                <w:sz w:val="21"/>
              </w:rPr>
            </w:pPr>
          </w:p>
        </w:tc>
      </w:tr>
      <w:tr w14:paraId="381493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751" w:type="dxa"/>
            <w:vMerge w:val="continue"/>
            <w:tcBorders>
              <w:top w:val="nil"/>
              <w:left w:val="single" w:color="000000" w:sz="6" w:space="0"/>
              <w:bottom w:val="nil"/>
            </w:tcBorders>
            <w:vAlign w:val="top"/>
          </w:tcPr>
          <w:p w14:paraId="5C4716A3">
            <w:pPr>
              <w:rPr>
                <w:rFonts w:ascii="Arial"/>
                <w:sz w:val="21"/>
              </w:rPr>
            </w:pPr>
          </w:p>
        </w:tc>
        <w:tc>
          <w:tcPr>
            <w:tcW w:w="113" w:type="dxa"/>
            <w:tcBorders>
              <w:top w:val="nil"/>
              <w:bottom w:val="nil"/>
            </w:tcBorders>
            <w:vAlign w:val="top"/>
          </w:tcPr>
          <w:p w14:paraId="3B7E8C30">
            <w:pPr>
              <w:rPr>
                <w:rFonts w:ascii="Arial"/>
                <w:sz w:val="21"/>
              </w:rPr>
            </w:pPr>
          </w:p>
        </w:tc>
        <w:tc>
          <w:tcPr>
            <w:tcW w:w="240" w:type="dxa"/>
            <w:vAlign w:val="top"/>
          </w:tcPr>
          <w:p w14:paraId="77689852">
            <w:pPr>
              <w:spacing w:before="94" w:line="195" w:lineRule="auto"/>
              <w:ind w:left="31"/>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11</w:t>
            </w:r>
          </w:p>
        </w:tc>
        <w:tc>
          <w:tcPr>
            <w:tcW w:w="980" w:type="dxa"/>
            <w:vAlign w:val="top"/>
          </w:tcPr>
          <w:p w14:paraId="48700AF7">
            <w:pPr>
              <w:pStyle w:val="9"/>
              <w:spacing w:before="58" w:line="229" w:lineRule="auto"/>
              <w:ind w:left="281"/>
              <w:rPr>
                <w:sz w:val="20"/>
                <w:szCs w:val="20"/>
              </w:rPr>
            </w:pPr>
            <w:r>
              <w:rPr>
                <w:spacing w:val="4"/>
                <w:sz w:val="20"/>
                <w:szCs w:val="20"/>
              </w:rPr>
              <w:t>地锦</w:t>
            </w:r>
          </w:p>
        </w:tc>
        <w:tc>
          <w:tcPr>
            <w:tcW w:w="3998" w:type="dxa"/>
            <w:vAlign w:val="top"/>
          </w:tcPr>
          <w:p w14:paraId="06393816">
            <w:pPr>
              <w:spacing w:before="90" w:line="201" w:lineRule="auto"/>
              <w:ind w:left="1172"/>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Euphorbiahumifusa</w:t>
            </w:r>
          </w:p>
        </w:tc>
        <w:tc>
          <w:tcPr>
            <w:tcW w:w="2859" w:type="dxa"/>
            <w:vAlign w:val="top"/>
          </w:tcPr>
          <w:p w14:paraId="0342F678">
            <w:pPr>
              <w:pStyle w:val="9"/>
              <w:spacing w:before="58" w:line="228" w:lineRule="auto"/>
              <w:ind w:left="496"/>
              <w:rPr>
                <w:sz w:val="20"/>
                <w:szCs w:val="20"/>
              </w:rPr>
            </w:pPr>
            <w:r>
              <w:rPr>
                <w:spacing w:val="8"/>
                <w:sz w:val="20"/>
                <w:szCs w:val="20"/>
              </w:rPr>
              <w:t>路边、田间、坡地等</w:t>
            </w:r>
          </w:p>
        </w:tc>
        <w:tc>
          <w:tcPr>
            <w:tcW w:w="123" w:type="dxa"/>
            <w:tcBorders>
              <w:top w:val="nil"/>
              <w:bottom w:val="nil"/>
              <w:right w:val="single" w:color="000000" w:sz="6" w:space="0"/>
            </w:tcBorders>
            <w:vAlign w:val="top"/>
          </w:tcPr>
          <w:p w14:paraId="70B66DF9">
            <w:pPr>
              <w:rPr>
                <w:rFonts w:ascii="Arial"/>
                <w:sz w:val="21"/>
              </w:rPr>
            </w:pPr>
          </w:p>
        </w:tc>
      </w:tr>
      <w:tr w14:paraId="519499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751" w:type="dxa"/>
            <w:vMerge w:val="continue"/>
            <w:tcBorders>
              <w:top w:val="nil"/>
              <w:left w:val="single" w:color="000000" w:sz="6" w:space="0"/>
              <w:bottom w:val="nil"/>
            </w:tcBorders>
            <w:vAlign w:val="top"/>
          </w:tcPr>
          <w:p w14:paraId="54061332">
            <w:pPr>
              <w:rPr>
                <w:rFonts w:ascii="Arial"/>
                <w:sz w:val="21"/>
              </w:rPr>
            </w:pPr>
          </w:p>
        </w:tc>
        <w:tc>
          <w:tcPr>
            <w:tcW w:w="113" w:type="dxa"/>
            <w:tcBorders>
              <w:top w:val="nil"/>
              <w:bottom w:val="nil"/>
            </w:tcBorders>
            <w:vAlign w:val="top"/>
          </w:tcPr>
          <w:p w14:paraId="47E234D3">
            <w:pPr>
              <w:rPr>
                <w:rFonts w:ascii="Arial"/>
                <w:sz w:val="21"/>
              </w:rPr>
            </w:pPr>
          </w:p>
        </w:tc>
        <w:tc>
          <w:tcPr>
            <w:tcW w:w="8077" w:type="dxa"/>
            <w:gridSpan w:val="4"/>
            <w:vAlign w:val="top"/>
          </w:tcPr>
          <w:p w14:paraId="3C9AB27C">
            <w:pPr>
              <w:pStyle w:val="9"/>
              <w:spacing w:before="57" w:line="221" w:lineRule="auto"/>
              <w:ind w:left="3152"/>
              <w:rPr>
                <w:rFonts w:ascii="Times New Roman" w:hAnsi="Times New Roman" w:eastAsia="Times New Roman" w:cs="Times New Roman"/>
                <w:sz w:val="20"/>
                <w:szCs w:val="20"/>
              </w:rPr>
            </w:pPr>
            <w:r>
              <w:rPr>
                <w:spacing w:val="13"/>
                <w:sz w:val="20"/>
                <w:szCs w:val="20"/>
              </w:rPr>
              <w:t>八、菊科</w:t>
            </w:r>
            <w:r>
              <w:rPr>
                <w:spacing w:val="-31"/>
                <w:sz w:val="20"/>
                <w:szCs w:val="20"/>
              </w:rPr>
              <w:t xml:space="preserve"> </w:t>
            </w:r>
            <w:r>
              <w:rPr>
                <w:rFonts w:ascii="Times New Roman" w:hAnsi="Times New Roman" w:eastAsia="Times New Roman" w:cs="Times New Roman"/>
                <w:i/>
                <w:iCs/>
                <w:sz w:val="20"/>
                <w:szCs w:val="20"/>
              </w:rPr>
              <w:t>Compsitae</w:t>
            </w:r>
          </w:p>
        </w:tc>
        <w:tc>
          <w:tcPr>
            <w:tcW w:w="123" w:type="dxa"/>
            <w:tcBorders>
              <w:top w:val="nil"/>
              <w:bottom w:val="nil"/>
              <w:right w:val="single" w:color="000000" w:sz="6" w:space="0"/>
            </w:tcBorders>
            <w:vAlign w:val="top"/>
          </w:tcPr>
          <w:p w14:paraId="0246548A">
            <w:pPr>
              <w:rPr>
                <w:rFonts w:ascii="Arial"/>
                <w:sz w:val="21"/>
              </w:rPr>
            </w:pPr>
          </w:p>
        </w:tc>
      </w:tr>
      <w:tr w14:paraId="35151A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751" w:type="dxa"/>
            <w:vMerge w:val="continue"/>
            <w:tcBorders>
              <w:top w:val="nil"/>
              <w:left w:val="single" w:color="000000" w:sz="6" w:space="0"/>
              <w:bottom w:val="nil"/>
            </w:tcBorders>
            <w:vAlign w:val="top"/>
          </w:tcPr>
          <w:p w14:paraId="3930E17C">
            <w:pPr>
              <w:rPr>
                <w:rFonts w:ascii="Arial"/>
                <w:sz w:val="21"/>
              </w:rPr>
            </w:pPr>
          </w:p>
        </w:tc>
        <w:tc>
          <w:tcPr>
            <w:tcW w:w="113" w:type="dxa"/>
            <w:tcBorders>
              <w:top w:val="nil"/>
              <w:bottom w:val="nil"/>
            </w:tcBorders>
            <w:vAlign w:val="top"/>
          </w:tcPr>
          <w:p w14:paraId="6AF6E1DF">
            <w:pPr>
              <w:rPr>
                <w:rFonts w:ascii="Arial"/>
                <w:sz w:val="21"/>
              </w:rPr>
            </w:pPr>
          </w:p>
        </w:tc>
        <w:tc>
          <w:tcPr>
            <w:tcW w:w="240" w:type="dxa"/>
            <w:vAlign w:val="top"/>
          </w:tcPr>
          <w:p w14:paraId="259E3C44">
            <w:pPr>
              <w:spacing w:before="115" w:line="195" w:lineRule="auto"/>
              <w:ind w:left="31"/>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12</w:t>
            </w:r>
          </w:p>
        </w:tc>
        <w:tc>
          <w:tcPr>
            <w:tcW w:w="980" w:type="dxa"/>
            <w:vAlign w:val="top"/>
          </w:tcPr>
          <w:p w14:paraId="085343BC">
            <w:pPr>
              <w:pStyle w:val="9"/>
              <w:spacing w:before="58" w:line="228" w:lineRule="auto"/>
              <w:ind w:left="281"/>
              <w:rPr>
                <w:sz w:val="20"/>
                <w:szCs w:val="20"/>
              </w:rPr>
            </w:pPr>
            <w:r>
              <w:rPr>
                <w:spacing w:val="4"/>
                <w:sz w:val="20"/>
                <w:szCs w:val="20"/>
              </w:rPr>
              <w:t>岩蒿</w:t>
            </w:r>
          </w:p>
        </w:tc>
        <w:tc>
          <w:tcPr>
            <w:tcW w:w="3998" w:type="dxa"/>
            <w:vAlign w:val="top"/>
          </w:tcPr>
          <w:p w14:paraId="09C5D8E7">
            <w:pPr>
              <w:spacing w:before="90" w:line="201" w:lineRule="auto"/>
              <w:ind w:left="107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Artemisia rupestris L.</w:t>
            </w:r>
          </w:p>
        </w:tc>
        <w:tc>
          <w:tcPr>
            <w:tcW w:w="2859" w:type="dxa"/>
            <w:vAlign w:val="top"/>
          </w:tcPr>
          <w:p w14:paraId="4BFA6779">
            <w:pPr>
              <w:pStyle w:val="9"/>
              <w:spacing w:before="26" w:line="272" w:lineRule="exact"/>
              <w:ind w:left="934"/>
              <w:rPr>
                <w:sz w:val="20"/>
                <w:szCs w:val="20"/>
              </w:rPr>
            </w:pPr>
            <w:r>
              <w:rPr>
                <w:spacing w:val="4"/>
                <w:position w:val="1"/>
                <w:sz w:val="20"/>
                <w:szCs w:val="20"/>
              </w:rPr>
              <w:t>中山、</w:t>
            </w:r>
            <w:r>
              <w:fldChar w:fldCharType="begin"/>
            </w:r>
            <w:r>
              <w:instrText xml:space="preserve"> HYPERLINK "https://baike.so.com/doc/6411632-7570483.html" </w:instrText>
            </w:r>
            <w:r>
              <w:fldChar w:fldCharType="separate"/>
            </w:r>
            <w:r>
              <w:rPr>
                <w:spacing w:val="4"/>
                <w:position w:val="1"/>
                <w:sz w:val="20"/>
                <w:szCs w:val="20"/>
              </w:rPr>
              <w:t>丘陵</w:t>
            </w:r>
            <w:r>
              <w:rPr>
                <w:spacing w:val="4"/>
                <w:position w:val="1"/>
                <w:sz w:val="20"/>
                <w:szCs w:val="20"/>
              </w:rPr>
              <w:fldChar w:fldCharType="end"/>
            </w:r>
          </w:p>
        </w:tc>
        <w:tc>
          <w:tcPr>
            <w:tcW w:w="123" w:type="dxa"/>
            <w:tcBorders>
              <w:top w:val="nil"/>
              <w:bottom w:val="nil"/>
              <w:right w:val="single" w:color="000000" w:sz="6" w:space="0"/>
            </w:tcBorders>
            <w:vAlign w:val="top"/>
          </w:tcPr>
          <w:p w14:paraId="6077BD9B">
            <w:pPr>
              <w:rPr>
                <w:rFonts w:ascii="Arial"/>
                <w:sz w:val="21"/>
              </w:rPr>
            </w:pPr>
          </w:p>
        </w:tc>
      </w:tr>
      <w:tr w14:paraId="0E87B5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51" w:type="dxa"/>
            <w:vMerge w:val="continue"/>
            <w:tcBorders>
              <w:top w:val="nil"/>
              <w:left w:val="single" w:color="000000" w:sz="6" w:space="0"/>
              <w:bottom w:val="nil"/>
            </w:tcBorders>
            <w:vAlign w:val="top"/>
          </w:tcPr>
          <w:p w14:paraId="7C372B16">
            <w:pPr>
              <w:rPr>
                <w:rFonts w:ascii="Arial"/>
                <w:sz w:val="21"/>
              </w:rPr>
            </w:pPr>
          </w:p>
        </w:tc>
        <w:tc>
          <w:tcPr>
            <w:tcW w:w="113" w:type="dxa"/>
            <w:tcBorders>
              <w:top w:val="nil"/>
              <w:bottom w:val="nil"/>
            </w:tcBorders>
            <w:vAlign w:val="top"/>
          </w:tcPr>
          <w:p w14:paraId="4FC72667">
            <w:pPr>
              <w:rPr>
                <w:rFonts w:ascii="Arial"/>
                <w:sz w:val="21"/>
              </w:rPr>
            </w:pPr>
          </w:p>
        </w:tc>
        <w:tc>
          <w:tcPr>
            <w:tcW w:w="240" w:type="dxa"/>
            <w:vAlign w:val="top"/>
          </w:tcPr>
          <w:p w14:paraId="4575556B">
            <w:pPr>
              <w:spacing w:before="114" w:line="195" w:lineRule="auto"/>
              <w:ind w:left="31"/>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13</w:t>
            </w:r>
          </w:p>
        </w:tc>
        <w:tc>
          <w:tcPr>
            <w:tcW w:w="980" w:type="dxa"/>
            <w:vAlign w:val="top"/>
          </w:tcPr>
          <w:p w14:paraId="2534A058">
            <w:pPr>
              <w:pStyle w:val="9"/>
              <w:spacing w:before="58" w:line="228" w:lineRule="auto"/>
              <w:ind w:left="175"/>
              <w:rPr>
                <w:sz w:val="20"/>
                <w:szCs w:val="20"/>
              </w:rPr>
            </w:pPr>
            <w:r>
              <w:rPr>
                <w:spacing w:val="6"/>
                <w:sz w:val="20"/>
                <w:szCs w:val="20"/>
              </w:rPr>
              <w:t>裂叶蒿</w:t>
            </w:r>
          </w:p>
        </w:tc>
        <w:tc>
          <w:tcPr>
            <w:tcW w:w="3998" w:type="dxa"/>
            <w:vAlign w:val="top"/>
          </w:tcPr>
          <w:p w14:paraId="428AFD6D">
            <w:pPr>
              <w:spacing w:before="24" w:line="278" w:lineRule="exact"/>
              <w:ind w:left="910"/>
              <w:rPr>
                <w:rFonts w:ascii="Times New Roman" w:hAnsi="Times New Roman" w:eastAsia="Times New Roman" w:cs="Times New Roman"/>
                <w:sz w:val="20"/>
                <w:szCs w:val="20"/>
              </w:rPr>
            </w:pPr>
            <w:r>
              <w:rPr>
                <w:rFonts w:ascii="Times New Roman" w:hAnsi="Times New Roman" w:eastAsia="Times New Roman" w:cs="Times New Roman"/>
                <w:i/>
                <w:iCs/>
                <w:spacing w:val="4"/>
                <w:position w:val="4"/>
                <w:sz w:val="20"/>
                <w:szCs w:val="20"/>
              </w:rPr>
              <w:t>Artemisia tanacetifolia L.</w:t>
            </w:r>
          </w:p>
        </w:tc>
        <w:tc>
          <w:tcPr>
            <w:tcW w:w="2859" w:type="dxa"/>
            <w:vAlign w:val="top"/>
          </w:tcPr>
          <w:p w14:paraId="0E88645B">
            <w:pPr>
              <w:pStyle w:val="9"/>
              <w:spacing w:before="58" w:line="228" w:lineRule="auto"/>
              <w:ind w:left="390"/>
              <w:rPr>
                <w:sz w:val="20"/>
                <w:szCs w:val="20"/>
              </w:rPr>
            </w:pPr>
            <w:r>
              <w:rPr>
                <w:spacing w:val="9"/>
                <w:sz w:val="20"/>
                <w:szCs w:val="20"/>
              </w:rPr>
              <w:t>平原、田间、路旁等地</w:t>
            </w:r>
          </w:p>
        </w:tc>
        <w:tc>
          <w:tcPr>
            <w:tcW w:w="123" w:type="dxa"/>
            <w:tcBorders>
              <w:top w:val="nil"/>
              <w:bottom w:val="nil"/>
              <w:right w:val="single" w:color="000000" w:sz="6" w:space="0"/>
            </w:tcBorders>
            <w:vAlign w:val="top"/>
          </w:tcPr>
          <w:p w14:paraId="70F3F2EE">
            <w:pPr>
              <w:rPr>
                <w:rFonts w:ascii="Arial"/>
                <w:sz w:val="21"/>
              </w:rPr>
            </w:pPr>
          </w:p>
        </w:tc>
      </w:tr>
      <w:tr w14:paraId="0AA58A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751" w:type="dxa"/>
            <w:vMerge w:val="continue"/>
            <w:tcBorders>
              <w:top w:val="nil"/>
              <w:left w:val="single" w:color="000000" w:sz="6" w:space="0"/>
              <w:bottom w:val="nil"/>
            </w:tcBorders>
            <w:vAlign w:val="top"/>
          </w:tcPr>
          <w:p w14:paraId="5F1EF891">
            <w:pPr>
              <w:rPr>
                <w:rFonts w:ascii="Arial"/>
                <w:sz w:val="21"/>
              </w:rPr>
            </w:pPr>
          </w:p>
        </w:tc>
        <w:tc>
          <w:tcPr>
            <w:tcW w:w="113" w:type="dxa"/>
            <w:tcBorders>
              <w:top w:val="nil"/>
              <w:bottom w:val="nil"/>
            </w:tcBorders>
            <w:vAlign w:val="top"/>
          </w:tcPr>
          <w:p w14:paraId="7EA4B0BC">
            <w:pPr>
              <w:rPr>
                <w:rFonts w:ascii="Arial"/>
                <w:sz w:val="21"/>
              </w:rPr>
            </w:pPr>
          </w:p>
        </w:tc>
        <w:tc>
          <w:tcPr>
            <w:tcW w:w="240" w:type="dxa"/>
            <w:vAlign w:val="top"/>
          </w:tcPr>
          <w:p w14:paraId="69F0C277">
            <w:pPr>
              <w:spacing w:before="116" w:line="195" w:lineRule="auto"/>
              <w:ind w:left="31"/>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14</w:t>
            </w:r>
          </w:p>
        </w:tc>
        <w:tc>
          <w:tcPr>
            <w:tcW w:w="980" w:type="dxa"/>
            <w:vAlign w:val="top"/>
          </w:tcPr>
          <w:p w14:paraId="5A5B9F31">
            <w:pPr>
              <w:pStyle w:val="9"/>
              <w:spacing w:before="59" w:line="228" w:lineRule="auto"/>
              <w:ind w:left="284"/>
              <w:rPr>
                <w:sz w:val="20"/>
                <w:szCs w:val="20"/>
              </w:rPr>
            </w:pPr>
            <w:r>
              <w:rPr>
                <w:spacing w:val="3"/>
                <w:sz w:val="20"/>
                <w:szCs w:val="20"/>
              </w:rPr>
              <w:t>油蒿</w:t>
            </w:r>
          </w:p>
        </w:tc>
        <w:tc>
          <w:tcPr>
            <w:tcW w:w="3998" w:type="dxa"/>
            <w:vAlign w:val="top"/>
          </w:tcPr>
          <w:p w14:paraId="5DD0BB49">
            <w:pPr>
              <w:spacing w:before="24" w:line="278" w:lineRule="exact"/>
              <w:ind w:left="826"/>
              <w:rPr>
                <w:rFonts w:ascii="Times New Roman" w:hAnsi="Times New Roman" w:eastAsia="Times New Roman" w:cs="Times New Roman"/>
                <w:sz w:val="20"/>
                <w:szCs w:val="20"/>
              </w:rPr>
            </w:pPr>
            <w:r>
              <w:rPr>
                <w:rFonts w:ascii="Times New Roman" w:hAnsi="Times New Roman" w:eastAsia="Times New Roman" w:cs="Times New Roman"/>
                <w:i/>
                <w:iCs/>
                <w:spacing w:val="4"/>
                <w:position w:val="2"/>
                <w:sz w:val="20"/>
                <w:szCs w:val="20"/>
              </w:rPr>
              <w:t>Artemisia ordosica Krasch.</w:t>
            </w:r>
          </w:p>
        </w:tc>
        <w:tc>
          <w:tcPr>
            <w:tcW w:w="2859" w:type="dxa"/>
            <w:vAlign w:val="top"/>
          </w:tcPr>
          <w:p w14:paraId="275ABCBB">
            <w:pPr>
              <w:pStyle w:val="9"/>
              <w:spacing w:before="58" w:line="228" w:lineRule="auto"/>
              <w:ind w:left="705"/>
              <w:rPr>
                <w:sz w:val="20"/>
                <w:szCs w:val="20"/>
              </w:rPr>
            </w:pPr>
            <w:r>
              <w:rPr>
                <w:spacing w:val="8"/>
                <w:sz w:val="20"/>
                <w:szCs w:val="20"/>
              </w:rPr>
              <w:t>丘陵、山坡草地</w:t>
            </w:r>
          </w:p>
        </w:tc>
        <w:tc>
          <w:tcPr>
            <w:tcW w:w="123" w:type="dxa"/>
            <w:tcBorders>
              <w:top w:val="nil"/>
              <w:bottom w:val="nil"/>
              <w:right w:val="single" w:color="000000" w:sz="6" w:space="0"/>
            </w:tcBorders>
            <w:vAlign w:val="top"/>
          </w:tcPr>
          <w:p w14:paraId="311D19DB">
            <w:pPr>
              <w:rPr>
                <w:rFonts w:ascii="Arial"/>
                <w:sz w:val="21"/>
              </w:rPr>
            </w:pPr>
          </w:p>
        </w:tc>
      </w:tr>
      <w:tr w14:paraId="563799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751" w:type="dxa"/>
            <w:vMerge w:val="continue"/>
            <w:tcBorders>
              <w:top w:val="nil"/>
              <w:left w:val="single" w:color="000000" w:sz="6" w:space="0"/>
              <w:bottom w:val="nil"/>
            </w:tcBorders>
            <w:vAlign w:val="top"/>
          </w:tcPr>
          <w:p w14:paraId="494652A8">
            <w:pPr>
              <w:rPr>
                <w:rFonts w:ascii="Arial"/>
                <w:sz w:val="21"/>
              </w:rPr>
            </w:pPr>
          </w:p>
        </w:tc>
        <w:tc>
          <w:tcPr>
            <w:tcW w:w="113" w:type="dxa"/>
            <w:tcBorders>
              <w:top w:val="nil"/>
              <w:bottom w:val="nil"/>
            </w:tcBorders>
            <w:vAlign w:val="top"/>
          </w:tcPr>
          <w:p w14:paraId="7DBE727E">
            <w:pPr>
              <w:rPr>
                <w:rFonts w:ascii="Arial"/>
                <w:sz w:val="21"/>
              </w:rPr>
            </w:pPr>
          </w:p>
        </w:tc>
        <w:tc>
          <w:tcPr>
            <w:tcW w:w="240" w:type="dxa"/>
            <w:vAlign w:val="top"/>
          </w:tcPr>
          <w:p w14:paraId="49BB365D">
            <w:pPr>
              <w:spacing w:before="117" w:line="195" w:lineRule="auto"/>
              <w:ind w:left="31"/>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15</w:t>
            </w:r>
          </w:p>
        </w:tc>
        <w:tc>
          <w:tcPr>
            <w:tcW w:w="980" w:type="dxa"/>
            <w:vAlign w:val="top"/>
          </w:tcPr>
          <w:p w14:paraId="4D87ABFB">
            <w:pPr>
              <w:pStyle w:val="9"/>
              <w:spacing w:before="60" w:line="228" w:lineRule="auto"/>
              <w:ind w:left="283"/>
              <w:rPr>
                <w:sz w:val="20"/>
                <w:szCs w:val="20"/>
              </w:rPr>
            </w:pPr>
            <w:r>
              <w:rPr>
                <w:spacing w:val="3"/>
                <w:sz w:val="20"/>
                <w:szCs w:val="20"/>
              </w:rPr>
              <w:t>冷蒿</w:t>
            </w:r>
          </w:p>
        </w:tc>
        <w:tc>
          <w:tcPr>
            <w:tcW w:w="3998" w:type="dxa"/>
            <w:vAlign w:val="top"/>
          </w:tcPr>
          <w:p w14:paraId="2D0DC4A7">
            <w:pPr>
              <w:spacing w:before="25" w:line="278" w:lineRule="exact"/>
              <w:ind w:left="1037"/>
              <w:rPr>
                <w:rFonts w:ascii="Times New Roman" w:hAnsi="Times New Roman" w:eastAsia="Times New Roman" w:cs="Times New Roman"/>
                <w:sz w:val="20"/>
                <w:szCs w:val="20"/>
              </w:rPr>
            </w:pPr>
            <w:r>
              <w:rPr>
                <w:rFonts w:ascii="Times New Roman" w:hAnsi="Times New Roman" w:eastAsia="Times New Roman" w:cs="Times New Roman"/>
                <w:i/>
                <w:iCs/>
                <w:spacing w:val="3"/>
                <w:position w:val="4"/>
                <w:sz w:val="20"/>
                <w:szCs w:val="20"/>
              </w:rPr>
              <w:t>Artemisiafrigida</w:t>
            </w:r>
            <w:r>
              <w:rPr>
                <w:rFonts w:ascii="Times New Roman" w:hAnsi="Times New Roman" w:eastAsia="Times New Roman" w:cs="Times New Roman"/>
                <w:i/>
                <w:iCs/>
                <w:spacing w:val="-12"/>
                <w:position w:val="4"/>
                <w:sz w:val="20"/>
                <w:szCs w:val="20"/>
              </w:rPr>
              <w:t xml:space="preserve"> </w:t>
            </w:r>
            <w:r>
              <w:rPr>
                <w:rFonts w:ascii="Times New Roman" w:hAnsi="Times New Roman" w:eastAsia="Times New Roman" w:cs="Times New Roman"/>
                <w:i/>
                <w:iCs/>
                <w:spacing w:val="3"/>
                <w:position w:val="4"/>
                <w:sz w:val="20"/>
                <w:szCs w:val="20"/>
              </w:rPr>
              <w:t>Willd.</w:t>
            </w:r>
          </w:p>
        </w:tc>
        <w:tc>
          <w:tcPr>
            <w:tcW w:w="2859" w:type="dxa"/>
            <w:vAlign w:val="top"/>
          </w:tcPr>
          <w:p w14:paraId="56911D7F">
            <w:pPr>
              <w:pStyle w:val="9"/>
              <w:spacing w:before="59" w:line="228" w:lineRule="auto"/>
              <w:ind w:left="1039"/>
              <w:rPr>
                <w:sz w:val="20"/>
                <w:szCs w:val="20"/>
              </w:rPr>
            </w:pPr>
            <w:r>
              <w:rPr>
                <w:spacing w:val="2"/>
                <w:sz w:val="20"/>
                <w:szCs w:val="20"/>
              </w:rPr>
              <w:t>山坡草地</w:t>
            </w:r>
          </w:p>
        </w:tc>
        <w:tc>
          <w:tcPr>
            <w:tcW w:w="123" w:type="dxa"/>
            <w:tcBorders>
              <w:top w:val="nil"/>
              <w:bottom w:val="nil"/>
              <w:right w:val="single" w:color="000000" w:sz="6" w:space="0"/>
            </w:tcBorders>
            <w:vAlign w:val="top"/>
          </w:tcPr>
          <w:p w14:paraId="5794A371">
            <w:pPr>
              <w:rPr>
                <w:rFonts w:ascii="Arial"/>
                <w:sz w:val="21"/>
              </w:rPr>
            </w:pPr>
          </w:p>
        </w:tc>
      </w:tr>
      <w:tr w14:paraId="070BA6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51" w:type="dxa"/>
            <w:vMerge w:val="continue"/>
            <w:tcBorders>
              <w:top w:val="nil"/>
              <w:left w:val="single" w:color="000000" w:sz="6" w:space="0"/>
              <w:bottom w:val="nil"/>
            </w:tcBorders>
            <w:vAlign w:val="top"/>
          </w:tcPr>
          <w:p w14:paraId="45F30CE3">
            <w:pPr>
              <w:rPr>
                <w:rFonts w:ascii="Arial"/>
                <w:sz w:val="21"/>
              </w:rPr>
            </w:pPr>
          </w:p>
        </w:tc>
        <w:tc>
          <w:tcPr>
            <w:tcW w:w="113" w:type="dxa"/>
            <w:tcBorders>
              <w:top w:val="nil"/>
              <w:bottom w:val="nil"/>
            </w:tcBorders>
            <w:vAlign w:val="top"/>
          </w:tcPr>
          <w:p w14:paraId="4276CAC8">
            <w:pPr>
              <w:rPr>
                <w:rFonts w:ascii="Arial"/>
                <w:sz w:val="21"/>
              </w:rPr>
            </w:pPr>
          </w:p>
        </w:tc>
        <w:tc>
          <w:tcPr>
            <w:tcW w:w="240" w:type="dxa"/>
            <w:vAlign w:val="top"/>
          </w:tcPr>
          <w:p w14:paraId="37F1A69B">
            <w:pPr>
              <w:spacing w:before="115" w:line="195" w:lineRule="auto"/>
              <w:ind w:left="31"/>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16</w:t>
            </w:r>
          </w:p>
        </w:tc>
        <w:tc>
          <w:tcPr>
            <w:tcW w:w="980" w:type="dxa"/>
            <w:vAlign w:val="top"/>
          </w:tcPr>
          <w:p w14:paraId="47FFA2D9">
            <w:pPr>
              <w:pStyle w:val="9"/>
              <w:spacing w:before="58" w:line="227" w:lineRule="auto"/>
              <w:ind w:left="180"/>
              <w:rPr>
                <w:sz w:val="20"/>
                <w:szCs w:val="20"/>
              </w:rPr>
            </w:pPr>
            <w:r>
              <w:rPr>
                <w:spacing w:val="5"/>
                <w:sz w:val="20"/>
                <w:szCs w:val="20"/>
              </w:rPr>
              <w:t>茵陈蒿</w:t>
            </w:r>
          </w:p>
        </w:tc>
        <w:tc>
          <w:tcPr>
            <w:tcW w:w="3998" w:type="dxa"/>
            <w:vAlign w:val="top"/>
          </w:tcPr>
          <w:p w14:paraId="3BACAC55">
            <w:pPr>
              <w:spacing w:before="24" w:line="277" w:lineRule="exact"/>
              <w:ind w:left="879"/>
              <w:rPr>
                <w:rFonts w:ascii="Times New Roman" w:hAnsi="Times New Roman" w:eastAsia="Times New Roman" w:cs="Times New Roman"/>
                <w:sz w:val="20"/>
                <w:szCs w:val="20"/>
              </w:rPr>
            </w:pPr>
            <w:r>
              <w:rPr>
                <w:rFonts w:ascii="Times New Roman" w:hAnsi="Times New Roman" w:eastAsia="Times New Roman" w:cs="Times New Roman"/>
                <w:i/>
                <w:iCs/>
                <w:spacing w:val="4"/>
                <w:position w:val="4"/>
                <w:sz w:val="20"/>
                <w:szCs w:val="20"/>
              </w:rPr>
              <w:t>ArtemisiacapillarisThunb.</w:t>
            </w:r>
          </w:p>
        </w:tc>
        <w:tc>
          <w:tcPr>
            <w:tcW w:w="2859" w:type="dxa"/>
            <w:vAlign w:val="top"/>
          </w:tcPr>
          <w:p w14:paraId="656C78C1">
            <w:pPr>
              <w:pStyle w:val="9"/>
              <w:spacing w:before="58" w:line="228" w:lineRule="auto"/>
              <w:ind w:left="496"/>
              <w:rPr>
                <w:sz w:val="20"/>
                <w:szCs w:val="20"/>
              </w:rPr>
            </w:pPr>
            <w:r>
              <w:rPr>
                <w:spacing w:val="8"/>
                <w:sz w:val="20"/>
                <w:szCs w:val="20"/>
              </w:rPr>
              <w:t>草原、林缘或疏林中</w:t>
            </w:r>
          </w:p>
        </w:tc>
        <w:tc>
          <w:tcPr>
            <w:tcW w:w="123" w:type="dxa"/>
            <w:tcBorders>
              <w:top w:val="nil"/>
              <w:bottom w:val="nil"/>
              <w:right w:val="single" w:color="000000" w:sz="6" w:space="0"/>
            </w:tcBorders>
            <w:vAlign w:val="top"/>
          </w:tcPr>
          <w:p w14:paraId="73F71E94">
            <w:pPr>
              <w:rPr>
                <w:rFonts w:ascii="Arial"/>
                <w:sz w:val="21"/>
              </w:rPr>
            </w:pPr>
          </w:p>
        </w:tc>
      </w:tr>
      <w:tr w14:paraId="5DFA71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751" w:type="dxa"/>
            <w:vMerge w:val="continue"/>
            <w:tcBorders>
              <w:top w:val="nil"/>
              <w:left w:val="single" w:color="000000" w:sz="6" w:space="0"/>
              <w:bottom w:val="nil"/>
            </w:tcBorders>
            <w:vAlign w:val="top"/>
          </w:tcPr>
          <w:p w14:paraId="20C6DF43">
            <w:pPr>
              <w:rPr>
                <w:rFonts w:ascii="Arial"/>
                <w:sz w:val="21"/>
              </w:rPr>
            </w:pPr>
          </w:p>
        </w:tc>
        <w:tc>
          <w:tcPr>
            <w:tcW w:w="113" w:type="dxa"/>
            <w:tcBorders>
              <w:top w:val="nil"/>
              <w:bottom w:val="nil"/>
            </w:tcBorders>
            <w:vAlign w:val="top"/>
          </w:tcPr>
          <w:p w14:paraId="634EB2CB">
            <w:pPr>
              <w:rPr>
                <w:rFonts w:ascii="Arial"/>
                <w:sz w:val="21"/>
              </w:rPr>
            </w:pPr>
          </w:p>
        </w:tc>
        <w:tc>
          <w:tcPr>
            <w:tcW w:w="240" w:type="dxa"/>
            <w:vAlign w:val="top"/>
          </w:tcPr>
          <w:p w14:paraId="50BA3806">
            <w:pPr>
              <w:spacing w:before="117" w:line="195" w:lineRule="auto"/>
              <w:ind w:left="31"/>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17</w:t>
            </w:r>
          </w:p>
        </w:tc>
        <w:tc>
          <w:tcPr>
            <w:tcW w:w="980" w:type="dxa"/>
            <w:vAlign w:val="top"/>
          </w:tcPr>
          <w:p w14:paraId="793D943B">
            <w:pPr>
              <w:pStyle w:val="9"/>
              <w:spacing w:before="60" w:line="228" w:lineRule="auto"/>
              <w:ind w:left="280"/>
              <w:rPr>
                <w:sz w:val="20"/>
                <w:szCs w:val="20"/>
              </w:rPr>
            </w:pPr>
            <w:r>
              <w:rPr>
                <w:spacing w:val="5"/>
                <w:sz w:val="20"/>
                <w:szCs w:val="20"/>
              </w:rPr>
              <w:t>黄蒿</w:t>
            </w:r>
          </w:p>
        </w:tc>
        <w:tc>
          <w:tcPr>
            <w:tcW w:w="3998" w:type="dxa"/>
            <w:vAlign w:val="top"/>
          </w:tcPr>
          <w:p w14:paraId="37DABE88">
            <w:pPr>
              <w:spacing w:before="26" w:line="277" w:lineRule="exact"/>
              <w:ind w:left="586"/>
              <w:rPr>
                <w:rFonts w:ascii="Times New Roman" w:hAnsi="Times New Roman" w:eastAsia="Times New Roman" w:cs="Times New Roman"/>
                <w:sz w:val="20"/>
                <w:szCs w:val="20"/>
              </w:rPr>
            </w:pPr>
            <w:r>
              <w:rPr>
                <w:rFonts w:ascii="Times New Roman" w:hAnsi="Times New Roman" w:eastAsia="Times New Roman" w:cs="Times New Roman"/>
                <w:i/>
                <w:iCs/>
                <w:spacing w:val="4"/>
                <w:position w:val="4"/>
                <w:sz w:val="20"/>
                <w:szCs w:val="20"/>
              </w:rPr>
              <w:t>Artemisiascoparia</w:t>
            </w:r>
            <w:r>
              <w:rPr>
                <w:rFonts w:ascii="Times New Roman" w:hAnsi="Times New Roman" w:eastAsia="Times New Roman" w:cs="Times New Roman"/>
                <w:i/>
                <w:iCs/>
                <w:spacing w:val="-24"/>
                <w:position w:val="4"/>
                <w:sz w:val="20"/>
                <w:szCs w:val="20"/>
              </w:rPr>
              <w:t xml:space="preserve"> </w:t>
            </w:r>
            <w:r>
              <w:rPr>
                <w:rFonts w:ascii="Times New Roman" w:hAnsi="Times New Roman" w:eastAsia="Times New Roman" w:cs="Times New Roman"/>
                <w:i/>
                <w:iCs/>
                <w:spacing w:val="4"/>
                <w:position w:val="4"/>
                <w:sz w:val="20"/>
                <w:szCs w:val="20"/>
              </w:rPr>
              <w:t>Waldst.</w:t>
            </w:r>
            <w:r>
              <w:rPr>
                <w:rFonts w:ascii="Times New Roman" w:hAnsi="Times New Roman" w:eastAsia="Times New Roman" w:cs="Times New Roman"/>
                <w:i/>
                <w:iCs/>
                <w:spacing w:val="3"/>
                <w:position w:val="4"/>
                <w:sz w:val="20"/>
                <w:szCs w:val="20"/>
              </w:rPr>
              <w:t xml:space="preserve"> EtKit.</w:t>
            </w:r>
          </w:p>
        </w:tc>
        <w:tc>
          <w:tcPr>
            <w:tcW w:w="2859" w:type="dxa"/>
            <w:vAlign w:val="top"/>
          </w:tcPr>
          <w:p w14:paraId="6EDCE7EF">
            <w:pPr>
              <w:pStyle w:val="9"/>
              <w:spacing w:before="60" w:line="228" w:lineRule="auto"/>
              <w:ind w:left="390"/>
              <w:rPr>
                <w:sz w:val="20"/>
                <w:szCs w:val="20"/>
              </w:rPr>
            </w:pPr>
            <w:r>
              <w:rPr>
                <w:spacing w:val="9"/>
                <w:sz w:val="20"/>
                <w:szCs w:val="20"/>
              </w:rPr>
              <w:t>平原、田间、路旁等地</w:t>
            </w:r>
          </w:p>
        </w:tc>
        <w:tc>
          <w:tcPr>
            <w:tcW w:w="123" w:type="dxa"/>
            <w:tcBorders>
              <w:top w:val="nil"/>
              <w:bottom w:val="nil"/>
              <w:right w:val="single" w:color="000000" w:sz="6" w:space="0"/>
            </w:tcBorders>
            <w:vAlign w:val="top"/>
          </w:tcPr>
          <w:p w14:paraId="031A69CA">
            <w:pPr>
              <w:rPr>
                <w:rFonts w:ascii="Arial"/>
                <w:sz w:val="21"/>
              </w:rPr>
            </w:pPr>
          </w:p>
        </w:tc>
      </w:tr>
      <w:tr w14:paraId="712251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51" w:type="dxa"/>
            <w:vMerge w:val="continue"/>
            <w:tcBorders>
              <w:top w:val="nil"/>
              <w:left w:val="single" w:color="000000" w:sz="6" w:space="0"/>
              <w:bottom w:val="nil"/>
            </w:tcBorders>
            <w:vAlign w:val="top"/>
          </w:tcPr>
          <w:p w14:paraId="62E57D29">
            <w:pPr>
              <w:rPr>
                <w:rFonts w:ascii="Arial"/>
                <w:sz w:val="21"/>
              </w:rPr>
            </w:pPr>
          </w:p>
        </w:tc>
        <w:tc>
          <w:tcPr>
            <w:tcW w:w="113" w:type="dxa"/>
            <w:tcBorders>
              <w:top w:val="nil"/>
              <w:bottom w:val="nil"/>
            </w:tcBorders>
            <w:vAlign w:val="top"/>
          </w:tcPr>
          <w:p w14:paraId="77951DD0">
            <w:pPr>
              <w:rPr>
                <w:rFonts w:ascii="Arial"/>
                <w:sz w:val="21"/>
              </w:rPr>
            </w:pPr>
          </w:p>
        </w:tc>
        <w:tc>
          <w:tcPr>
            <w:tcW w:w="8077" w:type="dxa"/>
            <w:gridSpan w:val="4"/>
            <w:vAlign w:val="top"/>
          </w:tcPr>
          <w:p w14:paraId="591FB858">
            <w:pPr>
              <w:pStyle w:val="9"/>
              <w:spacing w:before="61" w:line="227" w:lineRule="auto"/>
              <w:ind w:left="3027"/>
              <w:rPr>
                <w:rFonts w:ascii="Times New Roman" w:hAnsi="Times New Roman" w:eastAsia="Times New Roman" w:cs="Times New Roman"/>
                <w:sz w:val="20"/>
                <w:szCs w:val="20"/>
              </w:rPr>
            </w:pPr>
            <w:r>
              <w:rPr>
                <w:spacing w:val="13"/>
                <w:sz w:val="20"/>
                <w:szCs w:val="20"/>
              </w:rPr>
              <w:t>九、禾本科</w:t>
            </w:r>
            <w:r>
              <w:rPr>
                <w:spacing w:val="-33"/>
                <w:sz w:val="20"/>
                <w:szCs w:val="20"/>
              </w:rPr>
              <w:t xml:space="preserve"> </w:t>
            </w:r>
            <w:r>
              <w:rPr>
                <w:rFonts w:ascii="Times New Roman" w:hAnsi="Times New Roman" w:eastAsia="Times New Roman" w:cs="Times New Roman"/>
                <w:i/>
                <w:iCs/>
                <w:sz w:val="20"/>
                <w:szCs w:val="20"/>
              </w:rPr>
              <w:t>Gramineae</w:t>
            </w:r>
          </w:p>
        </w:tc>
        <w:tc>
          <w:tcPr>
            <w:tcW w:w="123" w:type="dxa"/>
            <w:tcBorders>
              <w:top w:val="nil"/>
              <w:bottom w:val="nil"/>
              <w:right w:val="single" w:color="000000" w:sz="6" w:space="0"/>
            </w:tcBorders>
            <w:vAlign w:val="top"/>
          </w:tcPr>
          <w:p w14:paraId="2634D2F7">
            <w:pPr>
              <w:rPr>
                <w:rFonts w:ascii="Arial"/>
                <w:sz w:val="21"/>
              </w:rPr>
            </w:pPr>
          </w:p>
        </w:tc>
      </w:tr>
      <w:tr w14:paraId="202F36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751" w:type="dxa"/>
            <w:vMerge w:val="continue"/>
            <w:tcBorders>
              <w:top w:val="nil"/>
              <w:left w:val="single" w:color="000000" w:sz="6" w:space="0"/>
              <w:bottom w:val="nil"/>
            </w:tcBorders>
            <w:vAlign w:val="top"/>
          </w:tcPr>
          <w:p w14:paraId="2948AE25">
            <w:pPr>
              <w:rPr>
                <w:rFonts w:ascii="Arial"/>
                <w:sz w:val="21"/>
              </w:rPr>
            </w:pPr>
          </w:p>
        </w:tc>
        <w:tc>
          <w:tcPr>
            <w:tcW w:w="113" w:type="dxa"/>
            <w:tcBorders>
              <w:top w:val="nil"/>
              <w:bottom w:val="nil"/>
            </w:tcBorders>
            <w:vAlign w:val="top"/>
          </w:tcPr>
          <w:p w14:paraId="069A991A">
            <w:pPr>
              <w:rPr>
                <w:rFonts w:ascii="Arial"/>
                <w:sz w:val="21"/>
              </w:rPr>
            </w:pPr>
          </w:p>
        </w:tc>
        <w:tc>
          <w:tcPr>
            <w:tcW w:w="240" w:type="dxa"/>
            <w:vAlign w:val="top"/>
          </w:tcPr>
          <w:p w14:paraId="6C5DB2F5">
            <w:pPr>
              <w:spacing w:before="118" w:line="195" w:lineRule="auto"/>
              <w:ind w:left="31"/>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18</w:t>
            </w:r>
          </w:p>
        </w:tc>
        <w:tc>
          <w:tcPr>
            <w:tcW w:w="980" w:type="dxa"/>
            <w:vAlign w:val="top"/>
          </w:tcPr>
          <w:p w14:paraId="68A65CCF">
            <w:pPr>
              <w:pStyle w:val="9"/>
              <w:spacing w:before="60" w:line="228" w:lineRule="auto"/>
              <w:ind w:left="288"/>
              <w:rPr>
                <w:sz w:val="20"/>
                <w:szCs w:val="20"/>
              </w:rPr>
            </w:pPr>
            <w:r>
              <w:rPr>
                <w:spacing w:val="1"/>
                <w:sz w:val="20"/>
                <w:szCs w:val="20"/>
              </w:rPr>
              <w:t>羊茅</w:t>
            </w:r>
          </w:p>
        </w:tc>
        <w:tc>
          <w:tcPr>
            <w:tcW w:w="3998" w:type="dxa"/>
            <w:vAlign w:val="top"/>
          </w:tcPr>
          <w:p w14:paraId="33C898C9">
            <w:pPr>
              <w:spacing w:before="99" w:line="192" w:lineRule="auto"/>
              <w:ind w:left="1287"/>
              <w:rPr>
                <w:rFonts w:ascii="Times New Roman" w:hAnsi="Times New Roman" w:eastAsia="Times New Roman" w:cs="Times New Roman"/>
                <w:sz w:val="20"/>
                <w:szCs w:val="20"/>
              </w:rPr>
            </w:pPr>
            <w:r>
              <w:rPr>
                <w:rFonts w:ascii="Times New Roman" w:hAnsi="Times New Roman" w:eastAsia="Times New Roman" w:cs="Times New Roman"/>
                <w:i/>
                <w:iCs/>
                <w:spacing w:val="4"/>
                <w:sz w:val="20"/>
                <w:szCs w:val="20"/>
              </w:rPr>
              <w:t>Festuca ovina L.</w:t>
            </w:r>
          </w:p>
        </w:tc>
        <w:tc>
          <w:tcPr>
            <w:tcW w:w="2859" w:type="dxa"/>
            <w:vAlign w:val="top"/>
          </w:tcPr>
          <w:p w14:paraId="18759CD9">
            <w:pPr>
              <w:pStyle w:val="9"/>
              <w:spacing w:before="60" w:line="228" w:lineRule="auto"/>
              <w:ind w:left="496"/>
              <w:rPr>
                <w:sz w:val="20"/>
                <w:szCs w:val="20"/>
              </w:rPr>
            </w:pPr>
            <w:r>
              <w:rPr>
                <w:spacing w:val="8"/>
                <w:sz w:val="20"/>
                <w:szCs w:val="20"/>
              </w:rPr>
              <w:t>草地、伴生灌木林地</w:t>
            </w:r>
          </w:p>
        </w:tc>
        <w:tc>
          <w:tcPr>
            <w:tcW w:w="123" w:type="dxa"/>
            <w:tcBorders>
              <w:top w:val="nil"/>
              <w:bottom w:val="nil"/>
              <w:right w:val="single" w:color="000000" w:sz="6" w:space="0"/>
            </w:tcBorders>
            <w:vAlign w:val="top"/>
          </w:tcPr>
          <w:p w14:paraId="638EDE0C">
            <w:pPr>
              <w:rPr>
                <w:rFonts w:ascii="Arial"/>
                <w:sz w:val="21"/>
              </w:rPr>
            </w:pPr>
          </w:p>
        </w:tc>
      </w:tr>
      <w:tr w14:paraId="1E793D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51" w:type="dxa"/>
            <w:vMerge w:val="continue"/>
            <w:tcBorders>
              <w:top w:val="nil"/>
              <w:left w:val="single" w:color="000000" w:sz="6" w:space="0"/>
              <w:bottom w:val="nil"/>
            </w:tcBorders>
            <w:vAlign w:val="top"/>
          </w:tcPr>
          <w:p w14:paraId="49C43754">
            <w:pPr>
              <w:rPr>
                <w:rFonts w:ascii="Arial"/>
                <w:sz w:val="21"/>
              </w:rPr>
            </w:pPr>
          </w:p>
        </w:tc>
        <w:tc>
          <w:tcPr>
            <w:tcW w:w="113" w:type="dxa"/>
            <w:tcBorders>
              <w:top w:val="nil"/>
              <w:bottom w:val="nil"/>
            </w:tcBorders>
            <w:vAlign w:val="top"/>
          </w:tcPr>
          <w:p w14:paraId="7673C147">
            <w:pPr>
              <w:rPr>
                <w:rFonts w:ascii="Arial"/>
                <w:sz w:val="21"/>
              </w:rPr>
            </w:pPr>
          </w:p>
        </w:tc>
        <w:tc>
          <w:tcPr>
            <w:tcW w:w="240" w:type="dxa"/>
            <w:vAlign w:val="top"/>
          </w:tcPr>
          <w:p w14:paraId="438F2E52">
            <w:pPr>
              <w:spacing w:before="117" w:line="195" w:lineRule="auto"/>
              <w:ind w:left="31"/>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19</w:t>
            </w:r>
          </w:p>
        </w:tc>
        <w:tc>
          <w:tcPr>
            <w:tcW w:w="980" w:type="dxa"/>
            <w:vAlign w:val="top"/>
          </w:tcPr>
          <w:p w14:paraId="2244F45A">
            <w:pPr>
              <w:pStyle w:val="9"/>
              <w:spacing w:before="62" w:line="226" w:lineRule="auto"/>
              <w:ind w:left="71"/>
              <w:rPr>
                <w:sz w:val="20"/>
                <w:szCs w:val="20"/>
              </w:rPr>
            </w:pPr>
            <w:r>
              <w:rPr>
                <w:spacing w:val="7"/>
                <w:sz w:val="20"/>
                <w:szCs w:val="20"/>
              </w:rPr>
              <w:t>本氏针茅</w:t>
            </w:r>
          </w:p>
        </w:tc>
        <w:tc>
          <w:tcPr>
            <w:tcW w:w="3998" w:type="dxa"/>
            <w:vAlign w:val="top"/>
          </w:tcPr>
          <w:p w14:paraId="796B08EB">
            <w:pPr>
              <w:spacing w:before="27" w:line="278" w:lineRule="exact"/>
              <w:ind w:left="1188"/>
              <w:rPr>
                <w:rFonts w:ascii="Times New Roman" w:hAnsi="Times New Roman" w:eastAsia="Times New Roman" w:cs="Times New Roman"/>
                <w:sz w:val="20"/>
                <w:szCs w:val="20"/>
              </w:rPr>
            </w:pPr>
            <w:r>
              <w:rPr>
                <w:rFonts w:ascii="Times New Roman" w:hAnsi="Times New Roman" w:eastAsia="Times New Roman" w:cs="Times New Roman"/>
                <w:i/>
                <w:iCs/>
                <w:spacing w:val="3"/>
                <w:position w:val="4"/>
                <w:sz w:val="20"/>
                <w:szCs w:val="20"/>
              </w:rPr>
              <w:t>StipacapillataLinn.</w:t>
            </w:r>
          </w:p>
        </w:tc>
        <w:tc>
          <w:tcPr>
            <w:tcW w:w="2859" w:type="dxa"/>
            <w:vAlign w:val="top"/>
          </w:tcPr>
          <w:p w14:paraId="3D7051C3">
            <w:pPr>
              <w:pStyle w:val="9"/>
              <w:spacing w:before="62" w:line="226" w:lineRule="auto"/>
              <w:ind w:left="496"/>
              <w:rPr>
                <w:sz w:val="20"/>
                <w:szCs w:val="20"/>
              </w:rPr>
            </w:pPr>
            <w:r>
              <w:rPr>
                <w:spacing w:val="8"/>
                <w:sz w:val="20"/>
                <w:szCs w:val="20"/>
              </w:rPr>
              <w:t>草地、伴生灌木林地</w:t>
            </w:r>
          </w:p>
        </w:tc>
        <w:tc>
          <w:tcPr>
            <w:tcW w:w="123" w:type="dxa"/>
            <w:tcBorders>
              <w:top w:val="nil"/>
              <w:bottom w:val="nil"/>
              <w:right w:val="single" w:color="000000" w:sz="6" w:space="0"/>
            </w:tcBorders>
            <w:vAlign w:val="top"/>
          </w:tcPr>
          <w:p w14:paraId="00BF9BDF">
            <w:pPr>
              <w:rPr>
                <w:rFonts w:ascii="Arial"/>
                <w:sz w:val="21"/>
              </w:rPr>
            </w:pPr>
          </w:p>
        </w:tc>
      </w:tr>
      <w:tr w14:paraId="319246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751" w:type="dxa"/>
            <w:vMerge w:val="continue"/>
            <w:tcBorders>
              <w:top w:val="nil"/>
              <w:left w:val="single" w:color="000000" w:sz="6" w:space="0"/>
              <w:bottom w:val="nil"/>
            </w:tcBorders>
            <w:vAlign w:val="top"/>
          </w:tcPr>
          <w:p w14:paraId="355A9B24">
            <w:pPr>
              <w:rPr>
                <w:rFonts w:ascii="Arial"/>
                <w:sz w:val="21"/>
              </w:rPr>
            </w:pPr>
          </w:p>
        </w:tc>
        <w:tc>
          <w:tcPr>
            <w:tcW w:w="113" w:type="dxa"/>
            <w:tcBorders>
              <w:top w:val="nil"/>
              <w:bottom w:val="nil"/>
            </w:tcBorders>
            <w:vAlign w:val="top"/>
          </w:tcPr>
          <w:p w14:paraId="4EE736D5">
            <w:pPr>
              <w:rPr>
                <w:rFonts w:ascii="Arial"/>
                <w:sz w:val="21"/>
              </w:rPr>
            </w:pPr>
          </w:p>
        </w:tc>
        <w:tc>
          <w:tcPr>
            <w:tcW w:w="240" w:type="dxa"/>
            <w:vAlign w:val="top"/>
          </w:tcPr>
          <w:p w14:paraId="09D9C924">
            <w:pPr>
              <w:spacing w:before="229" w:line="195" w:lineRule="auto"/>
              <w:ind w:left="1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20</w:t>
            </w:r>
          </w:p>
        </w:tc>
        <w:tc>
          <w:tcPr>
            <w:tcW w:w="980" w:type="dxa"/>
            <w:vAlign w:val="top"/>
          </w:tcPr>
          <w:p w14:paraId="00185EA2">
            <w:pPr>
              <w:pStyle w:val="9"/>
              <w:spacing w:before="57" w:line="236" w:lineRule="auto"/>
              <w:ind w:left="383" w:right="75" w:hanging="299"/>
              <w:rPr>
                <w:sz w:val="20"/>
                <w:szCs w:val="20"/>
              </w:rPr>
            </w:pPr>
            <w:r>
              <w:rPr>
                <w:spacing w:val="3"/>
                <w:sz w:val="20"/>
                <w:szCs w:val="20"/>
              </w:rPr>
              <w:t>贝加尔针</w:t>
            </w:r>
            <w:r>
              <w:rPr>
                <w:sz w:val="20"/>
                <w:szCs w:val="20"/>
              </w:rPr>
              <w:t>茅</w:t>
            </w:r>
          </w:p>
        </w:tc>
        <w:tc>
          <w:tcPr>
            <w:tcW w:w="3998" w:type="dxa"/>
            <w:vAlign w:val="top"/>
          </w:tcPr>
          <w:p w14:paraId="2F9F9D3A">
            <w:pPr>
              <w:spacing w:before="159" w:line="278" w:lineRule="exact"/>
              <w:ind w:left="953"/>
              <w:rPr>
                <w:rFonts w:ascii="Times New Roman" w:hAnsi="Times New Roman" w:eastAsia="Times New Roman" w:cs="Times New Roman"/>
                <w:sz w:val="20"/>
                <w:szCs w:val="20"/>
              </w:rPr>
            </w:pPr>
            <w:r>
              <w:rPr>
                <w:rFonts w:ascii="Times New Roman" w:hAnsi="Times New Roman" w:eastAsia="Times New Roman" w:cs="Times New Roman"/>
                <w:i/>
                <w:iCs/>
                <w:spacing w:val="4"/>
                <w:position w:val="4"/>
                <w:sz w:val="20"/>
                <w:szCs w:val="20"/>
              </w:rPr>
              <w:t>Stipa baicalensis Roshev</w:t>
            </w:r>
          </w:p>
        </w:tc>
        <w:tc>
          <w:tcPr>
            <w:tcW w:w="2859" w:type="dxa"/>
            <w:vAlign w:val="top"/>
          </w:tcPr>
          <w:p w14:paraId="1C726688">
            <w:pPr>
              <w:pStyle w:val="9"/>
              <w:spacing w:before="190" w:line="228" w:lineRule="auto"/>
              <w:ind w:left="496"/>
              <w:rPr>
                <w:sz w:val="20"/>
                <w:szCs w:val="20"/>
              </w:rPr>
            </w:pPr>
            <w:r>
              <w:rPr>
                <w:spacing w:val="8"/>
                <w:sz w:val="20"/>
                <w:szCs w:val="20"/>
              </w:rPr>
              <w:t>草地、伴生灌木林地</w:t>
            </w:r>
          </w:p>
        </w:tc>
        <w:tc>
          <w:tcPr>
            <w:tcW w:w="123" w:type="dxa"/>
            <w:tcBorders>
              <w:top w:val="nil"/>
              <w:bottom w:val="nil"/>
              <w:right w:val="single" w:color="000000" w:sz="6" w:space="0"/>
            </w:tcBorders>
            <w:vAlign w:val="top"/>
          </w:tcPr>
          <w:p w14:paraId="2BBCC954">
            <w:pPr>
              <w:rPr>
                <w:rFonts w:ascii="Arial"/>
                <w:sz w:val="21"/>
              </w:rPr>
            </w:pPr>
          </w:p>
        </w:tc>
      </w:tr>
      <w:tr w14:paraId="191AAA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51" w:type="dxa"/>
            <w:vMerge w:val="continue"/>
            <w:tcBorders>
              <w:top w:val="nil"/>
              <w:left w:val="single" w:color="000000" w:sz="6" w:space="0"/>
              <w:bottom w:val="nil"/>
            </w:tcBorders>
            <w:vAlign w:val="top"/>
          </w:tcPr>
          <w:p w14:paraId="27B00C77">
            <w:pPr>
              <w:rPr>
                <w:rFonts w:ascii="Arial"/>
                <w:sz w:val="21"/>
              </w:rPr>
            </w:pPr>
          </w:p>
        </w:tc>
        <w:tc>
          <w:tcPr>
            <w:tcW w:w="113" w:type="dxa"/>
            <w:tcBorders>
              <w:top w:val="nil"/>
              <w:bottom w:val="nil"/>
            </w:tcBorders>
            <w:vAlign w:val="top"/>
          </w:tcPr>
          <w:p w14:paraId="54D329F4">
            <w:pPr>
              <w:rPr>
                <w:rFonts w:ascii="Arial"/>
                <w:sz w:val="21"/>
              </w:rPr>
            </w:pPr>
          </w:p>
        </w:tc>
        <w:tc>
          <w:tcPr>
            <w:tcW w:w="240" w:type="dxa"/>
            <w:vAlign w:val="top"/>
          </w:tcPr>
          <w:p w14:paraId="46F53A5D">
            <w:pPr>
              <w:spacing w:before="118" w:line="195" w:lineRule="auto"/>
              <w:ind w:left="1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21</w:t>
            </w:r>
          </w:p>
        </w:tc>
        <w:tc>
          <w:tcPr>
            <w:tcW w:w="980" w:type="dxa"/>
            <w:vAlign w:val="top"/>
          </w:tcPr>
          <w:p w14:paraId="255C380C">
            <w:pPr>
              <w:pStyle w:val="9"/>
              <w:spacing w:before="63" w:line="225" w:lineRule="auto"/>
              <w:ind w:left="178"/>
              <w:rPr>
                <w:sz w:val="20"/>
                <w:szCs w:val="20"/>
              </w:rPr>
            </w:pPr>
            <w:r>
              <w:rPr>
                <w:spacing w:val="6"/>
                <w:sz w:val="20"/>
                <w:szCs w:val="20"/>
              </w:rPr>
              <w:t>大针茅</w:t>
            </w:r>
          </w:p>
        </w:tc>
        <w:tc>
          <w:tcPr>
            <w:tcW w:w="3998" w:type="dxa"/>
            <w:vAlign w:val="top"/>
          </w:tcPr>
          <w:p w14:paraId="511C27DB">
            <w:pPr>
              <w:spacing w:before="28" w:line="278" w:lineRule="exact"/>
              <w:ind w:left="974"/>
              <w:rPr>
                <w:rFonts w:ascii="Times New Roman" w:hAnsi="Times New Roman" w:eastAsia="Times New Roman" w:cs="Times New Roman"/>
                <w:sz w:val="20"/>
                <w:szCs w:val="20"/>
              </w:rPr>
            </w:pPr>
            <w:r>
              <w:rPr>
                <w:rFonts w:ascii="Times New Roman" w:hAnsi="Times New Roman" w:eastAsia="Times New Roman" w:cs="Times New Roman"/>
                <w:i/>
                <w:iCs/>
                <w:position w:val="4"/>
                <w:sz w:val="20"/>
                <w:szCs w:val="20"/>
              </w:rPr>
              <w:t>Stipagrandis</w:t>
            </w:r>
            <w:r>
              <w:rPr>
                <w:rFonts w:ascii="Times New Roman" w:hAnsi="Times New Roman" w:eastAsia="Times New Roman" w:cs="Times New Roman"/>
                <w:i/>
                <w:iCs/>
                <w:spacing w:val="18"/>
                <w:position w:val="4"/>
                <w:sz w:val="20"/>
                <w:szCs w:val="20"/>
              </w:rPr>
              <w:t xml:space="preserve"> </w:t>
            </w:r>
            <w:r>
              <w:rPr>
                <w:rFonts w:ascii="Times New Roman" w:hAnsi="Times New Roman" w:eastAsia="Times New Roman" w:cs="Times New Roman"/>
                <w:i/>
                <w:iCs/>
                <w:position w:val="4"/>
                <w:sz w:val="20"/>
                <w:szCs w:val="20"/>
              </w:rPr>
              <w:t>P</w:t>
            </w:r>
            <w:r>
              <w:rPr>
                <w:rFonts w:ascii="Times New Roman" w:hAnsi="Times New Roman" w:eastAsia="Times New Roman" w:cs="Times New Roman"/>
                <w:i/>
                <w:iCs/>
                <w:spacing w:val="18"/>
                <w:position w:val="4"/>
                <w:sz w:val="20"/>
                <w:szCs w:val="20"/>
              </w:rPr>
              <w:t>.A.</w:t>
            </w:r>
            <w:r>
              <w:rPr>
                <w:rFonts w:ascii="Times New Roman" w:hAnsi="Times New Roman" w:eastAsia="Times New Roman" w:cs="Times New Roman"/>
                <w:i/>
                <w:iCs/>
                <w:position w:val="4"/>
                <w:sz w:val="20"/>
                <w:szCs w:val="20"/>
              </w:rPr>
              <w:t>Smirn</w:t>
            </w:r>
            <w:r>
              <w:rPr>
                <w:rFonts w:ascii="Times New Roman" w:hAnsi="Times New Roman" w:eastAsia="Times New Roman" w:cs="Times New Roman"/>
                <w:i/>
                <w:iCs/>
                <w:spacing w:val="18"/>
                <w:position w:val="4"/>
                <w:sz w:val="20"/>
                <w:szCs w:val="20"/>
              </w:rPr>
              <w:t>.</w:t>
            </w:r>
          </w:p>
        </w:tc>
        <w:tc>
          <w:tcPr>
            <w:tcW w:w="2859" w:type="dxa"/>
            <w:vAlign w:val="top"/>
          </w:tcPr>
          <w:p w14:paraId="641265B9">
            <w:pPr>
              <w:pStyle w:val="9"/>
              <w:spacing w:before="63" w:line="225" w:lineRule="auto"/>
              <w:ind w:left="496"/>
              <w:rPr>
                <w:sz w:val="20"/>
                <w:szCs w:val="20"/>
              </w:rPr>
            </w:pPr>
            <w:r>
              <w:rPr>
                <w:spacing w:val="8"/>
                <w:sz w:val="20"/>
                <w:szCs w:val="20"/>
              </w:rPr>
              <w:t>草地、伴生灌木林地</w:t>
            </w:r>
          </w:p>
        </w:tc>
        <w:tc>
          <w:tcPr>
            <w:tcW w:w="123" w:type="dxa"/>
            <w:tcBorders>
              <w:top w:val="nil"/>
              <w:bottom w:val="nil"/>
              <w:right w:val="single" w:color="000000" w:sz="6" w:space="0"/>
            </w:tcBorders>
            <w:vAlign w:val="top"/>
          </w:tcPr>
          <w:p w14:paraId="36546101">
            <w:pPr>
              <w:rPr>
                <w:rFonts w:ascii="Arial"/>
                <w:sz w:val="21"/>
              </w:rPr>
            </w:pPr>
          </w:p>
        </w:tc>
      </w:tr>
      <w:tr w14:paraId="3FA760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751" w:type="dxa"/>
            <w:vMerge w:val="continue"/>
            <w:tcBorders>
              <w:top w:val="nil"/>
              <w:left w:val="single" w:color="000000" w:sz="6" w:space="0"/>
              <w:bottom w:val="nil"/>
            </w:tcBorders>
            <w:vAlign w:val="top"/>
          </w:tcPr>
          <w:p w14:paraId="1ACDFA65">
            <w:pPr>
              <w:rPr>
                <w:rFonts w:ascii="Arial"/>
                <w:sz w:val="21"/>
              </w:rPr>
            </w:pPr>
          </w:p>
        </w:tc>
        <w:tc>
          <w:tcPr>
            <w:tcW w:w="113" w:type="dxa"/>
            <w:tcBorders>
              <w:top w:val="nil"/>
              <w:bottom w:val="nil"/>
            </w:tcBorders>
            <w:vAlign w:val="top"/>
          </w:tcPr>
          <w:p w14:paraId="76395CAE">
            <w:pPr>
              <w:rPr>
                <w:rFonts w:ascii="Arial"/>
                <w:sz w:val="21"/>
              </w:rPr>
            </w:pPr>
          </w:p>
        </w:tc>
        <w:tc>
          <w:tcPr>
            <w:tcW w:w="240" w:type="dxa"/>
            <w:vAlign w:val="top"/>
          </w:tcPr>
          <w:p w14:paraId="1AB4833E">
            <w:pPr>
              <w:spacing w:before="120" w:line="195" w:lineRule="auto"/>
              <w:ind w:left="1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w:t>
            </w:r>
          </w:p>
        </w:tc>
        <w:tc>
          <w:tcPr>
            <w:tcW w:w="980" w:type="dxa"/>
            <w:vAlign w:val="top"/>
          </w:tcPr>
          <w:p w14:paraId="5F29D006">
            <w:pPr>
              <w:pStyle w:val="9"/>
              <w:spacing w:before="63" w:line="226" w:lineRule="auto"/>
              <w:ind w:left="75"/>
              <w:rPr>
                <w:sz w:val="20"/>
                <w:szCs w:val="20"/>
              </w:rPr>
            </w:pPr>
            <w:r>
              <w:rPr>
                <w:spacing w:val="6"/>
                <w:sz w:val="20"/>
                <w:szCs w:val="20"/>
              </w:rPr>
              <w:t>克氏针茅</w:t>
            </w:r>
          </w:p>
        </w:tc>
        <w:tc>
          <w:tcPr>
            <w:tcW w:w="3998" w:type="dxa"/>
            <w:vAlign w:val="top"/>
          </w:tcPr>
          <w:p w14:paraId="501F460A">
            <w:pPr>
              <w:spacing w:before="28" w:line="278" w:lineRule="exact"/>
              <w:ind w:left="1183"/>
              <w:rPr>
                <w:rFonts w:ascii="Times New Roman" w:hAnsi="Times New Roman" w:eastAsia="Times New Roman" w:cs="Times New Roman"/>
                <w:sz w:val="20"/>
                <w:szCs w:val="20"/>
              </w:rPr>
            </w:pPr>
            <w:r>
              <w:rPr>
                <w:rFonts w:ascii="Times New Roman" w:hAnsi="Times New Roman" w:eastAsia="Times New Roman" w:cs="Times New Roman"/>
                <w:i/>
                <w:iCs/>
                <w:spacing w:val="4"/>
                <w:position w:val="4"/>
                <w:sz w:val="20"/>
                <w:szCs w:val="20"/>
              </w:rPr>
              <w:t>KrylovNeedlegrass</w:t>
            </w:r>
          </w:p>
        </w:tc>
        <w:tc>
          <w:tcPr>
            <w:tcW w:w="2859" w:type="dxa"/>
            <w:vAlign w:val="top"/>
          </w:tcPr>
          <w:p w14:paraId="69006FDD">
            <w:pPr>
              <w:pStyle w:val="9"/>
              <w:spacing w:before="63" w:line="226" w:lineRule="auto"/>
              <w:ind w:left="496"/>
              <w:rPr>
                <w:sz w:val="20"/>
                <w:szCs w:val="20"/>
              </w:rPr>
            </w:pPr>
            <w:r>
              <w:rPr>
                <w:spacing w:val="8"/>
                <w:sz w:val="20"/>
                <w:szCs w:val="20"/>
              </w:rPr>
              <w:t>草地、伴生灌木林地</w:t>
            </w:r>
          </w:p>
        </w:tc>
        <w:tc>
          <w:tcPr>
            <w:tcW w:w="123" w:type="dxa"/>
            <w:tcBorders>
              <w:top w:val="nil"/>
              <w:bottom w:val="nil"/>
              <w:right w:val="single" w:color="000000" w:sz="6" w:space="0"/>
            </w:tcBorders>
            <w:vAlign w:val="top"/>
          </w:tcPr>
          <w:p w14:paraId="0072CEFE">
            <w:pPr>
              <w:rPr>
                <w:rFonts w:ascii="Arial"/>
                <w:sz w:val="21"/>
              </w:rPr>
            </w:pPr>
          </w:p>
        </w:tc>
      </w:tr>
      <w:tr w14:paraId="11D466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51" w:type="dxa"/>
            <w:vMerge w:val="continue"/>
            <w:tcBorders>
              <w:top w:val="nil"/>
              <w:left w:val="single" w:color="000000" w:sz="6" w:space="0"/>
              <w:bottom w:val="nil"/>
            </w:tcBorders>
            <w:vAlign w:val="top"/>
          </w:tcPr>
          <w:p w14:paraId="5627861A">
            <w:pPr>
              <w:rPr>
                <w:rFonts w:ascii="Arial"/>
                <w:sz w:val="21"/>
              </w:rPr>
            </w:pPr>
          </w:p>
        </w:tc>
        <w:tc>
          <w:tcPr>
            <w:tcW w:w="113" w:type="dxa"/>
            <w:tcBorders>
              <w:top w:val="nil"/>
              <w:bottom w:val="nil"/>
            </w:tcBorders>
            <w:vAlign w:val="top"/>
          </w:tcPr>
          <w:p w14:paraId="78CDB9A3">
            <w:pPr>
              <w:rPr>
                <w:rFonts w:ascii="Arial"/>
                <w:sz w:val="21"/>
              </w:rPr>
            </w:pPr>
          </w:p>
        </w:tc>
        <w:tc>
          <w:tcPr>
            <w:tcW w:w="240" w:type="dxa"/>
            <w:vAlign w:val="top"/>
          </w:tcPr>
          <w:p w14:paraId="66913B1D">
            <w:pPr>
              <w:spacing w:before="122" w:line="193" w:lineRule="auto"/>
              <w:ind w:left="1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23</w:t>
            </w:r>
          </w:p>
        </w:tc>
        <w:tc>
          <w:tcPr>
            <w:tcW w:w="980" w:type="dxa"/>
            <w:vAlign w:val="top"/>
          </w:tcPr>
          <w:p w14:paraId="32453FD6">
            <w:pPr>
              <w:pStyle w:val="9"/>
              <w:spacing w:before="64" w:line="224" w:lineRule="auto"/>
              <w:ind w:left="288"/>
              <w:rPr>
                <w:sz w:val="20"/>
                <w:szCs w:val="20"/>
              </w:rPr>
            </w:pPr>
            <w:r>
              <w:rPr>
                <w:spacing w:val="1"/>
                <w:sz w:val="20"/>
                <w:szCs w:val="20"/>
              </w:rPr>
              <w:t>羊草</w:t>
            </w:r>
          </w:p>
        </w:tc>
        <w:tc>
          <w:tcPr>
            <w:tcW w:w="3998" w:type="dxa"/>
            <w:vAlign w:val="top"/>
          </w:tcPr>
          <w:p w14:paraId="3FDF4E94">
            <w:pPr>
              <w:spacing w:before="29" w:line="278" w:lineRule="exact"/>
              <w:ind w:left="941"/>
              <w:rPr>
                <w:rFonts w:ascii="Times New Roman" w:hAnsi="Times New Roman" w:eastAsia="Times New Roman" w:cs="Times New Roman"/>
                <w:sz w:val="20"/>
                <w:szCs w:val="20"/>
              </w:rPr>
            </w:pPr>
            <w:r>
              <w:rPr>
                <w:rFonts w:ascii="Times New Roman" w:hAnsi="Times New Roman" w:eastAsia="Times New Roman" w:cs="Times New Roman"/>
                <w:i/>
                <w:iCs/>
                <w:spacing w:val="5"/>
                <w:position w:val="4"/>
                <w:sz w:val="20"/>
                <w:szCs w:val="20"/>
              </w:rPr>
              <w:t>Aneurolepidiumchine</w:t>
            </w:r>
            <w:r>
              <w:rPr>
                <w:rFonts w:ascii="Times New Roman" w:hAnsi="Times New Roman" w:eastAsia="Times New Roman" w:cs="Times New Roman"/>
                <w:i/>
                <w:iCs/>
                <w:spacing w:val="4"/>
                <w:position w:val="4"/>
                <w:sz w:val="20"/>
                <w:szCs w:val="20"/>
              </w:rPr>
              <w:t>nse</w:t>
            </w:r>
          </w:p>
        </w:tc>
        <w:tc>
          <w:tcPr>
            <w:tcW w:w="2859" w:type="dxa"/>
            <w:vAlign w:val="top"/>
          </w:tcPr>
          <w:p w14:paraId="490D0687">
            <w:pPr>
              <w:pStyle w:val="9"/>
              <w:spacing w:before="64" w:line="224" w:lineRule="auto"/>
              <w:ind w:left="496"/>
              <w:rPr>
                <w:sz w:val="20"/>
                <w:szCs w:val="20"/>
              </w:rPr>
            </w:pPr>
            <w:r>
              <w:rPr>
                <w:spacing w:val="8"/>
                <w:sz w:val="20"/>
                <w:szCs w:val="20"/>
              </w:rPr>
              <w:t>草地、伴生灌木林地</w:t>
            </w:r>
          </w:p>
        </w:tc>
        <w:tc>
          <w:tcPr>
            <w:tcW w:w="123" w:type="dxa"/>
            <w:tcBorders>
              <w:top w:val="nil"/>
              <w:bottom w:val="nil"/>
              <w:right w:val="single" w:color="000000" w:sz="6" w:space="0"/>
            </w:tcBorders>
            <w:vAlign w:val="top"/>
          </w:tcPr>
          <w:p w14:paraId="47DC2F91">
            <w:pPr>
              <w:rPr>
                <w:rFonts w:ascii="Arial"/>
                <w:sz w:val="21"/>
              </w:rPr>
            </w:pPr>
          </w:p>
        </w:tc>
      </w:tr>
      <w:tr w14:paraId="7FCAF7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751" w:type="dxa"/>
            <w:vMerge w:val="continue"/>
            <w:tcBorders>
              <w:top w:val="nil"/>
              <w:left w:val="single" w:color="000000" w:sz="6" w:space="0"/>
              <w:bottom w:val="nil"/>
            </w:tcBorders>
            <w:vAlign w:val="top"/>
          </w:tcPr>
          <w:p w14:paraId="2BEB75A4">
            <w:pPr>
              <w:rPr>
                <w:rFonts w:ascii="Arial"/>
                <w:sz w:val="21"/>
              </w:rPr>
            </w:pPr>
          </w:p>
        </w:tc>
        <w:tc>
          <w:tcPr>
            <w:tcW w:w="113" w:type="dxa"/>
            <w:tcBorders>
              <w:top w:val="nil"/>
              <w:bottom w:val="nil"/>
            </w:tcBorders>
            <w:vAlign w:val="top"/>
          </w:tcPr>
          <w:p w14:paraId="0DB27E5C">
            <w:pPr>
              <w:rPr>
                <w:rFonts w:ascii="Arial"/>
                <w:sz w:val="21"/>
              </w:rPr>
            </w:pPr>
          </w:p>
        </w:tc>
        <w:tc>
          <w:tcPr>
            <w:tcW w:w="240" w:type="dxa"/>
            <w:vAlign w:val="top"/>
          </w:tcPr>
          <w:p w14:paraId="468006D0">
            <w:pPr>
              <w:spacing w:before="200" w:line="195" w:lineRule="auto"/>
              <w:ind w:left="1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24</w:t>
            </w:r>
          </w:p>
        </w:tc>
        <w:tc>
          <w:tcPr>
            <w:tcW w:w="980" w:type="dxa"/>
            <w:vAlign w:val="top"/>
          </w:tcPr>
          <w:p w14:paraId="7547A366">
            <w:pPr>
              <w:pStyle w:val="9"/>
              <w:spacing w:before="163" w:line="228" w:lineRule="auto"/>
              <w:ind w:left="281"/>
              <w:rPr>
                <w:sz w:val="20"/>
                <w:szCs w:val="20"/>
              </w:rPr>
            </w:pPr>
            <w:r>
              <w:rPr>
                <w:spacing w:val="4"/>
                <w:sz w:val="20"/>
                <w:szCs w:val="20"/>
              </w:rPr>
              <w:t>冰草</w:t>
            </w:r>
          </w:p>
        </w:tc>
        <w:tc>
          <w:tcPr>
            <w:tcW w:w="3998" w:type="dxa"/>
            <w:vAlign w:val="top"/>
          </w:tcPr>
          <w:p w14:paraId="366089B6">
            <w:pPr>
              <w:spacing w:before="9" w:line="259" w:lineRule="exact"/>
              <w:ind w:left="576"/>
              <w:rPr>
                <w:rFonts w:ascii="Times New Roman" w:hAnsi="Times New Roman" w:eastAsia="Times New Roman" w:cs="Times New Roman"/>
                <w:sz w:val="20"/>
                <w:szCs w:val="20"/>
              </w:rPr>
            </w:pPr>
            <w:r>
              <w:rPr>
                <w:rFonts w:ascii="Times New Roman" w:hAnsi="Times New Roman" w:eastAsia="Times New Roman" w:cs="Times New Roman"/>
                <w:i/>
                <w:iCs/>
                <w:position w:val="3"/>
                <w:sz w:val="20"/>
                <w:szCs w:val="20"/>
              </w:rPr>
              <w:t>Agropyron</w:t>
            </w:r>
            <w:r>
              <w:rPr>
                <w:rFonts w:ascii="Times New Roman" w:hAnsi="Times New Roman" w:eastAsia="Times New Roman" w:cs="Times New Roman"/>
                <w:i/>
                <w:iCs/>
                <w:spacing w:val="17"/>
                <w:position w:val="3"/>
                <w:sz w:val="20"/>
                <w:szCs w:val="20"/>
              </w:rPr>
              <w:t xml:space="preserve"> </w:t>
            </w:r>
            <w:r>
              <w:rPr>
                <w:rFonts w:ascii="Times New Roman" w:hAnsi="Times New Roman" w:eastAsia="Times New Roman" w:cs="Times New Roman"/>
                <w:i/>
                <w:iCs/>
                <w:position w:val="3"/>
                <w:sz w:val="20"/>
                <w:szCs w:val="20"/>
              </w:rPr>
              <w:t>cristatum</w:t>
            </w:r>
            <w:r>
              <w:rPr>
                <w:rFonts w:ascii="Times New Roman" w:hAnsi="Times New Roman" w:eastAsia="Times New Roman" w:cs="Times New Roman"/>
                <w:i/>
                <w:iCs/>
                <w:spacing w:val="23"/>
                <w:w w:val="101"/>
                <w:position w:val="3"/>
                <w:sz w:val="20"/>
                <w:szCs w:val="20"/>
              </w:rPr>
              <w:t xml:space="preserve"> </w:t>
            </w:r>
            <w:r>
              <w:rPr>
                <w:rFonts w:ascii="Times New Roman" w:hAnsi="Times New Roman" w:eastAsia="Times New Roman" w:cs="Times New Roman"/>
                <w:i/>
                <w:iCs/>
                <w:spacing w:val="17"/>
                <w:position w:val="3"/>
                <w:sz w:val="20"/>
                <w:szCs w:val="20"/>
              </w:rPr>
              <w:t xml:space="preserve">(L.) </w:t>
            </w:r>
            <w:r>
              <w:rPr>
                <w:rFonts w:ascii="Times New Roman" w:hAnsi="Times New Roman" w:eastAsia="Times New Roman" w:cs="Times New Roman"/>
                <w:i/>
                <w:iCs/>
                <w:position w:val="3"/>
                <w:sz w:val="20"/>
                <w:szCs w:val="20"/>
              </w:rPr>
              <w:t>Gaertn</w:t>
            </w:r>
            <w:r>
              <w:rPr>
                <w:rFonts w:ascii="Times New Roman" w:hAnsi="Times New Roman" w:eastAsia="Times New Roman" w:cs="Times New Roman"/>
                <w:i/>
                <w:iCs/>
                <w:spacing w:val="17"/>
                <w:position w:val="3"/>
                <w:sz w:val="20"/>
                <w:szCs w:val="20"/>
              </w:rPr>
              <w:t>.</w:t>
            </w:r>
          </w:p>
          <w:p w14:paraId="0CBA6B23">
            <w:pPr>
              <w:spacing w:line="238" w:lineRule="exact"/>
              <w:ind w:left="1441"/>
              <w:rPr>
                <w:rFonts w:ascii="Times New Roman" w:hAnsi="Times New Roman" w:eastAsia="Times New Roman" w:cs="Times New Roman"/>
                <w:sz w:val="20"/>
                <w:szCs w:val="20"/>
              </w:rPr>
            </w:pPr>
            <w:r>
              <w:rPr>
                <w:rFonts w:ascii="Times New Roman" w:hAnsi="Times New Roman" w:eastAsia="Times New Roman" w:cs="Times New Roman"/>
                <w:i/>
                <w:iCs/>
                <w:spacing w:val="14"/>
                <w:position w:val="2"/>
                <w:sz w:val="20"/>
                <w:szCs w:val="20"/>
              </w:rPr>
              <w:t>(</w:t>
            </w:r>
            <w:r>
              <w:rPr>
                <w:rFonts w:ascii="Times New Roman" w:hAnsi="Times New Roman" w:eastAsia="Times New Roman" w:cs="Times New Roman"/>
                <w:i/>
                <w:iCs/>
                <w:position w:val="2"/>
                <w:sz w:val="20"/>
                <w:szCs w:val="20"/>
              </w:rPr>
              <w:t>Gramineae</w:t>
            </w:r>
            <w:r>
              <w:rPr>
                <w:rFonts w:ascii="Times New Roman" w:hAnsi="Times New Roman" w:eastAsia="Times New Roman" w:cs="Times New Roman"/>
                <w:i/>
                <w:iCs/>
                <w:spacing w:val="14"/>
                <w:position w:val="2"/>
                <w:sz w:val="20"/>
                <w:szCs w:val="20"/>
              </w:rPr>
              <w:t>).</w:t>
            </w:r>
          </w:p>
        </w:tc>
        <w:tc>
          <w:tcPr>
            <w:tcW w:w="2859" w:type="dxa"/>
            <w:vAlign w:val="top"/>
          </w:tcPr>
          <w:p w14:paraId="38A5A138">
            <w:pPr>
              <w:pStyle w:val="9"/>
              <w:spacing w:before="163" w:line="228" w:lineRule="auto"/>
              <w:ind w:left="496"/>
              <w:rPr>
                <w:sz w:val="20"/>
                <w:szCs w:val="20"/>
              </w:rPr>
            </w:pPr>
            <w:r>
              <w:rPr>
                <w:spacing w:val="8"/>
                <w:sz w:val="20"/>
                <w:szCs w:val="20"/>
              </w:rPr>
              <w:t>草地、伴生灌木林地</w:t>
            </w:r>
          </w:p>
        </w:tc>
        <w:tc>
          <w:tcPr>
            <w:tcW w:w="123" w:type="dxa"/>
            <w:tcBorders>
              <w:top w:val="nil"/>
              <w:bottom w:val="nil"/>
              <w:right w:val="single" w:color="000000" w:sz="6" w:space="0"/>
            </w:tcBorders>
            <w:vAlign w:val="top"/>
          </w:tcPr>
          <w:p w14:paraId="520B6151">
            <w:pPr>
              <w:rPr>
                <w:rFonts w:ascii="Arial"/>
                <w:sz w:val="21"/>
              </w:rPr>
            </w:pPr>
          </w:p>
        </w:tc>
      </w:tr>
      <w:tr w14:paraId="6B74DF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751" w:type="dxa"/>
            <w:vMerge w:val="continue"/>
            <w:tcBorders>
              <w:top w:val="nil"/>
              <w:left w:val="single" w:color="000000" w:sz="6" w:space="0"/>
              <w:bottom w:val="nil"/>
            </w:tcBorders>
            <w:vAlign w:val="top"/>
          </w:tcPr>
          <w:p w14:paraId="58060E1D">
            <w:pPr>
              <w:rPr>
                <w:rFonts w:ascii="Arial"/>
                <w:sz w:val="21"/>
              </w:rPr>
            </w:pPr>
          </w:p>
        </w:tc>
        <w:tc>
          <w:tcPr>
            <w:tcW w:w="113" w:type="dxa"/>
            <w:tcBorders>
              <w:top w:val="nil"/>
              <w:bottom w:val="nil"/>
            </w:tcBorders>
            <w:vAlign w:val="top"/>
          </w:tcPr>
          <w:p w14:paraId="4432DE1C">
            <w:pPr>
              <w:rPr>
                <w:rFonts w:ascii="Arial"/>
                <w:sz w:val="21"/>
              </w:rPr>
            </w:pPr>
          </w:p>
        </w:tc>
        <w:tc>
          <w:tcPr>
            <w:tcW w:w="240" w:type="dxa"/>
            <w:vAlign w:val="top"/>
          </w:tcPr>
          <w:p w14:paraId="2B4F6C70">
            <w:pPr>
              <w:spacing w:before="122" w:line="194" w:lineRule="auto"/>
              <w:ind w:left="1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25</w:t>
            </w:r>
          </w:p>
        </w:tc>
        <w:tc>
          <w:tcPr>
            <w:tcW w:w="980" w:type="dxa"/>
            <w:vAlign w:val="top"/>
          </w:tcPr>
          <w:p w14:paraId="538410D1">
            <w:pPr>
              <w:pStyle w:val="9"/>
              <w:spacing w:before="64" w:line="225" w:lineRule="auto"/>
              <w:ind w:left="175"/>
              <w:rPr>
                <w:sz w:val="20"/>
                <w:szCs w:val="20"/>
              </w:rPr>
            </w:pPr>
            <w:r>
              <w:rPr>
                <w:spacing w:val="6"/>
                <w:sz w:val="20"/>
                <w:szCs w:val="20"/>
              </w:rPr>
              <w:t>披碱草</w:t>
            </w:r>
          </w:p>
        </w:tc>
        <w:tc>
          <w:tcPr>
            <w:tcW w:w="3998" w:type="dxa"/>
            <w:vAlign w:val="top"/>
          </w:tcPr>
          <w:p w14:paraId="55BC3F64">
            <w:pPr>
              <w:spacing w:before="30" w:line="278" w:lineRule="exact"/>
              <w:ind w:left="1480"/>
              <w:rPr>
                <w:rFonts w:ascii="Times New Roman" w:hAnsi="Times New Roman" w:eastAsia="Times New Roman" w:cs="Times New Roman"/>
                <w:sz w:val="20"/>
                <w:szCs w:val="20"/>
              </w:rPr>
            </w:pPr>
            <w:r>
              <w:rPr>
                <w:rFonts w:ascii="Times New Roman" w:hAnsi="Times New Roman" w:eastAsia="Times New Roman" w:cs="Times New Roman"/>
                <w:i/>
                <w:iCs/>
                <w:spacing w:val="4"/>
                <w:position w:val="2"/>
                <w:sz w:val="20"/>
                <w:szCs w:val="20"/>
              </w:rPr>
              <w:t>E.dahuricus</w:t>
            </w:r>
          </w:p>
        </w:tc>
        <w:tc>
          <w:tcPr>
            <w:tcW w:w="2859" w:type="dxa"/>
            <w:vAlign w:val="top"/>
          </w:tcPr>
          <w:p w14:paraId="291E7F1E">
            <w:pPr>
              <w:pStyle w:val="9"/>
              <w:spacing w:before="64" w:line="225" w:lineRule="auto"/>
              <w:ind w:left="496"/>
              <w:rPr>
                <w:sz w:val="20"/>
                <w:szCs w:val="20"/>
              </w:rPr>
            </w:pPr>
            <w:r>
              <w:rPr>
                <w:spacing w:val="8"/>
                <w:sz w:val="20"/>
                <w:szCs w:val="20"/>
              </w:rPr>
              <w:t>草地、伴生灌木林地</w:t>
            </w:r>
          </w:p>
        </w:tc>
        <w:tc>
          <w:tcPr>
            <w:tcW w:w="123" w:type="dxa"/>
            <w:tcBorders>
              <w:top w:val="nil"/>
              <w:bottom w:val="nil"/>
              <w:right w:val="single" w:color="000000" w:sz="6" w:space="0"/>
            </w:tcBorders>
            <w:vAlign w:val="top"/>
          </w:tcPr>
          <w:p w14:paraId="1DD802C3">
            <w:pPr>
              <w:rPr>
                <w:rFonts w:ascii="Arial"/>
                <w:sz w:val="21"/>
              </w:rPr>
            </w:pPr>
          </w:p>
        </w:tc>
      </w:tr>
      <w:tr w14:paraId="3574F2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751" w:type="dxa"/>
            <w:vMerge w:val="continue"/>
            <w:tcBorders>
              <w:top w:val="nil"/>
              <w:left w:val="single" w:color="000000" w:sz="6" w:space="0"/>
              <w:bottom w:val="nil"/>
            </w:tcBorders>
            <w:vAlign w:val="top"/>
          </w:tcPr>
          <w:p w14:paraId="07C69224">
            <w:pPr>
              <w:rPr>
                <w:rFonts w:ascii="Arial"/>
                <w:sz w:val="21"/>
              </w:rPr>
            </w:pPr>
          </w:p>
        </w:tc>
        <w:tc>
          <w:tcPr>
            <w:tcW w:w="113" w:type="dxa"/>
            <w:tcBorders>
              <w:top w:val="nil"/>
              <w:bottom w:val="nil"/>
            </w:tcBorders>
            <w:vAlign w:val="top"/>
          </w:tcPr>
          <w:p w14:paraId="2DC8B634">
            <w:pPr>
              <w:rPr>
                <w:rFonts w:ascii="Arial"/>
                <w:sz w:val="21"/>
              </w:rPr>
            </w:pPr>
          </w:p>
        </w:tc>
        <w:tc>
          <w:tcPr>
            <w:tcW w:w="240" w:type="dxa"/>
            <w:vAlign w:val="top"/>
          </w:tcPr>
          <w:p w14:paraId="491C7360">
            <w:pPr>
              <w:spacing w:before="123" w:line="193" w:lineRule="auto"/>
              <w:ind w:left="1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26</w:t>
            </w:r>
          </w:p>
        </w:tc>
        <w:tc>
          <w:tcPr>
            <w:tcW w:w="980" w:type="dxa"/>
            <w:vAlign w:val="top"/>
          </w:tcPr>
          <w:p w14:paraId="33399749">
            <w:pPr>
              <w:pStyle w:val="9"/>
              <w:spacing w:before="65" w:line="224" w:lineRule="auto"/>
              <w:ind w:left="70"/>
              <w:rPr>
                <w:sz w:val="20"/>
                <w:szCs w:val="20"/>
              </w:rPr>
            </w:pPr>
            <w:r>
              <w:rPr>
                <w:spacing w:val="7"/>
                <w:sz w:val="20"/>
                <w:szCs w:val="20"/>
              </w:rPr>
              <w:t>糙隐子草</w:t>
            </w:r>
          </w:p>
        </w:tc>
        <w:tc>
          <w:tcPr>
            <w:tcW w:w="3998" w:type="dxa"/>
            <w:vAlign w:val="top"/>
          </w:tcPr>
          <w:p w14:paraId="769CEEF2">
            <w:pPr>
              <w:spacing w:before="31" w:line="277" w:lineRule="exact"/>
              <w:ind w:left="1047"/>
              <w:rPr>
                <w:rFonts w:ascii="Times New Roman" w:hAnsi="Times New Roman" w:eastAsia="Times New Roman" w:cs="Times New Roman"/>
                <w:sz w:val="20"/>
                <w:szCs w:val="20"/>
              </w:rPr>
            </w:pPr>
            <w:r>
              <w:rPr>
                <w:rFonts w:ascii="Times New Roman" w:hAnsi="Times New Roman" w:eastAsia="Times New Roman" w:cs="Times New Roman"/>
                <w:i/>
                <w:iCs/>
                <w:spacing w:val="3"/>
                <w:position w:val="4"/>
                <w:sz w:val="20"/>
                <w:szCs w:val="20"/>
              </w:rPr>
              <w:t>Cleistogenessquarrosa</w:t>
            </w:r>
          </w:p>
        </w:tc>
        <w:tc>
          <w:tcPr>
            <w:tcW w:w="2859" w:type="dxa"/>
            <w:vAlign w:val="top"/>
          </w:tcPr>
          <w:p w14:paraId="2ECB6635">
            <w:pPr>
              <w:pStyle w:val="9"/>
              <w:spacing w:before="65" w:line="224" w:lineRule="auto"/>
              <w:ind w:left="496"/>
              <w:rPr>
                <w:sz w:val="20"/>
                <w:szCs w:val="20"/>
              </w:rPr>
            </w:pPr>
            <w:r>
              <w:rPr>
                <w:spacing w:val="8"/>
                <w:sz w:val="20"/>
                <w:szCs w:val="20"/>
              </w:rPr>
              <w:t>草地、伴生灌木林地</w:t>
            </w:r>
          </w:p>
        </w:tc>
        <w:tc>
          <w:tcPr>
            <w:tcW w:w="123" w:type="dxa"/>
            <w:tcBorders>
              <w:top w:val="nil"/>
              <w:bottom w:val="nil"/>
              <w:right w:val="single" w:color="000000" w:sz="6" w:space="0"/>
            </w:tcBorders>
            <w:vAlign w:val="top"/>
          </w:tcPr>
          <w:p w14:paraId="08C010EA">
            <w:pPr>
              <w:rPr>
                <w:rFonts w:ascii="Arial"/>
                <w:sz w:val="21"/>
              </w:rPr>
            </w:pPr>
          </w:p>
        </w:tc>
      </w:tr>
      <w:tr w14:paraId="3D5CEA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atLeast"/>
        </w:trPr>
        <w:tc>
          <w:tcPr>
            <w:tcW w:w="751" w:type="dxa"/>
            <w:vMerge w:val="continue"/>
            <w:tcBorders>
              <w:top w:val="nil"/>
              <w:left w:val="single" w:color="000000" w:sz="6" w:space="0"/>
              <w:bottom w:val="single" w:color="000000" w:sz="6" w:space="0"/>
            </w:tcBorders>
            <w:vAlign w:val="top"/>
          </w:tcPr>
          <w:p w14:paraId="59DDE7D1">
            <w:pPr>
              <w:rPr>
                <w:rFonts w:ascii="Arial"/>
                <w:sz w:val="21"/>
              </w:rPr>
            </w:pPr>
          </w:p>
        </w:tc>
        <w:tc>
          <w:tcPr>
            <w:tcW w:w="113" w:type="dxa"/>
            <w:tcBorders>
              <w:top w:val="nil"/>
              <w:bottom w:val="single" w:color="000000" w:sz="6" w:space="0"/>
            </w:tcBorders>
            <w:vAlign w:val="top"/>
          </w:tcPr>
          <w:p w14:paraId="3CFA5E29">
            <w:pPr>
              <w:rPr>
                <w:rFonts w:ascii="Arial"/>
                <w:sz w:val="21"/>
              </w:rPr>
            </w:pPr>
          </w:p>
        </w:tc>
        <w:tc>
          <w:tcPr>
            <w:tcW w:w="240" w:type="dxa"/>
            <w:tcBorders>
              <w:bottom w:val="single" w:color="000000" w:sz="6" w:space="0"/>
            </w:tcBorders>
            <w:vAlign w:val="top"/>
          </w:tcPr>
          <w:p w14:paraId="0B97D0F0">
            <w:pPr>
              <w:spacing w:before="121" w:line="195" w:lineRule="auto"/>
              <w:ind w:left="1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27</w:t>
            </w:r>
          </w:p>
        </w:tc>
        <w:tc>
          <w:tcPr>
            <w:tcW w:w="980" w:type="dxa"/>
            <w:tcBorders>
              <w:bottom w:val="single" w:color="000000" w:sz="6" w:space="0"/>
            </w:tcBorders>
            <w:vAlign w:val="top"/>
          </w:tcPr>
          <w:p w14:paraId="7702FFE3">
            <w:pPr>
              <w:pStyle w:val="9"/>
              <w:spacing w:before="63" w:line="228" w:lineRule="auto"/>
              <w:ind w:left="175"/>
              <w:rPr>
                <w:sz w:val="20"/>
                <w:szCs w:val="20"/>
              </w:rPr>
            </w:pPr>
            <w:r>
              <w:rPr>
                <w:spacing w:val="6"/>
                <w:sz w:val="20"/>
                <w:szCs w:val="20"/>
              </w:rPr>
              <w:t>狗尾草</w:t>
            </w:r>
          </w:p>
        </w:tc>
        <w:tc>
          <w:tcPr>
            <w:tcW w:w="3998" w:type="dxa"/>
            <w:tcBorders>
              <w:bottom w:val="single" w:color="000000" w:sz="6" w:space="0"/>
            </w:tcBorders>
            <w:vAlign w:val="top"/>
          </w:tcPr>
          <w:p w14:paraId="7C303B0C">
            <w:pPr>
              <w:spacing w:before="29" w:line="278" w:lineRule="exact"/>
              <w:ind w:left="946"/>
              <w:rPr>
                <w:rFonts w:ascii="Times New Roman" w:hAnsi="Times New Roman" w:eastAsia="Times New Roman" w:cs="Times New Roman"/>
                <w:sz w:val="20"/>
                <w:szCs w:val="20"/>
              </w:rPr>
            </w:pPr>
            <w:r>
              <w:rPr>
                <w:rFonts w:ascii="Times New Roman" w:hAnsi="Times New Roman" w:eastAsia="Times New Roman" w:cs="Times New Roman"/>
                <w:i/>
                <w:iCs/>
                <w:position w:val="4"/>
                <w:sz w:val="20"/>
                <w:szCs w:val="20"/>
              </w:rPr>
              <w:t>Setariaviridis</w:t>
            </w:r>
            <w:r>
              <w:rPr>
                <w:rFonts w:ascii="Times New Roman" w:hAnsi="Times New Roman" w:eastAsia="Times New Roman" w:cs="Times New Roman"/>
                <w:i/>
                <w:iCs/>
                <w:spacing w:val="16"/>
                <w:position w:val="4"/>
                <w:sz w:val="20"/>
                <w:szCs w:val="20"/>
              </w:rPr>
              <w:t>(L.)</w:t>
            </w:r>
            <w:r>
              <w:rPr>
                <w:rFonts w:ascii="Times New Roman" w:hAnsi="Times New Roman" w:eastAsia="Times New Roman" w:cs="Times New Roman"/>
                <w:i/>
                <w:iCs/>
                <w:position w:val="4"/>
                <w:sz w:val="20"/>
                <w:szCs w:val="20"/>
              </w:rPr>
              <w:t>Beauv</w:t>
            </w:r>
            <w:r>
              <w:rPr>
                <w:rFonts w:ascii="Times New Roman" w:hAnsi="Times New Roman" w:eastAsia="Times New Roman" w:cs="Times New Roman"/>
                <w:i/>
                <w:iCs/>
                <w:spacing w:val="16"/>
                <w:position w:val="4"/>
                <w:sz w:val="20"/>
                <w:szCs w:val="20"/>
              </w:rPr>
              <w:t>.)</w:t>
            </w:r>
          </w:p>
        </w:tc>
        <w:tc>
          <w:tcPr>
            <w:tcW w:w="2859" w:type="dxa"/>
            <w:tcBorders>
              <w:bottom w:val="single" w:color="000000" w:sz="6" w:space="0"/>
            </w:tcBorders>
            <w:vAlign w:val="top"/>
          </w:tcPr>
          <w:p w14:paraId="63457656">
            <w:pPr>
              <w:pStyle w:val="9"/>
              <w:spacing w:before="63" w:line="228" w:lineRule="auto"/>
              <w:ind w:left="496"/>
              <w:rPr>
                <w:sz w:val="20"/>
                <w:szCs w:val="20"/>
              </w:rPr>
            </w:pPr>
            <w:r>
              <w:rPr>
                <w:spacing w:val="8"/>
                <w:sz w:val="20"/>
                <w:szCs w:val="20"/>
              </w:rPr>
              <w:t>草地、伴生灌木林地</w:t>
            </w:r>
          </w:p>
        </w:tc>
        <w:tc>
          <w:tcPr>
            <w:tcW w:w="123" w:type="dxa"/>
            <w:tcBorders>
              <w:top w:val="nil"/>
              <w:bottom w:val="single" w:color="000000" w:sz="6" w:space="0"/>
              <w:right w:val="single" w:color="000000" w:sz="6" w:space="0"/>
            </w:tcBorders>
            <w:vAlign w:val="top"/>
          </w:tcPr>
          <w:p w14:paraId="0A8A117B">
            <w:pPr>
              <w:rPr>
                <w:rFonts w:ascii="Arial"/>
                <w:sz w:val="21"/>
              </w:rPr>
            </w:pPr>
          </w:p>
        </w:tc>
      </w:tr>
    </w:tbl>
    <w:p w14:paraId="4D091B6A">
      <w:pPr>
        <w:pStyle w:val="3"/>
      </w:pPr>
    </w:p>
    <w:p w14:paraId="3EE7D6AC">
      <w:pPr>
        <w:sectPr>
          <w:footerReference r:id="rId43" w:type="default"/>
          <w:pgSz w:w="11906" w:h="16838"/>
          <w:pgMar w:top="1416" w:right="1413" w:bottom="1295" w:left="1413" w:header="0" w:footer="1133" w:gutter="0"/>
          <w:cols w:space="720" w:num="1"/>
        </w:sectPr>
      </w:pPr>
    </w:p>
    <w:tbl>
      <w:tblPr>
        <w:tblStyle w:val="8"/>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1"/>
        <w:gridCol w:w="113"/>
        <w:gridCol w:w="240"/>
        <w:gridCol w:w="980"/>
        <w:gridCol w:w="3998"/>
        <w:gridCol w:w="2982"/>
      </w:tblGrid>
      <w:tr w14:paraId="6FC842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2" w:hRule="atLeast"/>
        </w:trPr>
        <w:tc>
          <w:tcPr>
            <w:tcW w:w="751" w:type="dxa"/>
            <w:vMerge w:val="restart"/>
            <w:tcBorders>
              <w:top w:val="single" w:color="000000" w:sz="6" w:space="0"/>
              <w:left w:val="single" w:color="000000" w:sz="6" w:space="0"/>
              <w:bottom w:val="nil"/>
            </w:tcBorders>
            <w:vAlign w:val="top"/>
          </w:tcPr>
          <w:p w14:paraId="040FA1DB">
            <w:pPr>
              <w:rPr>
                <w:rFonts w:ascii="Arial"/>
                <w:sz w:val="21"/>
              </w:rPr>
            </w:pPr>
            <w:r>
              <w:pict>
                <v:shape id="_x0000_s1035" o:spid="_x0000_s1035" style="position:absolute;left:0pt;margin-left:518.25pt;margin-top:72.3pt;height:87.75pt;width:0.5pt;mso-position-horizontal-relative:page;mso-position-vertical-relative:page;z-index:251667456;mso-width-relative:page;mso-height-relative:page;" filled="f" stroked="t" coordsize="10,1755" o:allowincell="f" path="m4,0l4,1754e">
                  <v:fill on="f" focussize="0,0"/>
                  <v:stroke weight="0.48pt" color="#000000" miterlimit="2" joinstyle="bevel"/>
                  <v:imagedata o:title=""/>
                  <o:lock v:ext="edit"/>
                </v:shape>
              </w:pict>
            </w:r>
          </w:p>
        </w:tc>
        <w:tc>
          <w:tcPr>
            <w:tcW w:w="113" w:type="dxa"/>
            <w:tcBorders>
              <w:top w:val="single" w:color="000000" w:sz="6" w:space="0"/>
              <w:bottom w:val="nil"/>
            </w:tcBorders>
            <w:vAlign w:val="top"/>
          </w:tcPr>
          <w:p w14:paraId="2B63AFF4">
            <w:pPr>
              <w:rPr>
                <w:rFonts w:ascii="Arial"/>
                <w:sz w:val="21"/>
              </w:rPr>
            </w:pPr>
          </w:p>
        </w:tc>
        <w:tc>
          <w:tcPr>
            <w:tcW w:w="240" w:type="dxa"/>
            <w:vAlign w:val="top"/>
          </w:tcPr>
          <w:p w14:paraId="72E744FA">
            <w:pPr>
              <w:spacing w:line="262" w:lineRule="auto"/>
              <w:rPr>
                <w:rFonts w:ascii="Arial"/>
                <w:sz w:val="21"/>
              </w:rPr>
            </w:pPr>
          </w:p>
          <w:p w14:paraId="13288BFD">
            <w:pPr>
              <w:spacing w:before="57" w:line="195" w:lineRule="auto"/>
              <w:ind w:left="1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28</w:t>
            </w:r>
          </w:p>
        </w:tc>
        <w:tc>
          <w:tcPr>
            <w:tcW w:w="980" w:type="dxa"/>
            <w:vAlign w:val="top"/>
          </w:tcPr>
          <w:p w14:paraId="269A7719">
            <w:pPr>
              <w:pStyle w:val="9"/>
              <w:spacing w:before="165" w:line="228" w:lineRule="auto"/>
              <w:ind w:left="280"/>
              <w:rPr>
                <w:sz w:val="20"/>
                <w:szCs w:val="20"/>
              </w:rPr>
            </w:pPr>
            <w:r>
              <w:rPr>
                <w:spacing w:val="5"/>
                <w:sz w:val="20"/>
                <w:szCs w:val="20"/>
              </w:rPr>
              <w:t>黄茅</w:t>
            </w:r>
          </w:p>
        </w:tc>
        <w:tc>
          <w:tcPr>
            <w:tcW w:w="3998" w:type="dxa"/>
            <w:vAlign w:val="top"/>
          </w:tcPr>
          <w:p w14:paraId="6229BBAE">
            <w:pPr>
              <w:spacing w:before="11" w:line="260" w:lineRule="exact"/>
              <w:ind w:left="207"/>
              <w:rPr>
                <w:rFonts w:ascii="Times New Roman" w:hAnsi="Times New Roman" w:eastAsia="Times New Roman" w:cs="Times New Roman"/>
                <w:sz w:val="20"/>
                <w:szCs w:val="20"/>
              </w:rPr>
            </w:pPr>
            <w:r>
              <w:rPr>
                <w:rFonts w:ascii="Times New Roman" w:hAnsi="Times New Roman" w:eastAsia="Times New Roman" w:cs="Times New Roman"/>
                <w:i/>
                <w:iCs/>
                <w:spacing w:val="5"/>
                <w:position w:val="3"/>
                <w:sz w:val="20"/>
                <w:szCs w:val="20"/>
              </w:rPr>
              <w:t>Heteropogon</w:t>
            </w:r>
            <w:r>
              <w:rPr>
                <w:rFonts w:ascii="Times New Roman" w:hAnsi="Times New Roman" w:eastAsia="Times New Roman" w:cs="Times New Roman"/>
                <w:i/>
                <w:iCs/>
                <w:spacing w:val="25"/>
                <w:position w:val="3"/>
                <w:sz w:val="20"/>
                <w:szCs w:val="20"/>
              </w:rPr>
              <w:t xml:space="preserve"> </w:t>
            </w:r>
            <w:r>
              <w:rPr>
                <w:rFonts w:ascii="Times New Roman" w:hAnsi="Times New Roman" w:eastAsia="Times New Roman" w:cs="Times New Roman"/>
                <w:i/>
                <w:iCs/>
                <w:spacing w:val="5"/>
                <w:position w:val="3"/>
                <w:sz w:val="20"/>
                <w:szCs w:val="20"/>
              </w:rPr>
              <w:t>contortus</w:t>
            </w:r>
            <w:r>
              <w:rPr>
                <w:rFonts w:ascii="Times New Roman" w:hAnsi="Times New Roman" w:eastAsia="Times New Roman" w:cs="Times New Roman"/>
                <w:i/>
                <w:iCs/>
                <w:spacing w:val="26"/>
                <w:w w:val="101"/>
                <w:position w:val="3"/>
                <w:sz w:val="20"/>
                <w:szCs w:val="20"/>
              </w:rPr>
              <w:t xml:space="preserve"> </w:t>
            </w:r>
            <w:r>
              <w:rPr>
                <w:rFonts w:ascii="Times New Roman" w:hAnsi="Times New Roman" w:eastAsia="Times New Roman" w:cs="Times New Roman"/>
                <w:i/>
                <w:iCs/>
                <w:spacing w:val="5"/>
                <w:position w:val="3"/>
                <w:sz w:val="20"/>
                <w:szCs w:val="20"/>
              </w:rPr>
              <w:t>(L.)</w:t>
            </w:r>
            <w:r>
              <w:rPr>
                <w:rFonts w:ascii="Times New Roman" w:hAnsi="Times New Roman" w:eastAsia="Times New Roman" w:cs="Times New Roman"/>
                <w:i/>
                <w:iCs/>
                <w:spacing w:val="22"/>
                <w:position w:val="3"/>
                <w:sz w:val="20"/>
                <w:szCs w:val="20"/>
              </w:rPr>
              <w:t xml:space="preserve"> </w:t>
            </w:r>
            <w:r>
              <w:rPr>
                <w:rFonts w:ascii="Times New Roman" w:hAnsi="Times New Roman" w:eastAsia="Times New Roman" w:cs="Times New Roman"/>
                <w:i/>
                <w:iCs/>
                <w:spacing w:val="5"/>
                <w:position w:val="3"/>
                <w:sz w:val="20"/>
                <w:szCs w:val="20"/>
              </w:rPr>
              <w:t>P.</w:t>
            </w:r>
            <w:r>
              <w:rPr>
                <w:rFonts w:ascii="Times New Roman" w:hAnsi="Times New Roman" w:eastAsia="Times New Roman" w:cs="Times New Roman"/>
                <w:i/>
                <w:iCs/>
                <w:spacing w:val="18"/>
                <w:position w:val="3"/>
                <w:sz w:val="20"/>
                <w:szCs w:val="20"/>
              </w:rPr>
              <w:t xml:space="preserve"> </w:t>
            </w:r>
            <w:r>
              <w:rPr>
                <w:rFonts w:ascii="Times New Roman" w:hAnsi="Times New Roman" w:eastAsia="Times New Roman" w:cs="Times New Roman"/>
                <w:i/>
                <w:iCs/>
                <w:spacing w:val="5"/>
                <w:position w:val="3"/>
                <w:sz w:val="20"/>
                <w:szCs w:val="20"/>
              </w:rPr>
              <w:t>Beauv.</w:t>
            </w:r>
            <w:r>
              <w:rPr>
                <w:rFonts w:ascii="Times New Roman" w:hAnsi="Times New Roman" w:eastAsia="Times New Roman" w:cs="Times New Roman"/>
                <w:i/>
                <w:iCs/>
                <w:spacing w:val="20"/>
                <w:w w:val="101"/>
                <w:position w:val="3"/>
                <w:sz w:val="20"/>
                <w:szCs w:val="20"/>
              </w:rPr>
              <w:t xml:space="preserve"> </w:t>
            </w:r>
            <w:r>
              <w:rPr>
                <w:rFonts w:ascii="Times New Roman" w:hAnsi="Times New Roman" w:eastAsia="Times New Roman" w:cs="Times New Roman"/>
                <w:i/>
                <w:iCs/>
                <w:spacing w:val="5"/>
                <w:position w:val="3"/>
                <w:sz w:val="20"/>
                <w:szCs w:val="20"/>
              </w:rPr>
              <w:t>Ex</w:t>
            </w:r>
          </w:p>
          <w:p w14:paraId="6C49EB11">
            <w:pPr>
              <w:spacing w:line="250" w:lineRule="exact"/>
              <w:ind w:left="1273"/>
              <w:rPr>
                <w:rFonts w:ascii="Times New Roman" w:hAnsi="Times New Roman" w:eastAsia="Times New Roman" w:cs="Times New Roman"/>
                <w:sz w:val="20"/>
                <w:szCs w:val="20"/>
              </w:rPr>
            </w:pPr>
            <w:r>
              <w:rPr>
                <w:rFonts w:ascii="Times New Roman" w:hAnsi="Times New Roman" w:eastAsia="Times New Roman" w:cs="Times New Roman"/>
                <w:i/>
                <w:iCs/>
                <w:spacing w:val="4"/>
                <w:position w:val="1"/>
                <w:sz w:val="20"/>
                <w:szCs w:val="20"/>
              </w:rPr>
              <w:t>Roem.</w:t>
            </w:r>
            <w:r>
              <w:rPr>
                <w:rFonts w:ascii="Times New Roman" w:hAnsi="Times New Roman" w:eastAsia="Times New Roman" w:cs="Times New Roman"/>
                <w:i/>
                <w:iCs/>
                <w:spacing w:val="51"/>
                <w:w w:val="101"/>
                <w:position w:val="1"/>
                <w:sz w:val="20"/>
                <w:szCs w:val="20"/>
              </w:rPr>
              <w:t xml:space="preserve"> </w:t>
            </w:r>
            <w:r>
              <w:rPr>
                <w:rFonts w:ascii="Times New Roman" w:hAnsi="Times New Roman" w:eastAsia="Times New Roman" w:cs="Times New Roman"/>
                <w:i/>
                <w:iCs/>
                <w:spacing w:val="4"/>
                <w:position w:val="1"/>
                <w:sz w:val="20"/>
                <w:szCs w:val="20"/>
              </w:rPr>
              <w:t>et</w:t>
            </w:r>
            <w:r>
              <w:rPr>
                <w:rFonts w:ascii="Times New Roman" w:hAnsi="Times New Roman" w:eastAsia="Times New Roman" w:cs="Times New Roman"/>
                <w:i/>
                <w:iCs/>
                <w:spacing w:val="16"/>
                <w:w w:val="101"/>
                <w:position w:val="1"/>
                <w:sz w:val="20"/>
                <w:szCs w:val="20"/>
              </w:rPr>
              <w:t xml:space="preserve"> </w:t>
            </w:r>
            <w:r>
              <w:rPr>
                <w:rFonts w:ascii="Times New Roman" w:hAnsi="Times New Roman" w:eastAsia="Times New Roman" w:cs="Times New Roman"/>
                <w:i/>
                <w:iCs/>
                <w:spacing w:val="4"/>
                <w:position w:val="1"/>
                <w:sz w:val="20"/>
                <w:szCs w:val="20"/>
              </w:rPr>
              <w:t>Schult.</w:t>
            </w:r>
          </w:p>
        </w:tc>
        <w:tc>
          <w:tcPr>
            <w:tcW w:w="2982" w:type="dxa"/>
            <w:tcBorders>
              <w:top w:val="single" w:color="000000" w:sz="6" w:space="0"/>
              <w:right w:val="single" w:color="000000" w:sz="6" w:space="0"/>
            </w:tcBorders>
            <w:vAlign w:val="top"/>
          </w:tcPr>
          <w:p w14:paraId="0228E318">
            <w:pPr>
              <w:pStyle w:val="9"/>
              <w:spacing w:before="165" w:line="228" w:lineRule="auto"/>
              <w:ind w:left="496"/>
              <w:rPr>
                <w:sz w:val="20"/>
                <w:szCs w:val="20"/>
              </w:rPr>
            </w:pPr>
            <w:r>
              <w:rPr>
                <w:spacing w:val="8"/>
                <w:sz w:val="20"/>
                <w:szCs w:val="20"/>
              </w:rPr>
              <w:t>草地、伴生灌木林地</w:t>
            </w:r>
          </w:p>
        </w:tc>
      </w:tr>
      <w:tr w14:paraId="17B20F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751" w:type="dxa"/>
            <w:vMerge w:val="continue"/>
            <w:tcBorders>
              <w:top w:val="nil"/>
              <w:left w:val="single" w:color="000000" w:sz="6" w:space="0"/>
              <w:bottom w:val="nil"/>
            </w:tcBorders>
            <w:vAlign w:val="top"/>
          </w:tcPr>
          <w:p w14:paraId="46C2F432">
            <w:pPr>
              <w:rPr>
                <w:rFonts w:ascii="Arial"/>
                <w:sz w:val="21"/>
              </w:rPr>
            </w:pPr>
          </w:p>
        </w:tc>
        <w:tc>
          <w:tcPr>
            <w:tcW w:w="113" w:type="dxa"/>
            <w:tcBorders>
              <w:top w:val="nil"/>
              <w:bottom w:val="nil"/>
            </w:tcBorders>
            <w:vAlign w:val="top"/>
          </w:tcPr>
          <w:p w14:paraId="2B40D52A">
            <w:pPr>
              <w:rPr>
                <w:rFonts w:ascii="Arial"/>
                <w:sz w:val="21"/>
              </w:rPr>
            </w:pPr>
          </w:p>
        </w:tc>
        <w:tc>
          <w:tcPr>
            <w:tcW w:w="8200" w:type="dxa"/>
            <w:gridSpan w:val="4"/>
            <w:tcBorders>
              <w:right w:val="single" w:color="000000" w:sz="6" w:space="0"/>
            </w:tcBorders>
            <w:vAlign w:val="top"/>
          </w:tcPr>
          <w:p w14:paraId="212379B4">
            <w:pPr>
              <w:pStyle w:val="9"/>
              <w:spacing w:before="50" w:line="221" w:lineRule="auto"/>
              <w:ind w:left="3039"/>
              <w:rPr>
                <w:rFonts w:ascii="Times New Roman" w:hAnsi="Times New Roman" w:eastAsia="Times New Roman" w:cs="Times New Roman"/>
                <w:sz w:val="20"/>
                <w:szCs w:val="20"/>
              </w:rPr>
            </w:pPr>
            <w:r>
              <w:rPr>
                <w:spacing w:val="22"/>
                <w:sz w:val="20"/>
                <w:szCs w:val="20"/>
              </w:rPr>
              <w:t>十、豆科</w:t>
            </w:r>
            <w:r>
              <w:rPr>
                <w:spacing w:val="-54"/>
                <w:sz w:val="20"/>
                <w:szCs w:val="20"/>
              </w:rPr>
              <w:t xml:space="preserve"> </w:t>
            </w:r>
            <w:r>
              <w:rPr>
                <w:rFonts w:ascii="Times New Roman" w:hAnsi="Times New Roman" w:eastAsia="Times New Roman" w:cs="Times New Roman"/>
                <w:i/>
                <w:iCs/>
                <w:sz w:val="20"/>
                <w:szCs w:val="20"/>
              </w:rPr>
              <w:t>Leguminosae</w:t>
            </w:r>
          </w:p>
        </w:tc>
      </w:tr>
      <w:tr w14:paraId="25E5CC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751" w:type="dxa"/>
            <w:vMerge w:val="continue"/>
            <w:tcBorders>
              <w:top w:val="nil"/>
              <w:left w:val="single" w:color="000000" w:sz="6" w:space="0"/>
              <w:bottom w:val="nil"/>
            </w:tcBorders>
            <w:vAlign w:val="top"/>
          </w:tcPr>
          <w:p w14:paraId="7F878F3C">
            <w:pPr>
              <w:rPr>
                <w:rFonts w:ascii="Arial"/>
                <w:sz w:val="21"/>
              </w:rPr>
            </w:pPr>
          </w:p>
        </w:tc>
        <w:tc>
          <w:tcPr>
            <w:tcW w:w="113" w:type="dxa"/>
            <w:tcBorders>
              <w:top w:val="nil"/>
              <w:bottom w:val="nil"/>
            </w:tcBorders>
            <w:vAlign w:val="top"/>
          </w:tcPr>
          <w:p w14:paraId="54F5FEC5">
            <w:pPr>
              <w:rPr>
                <w:rFonts w:ascii="Arial"/>
                <w:sz w:val="21"/>
              </w:rPr>
            </w:pPr>
          </w:p>
        </w:tc>
        <w:tc>
          <w:tcPr>
            <w:tcW w:w="240" w:type="dxa"/>
            <w:vAlign w:val="top"/>
          </w:tcPr>
          <w:p w14:paraId="4AE35F9C">
            <w:pPr>
              <w:spacing w:before="87" w:line="195" w:lineRule="auto"/>
              <w:ind w:left="1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29</w:t>
            </w:r>
          </w:p>
        </w:tc>
        <w:tc>
          <w:tcPr>
            <w:tcW w:w="980" w:type="dxa"/>
            <w:vAlign w:val="top"/>
          </w:tcPr>
          <w:p w14:paraId="4E7F6ACE">
            <w:pPr>
              <w:pStyle w:val="9"/>
              <w:spacing w:before="52" w:line="228" w:lineRule="auto"/>
              <w:ind w:left="177"/>
              <w:rPr>
                <w:sz w:val="20"/>
                <w:szCs w:val="20"/>
              </w:rPr>
            </w:pPr>
            <w:r>
              <w:rPr>
                <w:spacing w:val="6"/>
                <w:sz w:val="20"/>
                <w:szCs w:val="20"/>
              </w:rPr>
              <w:t>沙打旺</w:t>
            </w:r>
          </w:p>
        </w:tc>
        <w:tc>
          <w:tcPr>
            <w:tcW w:w="3998" w:type="dxa"/>
            <w:vAlign w:val="top"/>
          </w:tcPr>
          <w:p w14:paraId="1FADC175">
            <w:pPr>
              <w:spacing w:before="90" w:line="194" w:lineRule="auto"/>
              <w:ind w:left="1430"/>
              <w:rPr>
                <w:rFonts w:ascii="Times New Roman" w:hAnsi="Times New Roman" w:eastAsia="Times New Roman" w:cs="Times New Roman"/>
                <w:sz w:val="20"/>
                <w:szCs w:val="20"/>
              </w:rPr>
            </w:pPr>
            <w:r>
              <w:rPr>
                <w:rFonts w:ascii="Times New Roman" w:hAnsi="Times New Roman" w:eastAsia="Times New Roman" w:cs="Times New Roman"/>
                <w:i/>
                <w:iCs/>
                <w:spacing w:val="5"/>
                <w:sz w:val="20"/>
                <w:szCs w:val="20"/>
              </w:rPr>
              <w:t>Leguminosae</w:t>
            </w:r>
          </w:p>
        </w:tc>
        <w:tc>
          <w:tcPr>
            <w:tcW w:w="2982" w:type="dxa"/>
            <w:tcBorders>
              <w:right w:val="single" w:color="000000" w:sz="6" w:space="0"/>
            </w:tcBorders>
            <w:vAlign w:val="top"/>
          </w:tcPr>
          <w:p w14:paraId="0637962F">
            <w:pPr>
              <w:pStyle w:val="9"/>
              <w:spacing w:before="51" w:line="228" w:lineRule="auto"/>
              <w:ind w:left="496"/>
              <w:rPr>
                <w:sz w:val="20"/>
                <w:szCs w:val="20"/>
              </w:rPr>
            </w:pPr>
            <w:r>
              <w:rPr>
                <w:spacing w:val="8"/>
                <w:sz w:val="20"/>
                <w:szCs w:val="20"/>
              </w:rPr>
              <w:t>草地、伴生灌木林地</w:t>
            </w:r>
          </w:p>
        </w:tc>
      </w:tr>
      <w:tr w14:paraId="47275E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751" w:type="dxa"/>
            <w:vMerge w:val="continue"/>
            <w:tcBorders>
              <w:top w:val="nil"/>
              <w:left w:val="single" w:color="000000" w:sz="6" w:space="0"/>
              <w:bottom w:val="nil"/>
            </w:tcBorders>
            <w:vAlign w:val="top"/>
          </w:tcPr>
          <w:p w14:paraId="5053D9DD">
            <w:pPr>
              <w:rPr>
                <w:rFonts w:ascii="Arial"/>
                <w:sz w:val="21"/>
              </w:rPr>
            </w:pPr>
          </w:p>
        </w:tc>
        <w:tc>
          <w:tcPr>
            <w:tcW w:w="113" w:type="dxa"/>
            <w:tcBorders>
              <w:top w:val="nil"/>
              <w:bottom w:val="nil"/>
            </w:tcBorders>
            <w:vAlign w:val="top"/>
          </w:tcPr>
          <w:p w14:paraId="3B7D1A2C">
            <w:pPr>
              <w:rPr>
                <w:rFonts w:ascii="Arial"/>
                <w:sz w:val="21"/>
              </w:rPr>
            </w:pPr>
          </w:p>
        </w:tc>
        <w:tc>
          <w:tcPr>
            <w:tcW w:w="240" w:type="dxa"/>
            <w:vAlign w:val="top"/>
          </w:tcPr>
          <w:p w14:paraId="35853AC6">
            <w:pPr>
              <w:spacing w:before="218" w:line="195" w:lineRule="auto"/>
              <w:ind w:left="15"/>
              <w:rPr>
                <w:rFonts w:ascii="Times New Roman" w:hAnsi="Times New Roman" w:eastAsia="Times New Roman" w:cs="Times New Roman"/>
                <w:sz w:val="20"/>
                <w:szCs w:val="20"/>
              </w:rPr>
            </w:pPr>
            <w:r>
              <w:rPr>
                <w:rFonts w:ascii="Times New Roman" w:hAnsi="Times New Roman" w:eastAsia="Times New Roman" w:cs="Times New Roman"/>
                <w:sz w:val="20"/>
                <w:szCs w:val="20"/>
              </w:rPr>
              <w:t>30</w:t>
            </w:r>
          </w:p>
        </w:tc>
        <w:tc>
          <w:tcPr>
            <w:tcW w:w="980" w:type="dxa"/>
            <w:vAlign w:val="top"/>
          </w:tcPr>
          <w:p w14:paraId="181E4324">
            <w:pPr>
              <w:pStyle w:val="9"/>
              <w:spacing w:before="44" w:line="242" w:lineRule="auto"/>
              <w:ind w:left="387" w:right="75" w:hanging="312"/>
              <w:rPr>
                <w:sz w:val="20"/>
                <w:szCs w:val="20"/>
              </w:rPr>
            </w:pPr>
            <w:r>
              <w:rPr>
                <w:spacing w:val="5"/>
                <w:sz w:val="20"/>
                <w:szCs w:val="20"/>
              </w:rPr>
              <w:t>小叶锦鸡</w:t>
            </w:r>
            <w:r>
              <w:rPr>
                <w:sz w:val="20"/>
                <w:szCs w:val="20"/>
              </w:rPr>
              <w:t>儿</w:t>
            </w:r>
          </w:p>
        </w:tc>
        <w:tc>
          <w:tcPr>
            <w:tcW w:w="3998" w:type="dxa"/>
            <w:vAlign w:val="top"/>
          </w:tcPr>
          <w:p w14:paraId="4808C28D">
            <w:pPr>
              <w:spacing w:before="148" w:line="277" w:lineRule="exact"/>
              <w:ind w:left="1049"/>
              <w:rPr>
                <w:rFonts w:ascii="Times New Roman" w:hAnsi="Times New Roman" w:eastAsia="Times New Roman" w:cs="Times New Roman"/>
                <w:sz w:val="20"/>
                <w:szCs w:val="20"/>
              </w:rPr>
            </w:pPr>
            <w:r>
              <w:rPr>
                <w:rFonts w:ascii="Times New Roman" w:hAnsi="Times New Roman" w:eastAsia="Times New Roman" w:cs="Times New Roman"/>
                <w:i/>
                <w:iCs/>
                <w:spacing w:val="3"/>
                <w:position w:val="4"/>
                <w:sz w:val="20"/>
                <w:szCs w:val="20"/>
              </w:rPr>
              <w:t>Caragana microphylla</w:t>
            </w:r>
          </w:p>
        </w:tc>
        <w:tc>
          <w:tcPr>
            <w:tcW w:w="2982" w:type="dxa"/>
            <w:tcBorders>
              <w:right w:val="single" w:color="000000" w:sz="6" w:space="0"/>
            </w:tcBorders>
            <w:vAlign w:val="top"/>
          </w:tcPr>
          <w:p w14:paraId="74B486FD">
            <w:pPr>
              <w:pStyle w:val="9"/>
              <w:spacing w:before="150" w:line="272" w:lineRule="exact"/>
              <w:ind w:left="934"/>
              <w:rPr>
                <w:sz w:val="20"/>
                <w:szCs w:val="20"/>
              </w:rPr>
            </w:pPr>
            <w:r>
              <w:rPr>
                <w:spacing w:val="4"/>
                <w:position w:val="1"/>
                <w:sz w:val="20"/>
                <w:szCs w:val="20"/>
              </w:rPr>
              <w:t>中山、</w:t>
            </w:r>
            <w:r>
              <w:fldChar w:fldCharType="begin"/>
            </w:r>
            <w:r>
              <w:instrText xml:space="preserve"> HYPERLINK "https://baike.so.com/doc/6411632-7570483.html" </w:instrText>
            </w:r>
            <w:r>
              <w:fldChar w:fldCharType="separate"/>
            </w:r>
            <w:r>
              <w:rPr>
                <w:spacing w:val="4"/>
                <w:position w:val="1"/>
                <w:sz w:val="20"/>
                <w:szCs w:val="20"/>
              </w:rPr>
              <w:t>丘陵</w:t>
            </w:r>
            <w:r>
              <w:rPr>
                <w:spacing w:val="4"/>
                <w:position w:val="1"/>
                <w:sz w:val="20"/>
                <w:szCs w:val="20"/>
              </w:rPr>
              <w:fldChar w:fldCharType="end"/>
            </w:r>
          </w:p>
        </w:tc>
      </w:tr>
      <w:tr w14:paraId="08F24B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89" w:hRule="atLeast"/>
        </w:trPr>
        <w:tc>
          <w:tcPr>
            <w:tcW w:w="751" w:type="dxa"/>
            <w:vMerge w:val="continue"/>
            <w:tcBorders>
              <w:top w:val="nil"/>
              <w:left w:val="single" w:color="000000" w:sz="6" w:space="0"/>
              <w:bottom w:val="single" w:color="000000" w:sz="6" w:space="0"/>
            </w:tcBorders>
            <w:vAlign w:val="top"/>
          </w:tcPr>
          <w:p w14:paraId="6E419F55">
            <w:pPr>
              <w:rPr>
                <w:rFonts w:ascii="Arial"/>
                <w:sz w:val="21"/>
              </w:rPr>
            </w:pPr>
          </w:p>
        </w:tc>
        <w:tc>
          <w:tcPr>
            <w:tcW w:w="8313" w:type="dxa"/>
            <w:gridSpan w:val="5"/>
            <w:tcBorders>
              <w:bottom w:val="single" w:color="000000" w:sz="6" w:space="0"/>
              <w:right w:val="single" w:color="000000" w:sz="6" w:space="0"/>
            </w:tcBorders>
            <w:vAlign w:val="top"/>
          </w:tcPr>
          <w:p w14:paraId="610B521A">
            <w:pPr>
              <w:pStyle w:val="9"/>
              <w:spacing w:before="172" w:line="361" w:lineRule="auto"/>
              <w:ind w:left="111" w:right="102" w:firstLine="475"/>
              <w:jc w:val="both"/>
            </w:pPr>
            <w:r>
              <w:rPr>
                <w:spacing w:val="1"/>
              </w:rPr>
              <w:t>对比</w:t>
            </w:r>
            <w:r>
              <w:rPr>
                <w:spacing w:val="-44"/>
              </w:rPr>
              <w:t xml:space="preserve"> </w:t>
            </w:r>
            <w:r>
              <w:rPr>
                <w:rFonts w:ascii="Times New Roman" w:hAnsi="Times New Roman" w:eastAsia="Times New Roman" w:cs="Times New Roman"/>
                <w:spacing w:val="1"/>
              </w:rPr>
              <w:t xml:space="preserve">2026 </w:t>
            </w:r>
            <w:r>
              <w:rPr>
                <w:spacing w:val="1"/>
              </w:rPr>
              <w:t>年发布的《内蒙古重点保护草原野生植物名录》，本项目评价</w:t>
            </w:r>
            <w:r>
              <w:rPr>
                <w:spacing w:val="-2"/>
              </w:rPr>
              <w:t>区内不存在自治区级重点保护野生植物；对比国家重点保护野生植物</w:t>
            </w:r>
            <w:r>
              <w:rPr>
                <w:spacing w:val="-3"/>
              </w:rPr>
              <w:t>名录，本</w:t>
            </w:r>
            <w:r>
              <w:rPr>
                <w:spacing w:val="-1"/>
              </w:rPr>
              <w:t>项目评价区域内不存在国家级保护植物。</w:t>
            </w:r>
          </w:p>
          <w:p w14:paraId="226FB9E5">
            <w:pPr>
              <w:pStyle w:val="9"/>
              <w:spacing w:line="219" w:lineRule="auto"/>
              <w:ind w:left="584"/>
              <w:outlineLvl w:val="1"/>
            </w:pPr>
            <w:r>
              <w:rPr>
                <w:rFonts w:ascii="Times New Roman" w:hAnsi="Times New Roman" w:eastAsia="Times New Roman" w:cs="Times New Roman"/>
                <w:b/>
                <w:bCs/>
                <w:spacing w:val="-3"/>
              </w:rPr>
              <w:t>4.</w:t>
            </w:r>
            <w:r>
              <w:rPr>
                <w:b/>
                <w:bCs/>
                <w:spacing w:val="-3"/>
              </w:rPr>
              <w:t>生态系统现状</w:t>
            </w:r>
          </w:p>
          <w:p w14:paraId="26F7F258">
            <w:pPr>
              <w:pStyle w:val="9"/>
              <w:spacing w:before="184" w:line="362" w:lineRule="auto"/>
              <w:ind w:left="113" w:right="102" w:firstLine="473"/>
            </w:pPr>
            <w:r>
              <w:rPr>
                <w:spacing w:val="-4"/>
              </w:rPr>
              <w:t>评价区生态系统具体情况见表</w:t>
            </w:r>
            <w:r>
              <w:rPr>
                <w:spacing w:val="-37"/>
              </w:rPr>
              <w:t xml:space="preserve"> </w:t>
            </w:r>
            <w:r>
              <w:rPr>
                <w:rFonts w:ascii="Times New Roman" w:hAnsi="Times New Roman" w:eastAsia="Times New Roman" w:cs="Times New Roman"/>
                <w:spacing w:val="-4"/>
              </w:rPr>
              <w:t>3-6</w:t>
            </w:r>
            <w:r>
              <w:rPr>
                <w:spacing w:val="-4"/>
              </w:rPr>
              <w:t>，项目区生态系统情况见表</w:t>
            </w:r>
            <w:r>
              <w:rPr>
                <w:spacing w:val="-50"/>
              </w:rPr>
              <w:t xml:space="preserve"> </w:t>
            </w:r>
            <w:r>
              <w:rPr>
                <w:rFonts w:ascii="Times New Roman" w:hAnsi="Times New Roman" w:eastAsia="Times New Roman" w:cs="Times New Roman"/>
                <w:spacing w:val="-4"/>
              </w:rPr>
              <w:t>3-7</w:t>
            </w:r>
            <w:r>
              <w:rPr>
                <w:spacing w:val="-4"/>
              </w:rPr>
              <w:t>，生态系</w:t>
            </w:r>
            <w:r>
              <w:rPr>
                <w:spacing w:val="-7"/>
              </w:rPr>
              <w:t>统见图</w:t>
            </w:r>
            <w:r>
              <w:rPr>
                <w:spacing w:val="-49"/>
              </w:rPr>
              <w:t xml:space="preserve"> </w:t>
            </w:r>
            <w:r>
              <w:rPr>
                <w:rFonts w:ascii="Times New Roman" w:hAnsi="Times New Roman" w:eastAsia="Times New Roman" w:cs="Times New Roman"/>
                <w:spacing w:val="-7"/>
              </w:rPr>
              <w:t>3-</w:t>
            </w:r>
            <w:r>
              <w:rPr>
                <w:rFonts w:ascii="Times New Roman" w:hAnsi="Times New Roman" w:eastAsia="Times New Roman" w:cs="Times New Roman"/>
                <w:spacing w:val="-32"/>
              </w:rPr>
              <w:t xml:space="preserve"> </w:t>
            </w:r>
            <w:r>
              <w:rPr>
                <w:rFonts w:ascii="Times New Roman" w:hAnsi="Times New Roman" w:eastAsia="Times New Roman" w:cs="Times New Roman"/>
                <w:spacing w:val="-7"/>
              </w:rPr>
              <w:t>10</w:t>
            </w:r>
            <w:r>
              <w:rPr>
                <w:spacing w:val="-7"/>
              </w:rPr>
              <w:t>。</w:t>
            </w:r>
          </w:p>
          <w:p w14:paraId="58A0AB1A">
            <w:pPr>
              <w:pStyle w:val="9"/>
              <w:spacing w:before="1" w:line="217" w:lineRule="auto"/>
              <w:ind w:left="2552"/>
            </w:pPr>
            <w:r>
              <w:rPr>
                <w:b/>
                <w:bCs/>
                <w:spacing w:val="-2"/>
              </w:rPr>
              <w:t>表</w:t>
            </w:r>
            <w:r>
              <w:rPr>
                <w:rFonts w:ascii="Times New Roman" w:hAnsi="Times New Roman" w:eastAsia="Times New Roman" w:cs="Times New Roman"/>
                <w:b/>
                <w:bCs/>
                <w:spacing w:val="-2"/>
              </w:rPr>
              <w:t xml:space="preserve">3-6    </w:t>
            </w:r>
            <w:r>
              <w:rPr>
                <w:b/>
                <w:bCs/>
                <w:spacing w:val="-2"/>
              </w:rPr>
              <w:t>评价区生态系统现状统计表</w:t>
            </w:r>
          </w:p>
          <w:p w14:paraId="343B3F5A">
            <w:pPr>
              <w:spacing w:line="17" w:lineRule="exact"/>
            </w:pPr>
          </w:p>
          <w:tbl>
            <w:tblPr>
              <w:tblStyle w:val="8"/>
              <w:tblW w:w="8007" w:type="dxa"/>
              <w:tblInd w:w="14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6"/>
              <w:gridCol w:w="2489"/>
              <w:gridCol w:w="837"/>
              <w:gridCol w:w="1763"/>
              <w:gridCol w:w="1362"/>
            </w:tblGrid>
            <w:tr w14:paraId="658B4B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1556" w:type="dxa"/>
                  <w:vAlign w:val="top"/>
                </w:tcPr>
                <w:p w14:paraId="008144AB">
                  <w:pPr>
                    <w:pStyle w:val="9"/>
                    <w:spacing w:before="198" w:line="228" w:lineRule="auto"/>
                    <w:ind w:left="156"/>
                    <w:rPr>
                      <w:sz w:val="20"/>
                      <w:szCs w:val="20"/>
                    </w:rPr>
                  </w:pPr>
                  <w:r>
                    <w:rPr>
                      <w:spacing w:val="7"/>
                      <w:sz w:val="20"/>
                      <w:szCs w:val="20"/>
                    </w:rPr>
                    <w:t>生态一级类型</w:t>
                  </w:r>
                </w:p>
              </w:tc>
              <w:tc>
                <w:tcPr>
                  <w:tcW w:w="2489" w:type="dxa"/>
                  <w:vAlign w:val="top"/>
                </w:tcPr>
                <w:p w14:paraId="41AF1296">
                  <w:pPr>
                    <w:pStyle w:val="9"/>
                    <w:spacing w:before="198" w:line="228" w:lineRule="auto"/>
                    <w:ind w:left="621"/>
                    <w:rPr>
                      <w:sz w:val="20"/>
                      <w:szCs w:val="20"/>
                    </w:rPr>
                  </w:pPr>
                  <w:r>
                    <w:rPr>
                      <w:spacing w:val="7"/>
                      <w:sz w:val="20"/>
                      <w:szCs w:val="20"/>
                    </w:rPr>
                    <w:t>生态二级类型</w:t>
                  </w:r>
                </w:p>
              </w:tc>
              <w:tc>
                <w:tcPr>
                  <w:tcW w:w="837" w:type="dxa"/>
                  <w:vAlign w:val="top"/>
                </w:tcPr>
                <w:p w14:paraId="73418465">
                  <w:pPr>
                    <w:pStyle w:val="9"/>
                    <w:spacing w:before="61" w:line="248" w:lineRule="auto"/>
                    <w:ind w:left="319" w:right="206" w:hanging="104"/>
                    <w:rPr>
                      <w:sz w:val="20"/>
                      <w:szCs w:val="20"/>
                    </w:rPr>
                  </w:pPr>
                  <w:r>
                    <w:rPr>
                      <w:spacing w:val="4"/>
                      <w:sz w:val="20"/>
                      <w:szCs w:val="20"/>
                    </w:rPr>
                    <w:t>斑块</w:t>
                  </w:r>
                  <w:r>
                    <w:rPr>
                      <w:sz w:val="20"/>
                      <w:szCs w:val="20"/>
                    </w:rPr>
                    <w:t>数</w:t>
                  </w:r>
                </w:p>
              </w:tc>
              <w:tc>
                <w:tcPr>
                  <w:tcW w:w="1763" w:type="dxa"/>
                  <w:vAlign w:val="top"/>
                </w:tcPr>
                <w:p w14:paraId="6F61306E">
                  <w:pPr>
                    <w:pStyle w:val="9"/>
                    <w:spacing w:before="199" w:line="228" w:lineRule="auto"/>
                    <w:ind w:left="260"/>
                    <w:rPr>
                      <w:sz w:val="20"/>
                      <w:szCs w:val="20"/>
                    </w:rPr>
                  </w:pPr>
                  <w:r>
                    <w:rPr>
                      <w:spacing w:val="6"/>
                      <w:sz w:val="20"/>
                      <w:szCs w:val="20"/>
                    </w:rPr>
                    <w:t>面积（公顷）</w:t>
                  </w:r>
                </w:p>
              </w:tc>
              <w:tc>
                <w:tcPr>
                  <w:tcW w:w="1362" w:type="dxa"/>
                  <w:vAlign w:val="top"/>
                </w:tcPr>
                <w:p w14:paraId="474B5585">
                  <w:pPr>
                    <w:pStyle w:val="9"/>
                    <w:spacing w:before="199" w:line="229" w:lineRule="auto"/>
                    <w:ind w:left="247"/>
                    <w:rPr>
                      <w:sz w:val="20"/>
                      <w:szCs w:val="20"/>
                    </w:rPr>
                  </w:pPr>
                  <w:r>
                    <w:rPr>
                      <w:spacing w:val="-2"/>
                      <w:sz w:val="20"/>
                      <w:szCs w:val="20"/>
                    </w:rPr>
                    <w:t>占比（%）</w:t>
                  </w:r>
                </w:p>
              </w:tc>
            </w:tr>
            <w:tr w14:paraId="37E7FD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556" w:type="dxa"/>
                  <w:vAlign w:val="top"/>
                </w:tcPr>
                <w:p w14:paraId="61FB2E82">
                  <w:pPr>
                    <w:pStyle w:val="9"/>
                    <w:spacing w:before="194" w:line="228" w:lineRule="auto"/>
                    <w:ind w:left="156"/>
                    <w:rPr>
                      <w:sz w:val="20"/>
                      <w:szCs w:val="20"/>
                    </w:rPr>
                  </w:pPr>
                  <w:r>
                    <w:rPr>
                      <w:spacing w:val="7"/>
                      <w:sz w:val="20"/>
                      <w:szCs w:val="20"/>
                    </w:rPr>
                    <w:t>草地生态系统</w:t>
                  </w:r>
                </w:p>
              </w:tc>
              <w:tc>
                <w:tcPr>
                  <w:tcW w:w="2489" w:type="dxa"/>
                  <w:vAlign w:val="top"/>
                </w:tcPr>
                <w:p w14:paraId="1FE78319">
                  <w:pPr>
                    <w:pStyle w:val="9"/>
                    <w:spacing w:before="194" w:line="228" w:lineRule="auto"/>
                    <w:ind w:left="827"/>
                    <w:rPr>
                      <w:sz w:val="20"/>
                      <w:szCs w:val="20"/>
                    </w:rPr>
                  </w:pPr>
                  <w:r>
                    <w:rPr>
                      <w:spacing w:val="7"/>
                      <w:sz w:val="20"/>
                      <w:szCs w:val="20"/>
                    </w:rPr>
                    <w:t>稀疏草地</w:t>
                  </w:r>
                </w:p>
              </w:tc>
              <w:tc>
                <w:tcPr>
                  <w:tcW w:w="837" w:type="dxa"/>
                  <w:vAlign w:val="top"/>
                </w:tcPr>
                <w:p w14:paraId="48314F6B">
                  <w:pPr>
                    <w:spacing w:before="230" w:line="195" w:lineRule="auto"/>
                    <w:ind w:left="319"/>
                    <w:rPr>
                      <w:rFonts w:ascii="Times New Roman" w:hAnsi="Times New Roman" w:eastAsia="Times New Roman" w:cs="Times New Roman"/>
                      <w:sz w:val="20"/>
                      <w:szCs w:val="20"/>
                    </w:rPr>
                  </w:pPr>
                  <w:r>
                    <w:rPr>
                      <w:rFonts w:ascii="Times New Roman" w:hAnsi="Times New Roman" w:eastAsia="Times New Roman" w:cs="Times New Roman"/>
                      <w:sz w:val="20"/>
                      <w:szCs w:val="20"/>
                    </w:rPr>
                    <w:t>32</w:t>
                  </w:r>
                </w:p>
              </w:tc>
              <w:tc>
                <w:tcPr>
                  <w:tcW w:w="1763" w:type="dxa"/>
                  <w:vAlign w:val="top"/>
                </w:tcPr>
                <w:p w14:paraId="3A11DBD3">
                  <w:pPr>
                    <w:spacing w:before="230" w:line="195" w:lineRule="auto"/>
                    <w:ind w:left="65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81.66</w:t>
                  </w:r>
                </w:p>
              </w:tc>
              <w:tc>
                <w:tcPr>
                  <w:tcW w:w="1362" w:type="dxa"/>
                  <w:vAlign w:val="top"/>
                </w:tcPr>
                <w:p w14:paraId="256CAA3E">
                  <w:pPr>
                    <w:spacing w:before="230" w:line="195" w:lineRule="auto"/>
                    <w:ind w:left="45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62.71</w:t>
                  </w:r>
                </w:p>
              </w:tc>
            </w:tr>
            <w:tr w14:paraId="07069D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556" w:type="dxa"/>
                  <w:vAlign w:val="top"/>
                </w:tcPr>
                <w:p w14:paraId="501DE280">
                  <w:pPr>
                    <w:pStyle w:val="9"/>
                    <w:spacing w:before="194" w:line="228" w:lineRule="auto"/>
                    <w:ind w:left="157"/>
                    <w:rPr>
                      <w:sz w:val="20"/>
                      <w:szCs w:val="20"/>
                    </w:rPr>
                  </w:pPr>
                  <w:r>
                    <w:rPr>
                      <w:spacing w:val="7"/>
                      <w:sz w:val="20"/>
                      <w:szCs w:val="20"/>
                    </w:rPr>
                    <w:t>灌丛生态系统</w:t>
                  </w:r>
                </w:p>
              </w:tc>
              <w:tc>
                <w:tcPr>
                  <w:tcW w:w="2489" w:type="dxa"/>
                  <w:vAlign w:val="top"/>
                </w:tcPr>
                <w:p w14:paraId="2CB3F129">
                  <w:pPr>
                    <w:pStyle w:val="9"/>
                    <w:spacing w:before="194" w:line="228" w:lineRule="auto"/>
                    <w:ind w:left="827"/>
                    <w:rPr>
                      <w:sz w:val="20"/>
                      <w:szCs w:val="20"/>
                    </w:rPr>
                  </w:pPr>
                  <w:r>
                    <w:rPr>
                      <w:spacing w:val="7"/>
                      <w:sz w:val="20"/>
                      <w:szCs w:val="20"/>
                    </w:rPr>
                    <w:t>稀疏灌丛</w:t>
                  </w:r>
                </w:p>
              </w:tc>
              <w:tc>
                <w:tcPr>
                  <w:tcW w:w="837" w:type="dxa"/>
                  <w:vAlign w:val="top"/>
                </w:tcPr>
                <w:p w14:paraId="03120144">
                  <w:pPr>
                    <w:spacing w:before="231" w:line="195" w:lineRule="auto"/>
                    <w:ind w:left="31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20</w:t>
                  </w:r>
                </w:p>
              </w:tc>
              <w:tc>
                <w:tcPr>
                  <w:tcW w:w="1763" w:type="dxa"/>
                  <w:vAlign w:val="top"/>
                </w:tcPr>
                <w:p w14:paraId="2A13E979">
                  <w:pPr>
                    <w:spacing w:before="231" w:line="195" w:lineRule="auto"/>
                    <w:ind w:left="64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23.26</w:t>
                  </w:r>
                </w:p>
              </w:tc>
              <w:tc>
                <w:tcPr>
                  <w:tcW w:w="1362" w:type="dxa"/>
                  <w:vAlign w:val="top"/>
                </w:tcPr>
                <w:p w14:paraId="1D1C534C">
                  <w:pPr>
                    <w:spacing w:before="231" w:line="195" w:lineRule="auto"/>
                    <w:ind w:left="46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17.86</w:t>
                  </w:r>
                </w:p>
              </w:tc>
            </w:tr>
            <w:tr w14:paraId="4DEB99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556" w:type="dxa"/>
                  <w:vAlign w:val="top"/>
                </w:tcPr>
                <w:p w14:paraId="3C577BC9">
                  <w:pPr>
                    <w:pStyle w:val="9"/>
                    <w:spacing w:before="195" w:line="228" w:lineRule="auto"/>
                    <w:ind w:left="154"/>
                    <w:rPr>
                      <w:sz w:val="20"/>
                      <w:szCs w:val="20"/>
                    </w:rPr>
                  </w:pPr>
                  <w:r>
                    <w:rPr>
                      <w:spacing w:val="8"/>
                      <w:sz w:val="20"/>
                      <w:szCs w:val="20"/>
                    </w:rPr>
                    <w:t>城镇生态系统</w:t>
                  </w:r>
                </w:p>
              </w:tc>
              <w:tc>
                <w:tcPr>
                  <w:tcW w:w="2489" w:type="dxa"/>
                  <w:vAlign w:val="top"/>
                </w:tcPr>
                <w:p w14:paraId="54AC2B11">
                  <w:pPr>
                    <w:pStyle w:val="9"/>
                    <w:spacing w:before="195" w:line="228" w:lineRule="auto"/>
                    <w:ind w:left="830"/>
                    <w:rPr>
                      <w:sz w:val="20"/>
                      <w:szCs w:val="20"/>
                    </w:rPr>
                  </w:pPr>
                  <w:r>
                    <w:rPr>
                      <w:spacing w:val="6"/>
                      <w:sz w:val="20"/>
                      <w:szCs w:val="20"/>
                    </w:rPr>
                    <w:t>工矿交通</w:t>
                  </w:r>
                </w:p>
              </w:tc>
              <w:tc>
                <w:tcPr>
                  <w:tcW w:w="837" w:type="dxa"/>
                  <w:vAlign w:val="top"/>
                </w:tcPr>
                <w:p w14:paraId="25783270">
                  <w:pPr>
                    <w:spacing w:before="234" w:line="195" w:lineRule="auto"/>
                    <w:ind w:left="31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w:t>
                  </w:r>
                </w:p>
              </w:tc>
              <w:tc>
                <w:tcPr>
                  <w:tcW w:w="1763" w:type="dxa"/>
                  <w:vAlign w:val="top"/>
                </w:tcPr>
                <w:p w14:paraId="0B6E5B03">
                  <w:pPr>
                    <w:spacing w:before="234" w:line="195" w:lineRule="auto"/>
                    <w:ind w:left="64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20.38</w:t>
                  </w:r>
                </w:p>
              </w:tc>
              <w:tc>
                <w:tcPr>
                  <w:tcW w:w="1362" w:type="dxa"/>
                  <w:vAlign w:val="top"/>
                </w:tcPr>
                <w:p w14:paraId="726C0CCD">
                  <w:pPr>
                    <w:spacing w:before="234" w:line="195" w:lineRule="auto"/>
                    <w:ind w:left="46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15.65</w:t>
                  </w:r>
                </w:p>
              </w:tc>
            </w:tr>
            <w:tr w14:paraId="18FBE2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556" w:type="dxa"/>
                  <w:vAlign w:val="top"/>
                </w:tcPr>
                <w:p w14:paraId="28475206">
                  <w:pPr>
                    <w:pStyle w:val="9"/>
                    <w:spacing w:before="196" w:line="228" w:lineRule="auto"/>
                    <w:ind w:left="155"/>
                    <w:rPr>
                      <w:sz w:val="20"/>
                      <w:szCs w:val="20"/>
                    </w:rPr>
                  </w:pPr>
                  <w:r>
                    <w:rPr>
                      <w:spacing w:val="8"/>
                      <w:sz w:val="20"/>
                      <w:szCs w:val="20"/>
                    </w:rPr>
                    <w:t>其他生态系统</w:t>
                  </w:r>
                </w:p>
              </w:tc>
              <w:tc>
                <w:tcPr>
                  <w:tcW w:w="2489" w:type="dxa"/>
                  <w:vAlign w:val="top"/>
                </w:tcPr>
                <w:p w14:paraId="2F7CEAB1">
                  <w:pPr>
                    <w:pStyle w:val="9"/>
                    <w:spacing w:before="196" w:line="228" w:lineRule="auto"/>
                    <w:ind w:left="933"/>
                    <w:rPr>
                      <w:sz w:val="20"/>
                      <w:szCs w:val="20"/>
                    </w:rPr>
                  </w:pPr>
                  <w:r>
                    <w:rPr>
                      <w:spacing w:val="6"/>
                      <w:sz w:val="20"/>
                      <w:szCs w:val="20"/>
                    </w:rPr>
                    <w:t>裸土地</w:t>
                  </w:r>
                </w:p>
              </w:tc>
              <w:tc>
                <w:tcPr>
                  <w:tcW w:w="837" w:type="dxa"/>
                  <w:vAlign w:val="top"/>
                </w:tcPr>
                <w:p w14:paraId="062F8979">
                  <w:pPr>
                    <w:spacing w:before="234" w:line="195" w:lineRule="auto"/>
                    <w:ind w:left="368"/>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763" w:type="dxa"/>
                  <w:vAlign w:val="top"/>
                </w:tcPr>
                <w:p w14:paraId="1097A4E2">
                  <w:pPr>
                    <w:spacing w:before="234" w:line="195" w:lineRule="auto"/>
                    <w:ind w:left="69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4.91</w:t>
                  </w:r>
                </w:p>
              </w:tc>
              <w:tc>
                <w:tcPr>
                  <w:tcW w:w="1362" w:type="dxa"/>
                  <w:vAlign w:val="top"/>
                </w:tcPr>
                <w:p w14:paraId="05DDA8F7">
                  <w:pPr>
                    <w:spacing w:before="234" w:line="195" w:lineRule="auto"/>
                    <w:ind w:left="50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3.77</w:t>
                  </w:r>
                </w:p>
              </w:tc>
            </w:tr>
            <w:tr w14:paraId="554F42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4045" w:type="dxa"/>
                  <w:gridSpan w:val="2"/>
                  <w:vAlign w:val="top"/>
                </w:tcPr>
                <w:p w14:paraId="5A3FAC9F">
                  <w:pPr>
                    <w:pStyle w:val="9"/>
                    <w:spacing w:before="48" w:line="229" w:lineRule="auto"/>
                    <w:ind w:left="1818"/>
                    <w:rPr>
                      <w:sz w:val="20"/>
                      <w:szCs w:val="20"/>
                    </w:rPr>
                  </w:pPr>
                  <w:r>
                    <w:rPr>
                      <w:spacing w:val="4"/>
                      <w:sz w:val="20"/>
                      <w:szCs w:val="20"/>
                    </w:rPr>
                    <w:t>合计</w:t>
                  </w:r>
                </w:p>
              </w:tc>
              <w:tc>
                <w:tcPr>
                  <w:tcW w:w="837" w:type="dxa"/>
                  <w:vAlign w:val="top"/>
                </w:tcPr>
                <w:p w14:paraId="571E37BA">
                  <w:pPr>
                    <w:spacing w:before="84" w:line="195" w:lineRule="auto"/>
                    <w:ind w:left="31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76</w:t>
                  </w:r>
                </w:p>
              </w:tc>
              <w:tc>
                <w:tcPr>
                  <w:tcW w:w="1763" w:type="dxa"/>
                  <w:vAlign w:val="top"/>
                </w:tcPr>
                <w:p w14:paraId="310D3FBC">
                  <w:pPr>
                    <w:spacing w:before="84" w:line="195" w:lineRule="auto"/>
                    <w:ind w:left="616"/>
                    <w:rPr>
                      <w:rFonts w:ascii="Times New Roman" w:hAnsi="Times New Roman" w:eastAsia="Times New Roman" w:cs="Times New Roman"/>
                      <w:sz w:val="20"/>
                      <w:szCs w:val="20"/>
                    </w:rPr>
                  </w:pPr>
                  <w:r>
                    <w:rPr>
                      <w:rFonts w:ascii="Times New Roman" w:hAnsi="Times New Roman" w:eastAsia="Times New Roman" w:cs="Times New Roman"/>
                      <w:sz w:val="20"/>
                      <w:szCs w:val="20"/>
                    </w:rPr>
                    <w:t>130.21</w:t>
                  </w:r>
                </w:p>
              </w:tc>
              <w:tc>
                <w:tcPr>
                  <w:tcW w:w="1362" w:type="dxa"/>
                  <w:vAlign w:val="top"/>
                </w:tcPr>
                <w:p w14:paraId="7C9A7079">
                  <w:pPr>
                    <w:spacing w:before="84" w:line="195" w:lineRule="auto"/>
                    <w:ind w:left="54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100</w:t>
                  </w:r>
                </w:p>
              </w:tc>
            </w:tr>
          </w:tbl>
          <w:p w14:paraId="69F9E059">
            <w:pPr>
              <w:pStyle w:val="9"/>
              <w:spacing w:before="170" w:line="219" w:lineRule="auto"/>
              <w:ind w:left="588"/>
            </w:pPr>
            <w:r>
              <w:rPr>
                <w:spacing w:val="-1"/>
              </w:rPr>
              <w:t>此次解译包括稀疏草地、稀疏灌丛、工矿交通、裸土地。</w:t>
            </w:r>
          </w:p>
          <w:p w14:paraId="3FD86D07">
            <w:pPr>
              <w:pStyle w:val="9"/>
              <w:spacing w:before="245" w:line="218" w:lineRule="auto"/>
              <w:ind w:left="616"/>
            </w:pPr>
            <w:r>
              <w:rPr>
                <w:spacing w:val="16"/>
              </w:rPr>
              <w:t>由评价区生态系统现状统计表可知</w:t>
            </w:r>
            <w:r>
              <w:rPr>
                <w:spacing w:val="-72"/>
              </w:rPr>
              <w:t xml:space="preserve"> </w:t>
            </w:r>
            <w:r>
              <w:rPr>
                <w:spacing w:val="16"/>
              </w:rPr>
              <w:t>，评价区范围稀疏草</w:t>
            </w:r>
            <w:r>
              <w:rPr>
                <w:spacing w:val="15"/>
              </w:rPr>
              <w:t>地占地面积</w:t>
            </w:r>
          </w:p>
          <w:p w14:paraId="3374AF66">
            <w:pPr>
              <w:pStyle w:val="9"/>
              <w:spacing w:before="187" w:line="362" w:lineRule="auto"/>
              <w:ind w:left="110" w:right="156" w:firstLine="2"/>
              <w:jc w:val="both"/>
            </w:pPr>
            <w:r>
              <w:rPr>
                <w:rFonts w:ascii="Times New Roman" w:hAnsi="Times New Roman" w:eastAsia="Times New Roman" w:cs="Times New Roman"/>
                <w:spacing w:val="-6"/>
              </w:rPr>
              <w:t>81.66hm</w:t>
            </w:r>
            <w:r>
              <w:rPr>
                <w:rFonts w:ascii="Times New Roman" w:hAnsi="Times New Roman" w:eastAsia="Times New Roman" w:cs="Times New Roman"/>
                <w:spacing w:val="-6"/>
                <w:position w:val="7"/>
                <w:sz w:val="15"/>
                <w:szCs w:val="15"/>
              </w:rPr>
              <w:t>2</w:t>
            </w:r>
            <w:r>
              <w:rPr>
                <w:spacing w:val="-6"/>
              </w:rPr>
              <w:t>，占评价区</w:t>
            </w:r>
            <w:r>
              <w:rPr>
                <w:spacing w:val="-50"/>
              </w:rPr>
              <w:t xml:space="preserve"> </w:t>
            </w:r>
            <w:r>
              <w:rPr>
                <w:rFonts w:ascii="Times New Roman" w:hAnsi="Times New Roman" w:eastAsia="Times New Roman" w:cs="Times New Roman"/>
                <w:spacing w:val="-6"/>
              </w:rPr>
              <w:t>62.71%</w:t>
            </w:r>
            <w:r>
              <w:rPr>
                <w:spacing w:val="-6"/>
              </w:rPr>
              <w:t>；稀疏</w:t>
            </w:r>
            <w:r>
              <w:rPr>
                <w:spacing w:val="-7"/>
              </w:rPr>
              <w:t>灌丛占地面积</w:t>
            </w:r>
            <w:r>
              <w:rPr>
                <w:spacing w:val="-55"/>
              </w:rPr>
              <w:t xml:space="preserve"> </w:t>
            </w:r>
            <w:r>
              <w:rPr>
                <w:rFonts w:ascii="Times New Roman" w:hAnsi="Times New Roman" w:eastAsia="Times New Roman" w:cs="Times New Roman"/>
                <w:spacing w:val="-7"/>
              </w:rPr>
              <w:t>23.26hm</w:t>
            </w:r>
            <w:r>
              <w:rPr>
                <w:rFonts w:ascii="Times New Roman" w:hAnsi="Times New Roman" w:eastAsia="Times New Roman" w:cs="Times New Roman"/>
                <w:spacing w:val="-7"/>
                <w:position w:val="7"/>
                <w:sz w:val="15"/>
                <w:szCs w:val="15"/>
              </w:rPr>
              <w:t>2</w:t>
            </w:r>
            <w:r>
              <w:rPr>
                <w:spacing w:val="-7"/>
              </w:rPr>
              <w:t>，占评价区</w:t>
            </w:r>
            <w:r>
              <w:rPr>
                <w:spacing w:val="-32"/>
              </w:rPr>
              <w:t xml:space="preserve"> </w:t>
            </w:r>
            <w:r>
              <w:rPr>
                <w:rFonts w:ascii="Times New Roman" w:hAnsi="Times New Roman" w:eastAsia="Times New Roman" w:cs="Times New Roman"/>
                <w:spacing w:val="-7"/>
              </w:rPr>
              <w:t>17.86%</w:t>
            </w:r>
            <w:r>
              <w:rPr>
                <w:spacing w:val="-7"/>
              </w:rPr>
              <w:t>；</w:t>
            </w:r>
            <w:r>
              <w:rPr>
                <w:spacing w:val="-2"/>
              </w:rPr>
              <w:t>工矿交通占地面积</w:t>
            </w:r>
            <w:r>
              <w:rPr>
                <w:spacing w:val="-53"/>
              </w:rPr>
              <w:t xml:space="preserve"> </w:t>
            </w:r>
            <w:r>
              <w:rPr>
                <w:rFonts w:ascii="Times New Roman" w:hAnsi="Times New Roman" w:eastAsia="Times New Roman" w:cs="Times New Roman"/>
                <w:spacing w:val="-2"/>
              </w:rPr>
              <w:t>20.38hm</w:t>
            </w:r>
            <w:r>
              <w:rPr>
                <w:rFonts w:ascii="Times New Roman" w:hAnsi="Times New Roman" w:eastAsia="Times New Roman" w:cs="Times New Roman"/>
                <w:spacing w:val="-2"/>
                <w:position w:val="7"/>
                <w:sz w:val="15"/>
                <w:szCs w:val="15"/>
              </w:rPr>
              <w:t xml:space="preserve">2 </w:t>
            </w:r>
            <w:r>
              <w:rPr>
                <w:spacing w:val="-2"/>
              </w:rPr>
              <w:t>，</w:t>
            </w:r>
            <w:r>
              <w:rPr>
                <w:spacing w:val="-69"/>
              </w:rPr>
              <w:t xml:space="preserve"> </w:t>
            </w:r>
            <w:r>
              <w:rPr>
                <w:spacing w:val="-2"/>
              </w:rPr>
              <w:t>占评价区</w:t>
            </w:r>
            <w:r>
              <w:rPr>
                <w:spacing w:val="-30"/>
              </w:rPr>
              <w:t xml:space="preserve"> </w:t>
            </w:r>
            <w:r>
              <w:rPr>
                <w:rFonts w:ascii="Times New Roman" w:hAnsi="Times New Roman" w:eastAsia="Times New Roman" w:cs="Times New Roman"/>
                <w:spacing w:val="-2"/>
              </w:rPr>
              <w:t>15.65%</w:t>
            </w:r>
            <w:r>
              <w:rPr>
                <w:spacing w:val="-2"/>
              </w:rPr>
              <w:t>；裸土地占地面积</w:t>
            </w:r>
            <w:r>
              <w:rPr>
                <w:spacing w:val="-51"/>
              </w:rPr>
              <w:t xml:space="preserve"> </w:t>
            </w:r>
            <w:r>
              <w:rPr>
                <w:rFonts w:ascii="Times New Roman" w:hAnsi="Times New Roman" w:eastAsia="Times New Roman" w:cs="Times New Roman"/>
                <w:spacing w:val="-2"/>
              </w:rPr>
              <w:t>4.91hm</w:t>
            </w:r>
            <w:r>
              <w:rPr>
                <w:rFonts w:ascii="Times New Roman" w:hAnsi="Times New Roman" w:eastAsia="Times New Roman" w:cs="Times New Roman"/>
                <w:spacing w:val="-2"/>
                <w:position w:val="7"/>
                <w:sz w:val="15"/>
                <w:szCs w:val="15"/>
              </w:rPr>
              <w:t xml:space="preserve">2 </w:t>
            </w:r>
            <w:r>
              <w:rPr>
                <w:spacing w:val="-2"/>
              </w:rPr>
              <w:t>，</w:t>
            </w:r>
            <w:r>
              <w:rPr>
                <w:spacing w:val="-3"/>
              </w:rPr>
              <w:t>占评价区</w:t>
            </w:r>
            <w:r>
              <w:rPr>
                <w:spacing w:val="-44"/>
              </w:rPr>
              <w:t xml:space="preserve"> </w:t>
            </w:r>
            <w:r>
              <w:rPr>
                <w:rFonts w:ascii="Times New Roman" w:hAnsi="Times New Roman" w:eastAsia="Times New Roman" w:cs="Times New Roman"/>
                <w:spacing w:val="-3"/>
              </w:rPr>
              <w:t>3.77%</w:t>
            </w:r>
            <w:r>
              <w:rPr>
                <w:spacing w:val="-3"/>
              </w:rPr>
              <w:t>。</w:t>
            </w:r>
          </w:p>
          <w:p w14:paraId="212C7E3E">
            <w:pPr>
              <w:pStyle w:val="9"/>
              <w:spacing w:before="159" w:line="219" w:lineRule="auto"/>
              <w:ind w:left="2552"/>
            </w:pPr>
            <w:r>
              <w:rPr>
                <w:b/>
                <w:bCs/>
                <w:spacing w:val="-2"/>
              </w:rPr>
              <w:t>表</w:t>
            </w:r>
            <w:r>
              <w:rPr>
                <w:rFonts w:ascii="Times New Roman" w:hAnsi="Times New Roman" w:eastAsia="Times New Roman" w:cs="Times New Roman"/>
                <w:b/>
                <w:bCs/>
                <w:spacing w:val="-2"/>
              </w:rPr>
              <w:t xml:space="preserve">3-7      </w:t>
            </w:r>
            <w:r>
              <w:rPr>
                <w:b/>
                <w:bCs/>
                <w:spacing w:val="-2"/>
              </w:rPr>
              <w:t>项目区生态系统现状统计表</w:t>
            </w:r>
          </w:p>
          <w:p w14:paraId="4D722895">
            <w:pPr>
              <w:spacing w:line="14" w:lineRule="exact"/>
            </w:pPr>
          </w:p>
          <w:tbl>
            <w:tblPr>
              <w:tblStyle w:val="8"/>
              <w:tblW w:w="8095" w:type="dxa"/>
              <w:tblInd w:w="1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82"/>
              <w:gridCol w:w="1778"/>
              <w:gridCol w:w="1778"/>
              <w:gridCol w:w="2757"/>
            </w:tblGrid>
            <w:tr w14:paraId="654D65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782" w:type="dxa"/>
                  <w:vAlign w:val="top"/>
                </w:tcPr>
                <w:p w14:paraId="2313D298">
                  <w:pPr>
                    <w:pStyle w:val="9"/>
                    <w:spacing w:before="41" w:line="223" w:lineRule="auto"/>
                    <w:ind w:left="267"/>
                    <w:rPr>
                      <w:sz w:val="20"/>
                      <w:szCs w:val="20"/>
                    </w:rPr>
                  </w:pPr>
                  <w:r>
                    <w:rPr>
                      <w:b/>
                      <w:bCs/>
                      <w:spacing w:val="6"/>
                      <w:sz w:val="20"/>
                      <w:szCs w:val="20"/>
                    </w:rPr>
                    <w:t>生态系统类型</w:t>
                  </w:r>
                </w:p>
              </w:tc>
              <w:tc>
                <w:tcPr>
                  <w:tcW w:w="1778" w:type="dxa"/>
                  <w:vAlign w:val="top"/>
                </w:tcPr>
                <w:p w14:paraId="16761D93">
                  <w:pPr>
                    <w:pStyle w:val="9"/>
                    <w:spacing w:before="41" w:line="223" w:lineRule="auto"/>
                    <w:ind w:left="262"/>
                    <w:rPr>
                      <w:sz w:val="20"/>
                      <w:szCs w:val="20"/>
                    </w:rPr>
                  </w:pPr>
                  <w:r>
                    <w:rPr>
                      <w:b/>
                      <w:bCs/>
                      <w:spacing w:val="5"/>
                      <w:sz w:val="20"/>
                      <w:szCs w:val="20"/>
                    </w:rPr>
                    <w:t>斑块数（个）</w:t>
                  </w:r>
                </w:p>
              </w:tc>
              <w:tc>
                <w:tcPr>
                  <w:tcW w:w="1778" w:type="dxa"/>
                  <w:vAlign w:val="top"/>
                </w:tcPr>
                <w:p w14:paraId="211DB039">
                  <w:pPr>
                    <w:pStyle w:val="9"/>
                    <w:spacing w:before="41" w:line="223" w:lineRule="auto"/>
                    <w:ind w:left="294"/>
                    <w:rPr>
                      <w:sz w:val="20"/>
                      <w:szCs w:val="20"/>
                    </w:rPr>
                  </w:pPr>
                  <w:r>
                    <w:rPr>
                      <w:b/>
                      <w:bCs/>
                      <w:spacing w:val="6"/>
                      <w:sz w:val="20"/>
                      <w:szCs w:val="20"/>
                    </w:rPr>
                    <w:t>面积（</w:t>
                  </w:r>
                  <w:r>
                    <w:rPr>
                      <w:rFonts w:ascii="Times New Roman" w:hAnsi="Times New Roman" w:eastAsia="Times New Roman" w:cs="Times New Roman"/>
                      <w:b/>
                      <w:bCs/>
                      <w:sz w:val="20"/>
                      <w:szCs w:val="20"/>
                    </w:rPr>
                    <w:t>hm</w:t>
                  </w:r>
                  <w:r>
                    <w:rPr>
                      <w:rFonts w:ascii="Times New Roman" w:hAnsi="Times New Roman" w:eastAsia="Times New Roman" w:cs="Times New Roman"/>
                      <w:b/>
                      <w:bCs/>
                      <w:spacing w:val="6"/>
                      <w:sz w:val="13"/>
                      <w:szCs w:val="13"/>
                    </w:rPr>
                    <w:t>2</w:t>
                  </w:r>
                  <w:r>
                    <w:rPr>
                      <w:b/>
                      <w:bCs/>
                      <w:spacing w:val="6"/>
                      <w:sz w:val="20"/>
                      <w:szCs w:val="20"/>
                    </w:rPr>
                    <w:t>）</w:t>
                  </w:r>
                </w:p>
              </w:tc>
              <w:tc>
                <w:tcPr>
                  <w:tcW w:w="2757" w:type="dxa"/>
                  <w:vAlign w:val="top"/>
                </w:tcPr>
                <w:p w14:paraId="15B52485">
                  <w:pPr>
                    <w:pStyle w:val="9"/>
                    <w:spacing w:before="41" w:line="223" w:lineRule="auto"/>
                    <w:ind w:left="470"/>
                    <w:rPr>
                      <w:sz w:val="20"/>
                      <w:szCs w:val="20"/>
                    </w:rPr>
                  </w:pPr>
                  <w:r>
                    <w:rPr>
                      <w:b/>
                      <w:bCs/>
                      <w:spacing w:val="2"/>
                      <w:sz w:val="20"/>
                      <w:szCs w:val="20"/>
                    </w:rPr>
                    <w:t>占总面积比例（</w:t>
                  </w:r>
                  <w:r>
                    <w:rPr>
                      <w:rFonts w:ascii="Times New Roman" w:hAnsi="Times New Roman" w:eastAsia="Times New Roman" w:cs="Times New Roman"/>
                      <w:b/>
                      <w:bCs/>
                      <w:spacing w:val="2"/>
                      <w:sz w:val="20"/>
                      <w:szCs w:val="20"/>
                    </w:rPr>
                    <w:t>%</w:t>
                  </w:r>
                  <w:r>
                    <w:rPr>
                      <w:b/>
                      <w:bCs/>
                      <w:spacing w:val="2"/>
                      <w:sz w:val="20"/>
                      <w:szCs w:val="20"/>
                    </w:rPr>
                    <w:t>）</w:t>
                  </w:r>
                </w:p>
              </w:tc>
            </w:tr>
            <w:tr w14:paraId="6B3763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 w:hRule="atLeast"/>
              </w:trPr>
              <w:tc>
                <w:tcPr>
                  <w:tcW w:w="1782" w:type="dxa"/>
                  <w:vAlign w:val="top"/>
                </w:tcPr>
                <w:p w14:paraId="2E836D68">
                  <w:pPr>
                    <w:pStyle w:val="9"/>
                    <w:spacing w:before="38" w:line="221" w:lineRule="auto"/>
                    <w:ind w:left="479"/>
                    <w:rPr>
                      <w:sz w:val="20"/>
                      <w:szCs w:val="20"/>
                    </w:rPr>
                  </w:pPr>
                  <w:r>
                    <w:rPr>
                      <w:spacing w:val="6"/>
                      <w:sz w:val="20"/>
                      <w:szCs w:val="20"/>
                    </w:rPr>
                    <w:t>工矿交通</w:t>
                  </w:r>
                </w:p>
              </w:tc>
              <w:tc>
                <w:tcPr>
                  <w:tcW w:w="1778" w:type="dxa"/>
                  <w:vAlign w:val="top"/>
                </w:tcPr>
                <w:p w14:paraId="3617376F">
                  <w:pPr>
                    <w:spacing w:before="74" w:line="195" w:lineRule="auto"/>
                    <w:ind w:left="859"/>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778" w:type="dxa"/>
                  <w:vAlign w:val="top"/>
                </w:tcPr>
                <w:p w14:paraId="4510A487">
                  <w:pPr>
                    <w:spacing w:before="74" w:line="195" w:lineRule="auto"/>
                    <w:ind w:left="70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4.66</w:t>
                  </w:r>
                </w:p>
              </w:tc>
              <w:tc>
                <w:tcPr>
                  <w:tcW w:w="2757" w:type="dxa"/>
                  <w:vAlign w:val="top"/>
                </w:tcPr>
                <w:p w14:paraId="5CE527BF">
                  <w:pPr>
                    <w:spacing w:before="74" w:line="195" w:lineRule="auto"/>
                    <w:ind w:left="1112"/>
                    <w:rPr>
                      <w:rFonts w:ascii="Times New Roman" w:hAnsi="Times New Roman" w:eastAsia="Times New Roman" w:cs="Times New Roman"/>
                      <w:sz w:val="20"/>
                      <w:szCs w:val="20"/>
                    </w:rPr>
                  </w:pPr>
                  <w:r>
                    <w:rPr>
                      <w:rFonts w:ascii="Times New Roman" w:hAnsi="Times New Roman" w:eastAsia="Times New Roman" w:cs="Times New Roman"/>
                      <w:sz w:val="20"/>
                      <w:szCs w:val="20"/>
                    </w:rPr>
                    <w:t>100.00</w:t>
                  </w:r>
                </w:p>
              </w:tc>
            </w:tr>
            <w:tr w14:paraId="31A7F1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1782" w:type="dxa"/>
                  <w:vAlign w:val="top"/>
                </w:tcPr>
                <w:p w14:paraId="45AEC947">
                  <w:pPr>
                    <w:pStyle w:val="9"/>
                    <w:spacing w:before="40" w:line="224" w:lineRule="auto"/>
                    <w:ind w:left="691"/>
                    <w:rPr>
                      <w:sz w:val="20"/>
                      <w:szCs w:val="20"/>
                    </w:rPr>
                  </w:pPr>
                  <w:r>
                    <w:rPr>
                      <w:spacing w:val="2"/>
                      <w:sz w:val="20"/>
                      <w:szCs w:val="20"/>
                    </w:rPr>
                    <w:t>总计</w:t>
                  </w:r>
                </w:p>
              </w:tc>
              <w:tc>
                <w:tcPr>
                  <w:tcW w:w="1778" w:type="dxa"/>
                  <w:vAlign w:val="top"/>
                </w:tcPr>
                <w:p w14:paraId="670366BA">
                  <w:pPr>
                    <w:spacing w:before="76" w:line="195" w:lineRule="auto"/>
                    <w:ind w:left="859"/>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778" w:type="dxa"/>
                  <w:vAlign w:val="top"/>
                </w:tcPr>
                <w:p w14:paraId="6B2109C4">
                  <w:pPr>
                    <w:spacing w:before="76" w:line="195" w:lineRule="auto"/>
                    <w:ind w:left="70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4.66</w:t>
                  </w:r>
                </w:p>
              </w:tc>
              <w:tc>
                <w:tcPr>
                  <w:tcW w:w="2757" w:type="dxa"/>
                  <w:vAlign w:val="top"/>
                </w:tcPr>
                <w:p w14:paraId="6DA34DE3">
                  <w:pPr>
                    <w:spacing w:before="76" w:line="195" w:lineRule="auto"/>
                    <w:ind w:left="1112"/>
                    <w:rPr>
                      <w:rFonts w:ascii="Times New Roman" w:hAnsi="Times New Roman" w:eastAsia="Times New Roman" w:cs="Times New Roman"/>
                      <w:sz w:val="20"/>
                      <w:szCs w:val="20"/>
                    </w:rPr>
                  </w:pPr>
                  <w:r>
                    <w:rPr>
                      <w:rFonts w:ascii="Times New Roman" w:hAnsi="Times New Roman" w:eastAsia="Times New Roman" w:cs="Times New Roman"/>
                      <w:sz w:val="20"/>
                      <w:szCs w:val="20"/>
                    </w:rPr>
                    <w:t>100.00</w:t>
                  </w:r>
                </w:p>
              </w:tc>
            </w:tr>
          </w:tbl>
          <w:p w14:paraId="22F12B2C">
            <w:pPr>
              <w:pStyle w:val="9"/>
              <w:spacing w:before="232" w:line="219" w:lineRule="auto"/>
              <w:ind w:left="588"/>
            </w:pPr>
            <w:r>
              <w:rPr>
                <w:spacing w:val="-4"/>
              </w:rPr>
              <w:t>此次项目区解译全部为工业用地，</w:t>
            </w:r>
            <w:r>
              <w:rPr>
                <w:spacing w:val="-64"/>
              </w:rPr>
              <w:t xml:space="preserve"> </w:t>
            </w:r>
            <w:r>
              <w:rPr>
                <w:spacing w:val="-4"/>
              </w:rPr>
              <w:t>占项目区</w:t>
            </w:r>
            <w:r>
              <w:rPr>
                <w:spacing w:val="-32"/>
              </w:rPr>
              <w:t xml:space="preserve"> </w:t>
            </w:r>
            <w:r>
              <w:rPr>
                <w:rFonts w:ascii="Times New Roman" w:hAnsi="Times New Roman" w:eastAsia="Times New Roman" w:cs="Times New Roman"/>
                <w:spacing w:val="-4"/>
              </w:rPr>
              <w:t>100%</w:t>
            </w:r>
            <w:r>
              <w:rPr>
                <w:spacing w:val="-4"/>
              </w:rPr>
              <w:t>。</w:t>
            </w:r>
          </w:p>
        </w:tc>
      </w:tr>
    </w:tbl>
    <w:p w14:paraId="40B81077">
      <w:pPr>
        <w:pStyle w:val="3"/>
      </w:pPr>
    </w:p>
    <w:p w14:paraId="3B47ABDA">
      <w:pPr>
        <w:sectPr>
          <w:footerReference r:id="rId44" w:type="default"/>
          <w:pgSz w:w="11906" w:h="16838"/>
          <w:pgMar w:top="1416" w:right="1413" w:bottom="1295" w:left="1413" w:header="0" w:footer="1133" w:gutter="0"/>
          <w:cols w:space="720" w:num="1"/>
        </w:sectPr>
      </w:pPr>
    </w:p>
    <w:tbl>
      <w:tblPr>
        <w:tblStyle w:val="8"/>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1"/>
        <w:gridCol w:w="108"/>
        <w:gridCol w:w="1931"/>
        <w:gridCol w:w="1994"/>
        <w:gridCol w:w="2342"/>
        <w:gridCol w:w="1821"/>
        <w:gridCol w:w="117"/>
      </w:tblGrid>
      <w:tr w14:paraId="680B0F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796" w:hRule="atLeast"/>
        </w:trPr>
        <w:tc>
          <w:tcPr>
            <w:tcW w:w="751" w:type="dxa"/>
            <w:vMerge w:val="restart"/>
            <w:tcBorders>
              <w:top w:val="single" w:color="000000" w:sz="6" w:space="0"/>
              <w:left w:val="single" w:color="000000" w:sz="6" w:space="0"/>
              <w:bottom w:val="nil"/>
            </w:tcBorders>
            <w:vAlign w:val="top"/>
          </w:tcPr>
          <w:p w14:paraId="0E6ED66C">
            <w:pPr>
              <w:rPr>
                <w:rFonts w:ascii="Arial"/>
                <w:sz w:val="21"/>
              </w:rPr>
            </w:pPr>
            <w:r>
              <w:drawing>
                <wp:anchor distT="0" distB="0" distL="0" distR="0" simplePos="0" relativeHeight="251668480" behindDoc="0" locked="0" layoutInCell="0" allowOverlap="1">
                  <wp:simplePos x="0" y="0"/>
                  <wp:positionH relativeFrom="page">
                    <wp:posOffset>1856105</wp:posOffset>
                  </wp:positionH>
                  <wp:positionV relativeFrom="page">
                    <wp:posOffset>912495</wp:posOffset>
                  </wp:positionV>
                  <wp:extent cx="4317365" cy="6100445"/>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246"/>
                          <a:stretch>
                            <a:fillRect/>
                          </a:stretch>
                        </pic:blipFill>
                        <pic:spPr>
                          <a:xfrm>
                            <a:off x="0" y="0"/>
                            <a:ext cx="4317492" cy="6100572"/>
                          </a:xfrm>
                          <a:prstGeom prst="rect">
                            <a:avLst/>
                          </a:prstGeom>
                        </pic:spPr>
                      </pic:pic>
                    </a:graphicData>
                  </a:graphic>
                </wp:anchor>
              </w:drawing>
            </w:r>
          </w:p>
        </w:tc>
        <w:tc>
          <w:tcPr>
            <w:tcW w:w="8313" w:type="dxa"/>
            <w:gridSpan w:val="6"/>
            <w:tcBorders>
              <w:top w:val="single" w:color="000000" w:sz="6" w:space="0"/>
              <w:right w:val="single" w:color="000000" w:sz="6" w:space="0"/>
            </w:tcBorders>
            <w:vAlign w:val="top"/>
          </w:tcPr>
          <w:p w14:paraId="237F9C3A">
            <w:pPr>
              <w:spacing w:line="243" w:lineRule="auto"/>
              <w:rPr>
                <w:rFonts w:ascii="Arial"/>
                <w:sz w:val="21"/>
              </w:rPr>
            </w:pPr>
          </w:p>
          <w:p w14:paraId="00B9C081">
            <w:pPr>
              <w:spacing w:line="243" w:lineRule="auto"/>
              <w:rPr>
                <w:rFonts w:ascii="Arial"/>
                <w:sz w:val="21"/>
              </w:rPr>
            </w:pPr>
          </w:p>
          <w:p w14:paraId="7ED2C0DC">
            <w:pPr>
              <w:spacing w:line="243" w:lineRule="auto"/>
              <w:rPr>
                <w:rFonts w:ascii="Arial"/>
                <w:sz w:val="21"/>
              </w:rPr>
            </w:pPr>
          </w:p>
          <w:p w14:paraId="32D5A019">
            <w:pPr>
              <w:spacing w:line="243" w:lineRule="auto"/>
              <w:rPr>
                <w:rFonts w:ascii="Arial"/>
                <w:sz w:val="21"/>
              </w:rPr>
            </w:pPr>
          </w:p>
          <w:p w14:paraId="15F185BE">
            <w:pPr>
              <w:spacing w:line="243" w:lineRule="auto"/>
              <w:rPr>
                <w:rFonts w:ascii="Arial"/>
                <w:sz w:val="21"/>
              </w:rPr>
            </w:pPr>
          </w:p>
          <w:p w14:paraId="33A58631">
            <w:pPr>
              <w:spacing w:line="243" w:lineRule="auto"/>
              <w:rPr>
                <w:rFonts w:ascii="Arial"/>
                <w:sz w:val="21"/>
              </w:rPr>
            </w:pPr>
          </w:p>
          <w:p w14:paraId="0D57191C">
            <w:pPr>
              <w:spacing w:line="244" w:lineRule="auto"/>
              <w:rPr>
                <w:rFonts w:ascii="Arial"/>
                <w:sz w:val="21"/>
              </w:rPr>
            </w:pPr>
          </w:p>
          <w:p w14:paraId="0D55C512">
            <w:pPr>
              <w:spacing w:line="244" w:lineRule="auto"/>
              <w:rPr>
                <w:rFonts w:ascii="Arial"/>
                <w:sz w:val="21"/>
              </w:rPr>
            </w:pPr>
          </w:p>
          <w:p w14:paraId="42B9B6AA">
            <w:pPr>
              <w:spacing w:line="244" w:lineRule="auto"/>
              <w:rPr>
                <w:rFonts w:ascii="Arial"/>
                <w:sz w:val="21"/>
              </w:rPr>
            </w:pPr>
          </w:p>
          <w:p w14:paraId="2C5AE3B4">
            <w:pPr>
              <w:spacing w:line="244" w:lineRule="auto"/>
              <w:rPr>
                <w:rFonts w:ascii="Arial"/>
                <w:sz w:val="21"/>
              </w:rPr>
            </w:pPr>
          </w:p>
          <w:p w14:paraId="707948A7">
            <w:pPr>
              <w:spacing w:line="244" w:lineRule="auto"/>
              <w:rPr>
                <w:rFonts w:ascii="Arial"/>
                <w:sz w:val="21"/>
              </w:rPr>
            </w:pPr>
          </w:p>
          <w:p w14:paraId="4DF7D759">
            <w:pPr>
              <w:spacing w:line="244" w:lineRule="auto"/>
              <w:rPr>
                <w:rFonts w:ascii="Arial"/>
                <w:sz w:val="21"/>
              </w:rPr>
            </w:pPr>
          </w:p>
          <w:p w14:paraId="33828B9D">
            <w:pPr>
              <w:spacing w:line="244" w:lineRule="auto"/>
              <w:rPr>
                <w:rFonts w:ascii="Arial"/>
                <w:sz w:val="21"/>
              </w:rPr>
            </w:pPr>
          </w:p>
          <w:p w14:paraId="3AC6FF35">
            <w:pPr>
              <w:spacing w:line="244" w:lineRule="auto"/>
              <w:rPr>
                <w:rFonts w:ascii="Arial"/>
                <w:sz w:val="21"/>
              </w:rPr>
            </w:pPr>
          </w:p>
          <w:p w14:paraId="310902A7">
            <w:pPr>
              <w:spacing w:line="244" w:lineRule="auto"/>
              <w:rPr>
                <w:rFonts w:ascii="Arial"/>
                <w:sz w:val="21"/>
              </w:rPr>
            </w:pPr>
          </w:p>
          <w:p w14:paraId="7401104E">
            <w:pPr>
              <w:spacing w:line="244" w:lineRule="auto"/>
              <w:rPr>
                <w:rFonts w:ascii="Arial"/>
                <w:sz w:val="21"/>
              </w:rPr>
            </w:pPr>
          </w:p>
          <w:p w14:paraId="4A42BC9B">
            <w:pPr>
              <w:spacing w:line="244" w:lineRule="auto"/>
              <w:rPr>
                <w:rFonts w:ascii="Arial"/>
                <w:sz w:val="21"/>
              </w:rPr>
            </w:pPr>
          </w:p>
          <w:p w14:paraId="54B25756">
            <w:pPr>
              <w:spacing w:line="244" w:lineRule="auto"/>
              <w:rPr>
                <w:rFonts w:ascii="Arial"/>
                <w:sz w:val="21"/>
              </w:rPr>
            </w:pPr>
          </w:p>
          <w:p w14:paraId="1C64B7EF">
            <w:pPr>
              <w:spacing w:line="244" w:lineRule="auto"/>
              <w:rPr>
                <w:rFonts w:ascii="Arial"/>
                <w:sz w:val="21"/>
              </w:rPr>
            </w:pPr>
          </w:p>
          <w:p w14:paraId="7156A14E">
            <w:pPr>
              <w:spacing w:line="244" w:lineRule="auto"/>
              <w:rPr>
                <w:rFonts w:ascii="Arial"/>
                <w:sz w:val="21"/>
              </w:rPr>
            </w:pPr>
          </w:p>
          <w:p w14:paraId="2471C268">
            <w:pPr>
              <w:spacing w:line="244" w:lineRule="auto"/>
              <w:rPr>
                <w:rFonts w:ascii="Arial"/>
                <w:sz w:val="21"/>
              </w:rPr>
            </w:pPr>
          </w:p>
          <w:p w14:paraId="343768B8">
            <w:pPr>
              <w:spacing w:line="244" w:lineRule="auto"/>
              <w:rPr>
                <w:rFonts w:ascii="Arial"/>
                <w:sz w:val="21"/>
              </w:rPr>
            </w:pPr>
          </w:p>
          <w:p w14:paraId="10C6FC61">
            <w:pPr>
              <w:spacing w:line="244" w:lineRule="auto"/>
              <w:rPr>
                <w:rFonts w:ascii="Arial"/>
                <w:sz w:val="21"/>
              </w:rPr>
            </w:pPr>
          </w:p>
          <w:p w14:paraId="26FBBE3E">
            <w:pPr>
              <w:spacing w:line="244" w:lineRule="auto"/>
              <w:rPr>
                <w:rFonts w:ascii="Arial"/>
                <w:sz w:val="21"/>
              </w:rPr>
            </w:pPr>
          </w:p>
          <w:p w14:paraId="72B4D6DF">
            <w:pPr>
              <w:spacing w:line="244" w:lineRule="auto"/>
              <w:rPr>
                <w:rFonts w:ascii="Arial"/>
                <w:sz w:val="21"/>
              </w:rPr>
            </w:pPr>
          </w:p>
          <w:p w14:paraId="01C1993B">
            <w:pPr>
              <w:spacing w:line="244" w:lineRule="auto"/>
              <w:rPr>
                <w:rFonts w:ascii="Arial"/>
                <w:sz w:val="21"/>
              </w:rPr>
            </w:pPr>
          </w:p>
          <w:p w14:paraId="79AFB6D6">
            <w:pPr>
              <w:spacing w:line="244" w:lineRule="auto"/>
              <w:rPr>
                <w:rFonts w:ascii="Arial"/>
                <w:sz w:val="21"/>
              </w:rPr>
            </w:pPr>
          </w:p>
          <w:p w14:paraId="3CD69F6F">
            <w:pPr>
              <w:spacing w:line="244" w:lineRule="auto"/>
              <w:rPr>
                <w:rFonts w:ascii="Arial"/>
                <w:sz w:val="21"/>
              </w:rPr>
            </w:pPr>
          </w:p>
          <w:p w14:paraId="39CB5234">
            <w:pPr>
              <w:spacing w:line="244" w:lineRule="auto"/>
              <w:rPr>
                <w:rFonts w:ascii="Arial"/>
                <w:sz w:val="21"/>
              </w:rPr>
            </w:pPr>
          </w:p>
          <w:p w14:paraId="3D30F2BC">
            <w:pPr>
              <w:spacing w:line="244" w:lineRule="auto"/>
              <w:rPr>
                <w:rFonts w:ascii="Arial"/>
                <w:sz w:val="21"/>
              </w:rPr>
            </w:pPr>
          </w:p>
          <w:p w14:paraId="37A19CD1">
            <w:pPr>
              <w:spacing w:line="244" w:lineRule="auto"/>
              <w:rPr>
                <w:rFonts w:ascii="Arial"/>
                <w:sz w:val="21"/>
              </w:rPr>
            </w:pPr>
          </w:p>
          <w:p w14:paraId="4AC28E31">
            <w:pPr>
              <w:spacing w:line="244" w:lineRule="auto"/>
              <w:rPr>
                <w:rFonts w:ascii="Arial"/>
                <w:sz w:val="21"/>
              </w:rPr>
            </w:pPr>
          </w:p>
          <w:p w14:paraId="5F7475A8">
            <w:pPr>
              <w:spacing w:line="244" w:lineRule="auto"/>
              <w:rPr>
                <w:rFonts w:ascii="Arial"/>
                <w:sz w:val="21"/>
              </w:rPr>
            </w:pPr>
          </w:p>
          <w:p w14:paraId="132D6246">
            <w:pPr>
              <w:spacing w:line="244" w:lineRule="auto"/>
              <w:rPr>
                <w:rFonts w:ascii="Arial"/>
                <w:sz w:val="21"/>
              </w:rPr>
            </w:pPr>
          </w:p>
          <w:p w14:paraId="621B64D3">
            <w:pPr>
              <w:spacing w:line="244" w:lineRule="auto"/>
              <w:rPr>
                <w:rFonts w:ascii="Arial"/>
                <w:sz w:val="21"/>
              </w:rPr>
            </w:pPr>
          </w:p>
          <w:p w14:paraId="15BF1D6A">
            <w:pPr>
              <w:spacing w:line="244" w:lineRule="auto"/>
              <w:rPr>
                <w:rFonts w:ascii="Arial"/>
                <w:sz w:val="21"/>
              </w:rPr>
            </w:pPr>
          </w:p>
          <w:p w14:paraId="0852202C">
            <w:pPr>
              <w:spacing w:line="244" w:lineRule="auto"/>
              <w:rPr>
                <w:rFonts w:ascii="Arial"/>
                <w:sz w:val="21"/>
              </w:rPr>
            </w:pPr>
          </w:p>
          <w:p w14:paraId="4FEE6182">
            <w:pPr>
              <w:spacing w:line="244" w:lineRule="auto"/>
              <w:rPr>
                <w:rFonts w:ascii="Arial"/>
                <w:sz w:val="21"/>
              </w:rPr>
            </w:pPr>
          </w:p>
          <w:p w14:paraId="2662D850">
            <w:pPr>
              <w:spacing w:line="244" w:lineRule="auto"/>
              <w:rPr>
                <w:rFonts w:ascii="Arial"/>
                <w:sz w:val="21"/>
              </w:rPr>
            </w:pPr>
          </w:p>
          <w:p w14:paraId="22CD6E26">
            <w:pPr>
              <w:pStyle w:val="9"/>
              <w:spacing w:before="78" w:line="219" w:lineRule="auto"/>
              <w:ind w:left="2488"/>
            </w:pPr>
            <w:r>
              <w:rPr>
                <w:b/>
                <w:bCs/>
                <w:spacing w:val="-3"/>
              </w:rPr>
              <w:t>图</w:t>
            </w:r>
            <w:r>
              <w:rPr>
                <w:spacing w:val="-56"/>
              </w:rPr>
              <w:t xml:space="preserve"> </w:t>
            </w:r>
            <w:r>
              <w:rPr>
                <w:rFonts w:ascii="Times New Roman" w:hAnsi="Times New Roman" w:eastAsia="Times New Roman" w:cs="Times New Roman"/>
                <w:b/>
                <w:bCs/>
                <w:spacing w:val="-3"/>
              </w:rPr>
              <w:t xml:space="preserve">3-10    </w:t>
            </w:r>
            <w:r>
              <w:rPr>
                <w:b/>
                <w:bCs/>
                <w:spacing w:val="-3"/>
              </w:rPr>
              <w:t>本项目生态系统解译图</w:t>
            </w:r>
          </w:p>
          <w:p w14:paraId="2CFCFB2D">
            <w:pPr>
              <w:pStyle w:val="9"/>
              <w:spacing w:before="162" w:line="219" w:lineRule="auto"/>
              <w:ind w:left="584"/>
              <w:outlineLvl w:val="1"/>
            </w:pPr>
            <w:r>
              <w:rPr>
                <w:rFonts w:ascii="Times New Roman" w:hAnsi="Times New Roman" w:eastAsia="Times New Roman" w:cs="Times New Roman"/>
                <w:b/>
                <w:bCs/>
                <w:spacing w:val="-3"/>
              </w:rPr>
              <w:t>4.</w:t>
            </w:r>
            <w:r>
              <w:rPr>
                <w:b/>
                <w:bCs/>
                <w:spacing w:val="-3"/>
              </w:rPr>
              <w:t>植被覆盖度现状</w:t>
            </w:r>
          </w:p>
          <w:p w14:paraId="1EAF152A">
            <w:pPr>
              <w:pStyle w:val="9"/>
              <w:spacing w:before="184" w:line="362" w:lineRule="auto"/>
              <w:ind w:left="107" w:right="102" w:firstLine="479"/>
            </w:pPr>
            <w:r>
              <w:rPr>
                <w:spacing w:val="-4"/>
              </w:rPr>
              <w:t>评价区植被覆盖度具体情况见表</w:t>
            </w:r>
            <w:r>
              <w:rPr>
                <w:spacing w:val="-37"/>
              </w:rPr>
              <w:t xml:space="preserve"> </w:t>
            </w:r>
            <w:r>
              <w:rPr>
                <w:rFonts w:ascii="Times New Roman" w:hAnsi="Times New Roman" w:eastAsia="Times New Roman" w:cs="Times New Roman"/>
                <w:spacing w:val="-4"/>
              </w:rPr>
              <w:t>3-8</w:t>
            </w:r>
            <w:r>
              <w:rPr>
                <w:spacing w:val="-4"/>
              </w:rPr>
              <w:t>，项目区植被覆盖度情况见表</w:t>
            </w:r>
            <w:r>
              <w:rPr>
                <w:spacing w:val="-50"/>
              </w:rPr>
              <w:t xml:space="preserve"> </w:t>
            </w:r>
            <w:r>
              <w:rPr>
                <w:rFonts w:ascii="Times New Roman" w:hAnsi="Times New Roman" w:eastAsia="Times New Roman" w:cs="Times New Roman"/>
                <w:spacing w:val="-4"/>
              </w:rPr>
              <w:t>3-9</w:t>
            </w:r>
            <w:r>
              <w:rPr>
                <w:spacing w:val="-4"/>
              </w:rPr>
              <w:t>，生</w:t>
            </w:r>
            <w:r>
              <w:rPr>
                <w:spacing w:val="-5"/>
              </w:rPr>
              <w:t>态系统见图</w:t>
            </w:r>
            <w:r>
              <w:rPr>
                <w:spacing w:val="-49"/>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33"/>
              </w:rPr>
              <w:t xml:space="preserve"> </w:t>
            </w:r>
            <w:r>
              <w:rPr>
                <w:rFonts w:ascii="Times New Roman" w:hAnsi="Times New Roman" w:eastAsia="Times New Roman" w:cs="Times New Roman"/>
                <w:spacing w:val="-5"/>
              </w:rPr>
              <w:t>11</w:t>
            </w:r>
            <w:r>
              <w:rPr>
                <w:spacing w:val="-5"/>
              </w:rPr>
              <w:t>。</w:t>
            </w:r>
          </w:p>
          <w:p w14:paraId="055C9620">
            <w:pPr>
              <w:pStyle w:val="9"/>
              <w:spacing w:before="1" w:line="215" w:lineRule="auto"/>
              <w:ind w:left="2432"/>
            </w:pPr>
            <w:r>
              <w:rPr>
                <w:b/>
                <w:bCs/>
                <w:spacing w:val="-2"/>
              </w:rPr>
              <w:t>表</w:t>
            </w:r>
            <w:r>
              <w:rPr>
                <w:rFonts w:ascii="Times New Roman" w:hAnsi="Times New Roman" w:eastAsia="Times New Roman" w:cs="Times New Roman"/>
                <w:b/>
                <w:bCs/>
                <w:spacing w:val="-2"/>
              </w:rPr>
              <w:t xml:space="preserve">3-8    </w:t>
            </w:r>
            <w:r>
              <w:rPr>
                <w:b/>
                <w:bCs/>
                <w:spacing w:val="-2"/>
              </w:rPr>
              <w:t>评价区植被覆盖度现状统计表</w:t>
            </w:r>
          </w:p>
        </w:tc>
      </w:tr>
      <w:tr w14:paraId="64C8E7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1" w:type="dxa"/>
            <w:vMerge w:val="continue"/>
            <w:tcBorders>
              <w:top w:val="nil"/>
              <w:left w:val="single" w:color="000000" w:sz="6" w:space="0"/>
              <w:bottom w:val="nil"/>
            </w:tcBorders>
            <w:vAlign w:val="top"/>
          </w:tcPr>
          <w:p w14:paraId="64BCE92C">
            <w:pPr>
              <w:rPr>
                <w:rFonts w:ascii="Arial"/>
                <w:sz w:val="21"/>
              </w:rPr>
            </w:pPr>
          </w:p>
        </w:tc>
        <w:tc>
          <w:tcPr>
            <w:tcW w:w="108" w:type="dxa"/>
            <w:tcBorders>
              <w:top w:val="nil"/>
              <w:bottom w:val="nil"/>
            </w:tcBorders>
            <w:vAlign w:val="top"/>
          </w:tcPr>
          <w:p w14:paraId="5766186F">
            <w:pPr>
              <w:rPr>
                <w:rFonts w:ascii="Arial"/>
                <w:sz w:val="21"/>
              </w:rPr>
            </w:pPr>
          </w:p>
        </w:tc>
        <w:tc>
          <w:tcPr>
            <w:tcW w:w="1931" w:type="dxa"/>
            <w:vAlign w:val="top"/>
          </w:tcPr>
          <w:p w14:paraId="79D3B532">
            <w:pPr>
              <w:pStyle w:val="9"/>
              <w:spacing w:before="44" w:line="228" w:lineRule="auto"/>
              <w:ind w:left="126"/>
              <w:rPr>
                <w:sz w:val="20"/>
                <w:szCs w:val="20"/>
              </w:rPr>
            </w:pPr>
            <w:r>
              <w:rPr>
                <w:spacing w:val="8"/>
                <w:sz w:val="20"/>
                <w:szCs w:val="20"/>
              </w:rPr>
              <w:t>植被覆盖度划分标</w:t>
            </w:r>
          </w:p>
          <w:p w14:paraId="5E53B03E">
            <w:pPr>
              <w:pStyle w:val="9"/>
              <w:spacing w:before="25" w:line="205" w:lineRule="auto"/>
              <w:ind w:left="864"/>
              <w:rPr>
                <w:sz w:val="20"/>
                <w:szCs w:val="20"/>
              </w:rPr>
            </w:pPr>
            <w:r>
              <w:rPr>
                <w:sz w:val="20"/>
                <w:szCs w:val="20"/>
              </w:rPr>
              <w:t>准</w:t>
            </w:r>
          </w:p>
        </w:tc>
        <w:tc>
          <w:tcPr>
            <w:tcW w:w="1994" w:type="dxa"/>
            <w:vAlign w:val="top"/>
          </w:tcPr>
          <w:p w14:paraId="52C268EA">
            <w:pPr>
              <w:pStyle w:val="9"/>
              <w:spacing w:before="179" w:line="228" w:lineRule="auto"/>
              <w:ind w:left="266"/>
              <w:rPr>
                <w:sz w:val="20"/>
                <w:szCs w:val="20"/>
              </w:rPr>
            </w:pPr>
            <w:r>
              <w:rPr>
                <w:spacing w:val="8"/>
                <w:sz w:val="20"/>
                <w:szCs w:val="20"/>
              </w:rPr>
              <w:t>植被覆盖度类型</w:t>
            </w:r>
          </w:p>
        </w:tc>
        <w:tc>
          <w:tcPr>
            <w:tcW w:w="2342" w:type="dxa"/>
            <w:vAlign w:val="top"/>
          </w:tcPr>
          <w:p w14:paraId="6E21B9CE">
            <w:pPr>
              <w:pStyle w:val="9"/>
              <w:spacing w:before="179" w:line="221" w:lineRule="auto"/>
              <w:ind w:left="619"/>
              <w:rPr>
                <w:rFonts w:ascii="Times New Roman" w:hAnsi="Times New Roman" w:eastAsia="Times New Roman" w:cs="Times New Roman"/>
                <w:sz w:val="20"/>
                <w:szCs w:val="20"/>
              </w:rPr>
            </w:pPr>
            <w:r>
              <w:rPr>
                <w:spacing w:val="7"/>
                <w:sz w:val="20"/>
                <w:szCs w:val="20"/>
              </w:rPr>
              <w:t>面积（公顷</w:t>
            </w:r>
            <w:r>
              <w:rPr>
                <w:rFonts w:ascii="Times New Roman" w:hAnsi="Times New Roman" w:eastAsia="Times New Roman" w:cs="Times New Roman"/>
                <w:spacing w:val="7"/>
                <w:sz w:val="20"/>
                <w:szCs w:val="20"/>
              </w:rPr>
              <w:t>)</w:t>
            </w:r>
          </w:p>
        </w:tc>
        <w:tc>
          <w:tcPr>
            <w:tcW w:w="1821" w:type="dxa"/>
            <w:vAlign w:val="top"/>
          </w:tcPr>
          <w:p w14:paraId="239126CF">
            <w:pPr>
              <w:pStyle w:val="9"/>
              <w:spacing w:before="179" w:line="229" w:lineRule="auto"/>
              <w:ind w:left="447"/>
              <w:rPr>
                <w:sz w:val="20"/>
                <w:szCs w:val="20"/>
              </w:rPr>
            </w:pPr>
            <w:r>
              <w:rPr>
                <w:spacing w:val="-1"/>
                <w:sz w:val="20"/>
                <w:szCs w:val="20"/>
              </w:rPr>
              <w:t>占比（</w:t>
            </w:r>
            <w:r>
              <w:rPr>
                <w:rFonts w:ascii="Times New Roman" w:hAnsi="Times New Roman" w:eastAsia="Times New Roman" w:cs="Times New Roman"/>
                <w:spacing w:val="-1"/>
                <w:sz w:val="20"/>
                <w:szCs w:val="20"/>
              </w:rPr>
              <w:t>%</w:t>
            </w:r>
            <w:r>
              <w:rPr>
                <w:spacing w:val="-1"/>
                <w:sz w:val="20"/>
                <w:szCs w:val="20"/>
              </w:rPr>
              <w:t>）</w:t>
            </w:r>
          </w:p>
        </w:tc>
        <w:tc>
          <w:tcPr>
            <w:tcW w:w="117" w:type="dxa"/>
            <w:tcBorders>
              <w:top w:val="nil"/>
              <w:bottom w:val="nil"/>
              <w:right w:val="single" w:color="000000" w:sz="6" w:space="0"/>
            </w:tcBorders>
            <w:vAlign w:val="top"/>
          </w:tcPr>
          <w:p w14:paraId="6F4AC1D9">
            <w:pPr>
              <w:rPr>
                <w:rFonts w:ascii="Arial"/>
                <w:sz w:val="21"/>
              </w:rPr>
            </w:pPr>
          </w:p>
        </w:tc>
      </w:tr>
      <w:tr w14:paraId="56A68C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751" w:type="dxa"/>
            <w:vMerge w:val="continue"/>
            <w:tcBorders>
              <w:top w:val="nil"/>
              <w:left w:val="single" w:color="000000" w:sz="6" w:space="0"/>
              <w:bottom w:val="nil"/>
            </w:tcBorders>
            <w:vAlign w:val="top"/>
          </w:tcPr>
          <w:p w14:paraId="22E54EF1">
            <w:pPr>
              <w:rPr>
                <w:rFonts w:ascii="Arial"/>
                <w:sz w:val="21"/>
              </w:rPr>
            </w:pPr>
          </w:p>
        </w:tc>
        <w:tc>
          <w:tcPr>
            <w:tcW w:w="108" w:type="dxa"/>
            <w:tcBorders>
              <w:top w:val="nil"/>
              <w:bottom w:val="nil"/>
            </w:tcBorders>
            <w:vAlign w:val="top"/>
          </w:tcPr>
          <w:p w14:paraId="2EB38FB7">
            <w:pPr>
              <w:rPr>
                <w:rFonts w:ascii="Arial"/>
                <w:sz w:val="21"/>
              </w:rPr>
            </w:pPr>
          </w:p>
        </w:tc>
        <w:tc>
          <w:tcPr>
            <w:tcW w:w="1931" w:type="dxa"/>
            <w:vAlign w:val="top"/>
          </w:tcPr>
          <w:p w14:paraId="698E4220">
            <w:pPr>
              <w:spacing w:before="93" w:line="195" w:lineRule="auto"/>
              <w:ind w:left="70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&lt;10%</w:t>
            </w:r>
          </w:p>
        </w:tc>
        <w:tc>
          <w:tcPr>
            <w:tcW w:w="1994" w:type="dxa"/>
            <w:vAlign w:val="top"/>
          </w:tcPr>
          <w:p w14:paraId="444F490D">
            <w:pPr>
              <w:pStyle w:val="9"/>
              <w:spacing w:before="57" w:line="218" w:lineRule="auto"/>
              <w:ind w:left="579"/>
              <w:rPr>
                <w:sz w:val="20"/>
                <w:szCs w:val="20"/>
              </w:rPr>
            </w:pPr>
            <w:r>
              <w:rPr>
                <w:spacing w:val="7"/>
                <w:sz w:val="20"/>
                <w:szCs w:val="20"/>
              </w:rPr>
              <w:t>低覆盖度</w:t>
            </w:r>
          </w:p>
        </w:tc>
        <w:tc>
          <w:tcPr>
            <w:tcW w:w="2342" w:type="dxa"/>
            <w:vAlign w:val="top"/>
          </w:tcPr>
          <w:p w14:paraId="0D8193A3">
            <w:pPr>
              <w:spacing w:before="93" w:line="195" w:lineRule="auto"/>
              <w:ind w:left="99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0.09</w:t>
            </w:r>
          </w:p>
        </w:tc>
        <w:tc>
          <w:tcPr>
            <w:tcW w:w="1821" w:type="dxa"/>
            <w:vAlign w:val="top"/>
          </w:tcPr>
          <w:p w14:paraId="7C462894">
            <w:pPr>
              <w:spacing w:before="90" w:line="189" w:lineRule="auto"/>
              <w:ind w:left="727"/>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0.07</w:t>
            </w:r>
          </w:p>
        </w:tc>
        <w:tc>
          <w:tcPr>
            <w:tcW w:w="117" w:type="dxa"/>
            <w:tcBorders>
              <w:top w:val="nil"/>
              <w:bottom w:val="nil"/>
              <w:right w:val="single" w:color="000000" w:sz="6" w:space="0"/>
            </w:tcBorders>
            <w:vAlign w:val="top"/>
          </w:tcPr>
          <w:p w14:paraId="3B7C0669">
            <w:pPr>
              <w:rPr>
                <w:rFonts w:ascii="Arial"/>
                <w:sz w:val="21"/>
              </w:rPr>
            </w:pPr>
          </w:p>
        </w:tc>
      </w:tr>
      <w:tr w14:paraId="4471A2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751" w:type="dxa"/>
            <w:vMerge w:val="continue"/>
            <w:tcBorders>
              <w:top w:val="nil"/>
              <w:left w:val="single" w:color="000000" w:sz="6" w:space="0"/>
              <w:bottom w:val="nil"/>
            </w:tcBorders>
            <w:vAlign w:val="top"/>
          </w:tcPr>
          <w:p w14:paraId="18EE0AA5">
            <w:pPr>
              <w:rPr>
                <w:rFonts w:ascii="Arial"/>
                <w:sz w:val="21"/>
              </w:rPr>
            </w:pPr>
          </w:p>
        </w:tc>
        <w:tc>
          <w:tcPr>
            <w:tcW w:w="108" w:type="dxa"/>
            <w:tcBorders>
              <w:top w:val="nil"/>
              <w:bottom w:val="nil"/>
            </w:tcBorders>
            <w:vAlign w:val="top"/>
          </w:tcPr>
          <w:p w14:paraId="5DFD7E85">
            <w:pPr>
              <w:rPr>
                <w:rFonts w:ascii="Arial"/>
                <w:sz w:val="21"/>
              </w:rPr>
            </w:pPr>
          </w:p>
        </w:tc>
        <w:tc>
          <w:tcPr>
            <w:tcW w:w="1931" w:type="dxa"/>
            <w:vAlign w:val="top"/>
          </w:tcPr>
          <w:p w14:paraId="34E26142">
            <w:pPr>
              <w:spacing w:before="94" w:line="195" w:lineRule="auto"/>
              <w:ind w:left="423"/>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&lt;10%-&lt;30%</w:t>
            </w:r>
          </w:p>
        </w:tc>
        <w:tc>
          <w:tcPr>
            <w:tcW w:w="1994" w:type="dxa"/>
            <w:vAlign w:val="top"/>
          </w:tcPr>
          <w:p w14:paraId="4154647D">
            <w:pPr>
              <w:pStyle w:val="9"/>
              <w:spacing w:before="57" w:line="219" w:lineRule="auto"/>
              <w:ind w:left="474"/>
              <w:rPr>
                <w:sz w:val="20"/>
                <w:szCs w:val="20"/>
              </w:rPr>
            </w:pPr>
            <w:r>
              <w:rPr>
                <w:spacing w:val="8"/>
                <w:sz w:val="20"/>
                <w:szCs w:val="20"/>
              </w:rPr>
              <w:t>较低覆盖度</w:t>
            </w:r>
          </w:p>
        </w:tc>
        <w:tc>
          <w:tcPr>
            <w:tcW w:w="2342" w:type="dxa"/>
            <w:vAlign w:val="top"/>
          </w:tcPr>
          <w:p w14:paraId="73BAE053">
            <w:pPr>
              <w:spacing w:before="94" w:line="195" w:lineRule="auto"/>
              <w:ind w:left="99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3.15</w:t>
            </w:r>
          </w:p>
        </w:tc>
        <w:tc>
          <w:tcPr>
            <w:tcW w:w="1821" w:type="dxa"/>
            <w:vAlign w:val="top"/>
          </w:tcPr>
          <w:p w14:paraId="66FF9379">
            <w:pPr>
              <w:spacing w:before="90" w:line="189" w:lineRule="auto"/>
              <w:ind w:left="724"/>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2.42</w:t>
            </w:r>
          </w:p>
        </w:tc>
        <w:tc>
          <w:tcPr>
            <w:tcW w:w="117" w:type="dxa"/>
            <w:tcBorders>
              <w:top w:val="nil"/>
              <w:bottom w:val="nil"/>
              <w:right w:val="single" w:color="000000" w:sz="6" w:space="0"/>
            </w:tcBorders>
            <w:vAlign w:val="top"/>
          </w:tcPr>
          <w:p w14:paraId="5600C249">
            <w:pPr>
              <w:rPr>
                <w:rFonts w:ascii="Arial"/>
                <w:sz w:val="21"/>
              </w:rPr>
            </w:pPr>
          </w:p>
        </w:tc>
      </w:tr>
      <w:tr w14:paraId="186777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751" w:type="dxa"/>
            <w:vMerge w:val="continue"/>
            <w:tcBorders>
              <w:top w:val="nil"/>
              <w:left w:val="single" w:color="000000" w:sz="6" w:space="0"/>
              <w:bottom w:val="nil"/>
            </w:tcBorders>
            <w:vAlign w:val="top"/>
          </w:tcPr>
          <w:p w14:paraId="2478E287">
            <w:pPr>
              <w:rPr>
                <w:rFonts w:ascii="Arial"/>
                <w:sz w:val="21"/>
              </w:rPr>
            </w:pPr>
          </w:p>
        </w:tc>
        <w:tc>
          <w:tcPr>
            <w:tcW w:w="108" w:type="dxa"/>
            <w:tcBorders>
              <w:top w:val="nil"/>
              <w:bottom w:val="nil"/>
            </w:tcBorders>
            <w:vAlign w:val="top"/>
          </w:tcPr>
          <w:p w14:paraId="5E18321D">
            <w:pPr>
              <w:rPr>
                <w:rFonts w:ascii="Arial"/>
                <w:sz w:val="21"/>
              </w:rPr>
            </w:pPr>
          </w:p>
        </w:tc>
        <w:tc>
          <w:tcPr>
            <w:tcW w:w="1931" w:type="dxa"/>
            <w:vAlign w:val="top"/>
          </w:tcPr>
          <w:p w14:paraId="697F9E54">
            <w:pPr>
              <w:spacing w:before="96" w:line="195" w:lineRule="auto"/>
              <w:ind w:left="423"/>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&lt;30%-&lt;45%</w:t>
            </w:r>
          </w:p>
        </w:tc>
        <w:tc>
          <w:tcPr>
            <w:tcW w:w="1994" w:type="dxa"/>
            <w:vAlign w:val="top"/>
          </w:tcPr>
          <w:p w14:paraId="29813BBF">
            <w:pPr>
              <w:pStyle w:val="9"/>
              <w:spacing w:before="57" w:line="219" w:lineRule="auto"/>
              <w:ind w:left="494"/>
              <w:rPr>
                <w:sz w:val="20"/>
                <w:szCs w:val="20"/>
              </w:rPr>
            </w:pPr>
            <w:r>
              <w:rPr>
                <w:spacing w:val="4"/>
                <w:sz w:val="20"/>
                <w:szCs w:val="20"/>
              </w:rPr>
              <w:t>中等覆盖度</w:t>
            </w:r>
          </w:p>
        </w:tc>
        <w:tc>
          <w:tcPr>
            <w:tcW w:w="2342" w:type="dxa"/>
            <w:vAlign w:val="top"/>
          </w:tcPr>
          <w:p w14:paraId="78426A72">
            <w:pPr>
              <w:spacing w:before="96" w:line="195" w:lineRule="auto"/>
              <w:ind w:left="98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4.68</w:t>
            </w:r>
          </w:p>
        </w:tc>
        <w:tc>
          <w:tcPr>
            <w:tcW w:w="1821" w:type="dxa"/>
            <w:vAlign w:val="top"/>
          </w:tcPr>
          <w:p w14:paraId="062D92E8">
            <w:pPr>
              <w:spacing w:before="90" w:line="189" w:lineRule="auto"/>
              <w:ind w:left="728"/>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3.59</w:t>
            </w:r>
          </w:p>
        </w:tc>
        <w:tc>
          <w:tcPr>
            <w:tcW w:w="117" w:type="dxa"/>
            <w:tcBorders>
              <w:top w:val="nil"/>
              <w:bottom w:val="nil"/>
              <w:right w:val="single" w:color="000000" w:sz="6" w:space="0"/>
            </w:tcBorders>
            <w:vAlign w:val="top"/>
          </w:tcPr>
          <w:p w14:paraId="5B383EBB">
            <w:pPr>
              <w:rPr>
                <w:rFonts w:ascii="Arial"/>
                <w:sz w:val="21"/>
              </w:rPr>
            </w:pPr>
          </w:p>
        </w:tc>
      </w:tr>
      <w:tr w14:paraId="16C1BB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51" w:type="dxa"/>
            <w:vMerge w:val="continue"/>
            <w:tcBorders>
              <w:top w:val="nil"/>
              <w:left w:val="single" w:color="000000" w:sz="6" w:space="0"/>
              <w:bottom w:val="single" w:color="000000" w:sz="6" w:space="0"/>
            </w:tcBorders>
            <w:vAlign w:val="top"/>
          </w:tcPr>
          <w:p w14:paraId="409B9A33">
            <w:pPr>
              <w:rPr>
                <w:rFonts w:ascii="Arial"/>
                <w:sz w:val="21"/>
              </w:rPr>
            </w:pPr>
          </w:p>
        </w:tc>
        <w:tc>
          <w:tcPr>
            <w:tcW w:w="108" w:type="dxa"/>
            <w:tcBorders>
              <w:top w:val="nil"/>
              <w:bottom w:val="single" w:color="000000" w:sz="6" w:space="0"/>
            </w:tcBorders>
            <w:vAlign w:val="top"/>
          </w:tcPr>
          <w:p w14:paraId="44AF2A87">
            <w:pPr>
              <w:rPr>
                <w:rFonts w:ascii="Arial"/>
                <w:sz w:val="21"/>
              </w:rPr>
            </w:pPr>
          </w:p>
        </w:tc>
        <w:tc>
          <w:tcPr>
            <w:tcW w:w="1931" w:type="dxa"/>
            <w:tcBorders>
              <w:bottom w:val="single" w:color="000000" w:sz="6" w:space="0"/>
            </w:tcBorders>
            <w:vAlign w:val="top"/>
          </w:tcPr>
          <w:p w14:paraId="0F0F4E86">
            <w:pPr>
              <w:spacing w:before="95" w:line="195" w:lineRule="auto"/>
              <w:ind w:left="423"/>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&lt;45%-&lt;60%</w:t>
            </w:r>
          </w:p>
        </w:tc>
        <w:tc>
          <w:tcPr>
            <w:tcW w:w="1994" w:type="dxa"/>
            <w:tcBorders>
              <w:bottom w:val="single" w:color="000000" w:sz="6" w:space="0"/>
            </w:tcBorders>
            <w:vAlign w:val="top"/>
          </w:tcPr>
          <w:p w14:paraId="7C7F2CC8">
            <w:pPr>
              <w:pStyle w:val="9"/>
              <w:spacing w:before="57" w:line="228" w:lineRule="auto"/>
              <w:ind w:left="474"/>
              <w:rPr>
                <w:sz w:val="20"/>
                <w:szCs w:val="20"/>
              </w:rPr>
            </w:pPr>
            <w:r>
              <w:rPr>
                <w:spacing w:val="8"/>
                <w:sz w:val="20"/>
                <w:szCs w:val="20"/>
              </w:rPr>
              <w:t>较高覆盖度</w:t>
            </w:r>
          </w:p>
        </w:tc>
        <w:tc>
          <w:tcPr>
            <w:tcW w:w="2342" w:type="dxa"/>
            <w:tcBorders>
              <w:bottom w:val="single" w:color="000000" w:sz="6" w:space="0"/>
            </w:tcBorders>
            <w:vAlign w:val="top"/>
          </w:tcPr>
          <w:p w14:paraId="0CABD58E">
            <w:pPr>
              <w:spacing w:before="95" w:line="195" w:lineRule="auto"/>
              <w:ind w:left="99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7.83</w:t>
            </w:r>
          </w:p>
        </w:tc>
        <w:tc>
          <w:tcPr>
            <w:tcW w:w="1821" w:type="dxa"/>
            <w:tcBorders>
              <w:bottom w:val="single" w:color="000000" w:sz="6" w:space="0"/>
            </w:tcBorders>
            <w:vAlign w:val="top"/>
          </w:tcPr>
          <w:p w14:paraId="3BFFD1C1">
            <w:pPr>
              <w:spacing w:before="90" w:line="189" w:lineRule="auto"/>
              <w:ind w:left="728"/>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6.01</w:t>
            </w:r>
          </w:p>
        </w:tc>
        <w:tc>
          <w:tcPr>
            <w:tcW w:w="117" w:type="dxa"/>
            <w:tcBorders>
              <w:top w:val="nil"/>
              <w:bottom w:val="single" w:color="000000" w:sz="6" w:space="0"/>
              <w:right w:val="single" w:color="000000" w:sz="6" w:space="0"/>
            </w:tcBorders>
            <w:vAlign w:val="top"/>
          </w:tcPr>
          <w:p w14:paraId="7E354201">
            <w:pPr>
              <w:rPr>
                <w:rFonts w:ascii="Arial"/>
                <w:sz w:val="21"/>
              </w:rPr>
            </w:pPr>
          </w:p>
        </w:tc>
      </w:tr>
    </w:tbl>
    <w:p w14:paraId="2951BF1D">
      <w:pPr>
        <w:pStyle w:val="3"/>
      </w:pPr>
    </w:p>
    <w:p w14:paraId="55838C0B">
      <w:pPr>
        <w:sectPr>
          <w:footerReference r:id="rId45" w:type="default"/>
          <w:pgSz w:w="11906" w:h="16838"/>
          <w:pgMar w:top="1416" w:right="1413" w:bottom="1295" w:left="1413" w:header="0" w:footer="1133" w:gutter="0"/>
          <w:cols w:space="720" w:num="1"/>
        </w:sectPr>
      </w:pPr>
    </w:p>
    <w:tbl>
      <w:tblPr>
        <w:tblStyle w:val="8"/>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1"/>
        <w:gridCol w:w="2039"/>
        <w:gridCol w:w="230"/>
        <w:gridCol w:w="1764"/>
        <w:gridCol w:w="417"/>
        <w:gridCol w:w="1925"/>
        <w:gridCol w:w="353"/>
        <w:gridCol w:w="1585"/>
      </w:tblGrid>
      <w:tr w14:paraId="342333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51" w:type="dxa"/>
            <w:vMerge w:val="restart"/>
            <w:tcBorders>
              <w:top w:val="single" w:color="000000" w:sz="6" w:space="0"/>
              <w:left w:val="single" w:color="000000" w:sz="6" w:space="0"/>
              <w:bottom w:val="nil"/>
            </w:tcBorders>
            <w:vAlign w:val="top"/>
          </w:tcPr>
          <w:p w14:paraId="52190476">
            <w:pPr>
              <w:rPr>
                <w:rFonts w:ascii="Arial"/>
                <w:sz w:val="21"/>
              </w:rPr>
            </w:pPr>
            <w:r>
              <w:pict>
                <v:shape id="_x0000_s1036" o:spid="_x0000_s1036" style="position:absolute;left:0pt;margin-left:516.05pt;margin-top:279.3pt;height:108.55pt;width:0.5pt;mso-position-horizontal-relative:page;mso-position-vertical-relative:page;z-index:251671552;mso-width-relative:page;mso-height-relative:page;" filled="f" stroked="t" coordsize="10,2171" o:allowincell="f" path="m4,0l4,2170e">
                  <v:fill on="f" focussize="0,0"/>
                  <v:stroke weight="0.48pt" color="#000000" miterlimit="2" joinstyle="bevel"/>
                  <v:imagedata o:title=""/>
                  <o:lock v:ext="edit"/>
                </v:shape>
              </w:pict>
            </w:r>
            <w:r>
              <w:pict>
                <v:shape id="_x0000_s1037" o:spid="_x0000_s1037" style="position:absolute;left:0pt;margin-left:115.9pt;margin-top:278.85pt;height:109pt;width:0.5pt;mso-position-horizontal-relative:page;mso-position-vertical-relative:page;z-index:251669504;mso-width-relative:page;mso-height-relative:page;" filled="f" stroked="t" coordsize="10,2180" o:allowincell="f" path="m4,0l4,2179e">
                  <v:fill on="f" focussize="0,0"/>
                  <v:stroke weight="0.48pt" color="#000000" miterlimit="2" joinstyle="bevel"/>
                  <v:imagedata o:title=""/>
                  <o:lock v:ext="edit"/>
                </v:shape>
              </w:pict>
            </w:r>
            <w:r>
              <w:pict>
                <v:shape id="_x0000_s1038" o:spid="_x0000_s1038" style="position:absolute;left:0pt;margin-left:518.5pt;margin-top:72.3pt;height:31pt;width:0.5pt;mso-position-horizontal-relative:page;mso-position-vertical-relative:page;z-index:251670528;mso-width-relative:page;mso-height-relative:page;" filled="f" stroked="t" coordsize="10,620" o:allowincell="f" path="m4,0l4,620e">
                  <v:fill on="f" focussize="0,0"/>
                  <v:stroke weight="0.48pt" color="#000000" miterlimit="2" joinstyle="bevel"/>
                  <v:imagedata o:title=""/>
                  <o:lock v:ext="edit"/>
                </v:shape>
              </w:pict>
            </w:r>
            <w:r>
              <w:pict>
                <v:shape id="_x0000_s1039" o:spid="_x0000_s1039" style="position:absolute;left:0pt;margin-left:113.45pt;margin-top:71.85pt;height:31.5pt;width:0.5pt;mso-position-horizontal-relative:page;mso-position-vertical-relative:page;z-index:251672576;mso-width-relative:page;mso-height-relative:page;" filled="f" stroked="t" coordsize="10,630" o:allowincell="f" path="m4,0l4,629e">
                  <v:fill on="f" focussize="0,0"/>
                  <v:stroke weight="0.48pt" color="#000000" miterlimit="2" joinstyle="bevel"/>
                  <v:imagedata o:title=""/>
                  <o:lock v:ext="edit"/>
                </v:shape>
              </w:pict>
            </w:r>
          </w:p>
        </w:tc>
        <w:tc>
          <w:tcPr>
            <w:tcW w:w="2039" w:type="dxa"/>
            <w:tcBorders>
              <w:top w:val="single" w:color="000000" w:sz="6" w:space="0"/>
            </w:tcBorders>
            <w:vAlign w:val="top"/>
          </w:tcPr>
          <w:p w14:paraId="786B4F5D">
            <w:pPr>
              <w:spacing w:before="95" w:line="195" w:lineRule="auto"/>
              <w:ind w:left="81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&gt;60%</w:t>
            </w:r>
          </w:p>
        </w:tc>
        <w:tc>
          <w:tcPr>
            <w:tcW w:w="1994" w:type="dxa"/>
            <w:gridSpan w:val="2"/>
            <w:tcBorders>
              <w:top w:val="single" w:color="000000" w:sz="6" w:space="0"/>
            </w:tcBorders>
            <w:vAlign w:val="top"/>
          </w:tcPr>
          <w:p w14:paraId="0E7F3E88">
            <w:pPr>
              <w:pStyle w:val="9"/>
              <w:spacing w:before="59" w:line="228" w:lineRule="auto"/>
              <w:ind w:left="585"/>
              <w:rPr>
                <w:sz w:val="20"/>
                <w:szCs w:val="20"/>
              </w:rPr>
            </w:pPr>
            <w:r>
              <w:rPr>
                <w:spacing w:val="5"/>
                <w:sz w:val="20"/>
                <w:szCs w:val="20"/>
              </w:rPr>
              <w:t>高覆盖度</w:t>
            </w:r>
          </w:p>
        </w:tc>
        <w:tc>
          <w:tcPr>
            <w:tcW w:w="2342" w:type="dxa"/>
            <w:gridSpan w:val="2"/>
            <w:tcBorders>
              <w:top w:val="single" w:color="000000" w:sz="6" w:space="0"/>
            </w:tcBorders>
            <w:vAlign w:val="top"/>
          </w:tcPr>
          <w:p w14:paraId="040210C7">
            <w:pPr>
              <w:spacing w:before="95" w:line="195" w:lineRule="auto"/>
              <w:ind w:left="906"/>
              <w:rPr>
                <w:rFonts w:ascii="Times New Roman" w:hAnsi="Times New Roman" w:eastAsia="Times New Roman" w:cs="Times New Roman"/>
                <w:sz w:val="20"/>
                <w:szCs w:val="20"/>
              </w:rPr>
            </w:pPr>
            <w:r>
              <w:rPr>
                <w:rFonts w:ascii="Times New Roman" w:hAnsi="Times New Roman" w:eastAsia="Times New Roman" w:cs="Times New Roman"/>
                <w:sz w:val="20"/>
                <w:szCs w:val="20"/>
              </w:rPr>
              <w:t>114.46</w:t>
            </w:r>
          </w:p>
        </w:tc>
        <w:tc>
          <w:tcPr>
            <w:tcW w:w="1938" w:type="dxa"/>
            <w:gridSpan w:val="2"/>
            <w:tcBorders>
              <w:top w:val="single" w:color="000000" w:sz="6" w:space="0"/>
              <w:right w:val="single" w:color="000000" w:sz="6" w:space="0"/>
            </w:tcBorders>
            <w:vAlign w:val="top"/>
          </w:tcPr>
          <w:p w14:paraId="1D95BCAC">
            <w:pPr>
              <w:spacing w:before="90" w:line="189" w:lineRule="auto"/>
              <w:ind w:left="680"/>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87.90</w:t>
            </w:r>
          </w:p>
        </w:tc>
      </w:tr>
      <w:tr w14:paraId="01F1E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751" w:type="dxa"/>
            <w:vMerge w:val="continue"/>
            <w:tcBorders>
              <w:top w:val="nil"/>
              <w:left w:val="single" w:color="000000" w:sz="6" w:space="0"/>
              <w:bottom w:val="nil"/>
            </w:tcBorders>
            <w:vAlign w:val="top"/>
          </w:tcPr>
          <w:p w14:paraId="19DDFD08">
            <w:pPr>
              <w:rPr>
                <w:rFonts w:ascii="Arial"/>
                <w:sz w:val="21"/>
              </w:rPr>
            </w:pPr>
          </w:p>
        </w:tc>
        <w:tc>
          <w:tcPr>
            <w:tcW w:w="4033" w:type="dxa"/>
            <w:gridSpan w:val="3"/>
            <w:vAlign w:val="top"/>
          </w:tcPr>
          <w:p w14:paraId="0363F343">
            <w:pPr>
              <w:pStyle w:val="9"/>
              <w:spacing w:before="45" w:line="229" w:lineRule="auto"/>
              <w:ind w:left="1864"/>
              <w:rPr>
                <w:sz w:val="20"/>
                <w:szCs w:val="20"/>
              </w:rPr>
            </w:pPr>
            <w:r>
              <w:rPr>
                <w:spacing w:val="4"/>
                <w:sz w:val="20"/>
                <w:szCs w:val="20"/>
              </w:rPr>
              <w:t>合计</w:t>
            </w:r>
          </w:p>
        </w:tc>
        <w:tc>
          <w:tcPr>
            <w:tcW w:w="2342" w:type="dxa"/>
            <w:gridSpan w:val="2"/>
            <w:vAlign w:val="top"/>
          </w:tcPr>
          <w:p w14:paraId="67E9D5C3">
            <w:pPr>
              <w:spacing w:before="81" w:line="195" w:lineRule="auto"/>
              <w:ind w:left="906"/>
              <w:rPr>
                <w:rFonts w:ascii="Times New Roman" w:hAnsi="Times New Roman" w:eastAsia="Times New Roman" w:cs="Times New Roman"/>
                <w:sz w:val="20"/>
                <w:szCs w:val="20"/>
              </w:rPr>
            </w:pPr>
            <w:r>
              <w:rPr>
                <w:rFonts w:ascii="Times New Roman" w:hAnsi="Times New Roman" w:eastAsia="Times New Roman" w:cs="Times New Roman"/>
                <w:sz w:val="20"/>
                <w:szCs w:val="20"/>
              </w:rPr>
              <w:t>130.21</w:t>
            </w:r>
          </w:p>
        </w:tc>
        <w:tc>
          <w:tcPr>
            <w:tcW w:w="1938" w:type="dxa"/>
            <w:gridSpan w:val="2"/>
            <w:tcBorders>
              <w:right w:val="single" w:color="000000" w:sz="6" w:space="0"/>
            </w:tcBorders>
            <w:vAlign w:val="top"/>
          </w:tcPr>
          <w:p w14:paraId="6BC66978">
            <w:pPr>
              <w:spacing w:before="81" w:line="195" w:lineRule="auto"/>
              <w:ind w:left="77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100</w:t>
            </w:r>
          </w:p>
        </w:tc>
      </w:tr>
      <w:tr w14:paraId="70EA97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9" w:hRule="atLeast"/>
        </w:trPr>
        <w:tc>
          <w:tcPr>
            <w:tcW w:w="751" w:type="dxa"/>
            <w:vMerge w:val="continue"/>
            <w:tcBorders>
              <w:top w:val="nil"/>
              <w:left w:val="single" w:color="000000" w:sz="6" w:space="0"/>
              <w:bottom w:val="nil"/>
            </w:tcBorders>
            <w:vAlign w:val="top"/>
          </w:tcPr>
          <w:p w14:paraId="0F2DFAB7">
            <w:pPr>
              <w:rPr>
                <w:rFonts w:ascii="Arial"/>
                <w:sz w:val="21"/>
              </w:rPr>
            </w:pPr>
          </w:p>
        </w:tc>
        <w:tc>
          <w:tcPr>
            <w:tcW w:w="8313" w:type="dxa"/>
            <w:gridSpan w:val="7"/>
            <w:tcBorders>
              <w:right w:val="single" w:color="000000" w:sz="6" w:space="0"/>
            </w:tcBorders>
            <w:vAlign w:val="top"/>
          </w:tcPr>
          <w:p w14:paraId="2C5960A2">
            <w:pPr>
              <w:pStyle w:val="9"/>
              <w:spacing w:before="173" w:line="364" w:lineRule="auto"/>
              <w:ind w:left="106" w:right="102" w:firstLine="481"/>
            </w:pPr>
            <w:r>
              <w:rPr>
                <w:spacing w:val="-2"/>
              </w:rPr>
              <w:t>此次解译包括低覆盖度、较低覆盖度、中等覆盖度、较高覆盖</w:t>
            </w:r>
            <w:r>
              <w:rPr>
                <w:spacing w:val="-3"/>
              </w:rPr>
              <w:t>度、高覆盖</w:t>
            </w:r>
            <w:r>
              <w:rPr>
                <w:spacing w:val="-5"/>
              </w:rPr>
              <w:t>度。</w:t>
            </w:r>
          </w:p>
          <w:p w14:paraId="1D5DFA84">
            <w:pPr>
              <w:pStyle w:val="9"/>
              <w:spacing w:before="53" w:line="362" w:lineRule="auto"/>
              <w:ind w:left="107" w:right="153" w:firstLine="509"/>
            </w:pPr>
            <w:r>
              <w:rPr>
                <w:spacing w:val="9"/>
              </w:rPr>
              <w:t>由评价区植被覆盖度现状统计表可知，评价区范围低覆盖度占地面积</w:t>
            </w:r>
            <w:r>
              <w:rPr>
                <w:rFonts w:ascii="Times New Roman" w:hAnsi="Times New Roman" w:eastAsia="Times New Roman" w:cs="Times New Roman"/>
                <w:spacing w:val="-5"/>
              </w:rPr>
              <w:t>0.09hm</w:t>
            </w:r>
            <w:r>
              <w:rPr>
                <w:rFonts w:ascii="Times New Roman" w:hAnsi="Times New Roman" w:eastAsia="Times New Roman" w:cs="Times New Roman"/>
                <w:spacing w:val="-5"/>
                <w:position w:val="7"/>
                <w:sz w:val="15"/>
                <w:szCs w:val="15"/>
              </w:rPr>
              <w:t>2</w:t>
            </w:r>
            <w:r>
              <w:rPr>
                <w:rFonts w:ascii="Times New Roman" w:hAnsi="Times New Roman" w:eastAsia="Times New Roman" w:cs="Times New Roman"/>
                <w:spacing w:val="-9"/>
                <w:position w:val="7"/>
                <w:sz w:val="15"/>
                <w:szCs w:val="15"/>
              </w:rPr>
              <w:t xml:space="preserve"> </w:t>
            </w:r>
            <w:r>
              <w:rPr>
                <w:spacing w:val="-5"/>
              </w:rPr>
              <w:t>，</w:t>
            </w:r>
            <w:r>
              <w:rPr>
                <w:spacing w:val="-71"/>
              </w:rPr>
              <w:t xml:space="preserve"> </w:t>
            </w:r>
            <w:r>
              <w:rPr>
                <w:spacing w:val="-5"/>
              </w:rPr>
              <w:t>占评价区</w:t>
            </w:r>
            <w:r>
              <w:rPr>
                <w:spacing w:val="-52"/>
              </w:rPr>
              <w:t xml:space="preserve"> </w:t>
            </w:r>
            <w:r>
              <w:rPr>
                <w:rFonts w:ascii="Times New Roman" w:hAnsi="Times New Roman" w:eastAsia="Times New Roman" w:cs="Times New Roman"/>
                <w:spacing w:val="-5"/>
              </w:rPr>
              <w:t>0.07%</w:t>
            </w:r>
            <w:r>
              <w:rPr>
                <w:spacing w:val="-5"/>
              </w:rPr>
              <w:t>；较低覆盖度占地面积</w:t>
            </w:r>
            <w:r>
              <w:rPr>
                <w:spacing w:val="-50"/>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32"/>
              </w:rPr>
              <w:t xml:space="preserve"> </w:t>
            </w:r>
            <w:r>
              <w:rPr>
                <w:rFonts w:ascii="Times New Roman" w:hAnsi="Times New Roman" w:eastAsia="Times New Roman" w:cs="Times New Roman"/>
                <w:spacing w:val="-5"/>
              </w:rPr>
              <w:t>15hm</w:t>
            </w:r>
            <w:r>
              <w:rPr>
                <w:rFonts w:ascii="Times New Roman" w:hAnsi="Times New Roman" w:eastAsia="Times New Roman" w:cs="Times New Roman"/>
                <w:spacing w:val="-5"/>
                <w:position w:val="7"/>
                <w:sz w:val="15"/>
                <w:szCs w:val="15"/>
              </w:rPr>
              <w:t>2</w:t>
            </w:r>
            <w:r>
              <w:rPr>
                <w:rFonts w:ascii="Times New Roman" w:hAnsi="Times New Roman" w:eastAsia="Times New Roman" w:cs="Times New Roman"/>
                <w:spacing w:val="-7"/>
                <w:position w:val="7"/>
                <w:sz w:val="15"/>
                <w:szCs w:val="15"/>
              </w:rPr>
              <w:t xml:space="preserve"> </w:t>
            </w:r>
            <w:r>
              <w:rPr>
                <w:spacing w:val="-5"/>
              </w:rPr>
              <w:t>，</w:t>
            </w:r>
            <w:r>
              <w:rPr>
                <w:spacing w:val="-71"/>
              </w:rPr>
              <w:t xml:space="preserve"> </w:t>
            </w:r>
            <w:r>
              <w:rPr>
                <w:spacing w:val="-5"/>
              </w:rPr>
              <w:t>占评价区</w:t>
            </w:r>
            <w:r>
              <w:rPr>
                <w:spacing w:val="-55"/>
              </w:rPr>
              <w:t xml:space="preserve"> </w:t>
            </w:r>
            <w:r>
              <w:rPr>
                <w:rFonts w:ascii="Times New Roman" w:hAnsi="Times New Roman" w:eastAsia="Times New Roman" w:cs="Times New Roman"/>
                <w:spacing w:val="-5"/>
              </w:rPr>
              <w:t>2</w:t>
            </w:r>
            <w:r>
              <w:rPr>
                <w:rFonts w:ascii="Times New Roman" w:hAnsi="Times New Roman" w:eastAsia="Times New Roman" w:cs="Times New Roman"/>
                <w:spacing w:val="-6"/>
              </w:rPr>
              <w:t>.42%</w:t>
            </w:r>
            <w:r>
              <w:rPr>
                <w:spacing w:val="-6"/>
              </w:rPr>
              <w:t>；</w:t>
            </w:r>
            <w:r>
              <w:rPr>
                <w:spacing w:val="-5"/>
              </w:rPr>
              <w:t>中等覆盖度占地面积</w:t>
            </w:r>
            <w:r>
              <w:rPr>
                <w:rFonts w:ascii="Times New Roman" w:hAnsi="Times New Roman" w:eastAsia="Times New Roman" w:cs="Times New Roman"/>
                <w:spacing w:val="-5"/>
              </w:rPr>
              <w:t>4.68hm</w:t>
            </w:r>
            <w:r>
              <w:rPr>
                <w:rFonts w:ascii="Times New Roman" w:hAnsi="Times New Roman" w:eastAsia="Times New Roman" w:cs="Times New Roman"/>
                <w:spacing w:val="-5"/>
                <w:position w:val="8"/>
                <w:sz w:val="15"/>
                <w:szCs w:val="15"/>
              </w:rPr>
              <w:t>2</w:t>
            </w:r>
            <w:r>
              <w:rPr>
                <w:spacing w:val="-5"/>
              </w:rPr>
              <w:t>，占评价区</w:t>
            </w:r>
            <w:r>
              <w:rPr>
                <w:spacing w:val="-71"/>
              </w:rPr>
              <w:t xml:space="preserve"> </w:t>
            </w:r>
            <w:r>
              <w:rPr>
                <w:rFonts w:ascii="Times New Roman" w:hAnsi="Times New Roman" w:eastAsia="Times New Roman" w:cs="Times New Roman"/>
                <w:spacing w:val="-5"/>
              </w:rPr>
              <w:t>3.59%</w:t>
            </w:r>
            <w:r>
              <w:rPr>
                <w:spacing w:val="-5"/>
              </w:rPr>
              <w:t>；较高覆盖度占</w:t>
            </w:r>
            <w:r>
              <w:rPr>
                <w:spacing w:val="-6"/>
              </w:rPr>
              <w:t>地面积</w:t>
            </w:r>
            <w:r>
              <w:rPr>
                <w:rFonts w:ascii="Times New Roman" w:hAnsi="Times New Roman" w:eastAsia="Times New Roman" w:cs="Times New Roman"/>
                <w:spacing w:val="-6"/>
              </w:rPr>
              <w:t>7.83hm</w:t>
            </w:r>
            <w:r>
              <w:rPr>
                <w:rFonts w:ascii="Times New Roman" w:hAnsi="Times New Roman" w:eastAsia="Times New Roman" w:cs="Times New Roman"/>
                <w:spacing w:val="-6"/>
                <w:position w:val="8"/>
                <w:sz w:val="15"/>
                <w:szCs w:val="15"/>
              </w:rPr>
              <w:t>2</w:t>
            </w:r>
            <w:r>
              <w:rPr>
                <w:spacing w:val="-6"/>
              </w:rPr>
              <w:t>，</w:t>
            </w:r>
            <w:r>
              <w:rPr>
                <w:spacing w:val="-4"/>
              </w:rPr>
              <w:t>占评价区</w:t>
            </w:r>
            <w:r>
              <w:rPr>
                <w:spacing w:val="-32"/>
              </w:rPr>
              <w:t xml:space="preserve"> </w:t>
            </w:r>
            <w:r>
              <w:rPr>
                <w:rFonts w:ascii="Times New Roman" w:hAnsi="Times New Roman" w:eastAsia="Times New Roman" w:cs="Times New Roman"/>
                <w:spacing w:val="-4"/>
              </w:rPr>
              <w:t>6.01%</w:t>
            </w:r>
            <w:r>
              <w:rPr>
                <w:spacing w:val="-4"/>
              </w:rPr>
              <w:t>；高覆盖度占地面积</w:t>
            </w:r>
            <w:r>
              <w:rPr>
                <w:spacing w:val="-32"/>
              </w:rPr>
              <w:t xml:space="preserve"> </w:t>
            </w:r>
            <w:r>
              <w:rPr>
                <w:rFonts w:ascii="Times New Roman" w:hAnsi="Times New Roman" w:eastAsia="Times New Roman" w:cs="Times New Roman"/>
                <w:spacing w:val="-4"/>
              </w:rPr>
              <w:t>114.46hm</w:t>
            </w:r>
            <w:r>
              <w:rPr>
                <w:rFonts w:ascii="Times New Roman" w:hAnsi="Times New Roman" w:eastAsia="Times New Roman" w:cs="Times New Roman"/>
                <w:spacing w:val="-4"/>
                <w:position w:val="8"/>
                <w:sz w:val="15"/>
                <w:szCs w:val="15"/>
              </w:rPr>
              <w:t>2</w:t>
            </w:r>
            <w:r>
              <w:rPr>
                <w:rFonts w:ascii="Times New Roman" w:hAnsi="Times New Roman" w:eastAsia="Times New Roman" w:cs="Times New Roman"/>
                <w:spacing w:val="-7"/>
                <w:position w:val="8"/>
                <w:sz w:val="15"/>
                <w:szCs w:val="15"/>
              </w:rPr>
              <w:t xml:space="preserve"> </w:t>
            </w:r>
            <w:r>
              <w:rPr>
                <w:spacing w:val="-4"/>
              </w:rPr>
              <w:t>，</w:t>
            </w:r>
            <w:r>
              <w:rPr>
                <w:spacing w:val="-71"/>
              </w:rPr>
              <w:t xml:space="preserve"> </w:t>
            </w:r>
            <w:r>
              <w:rPr>
                <w:spacing w:val="-4"/>
              </w:rPr>
              <w:t>占评价区</w:t>
            </w:r>
            <w:r>
              <w:rPr>
                <w:spacing w:val="-46"/>
              </w:rPr>
              <w:t xml:space="preserve"> </w:t>
            </w:r>
            <w:r>
              <w:rPr>
                <w:rFonts w:ascii="Times New Roman" w:hAnsi="Times New Roman" w:eastAsia="Times New Roman" w:cs="Times New Roman"/>
                <w:spacing w:val="-4"/>
              </w:rPr>
              <w:t>87.90%</w:t>
            </w:r>
            <w:r>
              <w:rPr>
                <w:spacing w:val="-4"/>
              </w:rPr>
              <w:t>。</w:t>
            </w:r>
          </w:p>
          <w:p w14:paraId="49B0AFAA">
            <w:pPr>
              <w:pStyle w:val="9"/>
              <w:spacing w:before="158" w:line="219" w:lineRule="auto"/>
              <w:ind w:left="2432"/>
            </w:pPr>
            <w:r>
              <w:rPr>
                <w:b/>
                <w:bCs/>
                <w:spacing w:val="-2"/>
              </w:rPr>
              <w:t>表</w:t>
            </w:r>
            <w:r>
              <w:rPr>
                <w:rFonts w:ascii="Times New Roman" w:hAnsi="Times New Roman" w:eastAsia="Times New Roman" w:cs="Times New Roman"/>
                <w:b/>
                <w:bCs/>
                <w:spacing w:val="-2"/>
              </w:rPr>
              <w:t xml:space="preserve">3-9      </w:t>
            </w:r>
            <w:r>
              <w:rPr>
                <w:b/>
                <w:bCs/>
                <w:spacing w:val="-2"/>
              </w:rPr>
              <w:t>项目区植被覆盖度现状统计表</w:t>
            </w:r>
          </w:p>
        </w:tc>
      </w:tr>
      <w:tr w14:paraId="46C01A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751" w:type="dxa"/>
            <w:vMerge w:val="continue"/>
            <w:tcBorders>
              <w:top w:val="nil"/>
              <w:left w:val="single" w:color="000000" w:sz="6" w:space="0"/>
              <w:bottom w:val="nil"/>
            </w:tcBorders>
            <w:vAlign w:val="top"/>
          </w:tcPr>
          <w:p w14:paraId="26D4BF83">
            <w:pPr>
              <w:rPr>
                <w:rFonts w:ascii="Arial"/>
                <w:sz w:val="21"/>
              </w:rPr>
            </w:pPr>
          </w:p>
        </w:tc>
        <w:tc>
          <w:tcPr>
            <w:tcW w:w="2269" w:type="dxa"/>
            <w:gridSpan w:val="2"/>
            <w:vAlign w:val="top"/>
          </w:tcPr>
          <w:p w14:paraId="07E2D948">
            <w:pPr>
              <w:pStyle w:val="9"/>
              <w:spacing w:before="52" w:line="223" w:lineRule="auto"/>
              <w:ind w:left="270"/>
              <w:rPr>
                <w:sz w:val="20"/>
                <w:szCs w:val="20"/>
              </w:rPr>
            </w:pPr>
            <w:r>
              <w:rPr>
                <w:spacing w:val="8"/>
                <w:sz w:val="20"/>
                <w:szCs w:val="20"/>
              </w:rPr>
              <w:t>植被覆盖度划分标准</w:t>
            </w:r>
          </w:p>
        </w:tc>
        <w:tc>
          <w:tcPr>
            <w:tcW w:w="2181" w:type="dxa"/>
            <w:gridSpan w:val="2"/>
            <w:vAlign w:val="top"/>
          </w:tcPr>
          <w:p w14:paraId="7884B84F">
            <w:pPr>
              <w:pStyle w:val="9"/>
              <w:spacing w:before="52" w:line="223" w:lineRule="auto"/>
              <w:ind w:left="360"/>
              <w:rPr>
                <w:sz w:val="20"/>
                <w:szCs w:val="20"/>
              </w:rPr>
            </w:pPr>
            <w:r>
              <w:rPr>
                <w:spacing w:val="8"/>
                <w:sz w:val="20"/>
                <w:szCs w:val="20"/>
              </w:rPr>
              <w:t>植被覆盖度类型</w:t>
            </w:r>
          </w:p>
        </w:tc>
        <w:tc>
          <w:tcPr>
            <w:tcW w:w="2278" w:type="dxa"/>
            <w:gridSpan w:val="2"/>
            <w:vAlign w:val="top"/>
          </w:tcPr>
          <w:p w14:paraId="324E072B">
            <w:pPr>
              <w:pStyle w:val="9"/>
              <w:spacing w:before="52" w:line="221" w:lineRule="auto"/>
              <w:ind w:left="589"/>
              <w:rPr>
                <w:rFonts w:ascii="Times New Roman" w:hAnsi="Times New Roman" w:eastAsia="Times New Roman" w:cs="Times New Roman"/>
                <w:sz w:val="20"/>
                <w:szCs w:val="20"/>
              </w:rPr>
            </w:pPr>
            <w:r>
              <w:rPr>
                <w:spacing w:val="7"/>
                <w:sz w:val="20"/>
                <w:szCs w:val="20"/>
              </w:rPr>
              <w:t>面积（公顷</w:t>
            </w:r>
            <w:r>
              <w:rPr>
                <w:rFonts w:ascii="Times New Roman" w:hAnsi="Times New Roman" w:eastAsia="Times New Roman" w:cs="Times New Roman"/>
                <w:spacing w:val="7"/>
                <w:sz w:val="20"/>
                <w:szCs w:val="20"/>
              </w:rPr>
              <w:t>)</w:t>
            </w:r>
          </w:p>
        </w:tc>
        <w:tc>
          <w:tcPr>
            <w:tcW w:w="1585" w:type="dxa"/>
            <w:tcBorders>
              <w:right w:val="single" w:color="000000" w:sz="6" w:space="0"/>
            </w:tcBorders>
            <w:vAlign w:val="top"/>
          </w:tcPr>
          <w:p w14:paraId="124D55B8">
            <w:pPr>
              <w:pStyle w:val="9"/>
              <w:spacing w:before="52" w:line="223" w:lineRule="auto"/>
              <w:ind w:left="545"/>
              <w:rPr>
                <w:sz w:val="20"/>
                <w:szCs w:val="20"/>
              </w:rPr>
            </w:pPr>
            <w:r>
              <w:rPr>
                <w:spacing w:val="-13"/>
                <w:sz w:val="20"/>
                <w:szCs w:val="20"/>
              </w:rPr>
              <w:t>占比</w:t>
            </w:r>
          </w:p>
        </w:tc>
      </w:tr>
      <w:tr w14:paraId="72BD8D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751" w:type="dxa"/>
            <w:vMerge w:val="continue"/>
            <w:tcBorders>
              <w:top w:val="nil"/>
              <w:left w:val="single" w:color="000000" w:sz="6" w:space="0"/>
              <w:bottom w:val="nil"/>
            </w:tcBorders>
            <w:vAlign w:val="top"/>
          </w:tcPr>
          <w:p w14:paraId="520F2556">
            <w:pPr>
              <w:rPr>
                <w:rFonts w:ascii="Arial"/>
                <w:sz w:val="21"/>
              </w:rPr>
            </w:pPr>
          </w:p>
        </w:tc>
        <w:tc>
          <w:tcPr>
            <w:tcW w:w="2269" w:type="dxa"/>
            <w:gridSpan w:val="2"/>
            <w:vAlign w:val="top"/>
          </w:tcPr>
          <w:p w14:paraId="37D41B26">
            <w:pPr>
              <w:spacing w:before="89" w:line="195" w:lineRule="auto"/>
              <w:ind w:left="95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&lt;10%</w:t>
            </w:r>
          </w:p>
        </w:tc>
        <w:tc>
          <w:tcPr>
            <w:tcW w:w="2181" w:type="dxa"/>
            <w:gridSpan w:val="2"/>
            <w:vAlign w:val="top"/>
          </w:tcPr>
          <w:p w14:paraId="2CD5B0C8">
            <w:pPr>
              <w:pStyle w:val="9"/>
              <w:spacing w:before="53" w:line="222" w:lineRule="auto"/>
              <w:ind w:left="673"/>
              <w:rPr>
                <w:sz w:val="20"/>
                <w:szCs w:val="20"/>
              </w:rPr>
            </w:pPr>
            <w:r>
              <w:rPr>
                <w:spacing w:val="7"/>
                <w:sz w:val="20"/>
                <w:szCs w:val="20"/>
              </w:rPr>
              <w:t>低覆盖度</w:t>
            </w:r>
          </w:p>
        </w:tc>
        <w:tc>
          <w:tcPr>
            <w:tcW w:w="2278" w:type="dxa"/>
            <w:gridSpan w:val="2"/>
            <w:vAlign w:val="top"/>
          </w:tcPr>
          <w:p w14:paraId="62CD8DD1">
            <w:pPr>
              <w:spacing w:before="89" w:line="195" w:lineRule="auto"/>
              <w:ind w:left="96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0.05</w:t>
            </w:r>
          </w:p>
        </w:tc>
        <w:tc>
          <w:tcPr>
            <w:tcW w:w="1585" w:type="dxa"/>
            <w:tcBorders>
              <w:right w:val="single" w:color="000000" w:sz="6" w:space="0"/>
            </w:tcBorders>
            <w:vAlign w:val="top"/>
          </w:tcPr>
          <w:p w14:paraId="3AC4CEA0">
            <w:pPr>
              <w:spacing w:before="89" w:line="195" w:lineRule="auto"/>
              <w:ind w:left="55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1.07</w:t>
            </w:r>
          </w:p>
        </w:tc>
      </w:tr>
      <w:tr w14:paraId="4B1B4D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751" w:type="dxa"/>
            <w:vMerge w:val="continue"/>
            <w:tcBorders>
              <w:top w:val="nil"/>
              <w:left w:val="single" w:color="000000" w:sz="6" w:space="0"/>
              <w:bottom w:val="nil"/>
            </w:tcBorders>
            <w:vAlign w:val="top"/>
          </w:tcPr>
          <w:p w14:paraId="228744DF">
            <w:pPr>
              <w:rPr>
                <w:rFonts w:ascii="Arial"/>
                <w:sz w:val="21"/>
              </w:rPr>
            </w:pPr>
          </w:p>
        </w:tc>
        <w:tc>
          <w:tcPr>
            <w:tcW w:w="2269" w:type="dxa"/>
            <w:gridSpan w:val="2"/>
            <w:vAlign w:val="top"/>
          </w:tcPr>
          <w:p w14:paraId="7BD04188">
            <w:pPr>
              <w:spacing w:before="92" w:line="195" w:lineRule="auto"/>
              <w:ind w:left="670"/>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&lt;10%-&lt;30%</w:t>
            </w:r>
          </w:p>
        </w:tc>
        <w:tc>
          <w:tcPr>
            <w:tcW w:w="2181" w:type="dxa"/>
            <w:gridSpan w:val="2"/>
            <w:vAlign w:val="top"/>
          </w:tcPr>
          <w:p w14:paraId="4DC3ACD5">
            <w:pPr>
              <w:pStyle w:val="9"/>
              <w:spacing w:before="54" w:line="221" w:lineRule="auto"/>
              <w:ind w:left="568"/>
              <w:rPr>
                <w:sz w:val="20"/>
                <w:szCs w:val="20"/>
              </w:rPr>
            </w:pPr>
            <w:r>
              <w:rPr>
                <w:spacing w:val="8"/>
                <w:sz w:val="20"/>
                <w:szCs w:val="20"/>
              </w:rPr>
              <w:t>较低覆盖度</w:t>
            </w:r>
          </w:p>
        </w:tc>
        <w:tc>
          <w:tcPr>
            <w:tcW w:w="2278" w:type="dxa"/>
            <w:gridSpan w:val="2"/>
            <w:vAlign w:val="top"/>
          </w:tcPr>
          <w:p w14:paraId="5D450CEA">
            <w:pPr>
              <w:spacing w:before="92" w:line="195" w:lineRule="auto"/>
              <w:ind w:left="95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2.85</w:t>
            </w:r>
          </w:p>
        </w:tc>
        <w:tc>
          <w:tcPr>
            <w:tcW w:w="1585" w:type="dxa"/>
            <w:tcBorders>
              <w:right w:val="single" w:color="000000" w:sz="6" w:space="0"/>
            </w:tcBorders>
            <w:vAlign w:val="top"/>
          </w:tcPr>
          <w:p w14:paraId="19A088E1">
            <w:pPr>
              <w:spacing w:before="92" w:line="195" w:lineRule="auto"/>
              <w:ind w:left="48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61.16</w:t>
            </w:r>
          </w:p>
        </w:tc>
      </w:tr>
      <w:tr w14:paraId="20C064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751" w:type="dxa"/>
            <w:vMerge w:val="continue"/>
            <w:tcBorders>
              <w:top w:val="nil"/>
              <w:left w:val="single" w:color="000000" w:sz="6" w:space="0"/>
              <w:bottom w:val="nil"/>
            </w:tcBorders>
            <w:vAlign w:val="top"/>
          </w:tcPr>
          <w:p w14:paraId="018B65F1">
            <w:pPr>
              <w:rPr>
                <w:rFonts w:ascii="Arial"/>
                <w:sz w:val="21"/>
              </w:rPr>
            </w:pPr>
          </w:p>
        </w:tc>
        <w:tc>
          <w:tcPr>
            <w:tcW w:w="2269" w:type="dxa"/>
            <w:gridSpan w:val="2"/>
            <w:vAlign w:val="top"/>
          </w:tcPr>
          <w:p w14:paraId="002A314B">
            <w:pPr>
              <w:spacing w:before="92" w:line="195" w:lineRule="auto"/>
              <w:ind w:left="670"/>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&lt;30%-&lt;45%</w:t>
            </w:r>
          </w:p>
        </w:tc>
        <w:tc>
          <w:tcPr>
            <w:tcW w:w="2181" w:type="dxa"/>
            <w:gridSpan w:val="2"/>
            <w:vAlign w:val="top"/>
          </w:tcPr>
          <w:p w14:paraId="2CD2EDD6">
            <w:pPr>
              <w:pStyle w:val="9"/>
              <w:spacing w:before="54" w:line="222" w:lineRule="auto"/>
              <w:ind w:left="588"/>
              <w:rPr>
                <w:sz w:val="20"/>
                <w:szCs w:val="20"/>
              </w:rPr>
            </w:pPr>
            <w:r>
              <w:rPr>
                <w:spacing w:val="4"/>
                <w:sz w:val="20"/>
                <w:szCs w:val="20"/>
              </w:rPr>
              <w:t>中等覆盖度</w:t>
            </w:r>
          </w:p>
        </w:tc>
        <w:tc>
          <w:tcPr>
            <w:tcW w:w="2278" w:type="dxa"/>
            <w:gridSpan w:val="2"/>
            <w:vAlign w:val="top"/>
          </w:tcPr>
          <w:p w14:paraId="051B059F">
            <w:pPr>
              <w:spacing w:before="92" w:line="195" w:lineRule="auto"/>
              <w:ind w:left="97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1.08</w:t>
            </w:r>
          </w:p>
        </w:tc>
        <w:tc>
          <w:tcPr>
            <w:tcW w:w="1585" w:type="dxa"/>
            <w:tcBorders>
              <w:right w:val="single" w:color="000000" w:sz="6" w:space="0"/>
            </w:tcBorders>
            <w:vAlign w:val="top"/>
          </w:tcPr>
          <w:p w14:paraId="461EFFE5">
            <w:pPr>
              <w:spacing w:before="92" w:line="195" w:lineRule="auto"/>
              <w:ind w:left="48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23.18</w:t>
            </w:r>
          </w:p>
        </w:tc>
      </w:tr>
      <w:tr w14:paraId="22F513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751" w:type="dxa"/>
            <w:vMerge w:val="continue"/>
            <w:tcBorders>
              <w:top w:val="nil"/>
              <w:left w:val="single" w:color="000000" w:sz="6" w:space="0"/>
              <w:bottom w:val="nil"/>
            </w:tcBorders>
            <w:vAlign w:val="top"/>
          </w:tcPr>
          <w:p w14:paraId="1BC33E94">
            <w:pPr>
              <w:rPr>
                <w:rFonts w:ascii="Arial"/>
                <w:sz w:val="21"/>
              </w:rPr>
            </w:pPr>
          </w:p>
        </w:tc>
        <w:tc>
          <w:tcPr>
            <w:tcW w:w="2269" w:type="dxa"/>
            <w:gridSpan w:val="2"/>
            <w:vAlign w:val="top"/>
          </w:tcPr>
          <w:p w14:paraId="4DEC3FA4">
            <w:pPr>
              <w:spacing w:before="92" w:line="195" w:lineRule="auto"/>
              <w:ind w:left="670"/>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&lt;45%-&lt;60%</w:t>
            </w:r>
          </w:p>
        </w:tc>
        <w:tc>
          <w:tcPr>
            <w:tcW w:w="2181" w:type="dxa"/>
            <w:gridSpan w:val="2"/>
            <w:vAlign w:val="top"/>
          </w:tcPr>
          <w:p w14:paraId="2326110C">
            <w:pPr>
              <w:pStyle w:val="9"/>
              <w:spacing w:before="54" w:line="222" w:lineRule="auto"/>
              <w:ind w:left="568"/>
              <w:rPr>
                <w:sz w:val="20"/>
                <w:szCs w:val="20"/>
              </w:rPr>
            </w:pPr>
            <w:r>
              <w:rPr>
                <w:spacing w:val="8"/>
                <w:sz w:val="20"/>
                <w:szCs w:val="20"/>
              </w:rPr>
              <w:t>较高覆盖度</w:t>
            </w:r>
          </w:p>
        </w:tc>
        <w:tc>
          <w:tcPr>
            <w:tcW w:w="2278" w:type="dxa"/>
            <w:gridSpan w:val="2"/>
            <w:vAlign w:val="top"/>
          </w:tcPr>
          <w:p w14:paraId="2402B262">
            <w:pPr>
              <w:spacing w:before="92" w:line="195" w:lineRule="auto"/>
              <w:ind w:left="96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0.53</w:t>
            </w:r>
          </w:p>
        </w:tc>
        <w:tc>
          <w:tcPr>
            <w:tcW w:w="1585" w:type="dxa"/>
            <w:tcBorders>
              <w:right w:val="single" w:color="000000" w:sz="6" w:space="0"/>
            </w:tcBorders>
            <w:vAlign w:val="top"/>
          </w:tcPr>
          <w:p w14:paraId="0C95358A">
            <w:pPr>
              <w:spacing w:before="92" w:line="195" w:lineRule="auto"/>
              <w:ind w:left="50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11.37</w:t>
            </w:r>
          </w:p>
        </w:tc>
      </w:tr>
      <w:tr w14:paraId="6BEECC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751" w:type="dxa"/>
            <w:vMerge w:val="continue"/>
            <w:tcBorders>
              <w:top w:val="nil"/>
              <w:left w:val="single" w:color="000000" w:sz="6" w:space="0"/>
              <w:bottom w:val="nil"/>
            </w:tcBorders>
            <w:vAlign w:val="top"/>
          </w:tcPr>
          <w:p w14:paraId="7DD52D15">
            <w:pPr>
              <w:rPr>
                <w:rFonts w:ascii="Arial"/>
                <w:sz w:val="21"/>
              </w:rPr>
            </w:pPr>
          </w:p>
        </w:tc>
        <w:tc>
          <w:tcPr>
            <w:tcW w:w="2269" w:type="dxa"/>
            <w:gridSpan w:val="2"/>
            <w:vAlign w:val="top"/>
          </w:tcPr>
          <w:p w14:paraId="5D3E2A41">
            <w:pPr>
              <w:spacing w:before="92" w:line="195" w:lineRule="auto"/>
              <w:ind w:left="95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&gt;60%</w:t>
            </w:r>
          </w:p>
        </w:tc>
        <w:tc>
          <w:tcPr>
            <w:tcW w:w="2181" w:type="dxa"/>
            <w:gridSpan w:val="2"/>
            <w:vAlign w:val="top"/>
          </w:tcPr>
          <w:p w14:paraId="66B71916">
            <w:pPr>
              <w:pStyle w:val="9"/>
              <w:spacing w:before="56" w:line="220" w:lineRule="auto"/>
              <w:ind w:left="679"/>
              <w:rPr>
                <w:sz w:val="20"/>
                <w:szCs w:val="20"/>
              </w:rPr>
            </w:pPr>
            <w:r>
              <w:rPr>
                <w:spacing w:val="5"/>
                <w:sz w:val="20"/>
                <w:szCs w:val="20"/>
              </w:rPr>
              <w:t>高覆盖度</w:t>
            </w:r>
          </w:p>
        </w:tc>
        <w:tc>
          <w:tcPr>
            <w:tcW w:w="2278" w:type="dxa"/>
            <w:gridSpan w:val="2"/>
            <w:vAlign w:val="top"/>
          </w:tcPr>
          <w:p w14:paraId="02B39441">
            <w:pPr>
              <w:spacing w:before="92" w:line="195" w:lineRule="auto"/>
              <w:ind w:left="96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0.15</w:t>
            </w:r>
          </w:p>
        </w:tc>
        <w:tc>
          <w:tcPr>
            <w:tcW w:w="1585" w:type="dxa"/>
            <w:tcBorders>
              <w:right w:val="single" w:color="000000" w:sz="6" w:space="0"/>
            </w:tcBorders>
            <w:vAlign w:val="top"/>
          </w:tcPr>
          <w:p w14:paraId="4358BFCE">
            <w:pPr>
              <w:spacing w:before="92" w:line="195" w:lineRule="auto"/>
              <w:ind w:left="53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3.22</w:t>
            </w:r>
          </w:p>
        </w:tc>
      </w:tr>
      <w:tr w14:paraId="3A296D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751" w:type="dxa"/>
            <w:vMerge w:val="continue"/>
            <w:tcBorders>
              <w:top w:val="nil"/>
              <w:left w:val="single" w:color="000000" w:sz="6" w:space="0"/>
              <w:bottom w:val="nil"/>
            </w:tcBorders>
            <w:vAlign w:val="top"/>
          </w:tcPr>
          <w:p w14:paraId="79CA233E">
            <w:pPr>
              <w:rPr>
                <w:rFonts w:ascii="Arial"/>
                <w:sz w:val="21"/>
              </w:rPr>
            </w:pPr>
          </w:p>
        </w:tc>
        <w:tc>
          <w:tcPr>
            <w:tcW w:w="4450" w:type="dxa"/>
            <w:gridSpan w:val="4"/>
            <w:vAlign w:val="top"/>
          </w:tcPr>
          <w:p w14:paraId="1586F28B">
            <w:pPr>
              <w:pStyle w:val="9"/>
              <w:spacing w:before="55" w:line="221" w:lineRule="auto"/>
              <w:ind w:left="2096"/>
              <w:rPr>
                <w:sz w:val="20"/>
                <w:szCs w:val="20"/>
              </w:rPr>
            </w:pPr>
            <w:r>
              <w:rPr>
                <w:spacing w:val="4"/>
                <w:sz w:val="20"/>
                <w:szCs w:val="20"/>
              </w:rPr>
              <w:t>合计</w:t>
            </w:r>
          </w:p>
        </w:tc>
        <w:tc>
          <w:tcPr>
            <w:tcW w:w="2278" w:type="dxa"/>
            <w:gridSpan w:val="2"/>
            <w:vAlign w:val="top"/>
          </w:tcPr>
          <w:p w14:paraId="632502DD">
            <w:pPr>
              <w:spacing w:before="91" w:line="195" w:lineRule="auto"/>
              <w:ind w:left="95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4.66</w:t>
            </w:r>
          </w:p>
        </w:tc>
        <w:tc>
          <w:tcPr>
            <w:tcW w:w="1585" w:type="dxa"/>
            <w:tcBorders>
              <w:right w:val="single" w:color="000000" w:sz="6" w:space="0"/>
            </w:tcBorders>
            <w:vAlign w:val="top"/>
          </w:tcPr>
          <w:p w14:paraId="425606C9">
            <w:pPr>
              <w:spacing w:before="91" w:line="195" w:lineRule="auto"/>
              <w:ind w:left="58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100</w:t>
            </w:r>
          </w:p>
        </w:tc>
      </w:tr>
      <w:tr w14:paraId="622C6E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3" w:hRule="atLeast"/>
        </w:trPr>
        <w:tc>
          <w:tcPr>
            <w:tcW w:w="751" w:type="dxa"/>
            <w:vMerge w:val="continue"/>
            <w:tcBorders>
              <w:top w:val="nil"/>
              <w:left w:val="single" w:color="000000" w:sz="6" w:space="0"/>
              <w:bottom w:val="single" w:color="000000" w:sz="6" w:space="0"/>
            </w:tcBorders>
            <w:vAlign w:val="top"/>
          </w:tcPr>
          <w:p w14:paraId="3AD378DD">
            <w:pPr>
              <w:rPr>
                <w:rFonts w:ascii="Arial"/>
                <w:sz w:val="21"/>
              </w:rPr>
            </w:pPr>
          </w:p>
        </w:tc>
        <w:tc>
          <w:tcPr>
            <w:tcW w:w="8313" w:type="dxa"/>
            <w:gridSpan w:val="7"/>
            <w:tcBorders>
              <w:bottom w:val="single" w:color="000000" w:sz="6" w:space="0"/>
              <w:right w:val="single" w:color="000000" w:sz="6" w:space="0"/>
            </w:tcBorders>
            <w:vAlign w:val="top"/>
          </w:tcPr>
          <w:p w14:paraId="7AD05F53">
            <w:pPr>
              <w:pStyle w:val="9"/>
              <w:spacing w:before="183" w:line="364" w:lineRule="auto"/>
              <w:ind w:left="106" w:right="102" w:firstLine="481"/>
            </w:pPr>
            <w:r>
              <w:rPr>
                <w:spacing w:val="-2"/>
              </w:rPr>
              <w:t>此次解译包括低覆盖度、较低覆盖度、中等覆盖度、较高覆盖</w:t>
            </w:r>
            <w:r>
              <w:rPr>
                <w:spacing w:val="-3"/>
              </w:rPr>
              <w:t>度、高覆盖</w:t>
            </w:r>
            <w:r>
              <w:rPr>
                <w:spacing w:val="-5"/>
              </w:rPr>
              <w:t>度。</w:t>
            </w:r>
          </w:p>
          <w:p w14:paraId="75643DFB">
            <w:pPr>
              <w:pStyle w:val="9"/>
              <w:spacing w:before="51" w:line="358" w:lineRule="auto"/>
              <w:ind w:left="107" w:right="156" w:firstLine="509"/>
              <w:jc w:val="both"/>
            </w:pPr>
            <w:r>
              <w:rPr>
                <w:spacing w:val="9"/>
              </w:rPr>
              <w:t>由项目区植被覆盖度现状统计表可知，评价区范围低覆盖度占地面积</w:t>
            </w:r>
            <w:r>
              <w:rPr>
                <w:rFonts w:ascii="Times New Roman" w:hAnsi="Times New Roman" w:eastAsia="Times New Roman" w:cs="Times New Roman"/>
                <w:spacing w:val="-6"/>
              </w:rPr>
              <w:t>0.05hm</w:t>
            </w:r>
            <w:r>
              <w:rPr>
                <w:rFonts w:ascii="Times New Roman" w:hAnsi="Times New Roman" w:eastAsia="Times New Roman" w:cs="Times New Roman"/>
                <w:spacing w:val="-6"/>
                <w:position w:val="8"/>
                <w:sz w:val="15"/>
                <w:szCs w:val="15"/>
              </w:rPr>
              <w:t xml:space="preserve">2 </w:t>
            </w:r>
            <w:r>
              <w:rPr>
                <w:spacing w:val="-6"/>
              </w:rPr>
              <w:t>，占评价区</w:t>
            </w:r>
            <w:r>
              <w:rPr>
                <w:spacing w:val="-32"/>
              </w:rPr>
              <w:t xml:space="preserve"> </w:t>
            </w:r>
            <w:r>
              <w:rPr>
                <w:rFonts w:ascii="Times New Roman" w:hAnsi="Times New Roman" w:eastAsia="Times New Roman" w:cs="Times New Roman"/>
                <w:spacing w:val="-6"/>
              </w:rPr>
              <w:t>1.07%</w:t>
            </w:r>
            <w:r>
              <w:rPr>
                <w:spacing w:val="-6"/>
              </w:rPr>
              <w:t>；较低覆盖度占地面积</w:t>
            </w:r>
            <w:r>
              <w:rPr>
                <w:spacing w:val="-55"/>
              </w:rPr>
              <w:t xml:space="preserve"> </w:t>
            </w:r>
            <w:r>
              <w:rPr>
                <w:rFonts w:ascii="Times New Roman" w:hAnsi="Times New Roman" w:eastAsia="Times New Roman" w:cs="Times New Roman"/>
                <w:spacing w:val="-6"/>
              </w:rPr>
              <w:t>2.85hm</w:t>
            </w:r>
            <w:r>
              <w:rPr>
                <w:rFonts w:ascii="Times New Roman" w:hAnsi="Times New Roman" w:eastAsia="Times New Roman" w:cs="Times New Roman"/>
                <w:spacing w:val="-6"/>
                <w:position w:val="8"/>
                <w:sz w:val="15"/>
                <w:szCs w:val="15"/>
              </w:rPr>
              <w:t>2</w:t>
            </w:r>
            <w:r>
              <w:rPr>
                <w:rFonts w:ascii="Times New Roman" w:hAnsi="Times New Roman" w:eastAsia="Times New Roman" w:cs="Times New Roman"/>
                <w:spacing w:val="-9"/>
                <w:position w:val="8"/>
                <w:sz w:val="15"/>
                <w:szCs w:val="15"/>
              </w:rPr>
              <w:t xml:space="preserve"> </w:t>
            </w:r>
            <w:r>
              <w:rPr>
                <w:spacing w:val="-6"/>
              </w:rPr>
              <w:t>，占评价区</w:t>
            </w:r>
            <w:r>
              <w:rPr>
                <w:spacing w:val="-50"/>
              </w:rPr>
              <w:t xml:space="preserve"> </w:t>
            </w:r>
            <w:r>
              <w:rPr>
                <w:rFonts w:ascii="Times New Roman" w:hAnsi="Times New Roman" w:eastAsia="Times New Roman" w:cs="Times New Roman"/>
                <w:spacing w:val="-6"/>
              </w:rPr>
              <w:t>61.</w:t>
            </w:r>
            <w:r>
              <w:rPr>
                <w:rFonts w:ascii="Times New Roman" w:hAnsi="Times New Roman" w:eastAsia="Times New Roman" w:cs="Times New Roman"/>
                <w:spacing w:val="-32"/>
              </w:rPr>
              <w:t xml:space="preserve"> </w:t>
            </w:r>
            <w:r>
              <w:rPr>
                <w:rFonts w:ascii="Times New Roman" w:hAnsi="Times New Roman" w:eastAsia="Times New Roman" w:cs="Times New Roman"/>
                <w:spacing w:val="-6"/>
              </w:rPr>
              <w:t>16%</w:t>
            </w:r>
            <w:r>
              <w:rPr>
                <w:spacing w:val="-6"/>
              </w:rPr>
              <w:t>；</w:t>
            </w:r>
            <w:r>
              <w:rPr>
                <w:spacing w:val="7"/>
              </w:rPr>
              <w:t xml:space="preserve">中等覆盖度占地面积 </w:t>
            </w:r>
            <w:r>
              <w:rPr>
                <w:rFonts w:ascii="Times New Roman" w:hAnsi="Times New Roman" w:eastAsia="Times New Roman" w:cs="Times New Roman"/>
                <w:spacing w:val="7"/>
              </w:rPr>
              <w:t>1.08</w:t>
            </w:r>
            <w:r>
              <w:rPr>
                <w:rFonts w:ascii="Times New Roman" w:hAnsi="Times New Roman" w:eastAsia="Times New Roman" w:cs="Times New Roman"/>
              </w:rPr>
              <w:t>hm</w:t>
            </w:r>
            <w:r>
              <w:rPr>
                <w:rFonts w:ascii="Times New Roman" w:hAnsi="Times New Roman" w:eastAsia="Times New Roman" w:cs="Times New Roman"/>
                <w:spacing w:val="7"/>
                <w:position w:val="8"/>
                <w:sz w:val="15"/>
                <w:szCs w:val="15"/>
              </w:rPr>
              <w:t>2</w:t>
            </w:r>
            <w:r>
              <w:rPr>
                <w:rFonts w:ascii="Times New Roman" w:hAnsi="Times New Roman" w:eastAsia="Times New Roman" w:cs="Times New Roman"/>
                <w:spacing w:val="16"/>
                <w:w w:val="101"/>
                <w:position w:val="8"/>
                <w:sz w:val="15"/>
                <w:szCs w:val="15"/>
              </w:rPr>
              <w:t xml:space="preserve"> </w:t>
            </w:r>
            <w:r>
              <w:rPr>
                <w:spacing w:val="7"/>
              </w:rPr>
              <w:t>，</w:t>
            </w:r>
            <w:r>
              <w:rPr>
                <w:spacing w:val="-50"/>
              </w:rPr>
              <w:t xml:space="preserve"> </w:t>
            </w:r>
            <w:r>
              <w:rPr>
                <w:spacing w:val="7"/>
              </w:rPr>
              <w:t>占评价区</w:t>
            </w:r>
            <w:r>
              <w:rPr>
                <w:spacing w:val="-33"/>
              </w:rPr>
              <w:t xml:space="preserve"> </w:t>
            </w:r>
            <w:r>
              <w:rPr>
                <w:rFonts w:ascii="Times New Roman" w:hAnsi="Times New Roman" w:eastAsia="Times New Roman" w:cs="Times New Roman"/>
                <w:spacing w:val="7"/>
              </w:rPr>
              <w:t>23.</w:t>
            </w:r>
            <w:r>
              <w:rPr>
                <w:rFonts w:ascii="Times New Roman" w:hAnsi="Times New Roman" w:eastAsia="Times New Roman" w:cs="Times New Roman"/>
                <w:spacing w:val="-32"/>
              </w:rPr>
              <w:t xml:space="preserve"> </w:t>
            </w:r>
            <w:r>
              <w:rPr>
                <w:rFonts w:ascii="Times New Roman" w:hAnsi="Times New Roman" w:eastAsia="Times New Roman" w:cs="Times New Roman"/>
                <w:spacing w:val="7"/>
              </w:rPr>
              <w:t xml:space="preserve">18% </w:t>
            </w:r>
            <w:r>
              <w:rPr>
                <w:spacing w:val="7"/>
              </w:rPr>
              <w:t>；较高覆盖度占地面积</w:t>
            </w:r>
            <w:r>
              <w:rPr>
                <w:rFonts w:ascii="Times New Roman" w:hAnsi="Times New Roman" w:eastAsia="Times New Roman" w:cs="Times New Roman"/>
                <w:spacing w:val="-5"/>
              </w:rPr>
              <w:t>0.53hm</w:t>
            </w:r>
            <w:r>
              <w:rPr>
                <w:rFonts w:ascii="Times New Roman" w:hAnsi="Times New Roman" w:eastAsia="Times New Roman" w:cs="Times New Roman"/>
                <w:spacing w:val="-5"/>
                <w:position w:val="7"/>
                <w:sz w:val="15"/>
                <w:szCs w:val="15"/>
              </w:rPr>
              <w:t>2</w:t>
            </w:r>
            <w:r>
              <w:rPr>
                <w:rFonts w:ascii="Times New Roman" w:hAnsi="Times New Roman" w:eastAsia="Times New Roman" w:cs="Times New Roman"/>
                <w:spacing w:val="-10"/>
                <w:position w:val="7"/>
                <w:sz w:val="15"/>
                <w:szCs w:val="15"/>
              </w:rPr>
              <w:t xml:space="preserve"> </w:t>
            </w:r>
            <w:r>
              <w:rPr>
                <w:spacing w:val="-5"/>
              </w:rPr>
              <w:t>，</w:t>
            </w:r>
            <w:r>
              <w:rPr>
                <w:spacing w:val="-71"/>
              </w:rPr>
              <w:t xml:space="preserve"> </w:t>
            </w:r>
            <w:r>
              <w:rPr>
                <w:spacing w:val="-5"/>
              </w:rPr>
              <w:t>占评价区</w:t>
            </w:r>
            <w:r>
              <w:rPr>
                <w:spacing w:val="-32"/>
              </w:rPr>
              <w:t xml:space="preserve"> </w:t>
            </w:r>
            <w:r>
              <w:rPr>
                <w:rFonts w:ascii="Times New Roman" w:hAnsi="Times New Roman" w:eastAsia="Times New Roman" w:cs="Times New Roman"/>
                <w:spacing w:val="-5"/>
              </w:rPr>
              <w:t>11.37%</w:t>
            </w:r>
            <w:r>
              <w:rPr>
                <w:spacing w:val="-5"/>
              </w:rPr>
              <w:t>；高覆盖度占地面积</w:t>
            </w:r>
            <w:r>
              <w:rPr>
                <w:spacing w:val="-51"/>
              </w:rPr>
              <w:t xml:space="preserve"> </w:t>
            </w:r>
            <w:r>
              <w:rPr>
                <w:rFonts w:ascii="Times New Roman" w:hAnsi="Times New Roman" w:eastAsia="Times New Roman" w:cs="Times New Roman"/>
                <w:spacing w:val="-5"/>
              </w:rPr>
              <w:t>0.</w:t>
            </w:r>
            <w:r>
              <w:rPr>
                <w:rFonts w:ascii="Times New Roman" w:hAnsi="Times New Roman" w:eastAsia="Times New Roman" w:cs="Times New Roman"/>
                <w:spacing w:val="-32"/>
              </w:rPr>
              <w:t xml:space="preserve"> </w:t>
            </w:r>
            <w:r>
              <w:rPr>
                <w:rFonts w:ascii="Times New Roman" w:hAnsi="Times New Roman" w:eastAsia="Times New Roman" w:cs="Times New Roman"/>
                <w:spacing w:val="-5"/>
              </w:rPr>
              <w:t>15hm</w:t>
            </w:r>
            <w:r>
              <w:rPr>
                <w:rFonts w:ascii="Times New Roman" w:hAnsi="Times New Roman" w:eastAsia="Times New Roman" w:cs="Times New Roman"/>
                <w:spacing w:val="-5"/>
                <w:position w:val="7"/>
                <w:sz w:val="15"/>
                <w:szCs w:val="15"/>
              </w:rPr>
              <w:t>2</w:t>
            </w:r>
            <w:r>
              <w:rPr>
                <w:rFonts w:ascii="Times New Roman" w:hAnsi="Times New Roman" w:eastAsia="Times New Roman" w:cs="Times New Roman"/>
                <w:spacing w:val="-7"/>
                <w:position w:val="7"/>
                <w:sz w:val="15"/>
                <w:szCs w:val="15"/>
              </w:rPr>
              <w:t xml:space="preserve"> </w:t>
            </w:r>
            <w:r>
              <w:rPr>
                <w:spacing w:val="-5"/>
              </w:rPr>
              <w:t>，</w:t>
            </w:r>
            <w:r>
              <w:rPr>
                <w:spacing w:val="-72"/>
              </w:rPr>
              <w:t xml:space="preserve"> </w:t>
            </w:r>
            <w:r>
              <w:rPr>
                <w:spacing w:val="-5"/>
              </w:rPr>
              <w:t>占</w:t>
            </w:r>
            <w:r>
              <w:rPr>
                <w:spacing w:val="-6"/>
              </w:rPr>
              <w:t>评价区</w:t>
            </w:r>
            <w:r>
              <w:rPr>
                <w:spacing w:val="-50"/>
              </w:rPr>
              <w:t xml:space="preserve"> </w:t>
            </w:r>
            <w:r>
              <w:rPr>
                <w:rFonts w:ascii="Times New Roman" w:hAnsi="Times New Roman" w:eastAsia="Times New Roman" w:cs="Times New Roman"/>
                <w:spacing w:val="-6"/>
              </w:rPr>
              <w:t>3.22%</w:t>
            </w:r>
            <w:r>
              <w:rPr>
                <w:spacing w:val="-6"/>
              </w:rPr>
              <w:t>。</w:t>
            </w:r>
          </w:p>
        </w:tc>
      </w:tr>
    </w:tbl>
    <w:p w14:paraId="6AC62468">
      <w:pPr>
        <w:pStyle w:val="3"/>
      </w:pPr>
    </w:p>
    <w:p w14:paraId="4505C2DD">
      <w:pPr>
        <w:sectPr>
          <w:footerReference r:id="rId46" w:type="default"/>
          <w:pgSz w:w="11906" w:h="16838"/>
          <w:pgMar w:top="1416" w:right="1413" w:bottom="1295" w:left="1413" w:header="0" w:footer="1133" w:gutter="0"/>
          <w:cols w:space="720" w:num="1"/>
        </w:sectPr>
      </w:pPr>
    </w:p>
    <w:tbl>
      <w:tblPr>
        <w:tblStyle w:val="8"/>
        <w:tblW w:w="90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51"/>
        <w:gridCol w:w="8313"/>
      </w:tblGrid>
      <w:tr w14:paraId="491D0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266" w:hRule="atLeast"/>
        </w:trPr>
        <w:tc>
          <w:tcPr>
            <w:tcW w:w="751" w:type="dxa"/>
            <w:tcBorders>
              <w:right w:val="single" w:color="000000" w:sz="2" w:space="0"/>
            </w:tcBorders>
            <w:vAlign w:val="top"/>
          </w:tcPr>
          <w:p w14:paraId="67D860DA">
            <w:pPr>
              <w:rPr>
                <w:rFonts w:ascii="Arial"/>
                <w:sz w:val="21"/>
              </w:rPr>
            </w:pPr>
            <w:r>
              <w:drawing>
                <wp:anchor distT="0" distB="0" distL="0" distR="0" simplePos="0" relativeHeight="251673600" behindDoc="0" locked="0" layoutInCell="0" allowOverlap="1">
                  <wp:simplePos x="0" y="0"/>
                  <wp:positionH relativeFrom="page">
                    <wp:posOffset>1895475</wp:posOffset>
                  </wp:positionH>
                  <wp:positionV relativeFrom="page">
                    <wp:posOffset>912495</wp:posOffset>
                  </wp:positionV>
                  <wp:extent cx="4241165" cy="5993765"/>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247"/>
                          <a:stretch>
                            <a:fillRect/>
                          </a:stretch>
                        </pic:blipFill>
                        <pic:spPr>
                          <a:xfrm>
                            <a:off x="0" y="0"/>
                            <a:ext cx="4241292" cy="5993891"/>
                          </a:xfrm>
                          <a:prstGeom prst="rect">
                            <a:avLst/>
                          </a:prstGeom>
                        </pic:spPr>
                      </pic:pic>
                    </a:graphicData>
                  </a:graphic>
                </wp:anchor>
              </w:drawing>
            </w:r>
          </w:p>
        </w:tc>
        <w:tc>
          <w:tcPr>
            <w:tcW w:w="8313" w:type="dxa"/>
            <w:tcBorders>
              <w:left w:val="single" w:color="000000" w:sz="2" w:space="0"/>
            </w:tcBorders>
            <w:vAlign w:val="top"/>
          </w:tcPr>
          <w:p w14:paraId="7E130A2A">
            <w:pPr>
              <w:spacing w:line="243" w:lineRule="auto"/>
              <w:rPr>
                <w:rFonts w:ascii="Arial"/>
                <w:sz w:val="21"/>
              </w:rPr>
            </w:pPr>
          </w:p>
          <w:p w14:paraId="0DC43B9E">
            <w:pPr>
              <w:spacing w:line="243" w:lineRule="auto"/>
              <w:rPr>
                <w:rFonts w:ascii="Arial"/>
                <w:sz w:val="21"/>
              </w:rPr>
            </w:pPr>
          </w:p>
          <w:p w14:paraId="15ED0644">
            <w:pPr>
              <w:spacing w:line="243" w:lineRule="auto"/>
              <w:rPr>
                <w:rFonts w:ascii="Arial"/>
                <w:sz w:val="21"/>
              </w:rPr>
            </w:pPr>
          </w:p>
          <w:p w14:paraId="39DE19E4">
            <w:pPr>
              <w:spacing w:line="243" w:lineRule="auto"/>
              <w:rPr>
                <w:rFonts w:ascii="Arial"/>
                <w:sz w:val="21"/>
              </w:rPr>
            </w:pPr>
          </w:p>
          <w:p w14:paraId="1C042E29">
            <w:pPr>
              <w:spacing w:line="243" w:lineRule="auto"/>
              <w:rPr>
                <w:rFonts w:ascii="Arial"/>
                <w:sz w:val="21"/>
              </w:rPr>
            </w:pPr>
          </w:p>
          <w:p w14:paraId="057286ED">
            <w:pPr>
              <w:spacing w:line="243" w:lineRule="auto"/>
              <w:rPr>
                <w:rFonts w:ascii="Arial"/>
                <w:sz w:val="21"/>
              </w:rPr>
            </w:pPr>
          </w:p>
          <w:p w14:paraId="2DE77B51">
            <w:pPr>
              <w:spacing w:line="243" w:lineRule="auto"/>
              <w:rPr>
                <w:rFonts w:ascii="Arial"/>
                <w:sz w:val="21"/>
              </w:rPr>
            </w:pPr>
          </w:p>
          <w:p w14:paraId="1104F768">
            <w:pPr>
              <w:spacing w:line="243" w:lineRule="auto"/>
              <w:rPr>
                <w:rFonts w:ascii="Arial"/>
                <w:sz w:val="21"/>
              </w:rPr>
            </w:pPr>
          </w:p>
          <w:p w14:paraId="6DDB02A3">
            <w:pPr>
              <w:spacing w:line="243" w:lineRule="auto"/>
              <w:rPr>
                <w:rFonts w:ascii="Arial"/>
                <w:sz w:val="21"/>
              </w:rPr>
            </w:pPr>
          </w:p>
          <w:p w14:paraId="600B7C0C">
            <w:pPr>
              <w:spacing w:line="243" w:lineRule="auto"/>
              <w:rPr>
                <w:rFonts w:ascii="Arial"/>
                <w:sz w:val="21"/>
              </w:rPr>
            </w:pPr>
          </w:p>
          <w:p w14:paraId="577F1F9F">
            <w:pPr>
              <w:spacing w:line="243" w:lineRule="auto"/>
              <w:rPr>
                <w:rFonts w:ascii="Arial"/>
                <w:sz w:val="21"/>
              </w:rPr>
            </w:pPr>
          </w:p>
          <w:p w14:paraId="3EC633A3">
            <w:pPr>
              <w:spacing w:line="243" w:lineRule="auto"/>
              <w:rPr>
                <w:rFonts w:ascii="Arial"/>
                <w:sz w:val="21"/>
              </w:rPr>
            </w:pPr>
          </w:p>
          <w:p w14:paraId="2D55D79B">
            <w:pPr>
              <w:spacing w:line="243" w:lineRule="auto"/>
              <w:rPr>
                <w:rFonts w:ascii="Arial"/>
                <w:sz w:val="21"/>
              </w:rPr>
            </w:pPr>
          </w:p>
          <w:p w14:paraId="476ECFFA">
            <w:pPr>
              <w:spacing w:line="243" w:lineRule="auto"/>
              <w:rPr>
                <w:rFonts w:ascii="Arial"/>
                <w:sz w:val="21"/>
              </w:rPr>
            </w:pPr>
          </w:p>
          <w:p w14:paraId="18A9E73F">
            <w:pPr>
              <w:spacing w:line="243" w:lineRule="auto"/>
              <w:rPr>
                <w:rFonts w:ascii="Arial"/>
                <w:sz w:val="21"/>
              </w:rPr>
            </w:pPr>
          </w:p>
          <w:p w14:paraId="0C4C5584">
            <w:pPr>
              <w:spacing w:line="243" w:lineRule="auto"/>
              <w:rPr>
                <w:rFonts w:ascii="Arial"/>
                <w:sz w:val="21"/>
              </w:rPr>
            </w:pPr>
          </w:p>
          <w:p w14:paraId="3C91A8D8">
            <w:pPr>
              <w:spacing w:line="243" w:lineRule="auto"/>
              <w:rPr>
                <w:rFonts w:ascii="Arial"/>
                <w:sz w:val="21"/>
              </w:rPr>
            </w:pPr>
          </w:p>
          <w:p w14:paraId="0979AC37">
            <w:pPr>
              <w:spacing w:line="243" w:lineRule="auto"/>
              <w:rPr>
                <w:rFonts w:ascii="Arial"/>
                <w:sz w:val="21"/>
              </w:rPr>
            </w:pPr>
          </w:p>
          <w:p w14:paraId="3E4CDF46">
            <w:pPr>
              <w:spacing w:line="243" w:lineRule="auto"/>
              <w:rPr>
                <w:rFonts w:ascii="Arial"/>
                <w:sz w:val="21"/>
              </w:rPr>
            </w:pPr>
          </w:p>
          <w:p w14:paraId="067E849A">
            <w:pPr>
              <w:spacing w:line="243" w:lineRule="auto"/>
              <w:rPr>
                <w:rFonts w:ascii="Arial"/>
                <w:sz w:val="21"/>
              </w:rPr>
            </w:pPr>
          </w:p>
          <w:p w14:paraId="16EA3B64">
            <w:pPr>
              <w:spacing w:line="243" w:lineRule="auto"/>
              <w:rPr>
                <w:rFonts w:ascii="Arial"/>
                <w:sz w:val="21"/>
              </w:rPr>
            </w:pPr>
          </w:p>
          <w:p w14:paraId="15E1464F">
            <w:pPr>
              <w:spacing w:line="243" w:lineRule="auto"/>
              <w:rPr>
                <w:rFonts w:ascii="Arial"/>
                <w:sz w:val="21"/>
              </w:rPr>
            </w:pPr>
          </w:p>
          <w:p w14:paraId="41A07C72">
            <w:pPr>
              <w:spacing w:line="243" w:lineRule="auto"/>
              <w:rPr>
                <w:rFonts w:ascii="Arial"/>
                <w:sz w:val="21"/>
              </w:rPr>
            </w:pPr>
          </w:p>
          <w:p w14:paraId="7E7BF71E">
            <w:pPr>
              <w:spacing w:line="243" w:lineRule="auto"/>
              <w:rPr>
                <w:rFonts w:ascii="Arial"/>
                <w:sz w:val="21"/>
              </w:rPr>
            </w:pPr>
          </w:p>
          <w:p w14:paraId="3473CB3D">
            <w:pPr>
              <w:spacing w:line="243" w:lineRule="auto"/>
              <w:rPr>
                <w:rFonts w:ascii="Arial"/>
                <w:sz w:val="21"/>
              </w:rPr>
            </w:pPr>
          </w:p>
          <w:p w14:paraId="1E18381C">
            <w:pPr>
              <w:spacing w:line="243" w:lineRule="auto"/>
              <w:rPr>
                <w:rFonts w:ascii="Arial"/>
                <w:sz w:val="21"/>
              </w:rPr>
            </w:pPr>
          </w:p>
          <w:p w14:paraId="24BAAF53">
            <w:pPr>
              <w:spacing w:line="243" w:lineRule="auto"/>
              <w:rPr>
                <w:rFonts w:ascii="Arial"/>
                <w:sz w:val="21"/>
              </w:rPr>
            </w:pPr>
          </w:p>
          <w:p w14:paraId="2A3BEF0A">
            <w:pPr>
              <w:spacing w:line="243" w:lineRule="auto"/>
              <w:rPr>
                <w:rFonts w:ascii="Arial"/>
                <w:sz w:val="21"/>
              </w:rPr>
            </w:pPr>
          </w:p>
          <w:p w14:paraId="5CD1317B">
            <w:pPr>
              <w:spacing w:line="243" w:lineRule="auto"/>
              <w:rPr>
                <w:rFonts w:ascii="Arial"/>
                <w:sz w:val="21"/>
              </w:rPr>
            </w:pPr>
          </w:p>
          <w:p w14:paraId="4085AB27">
            <w:pPr>
              <w:spacing w:line="243" w:lineRule="auto"/>
              <w:rPr>
                <w:rFonts w:ascii="Arial"/>
                <w:sz w:val="21"/>
              </w:rPr>
            </w:pPr>
          </w:p>
          <w:p w14:paraId="5411AFD1">
            <w:pPr>
              <w:spacing w:line="243" w:lineRule="auto"/>
              <w:rPr>
                <w:rFonts w:ascii="Arial"/>
                <w:sz w:val="21"/>
              </w:rPr>
            </w:pPr>
          </w:p>
          <w:p w14:paraId="79C5F6FA">
            <w:pPr>
              <w:spacing w:line="243" w:lineRule="auto"/>
              <w:rPr>
                <w:rFonts w:ascii="Arial"/>
                <w:sz w:val="21"/>
              </w:rPr>
            </w:pPr>
          </w:p>
          <w:p w14:paraId="4746FE55">
            <w:pPr>
              <w:spacing w:line="243" w:lineRule="auto"/>
              <w:rPr>
                <w:rFonts w:ascii="Arial"/>
                <w:sz w:val="21"/>
              </w:rPr>
            </w:pPr>
          </w:p>
          <w:p w14:paraId="404C1195">
            <w:pPr>
              <w:spacing w:line="243" w:lineRule="auto"/>
              <w:rPr>
                <w:rFonts w:ascii="Arial"/>
                <w:sz w:val="21"/>
              </w:rPr>
            </w:pPr>
          </w:p>
          <w:p w14:paraId="12511374">
            <w:pPr>
              <w:spacing w:line="243" w:lineRule="auto"/>
              <w:rPr>
                <w:rFonts w:ascii="Arial"/>
                <w:sz w:val="21"/>
              </w:rPr>
            </w:pPr>
          </w:p>
          <w:p w14:paraId="2735A6F7">
            <w:pPr>
              <w:spacing w:line="243" w:lineRule="auto"/>
              <w:rPr>
                <w:rFonts w:ascii="Arial"/>
                <w:sz w:val="21"/>
              </w:rPr>
            </w:pPr>
          </w:p>
          <w:p w14:paraId="34DF53DC">
            <w:pPr>
              <w:spacing w:line="243" w:lineRule="auto"/>
              <w:rPr>
                <w:rFonts w:ascii="Arial"/>
                <w:sz w:val="21"/>
              </w:rPr>
            </w:pPr>
          </w:p>
          <w:p w14:paraId="1D38CE9B">
            <w:pPr>
              <w:spacing w:line="243" w:lineRule="auto"/>
              <w:rPr>
                <w:rFonts w:ascii="Arial"/>
                <w:sz w:val="21"/>
              </w:rPr>
            </w:pPr>
          </w:p>
          <w:p w14:paraId="3F699401">
            <w:pPr>
              <w:spacing w:line="243" w:lineRule="auto"/>
              <w:rPr>
                <w:rFonts w:ascii="Arial"/>
                <w:sz w:val="21"/>
              </w:rPr>
            </w:pPr>
          </w:p>
          <w:p w14:paraId="570BAF61">
            <w:pPr>
              <w:pStyle w:val="9"/>
              <w:spacing w:before="78" w:line="219" w:lineRule="auto"/>
              <w:ind w:left="2612"/>
              <w:outlineLvl w:val="1"/>
            </w:pPr>
            <w:r>
              <w:rPr>
                <w:b/>
                <w:bCs/>
                <w:spacing w:val="-4"/>
              </w:rPr>
              <w:t>图</w:t>
            </w:r>
            <w:r>
              <w:rPr>
                <w:spacing w:val="-48"/>
              </w:rPr>
              <w:t xml:space="preserve"> </w:t>
            </w:r>
            <w:r>
              <w:rPr>
                <w:rFonts w:ascii="Times New Roman" w:hAnsi="Times New Roman" w:eastAsia="Times New Roman" w:cs="Times New Roman"/>
                <w:b/>
                <w:bCs/>
                <w:spacing w:val="-4"/>
              </w:rPr>
              <w:t xml:space="preserve">3-11    </w:t>
            </w:r>
            <w:r>
              <w:rPr>
                <w:b/>
                <w:bCs/>
                <w:spacing w:val="-4"/>
              </w:rPr>
              <w:t>本项目植被覆盖度解译图</w:t>
            </w:r>
          </w:p>
          <w:p w14:paraId="76173766">
            <w:pPr>
              <w:pStyle w:val="9"/>
              <w:spacing w:before="186" w:line="219" w:lineRule="auto"/>
              <w:ind w:left="587"/>
              <w:outlineLvl w:val="1"/>
            </w:pPr>
            <w:r>
              <w:rPr>
                <w:rFonts w:ascii="Times New Roman" w:hAnsi="Times New Roman" w:eastAsia="Times New Roman" w:cs="Times New Roman"/>
                <w:b/>
                <w:bCs/>
                <w:spacing w:val="-3"/>
              </w:rPr>
              <w:t>6.</w:t>
            </w:r>
            <w:r>
              <w:rPr>
                <w:b/>
                <w:bCs/>
                <w:spacing w:val="-3"/>
              </w:rPr>
              <w:t>动物现状</w:t>
            </w:r>
          </w:p>
          <w:p w14:paraId="3A8F3161">
            <w:pPr>
              <w:pStyle w:val="9"/>
              <w:spacing w:before="242" w:line="339" w:lineRule="auto"/>
              <w:ind w:left="108" w:right="153" w:firstLine="483"/>
              <w:jc w:val="both"/>
            </w:pPr>
            <w:r>
              <w:rPr>
                <w:spacing w:val="-4"/>
              </w:rPr>
              <w:t>项目建设地区由于人类活动的干扰，野生动物组成比较简单，种类较少，经调查，该地区的野生动物约有十几种，主要以鸟类、啮齿类、昆虫类为主，</w:t>
            </w:r>
            <w:r>
              <w:rPr>
                <w:spacing w:val="1"/>
              </w:rPr>
              <w:t>已无大型野生哺乳动物。评价范围内未发现《国家重点保护野生动物名录》</w:t>
            </w:r>
            <w:r>
              <w:rPr>
                <w:spacing w:val="13"/>
              </w:rPr>
              <w:t xml:space="preserve"> </w:t>
            </w:r>
            <w:r>
              <w:rPr>
                <w:rFonts w:ascii="Times New Roman" w:hAnsi="Times New Roman" w:eastAsia="Times New Roman" w:cs="Times New Roman"/>
                <w:spacing w:val="1"/>
              </w:rPr>
              <w:t xml:space="preserve">(2021 </w:t>
            </w:r>
            <w:r>
              <w:rPr>
                <w:spacing w:val="1"/>
              </w:rPr>
              <w:t>年版</w:t>
            </w:r>
            <w:r>
              <w:rPr>
                <w:rFonts w:ascii="Times New Roman" w:hAnsi="Times New Roman" w:eastAsia="Times New Roman" w:cs="Times New Roman"/>
                <w:spacing w:val="1"/>
              </w:rPr>
              <w:t>)</w:t>
            </w:r>
            <w:r>
              <w:rPr>
                <w:rFonts w:ascii="Times New Roman" w:hAnsi="Times New Roman" w:eastAsia="Times New Roman" w:cs="Times New Roman"/>
                <w:spacing w:val="-19"/>
              </w:rPr>
              <w:t xml:space="preserve"> </w:t>
            </w:r>
            <w:r>
              <w:rPr>
                <w:spacing w:val="1"/>
              </w:rPr>
              <w:t>、内蒙古自治区人民政府办公厅关于发布于《内蒙古自治区重点</w:t>
            </w:r>
            <w:r>
              <w:rPr>
                <w:spacing w:val="-2"/>
              </w:rPr>
              <w:t>保护陆生野生动物名录》</w:t>
            </w:r>
            <w:r>
              <w:rPr>
                <w:rFonts w:ascii="Times New Roman" w:hAnsi="Times New Roman" w:eastAsia="Times New Roman" w:cs="Times New Roman"/>
                <w:spacing w:val="-2"/>
              </w:rPr>
              <w:t>(</w:t>
            </w:r>
            <w:r>
              <w:rPr>
                <w:spacing w:val="-2"/>
              </w:rPr>
              <w:t>内政办发</w:t>
            </w:r>
            <w:r>
              <w:rPr>
                <w:rFonts w:ascii="Times New Roman" w:hAnsi="Times New Roman" w:eastAsia="Times New Roman" w:cs="Times New Roman"/>
                <w:spacing w:val="-2"/>
              </w:rPr>
              <w:t>[</w:t>
            </w:r>
            <w:r>
              <w:fldChar w:fldCharType="begin"/>
            </w:r>
            <w:r>
              <w:instrText xml:space="preserve"> HYPERLINK \l "bookmark8" </w:instrText>
            </w:r>
            <w:r>
              <w:fldChar w:fldCharType="separate"/>
            </w:r>
            <w:r>
              <w:rPr>
                <w:rFonts w:ascii="Times New Roman" w:hAnsi="Times New Roman" w:eastAsia="Times New Roman" w:cs="Times New Roman"/>
                <w:spacing w:val="-2"/>
              </w:rPr>
              <w:t>2021</w:t>
            </w:r>
            <w:r>
              <w:rPr>
                <w:rFonts w:ascii="Times New Roman" w:hAnsi="Times New Roman" w:eastAsia="Times New Roman" w:cs="Times New Roman"/>
                <w:spacing w:val="-2"/>
              </w:rPr>
              <w:fldChar w:fldCharType="end"/>
            </w:r>
            <w:r>
              <w:rPr>
                <w:rFonts w:ascii="Times New Roman" w:hAnsi="Times New Roman" w:eastAsia="Times New Roman" w:cs="Times New Roman"/>
                <w:spacing w:val="-2"/>
              </w:rPr>
              <w:t xml:space="preserve">]78 </w:t>
            </w:r>
            <w:r>
              <w:rPr>
                <w:spacing w:val="-2"/>
              </w:rPr>
              <w:t>号</w:t>
            </w:r>
            <w:r>
              <w:rPr>
                <w:rFonts w:ascii="Times New Roman" w:hAnsi="Times New Roman" w:eastAsia="Times New Roman" w:cs="Times New Roman"/>
                <w:spacing w:val="-2"/>
              </w:rPr>
              <w:t>)</w:t>
            </w:r>
            <w:r>
              <w:rPr>
                <w:spacing w:val="-2"/>
              </w:rPr>
              <w:t>中收录的国家重点保护野生动</w:t>
            </w:r>
            <w:r>
              <w:t>植物、</w:t>
            </w:r>
            <w:r>
              <w:rPr>
                <w:spacing w:val="-62"/>
              </w:rPr>
              <w:t xml:space="preserve"> </w:t>
            </w:r>
            <w:r>
              <w:t>目前未发现珍稀频危物种、特有种等需要特别保护的物种，评价</w:t>
            </w:r>
            <w:r>
              <w:rPr>
                <w:spacing w:val="-1"/>
              </w:rPr>
              <w:t>区常</w:t>
            </w:r>
          </w:p>
        </w:tc>
      </w:tr>
    </w:tbl>
    <w:p w14:paraId="3FD89E1E">
      <w:pPr>
        <w:pStyle w:val="3"/>
      </w:pPr>
    </w:p>
    <w:p w14:paraId="317F24C8">
      <w:pPr>
        <w:sectPr>
          <w:footerReference r:id="rId47" w:type="default"/>
          <w:pgSz w:w="11906" w:h="16838"/>
          <w:pgMar w:top="1416" w:right="1413" w:bottom="1295" w:left="1413" w:header="0" w:footer="1133" w:gutter="0"/>
          <w:cols w:space="720" w:num="1"/>
        </w:sectPr>
      </w:pPr>
    </w:p>
    <w:tbl>
      <w:tblPr>
        <w:tblStyle w:val="8"/>
        <w:tblW w:w="90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51"/>
        <w:gridCol w:w="8313"/>
      </w:tblGrid>
      <w:tr w14:paraId="41630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644" w:hRule="atLeast"/>
        </w:trPr>
        <w:tc>
          <w:tcPr>
            <w:tcW w:w="751" w:type="dxa"/>
            <w:tcBorders>
              <w:right w:val="single" w:color="000000" w:sz="2" w:space="0"/>
            </w:tcBorders>
            <w:vAlign w:val="top"/>
          </w:tcPr>
          <w:p w14:paraId="4BDB0CA3">
            <w:pPr>
              <w:rPr>
                <w:rFonts w:ascii="Arial"/>
                <w:sz w:val="21"/>
              </w:rPr>
            </w:pPr>
          </w:p>
        </w:tc>
        <w:tc>
          <w:tcPr>
            <w:tcW w:w="8313" w:type="dxa"/>
            <w:tcBorders>
              <w:left w:val="single" w:color="000000" w:sz="2" w:space="0"/>
            </w:tcBorders>
            <w:vAlign w:val="top"/>
          </w:tcPr>
          <w:p w14:paraId="08393DF2">
            <w:pPr>
              <w:pStyle w:val="9"/>
              <w:spacing w:before="175" w:line="219" w:lineRule="auto"/>
              <w:ind w:left="111"/>
            </w:pPr>
            <w:r>
              <w:rPr>
                <w:spacing w:val="-2"/>
              </w:rPr>
              <w:t>见野生动物名录见下表。当地主要动物名录如表</w:t>
            </w:r>
            <w:r>
              <w:rPr>
                <w:spacing w:val="-51"/>
              </w:rPr>
              <w:t xml:space="preserve"> </w:t>
            </w:r>
            <w:r>
              <w:rPr>
                <w:rFonts w:ascii="Times New Roman" w:hAnsi="Times New Roman" w:eastAsia="Times New Roman" w:cs="Times New Roman"/>
                <w:spacing w:val="-2"/>
              </w:rPr>
              <w:t>3-</w:t>
            </w:r>
            <w:r>
              <w:rPr>
                <w:rFonts w:ascii="Times New Roman" w:hAnsi="Times New Roman" w:eastAsia="Times New Roman" w:cs="Times New Roman"/>
                <w:spacing w:val="-32"/>
              </w:rPr>
              <w:t xml:space="preserve"> </w:t>
            </w:r>
            <w:r>
              <w:rPr>
                <w:rFonts w:ascii="Times New Roman" w:hAnsi="Times New Roman" w:eastAsia="Times New Roman" w:cs="Times New Roman"/>
                <w:spacing w:val="-2"/>
              </w:rPr>
              <w:t>10</w:t>
            </w:r>
            <w:r>
              <w:rPr>
                <w:spacing w:val="-2"/>
              </w:rPr>
              <w:t>。</w:t>
            </w:r>
          </w:p>
          <w:p w14:paraId="5E11508D">
            <w:pPr>
              <w:pStyle w:val="9"/>
              <w:spacing w:before="211" w:line="218" w:lineRule="auto"/>
              <w:ind w:left="2643"/>
            </w:pPr>
            <w:r>
              <w:rPr>
                <w:b/>
                <w:bCs/>
                <w:spacing w:val="-2"/>
              </w:rPr>
              <w:t>表</w:t>
            </w:r>
            <w:r>
              <w:rPr>
                <w:spacing w:val="-47"/>
              </w:rPr>
              <w:t xml:space="preserve"> </w:t>
            </w:r>
            <w:r>
              <w:rPr>
                <w:rFonts w:ascii="Times New Roman" w:hAnsi="Times New Roman" w:eastAsia="Times New Roman" w:cs="Times New Roman"/>
                <w:b/>
                <w:bCs/>
                <w:spacing w:val="-2"/>
              </w:rPr>
              <w:t xml:space="preserve">3-10      </w:t>
            </w:r>
            <w:r>
              <w:rPr>
                <w:b/>
                <w:bCs/>
                <w:spacing w:val="-2"/>
              </w:rPr>
              <w:t>评价区域主要动物名录</w:t>
            </w:r>
          </w:p>
          <w:p w14:paraId="02AB1CA7">
            <w:pPr>
              <w:spacing w:line="147" w:lineRule="exact"/>
            </w:pPr>
          </w:p>
          <w:tbl>
            <w:tblPr>
              <w:tblStyle w:val="8"/>
              <w:tblW w:w="8095" w:type="dxa"/>
              <w:tblInd w:w="1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1"/>
              <w:gridCol w:w="1424"/>
              <w:gridCol w:w="3096"/>
              <w:gridCol w:w="1661"/>
              <w:gridCol w:w="1193"/>
            </w:tblGrid>
            <w:tr w14:paraId="3C9554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721" w:type="dxa"/>
                  <w:vAlign w:val="top"/>
                </w:tcPr>
                <w:p w14:paraId="373A51A6">
                  <w:pPr>
                    <w:pStyle w:val="9"/>
                    <w:spacing w:before="68" w:line="229" w:lineRule="auto"/>
                    <w:ind w:left="154"/>
                    <w:rPr>
                      <w:sz w:val="20"/>
                      <w:szCs w:val="20"/>
                    </w:rPr>
                  </w:pPr>
                  <w:r>
                    <w:rPr>
                      <w:b/>
                      <w:bCs/>
                      <w:spacing w:val="4"/>
                      <w:sz w:val="20"/>
                      <w:szCs w:val="20"/>
                    </w:rPr>
                    <w:t>序号</w:t>
                  </w:r>
                </w:p>
              </w:tc>
              <w:tc>
                <w:tcPr>
                  <w:tcW w:w="1424" w:type="dxa"/>
                  <w:vAlign w:val="top"/>
                </w:tcPr>
                <w:p w14:paraId="020CF889">
                  <w:pPr>
                    <w:pStyle w:val="9"/>
                    <w:spacing w:before="69" w:line="228" w:lineRule="auto"/>
                    <w:ind w:left="418"/>
                    <w:rPr>
                      <w:sz w:val="20"/>
                      <w:szCs w:val="20"/>
                    </w:rPr>
                  </w:pPr>
                  <w:r>
                    <w:rPr>
                      <w:b/>
                      <w:bCs/>
                      <w:spacing w:val="-1"/>
                      <w:sz w:val="20"/>
                      <w:szCs w:val="20"/>
                    </w:rPr>
                    <w:t>中文名</w:t>
                  </w:r>
                </w:p>
              </w:tc>
              <w:tc>
                <w:tcPr>
                  <w:tcW w:w="3096" w:type="dxa"/>
                  <w:vAlign w:val="top"/>
                </w:tcPr>
                <w:p w14:paraId="2683D6FF">
                  <w:pPr>
                    <w:pStyle w:val="9"/>
                    <w:spacing w:before="68" w:line="229" w:lineRule="auto"/>
                    <w:ind w:left="1348"/>
                    <w:rPr>
                      <w:sz w:val="20"/>
                      <w:szCs w:val="20"/>
                    </w:rPr>
                  </w:pPr>
                  <w:r>
                    <w:rPr>
                      <w:b/>
                      <w:bCs/>
                      <w:spacing w:val="1"/>
                      <w:sz w:val="20"/>
                      <w:szCs w:val="20"/>
                    </w:rPr>
                    <w:t>学名</w:t>
                  </w:r>
                </w:p>
              </w:tc>
              <w:tc>
                <w:tcPr>
                  <w:tcW w:w="1661" w:type="dxa"/>
                  <w:vAlign w:val="top"/>
                </w:tcPr>
                <w:p w14:paraId="20DC3249">
                  <w:pPr>
                    <w:pStyle w:val="9"/>
                    <w:spacing w:before="69" w:line="228" w:lineRule="auto"/>
                    <w:ind w:left="415"/>
                    <w:rPr>
                      <w:sz w:val="20"/>
                      <w:szCs w:val="20"/>
                    </w:rPr>
                  </w:pPr>
                  <w:r>
                    <w:rPr>
                      <w:b/>
                      <w:bCs/>
                      <w:spacing w:val="6"/>
                      <w:sz w:val="20"/>
                      <w:szCs w:val="20"/>
                    </w:rPr>
                    <w:t>栖息生境</w:t>
                  </w:r>
                </w:p>
              </w:tc>
              <w:tc>
                <w:tcPr>
                  <w:tcW w:w="1193" w:type="dxa"/>
                  <w:vAlign w:val="top"/>
                </w:tcPr>
                <w:p w14:paraId="6DB9BDE9">
                  <w:pPr>
                    <w:pStyle w:val="9"/>
                    <w:spacing w:before="68" w:line="228" w:lineRule="auto"/>
                    <w:ind w:left="180"/>
                    <w:rPr>
                      <w:sz w:val="20"/>
                      <w:szCs w:val="20"/>
                    </w:rPr>
                  </w:pPr>
                  <w:r>
                    <w:rPr>
                      <w:b/>
                      <w:bCs/>
                      <w:spacing w:val="6"/>
                      <w:sz w:val="20"/>
                      <w:szCs w:val="20"/>
                    </w:rPr>
                    <w:t>保护等级</w:t>
                  </w:r>
                </w:p>
              </w:tc>
            </w:tr>
            <w:tr w14:paraId="25C7D5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8095" w:type="dxa"/>
                  <w:gridSpan w:val="5"/>
                  <w:vAlign w:val="top"/>
                </w:tcPr>
                <w:p w14:paraId="238BF7D4">
                  <w:pPr>
                    <w:pStyle w:val="9"/>
                    <w:spacing w:before="65" w:line="228" w:lineRule="auto"/>
                    <w:ind w:left="3636"/>
                    <w:rPr>
                      <w:sz w:val="20"/>
                      <w:szCs w:val="20"/>
                    </w:rPr>
                  </w:pPr>
                  <w:r>
                    <w:rPr>
                      <w:spacing w:val="6"/>
                      <w:sz w:val="20"/>
                      <w:szCs w:val="20"/>
                    </w:rPr>
                    <w:t>一、鸟纲</w:t>
                  </w:r>
                </w:p>
              </w:tc>
            </w:tr>
            <w:tr w14:paraId="667882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8095" w:type="dxa"/>
                  <w:gridSpan w:val="5"/>
                  <w:vAlign w:val="top"/>
                </w:tcPr>
                <w:p w14:paraId="430D6575">
                  <w:pPr>
                    <w:pStyle w:val="9"/>
                    <w:spacing w:before="64" w:line="229" w:lineRule="auto"/>
                    <w:ind w:left="3431"/>
                    <w:rPr>
                      <w:sz w:val="20"/>
                      <w:szCs w:val="20"/>
                    </w:rPr>
                  </w:pPr>
                  <w:r>
                    <w:rPr>
                      <w:spacing w:val="6"/>
                      <w:sz w:val="20"/>
                      <w:szCs w:val="20"/>
                    </w:rPr>
                    <w:t>（一）鸡形目</w:t>
                  </w:r>
                </w:p>
              </w:tc>
            </w:tr>
            <w:tr w14:paraId="13305D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721" w:type="dxa"/>
                  <w:vAlign w:val="top"/>
                </w:tcPr>
                <w:p w14:paraId="765716E7">
                  <w:pPr>
                    <w:spacing w:before="104" w:line="195" w:lineRule="auto"/>
                    <w:ind w:left="330"/>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424" w:type="dxa"/>
                  <w:vAlign w:val="top"/>
                </w:tcPr>
                <w:p w14:paraId="2A53F507">
                  <w:pPr>
                    <w:pStyle w:val="9"/>
                    <w:spacing w:before="65" w:line="229" w:lineRule="auto"/>
                    <w:ind w:left="505"/>
                    <w:rPr>
                      <w:sz w:val="20"/>
                      <w:szCs w:val="20"/>
                    </w:rPr>
                  </w:pPr>
                  <w:r>
                    <w:rPr>
                      <w:spacing w:val="4"/>
                      <w:sz w:val="20"/>
                      <w:szCs w:val="20"/>
                    </w:rPr>
                    <w:t>石鸡</w:t>
                  </w:r>
                </w:p>
              </w:tc>
              <w:tc>
                <w:tcPr>
                  <w:tcW w:w="3096" w:type="dxa"/>
                  <w:vAlign w:val="top"/>
                </w:tcPr>
                <w:p w14:paraId="3A2D3F56">
                  <w:pPr>
                    <w:spacing w:before="33" w:line="278" w:lineRule="exact"/>
                    <w:ind w:left="838"/>
                    <w:rPr>
                      <w:rFonts w:ascii="Times New Roman" w:hAnsi="Times New Roman" w:eastAsia="Times New Roman" w:cs="Times New Roman"/>
                      <w:sz w:val="20"/>
                      <w:szCs w:val="20"/>
                    </w:rPr>
                  </w:pPr>
                  <w:r>
                    <w:rPr>
                      <w:rFonts w:ascii="Times New Roman" w:hAnsi="Times New Roman" w:eastAsia="Times New Roman" w:cs="Times New Roman"/>
                      <w:i/>
                      <w:iCs/>
                      <w:spacing w:val="4"/>
                      <w:position w:val="2"/>
                      <w:sz w:val="20"/>
                      <w:szCs w:val="20"/>
                    </w:rPr>
                    <w:t>Alectoris chukar</w:t>
                  </w:r>
                </w:p>
              </w:tc>
              <w:tc>
                <w:tcPr>
                  <w:tcW w:w="1661" w:type="dxa"/>
                  <w:vAlign w:val="top"/>
                </w:tcPr>
                <w:p w14:paraId="23C11FC1">
                  <w:pPr>
                    <w:pStyle w:val="9"/>
                    <w:spacing w:before="65" w:line="228" w:lineRule="auto"/>
                    <w:ind w:left="313"/>
                    <w:rPr>
                      <w:sz w:val="20"/>
                      <w:szCs w:val="20"/>
                    </w:rPr>
                  </w:pPr>
                  <w:r>
                    <w:rPr>
                      <w:spacing w:val="7"/>
                      <w:sz w:val="20"/>
                      <w:szCs w:val="20"/>
                    </w:rPr>
                    <w:t>草地、灌丛</w:t>
                  </w:r>
                </w:p>
              </w:tc>
              <w:tc>
                <w:tcPr>
                  <w:tcW w:w="1193" w:type="dxa"/>
                  <w:vAlign w:val="top"/>
                </w:tcPr>
                <w:p w14:paraId="48ECB54F">
                  <w:pPr>
                    <w:pStyle w:val="9"/>
                    <w:spacing w:before="66" w:line="228" w:lineRule="auto"/>
                    <w:ind w:left="498"/>
                    <w:rPr>
                      <w:sz w:val="20"/>
                      <w:szCs w:val="20"/>
                    </w:rPr>
                  </w:pPr>
                  <w:r>
                    <w:rPr>
                      <w:sz w:val="20"/>
                      <w:szCs w:val="20"/>
                    </w:rPr>
                    <w:t>无</w:t>
                  </w:r>
                </w:p>
              </w:tc>
            </w:tr>
            <w:tr w14:paraId="08E448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721" w:type="dxa"/>
                  <w:vAlign w:val="top"/>
                </w:tcPr>
                <w:p w14:paraId="26D79767">
                  <w:pPr>
                    <w:spacing w:before="105" w:line="195" w:lineRule="auto"/>
                    <w:ind w:left="309"/>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424" w:type="dxa"/>
                  <w:vAlign w:val="top"/>
                </w:tcPr>
                <w:p w14:paraId="058D8CAB">
                  <w:pPr>
                    <w:pStyle w:val="9"/>
                    <w:spacing w:before="67" w:line="229" w:lineRule="auto"/>
                    <w:ind w:left="506"/>
                    <w:rPr>
                      <w:sz w:val="20"/>
                      <w:szCs w:val="20"/>
                    </w:rPr>
                  </w:pPr>
                  <w:r>
                    <w:rPr>
                      <w:spacing w:val="3"/>
                      <w:sz w:val="20"/>
                      <w:szCs w:val="20"/>
                    </w:rPr>
                    <w:t>雉鸡</w:t>
                  </w:r>
                </w:p>
              </w:tc>
              <w:tc>
                <w:tcPr>
                  <w:tcW w:w="3096" w:type="dxa"/>
                  <w:vAlign w:val="top"/>
                </w:tcPr>
                <w:p w14:paraId="52C9F957">
                  <w:pPr>
                    <w:spacing w:before="35" w:line="277" w:lineRule="exact"/>
                    <w:ind w:left="680"/>
                    <w:rPr>
                      <w:rFonts w:ascii="Times New Roman" w:hAnsi="Times New Roman" w:eastAsia="Times New Roman" w:cs="Times New Roman"/>
                      <w:sz w:val="20"/>
                      <w:szCs w:val="20"/>
                    </w:rPr>
                  </w:pPr>
                  <w:r>
                    <w:rPr>
                      <w:rFonts w:ascii="Times New Roman" w:hAnsi="Times New Roman" w:eastAsia="Times New Roman" w:cs="Times New Roman"/>
                      <w:i/>
                      <w:iCs/>
                      <w:spacing w:val="4"/>
                      <w:position w:val="2"/>
                      <w:sz w:val="20"/>
                      <w:szCs w:val="20"/>
                    </w:rPr>
                    <w:t>Phasianus colchicus</w:t>
                  </w:r>
                </w:p>
              </w:tc>
              <w:tc>
                <w:tcPr>
                  <w:tcW w:w="1661" w:type="dxa"/>
                  <w:vAlign w:val="top"/>
                </w:tcPr>
                <w:p w14:paraId="110153E5">
                  <w:pPr>
                    <w:pStyle w:val="9"/>
                    <w:spacing w:before="66" w:line="228" w:lineRule="auto"/>
                    <w:ind w:left="313"/>
                    <w:rPr>
                      <w:sz w:val="20"/>
                      <w:szCs w:val="20"/>
                    </w:rPr>
                  </w:pPr>
                  <w:r>
                    <w:rPr>
                      <w:spacing w:val="7"/>
                      <w:sz w:val="20"/>
                      <w:szCs w:val="20"/>
                    </w:rPr>
                    <w:t>草地、灌丛</w:t>
                  </w:r>
                </w:p>
              </w:tc>
              <w:tc>
                <w:tcPr>
                  <w:tcW w:w="1193" w:type="dxa"/>
                  <w:vAlign w:val="top"/>
                </w:tcPr>
                <w:p w14:paraId="3207E0DB">
                  <w:pPr>
                    <w:pStyle w:val="9"/>
                    <w:spacing w:before="67" w:line="228" w:lineRule="auto"/>
                    <w:ind w:left="498"/>
                    <w:rPr>
                      <w:sz w:val="20"/>
                      <w:szCs w:val="20"/>
                    </w:rPr>
                  </w:pPr>
                  <w:r>
                    <w:rPr>
                      <w:sz w:val="20"/>
                      <w:szCs w:val="20"/>
                    </w:rPr>
                    <w:t>无</w:t>
                  </w:r>
                </w:p>
              </w:tc>
            </w:tr>
            <w:tr w14:paraId="3E239F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721" w:type="dxa"/>
                  <w:vAlign w:val="top"/>
                </w:tcPr>
                <w:p w14:paraId="6EED5226">
                  <w:pPr>
                    <w:spacing w:before="104" w:line="195" w:lineRule="auto"/>
                    <w:ind w:left="314"/>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424" w:type="dxa"/>
                  <w:vAlign w:val="top"/>
                </w:tcPr>
                <w:p w14:paraId="1BAD2BE7">
                  <w:pPr>
                    <w:pStyle w:val="9"/>
                    <w:spacing w:before="68" w:line="229" w:lineRule="auto"/>
                    <w:ind w:left="504"/>
                    <w:rPr>
                      <w:sz w:val="20"/>
                      <w:szCs w:val="20"/>
                    </w:rPr>
                  </w:pPr>
                  <w:r>
                    <w:rPr>
                      <w:spacing w:val="4"/>
                      <w:sz w:val="20"/>
                      <w:szCs w:val="20"/>
                    </w:rPr>
                    <w:t>鹌鹑</w:t>
                  </w:r>
                </w:p>
              </w:tc>
              <w:tc>
                <w:tcPr>
                  <w:tcW w:w="3096" w:type="dxa"/>
                  <w:vAlign w:val="top"/>
                </w:tcPr>
                <w:p w14:paraId="3215455A">
                  <w:pPr>
                    <w:spacing w:before="34" w:line="277" w:lineRule="exact"/>
                    <w:ind w:left="687"/>
                    <w:rPr>
                      <w:rFonts w:ascii="Times New Roman" w:hAnsi="Times New Roman" w:eastAsia="Times New Roman" w:cs="Times New Roman"/>
                      <w:sz w:val="20"/>
                      <w:szCs w:val="20"/>
                    </w:rPr>
                  </w:pPr>
                  <w:r>
                    <w:rPr>
                      <w:rFonts w:ascii="Times New Roman" w:hAnsi="Times New Roman" w:eastAsia="Times New Roman" w:cs="Times New Roman"/>
                      <w:i/>
                      <w:iCs/>
                      <w:spacing w:val="3"/>
                      <w:position w:val="2"/>
                      <w:sz w:val="20"/>
                      <w:szCs w:val="20"/>
                    </w:rPr>
                    <w:t>Coturnix colchicums</w:t>
                  </w:r>
                </w:p>
              </w:tc>
              <w:tc>
                <w:tcPr>
                  <w:tcW w:w="1661" w:type="dxa"/>
                  <w:vAlign w:val="top"/>
                </w:tcPr>
                <w:p w14:paraId="7D4BECE3">
                  <w:pPr>
                    <w:pStyle w:val="9"/>
                    <w:spacing w:before="68" w:line="228" w:lineRule="auto"/>
                    <w:ind w:left="313"/>
                    <w:rPr>
                      <w:sz w:val="20"/>
                      <w:szCs w:val="20"/>
                    </w:rPr>
                  </w:pPr>
                  <w:r>
                    <w:rPr>
                      <w:spacing w:val="7"/>
                      <w:sz w:val="20"/>
                      <w:szCs w:val="20"/>
                    </w:rPr>
                    <w:t>草地、灌丛</w:t>
                  </w:r>
                </w:p>
              </w:tc>
              <w:tc>
                <w:tcPr>
                  <w:tcW w:w="1193" w:type="dxa"/>
                  <w:vAlign w:val="top"/>
                </w:tcPr>
                <w:p w14:paraId="3AA0BF28">
                  <w:pPr>
                    <w:pStyle w:val="9"/>
                    <w:spacing w:before="68" w:line="228" w:lineRule="auto"/>
                    <w:ind w:left="498"/>
                    <w:rPr>
                      <w:sz w:val="20"/>
                      <w:szCs w:val="20"/>
                    </w:rPr>
                  </w:pPr>
                  <w:r>
                    <w:rPr>
                      <w:sz w:val="20"/>
                      <w:szCs w:val="20"/>
                    </w:rPr>
                    <w:t>无</w:t>
                  </w:r>
                </w:p>
              </w:tc>
            </w:tr>
            <w:tr w14:paraId="51B8A1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8095" w:type="dxa"/>
                  <w:gridSpan w:val="5"/>
                  <w:vAlign w:val="top"/>
                </w:tcPr>
                <w:p w14:paraId="68C4906D">
                  <w:pPr>
                    <w:pStyle w:val="9"/>
                    <w:spacing w:before="69" w:line="228" w:lineRule="auto"/>
                    <w:ind w:left="3431"/>
                    <w:rPr>
                      <w:sz w:val="20"/>
                      <w:szCs w:val="20"/>
                    </w:rPr>
                  </w:pPr>
                  <w:r>
                    <w:rPr>
                      <w:spacing w:val="6"/>
                      <w:sz w:val="20"/>
                      <w:szCs w:val="20"/>
                    </w:rPr>
                    <w:t>（二）雀形目</w:t>
                  </w:r>
                </w:p>
              </w:tc>
            </w:tr>
            <w:tr w14:paraId="2E50A5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721" w:type="dxa"/>
                  <w:vAlign w:val="top"/>
                </w:tcPr>
                <w:p w14:paraId="455412A0">
                  <w:pPr>
                    <w:spacing w:before="105" w:line="195" w:lineRule="auto"/>
                    <w:ind w:left="30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1424" w:type="dxa"/>
                  <w:vAlign w:val="top"/>
                </w:tcPr>
                <w:p w14:paraId="5B52A503">
                  <w:pPr>
                    <w:pStyle w:val="9"/>
                    <w:spacing w:before="68" w:line="228" w:lineRule="auto"/>
                    <w:ind w:left="403"/>
                    <w:rPr>
                      <w:sz w:val="20"/>
                      <w:szCs w:val="20"/>
                    </w:rPr>
                  </w:pPr>
                  <w:r>
                    <w:rPr>
                      <w:spacing w:val="6"/>
                      <w:sz w:val="20"/>
                      <w:szCs w:val="20"/>
                    </w:rPr>
                    <w:t>灰喜鹊</w:t>
                  </w:r>
                </w:p>
              </w:tc>
              <w:tc>
                <w:tcPr>
                  <w:tcW w:w="3096" w:type="dxa"/>
                  <w:vAlign w:val="top"/>
                </w:tcPr>
                <w:p w14:paraId="1F9F58B2">
                  <w:pPr>
                    <w:spacing w:before="105" w:line="197" w:lineRule="auto"/>
                    <w:ind w:left="826"/>
                    <w:rPr>
                      <w:rFonts w:ascii="Times New Roman" w:hAnsi="Times New Roman" w:eastAsia="Times New Roman" w:cs="Times New Roman"/>
                      <w:sz w:val="20"/>
                      <w:szCs w:val="20"/>
                    </w:rPr>
                  </w:pPr>
                  <w:r>
                    <w:rPr>
                      <w:rFonts w:ascii="Times New Roman" w:hAnsi="Times New Roman" w:eastAsia="Times New Roman" w:cs="Times New Roman"/>
                      <w:i/>
                      <w:iCs/>
                      <w:spacing w:val="3"/>
                      <w:sz w:val="20"/>
                      <w:szCs w:val="20"/>
                    </w:rPr>
                    <w:t>Cyanopica cyana</w:t>
                  </w:r>
                </w:p>
              </w:tc>
              <w:tc>
                <w:tcPr>
                  <w:tcW w:w="1661" w:type="dxa"/>
                  <w:vAlign w:val="top"/>
                </w:tcPr>
                <w:p w14:paraId="7FE148C6">
                  <w:pPr>
                    <w:pStyle w:val="9"/>
                    <w:spacing w:before="68" w:line="228" w:lineRule="auto"/>
                    <w:ind w:left="313"/>
                    <w:rPr>
                      <w:sz w:val="20"/>
                      <w:szCs w:val="20"/>
                    </w:rPr>
                  </w:pPr>
                  <w:r>
                    <w:rPr>
                      <w:spacing w:val="7"/>
                      <w:sz w:val="20"/>
                      <w:szCs w:val="20"/>
                    </w:rPr>
                    <w:t>草地、灌丛</w:t>
                  </w:r>
                </w:p>
              </w:tc>
              <w:tc>
                <w:tcPr>
                  <w:tcW w:w="1193" w:type="dxa"/>
                  <w:vAlign w:val="top"/>
                </w:tcPr>
                <w:p w14:paraId="11ACE781">
                  <w:pPr>
                    <w:pStyle w:val="9"/>
                    <w:spacing w:before="69" w:line="228" w:lineRule="auto"/>
                    <w:ind w:left="498"/>
                    <w:rPr>
                      <w:sz w:val="20"/>
                      <w:szCs w:val="20"/>
                    </w:rPr>
                  </w:pPr>
                  <w:r>
                    <w:rPr>
                      <w:sz w:val="20"/>
                      <w:szCs w:val="20"/>
                    </w:rPr>
                    <w:t>无</w:t>
                  </w:r>
                </w:p>
              </w:tc>
            </w:tr>
            <w:tr w14:paraId="3E9624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721" w:type="dxa"/>
                  <w:vAlign w:val="top"/>
                </w:tcPr>
                <w:p w14:paraId="50075BF2">
                  <w:pPr>
                    <w:spacing w:before="108" w:line="192" w:lineRule="auto"/>
                    <w:ind w:left="315"/>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424" w:type="dxa"/>
                  <w:vAlign w:val="top"/>
                </w:tcPr>
                <w:p w14:paraId="5F0312A7">
                  <w:pPr>
                    <w:pStyle w:val="9"/>
                    <w:spacing w:before="66" w:line="228" w:lineRule="auto"/>
                    <w:ind w:left="401"/>
                    <w:rPr>
                      <w:sz w:val="20"/>
                      <w:szCs w:val="20"/>
                    </w:rPr>
                  </w:pPr>
                  <w:r>
                    <w:rPr>
                      <w:spacing w:val="6"/>
                      <w:sz w:val="20"/>
                      <w:szCs w:val="20"/>
                    </w:rPr>
                    <w:t>树麻雀</w:t>
                  </w:r>
                </w:p>
              </w:tc>
              <w:tc>
                <w:tcPr>
                  <w:tcW w:w="3096" w:type="dxa"/>
                  <w:vAlign w:val="top"/>
                </w:tcPr>
                <w:p w14:paraId="0F24AB13">
                  <w:pPr>
                    <w:spacing w:before="108" w:line="192" w:lineRule="auto"/>
                    <w:ind w:left="819"/>
                    <w:rPr>
                      <w:rFonts w:ascii="Times New Roman" w:hAnsi="Times New Roman" w:eastAsia="Times New Roman" w:cs="Times New Roman"/>
                      <w:sz w:val="20"/>
                      <w:szCs w:val="20"/>
                    </w:rPr>
                  </w:pPr>
                  <w:r>
                    <w:rPr>
                      <w:rFonts w:ascii="Times New Roman" w:hAnsi="Times New Roman" w:eastAsia="Times New Roman" w:cs="Times New Roman"/>
                      <w:i/>
                      <w:iCs/>
                      <w:spacing w:val="4"/>
                      <w:sz w:val="20"/>
                      <w:szCs w:val="20"/>
                    </w:rPr>
                    <w:t>Passer montanus</w:t>
                  </w:r>
                </w:p>
              </w:tc>
              <w:tc>
                <w:tcPr>
                  <w:tcW w:w="1661" w:type="dxa"/>
                  <w:vAlign w:val="top"/>
                </w:tcPr>
                <w:p w14:paraId="479DD1E8">
                  <w:pPr>
                    <w:pStyle w:val="9"/>
                    <w:spacing w:before="66" w:line="228" w:lineRule="auto"/>
                    <w:ind w:left="313"/>
                    <w:rPr>
                      <w:sz w:val="20"/>
                      <w:szCs w:val="20"/>
                    </w:rPr>
                  </w:pPr>
                  <w:r>
                    <w:rPr>
                      <w:spacing w:val="7"/>
                      <w:sz w:val="20"/>
                      <w:szCs w:val="20"/>
                    </w:rPr>
                    <w:t>草地、灌丛</w:t>
                  </w:r>
                </w:p>
              </w:tc>
              <w:tc>
                <w:tcPr>
                  <w:tcW w:w="1193" w:type="dxa"/>
                  <w:vAlign w:val="top"/>
                </w:tcPr>
                <w:p w14:paraId="4917851A">
                  <w:pPr>
                    <w:pStyle w:val="9"/>
                    <w:spacing w:before="67" w:line="228" w:lineRule="auto"/>
                    <w:ind w:left="498"/>
                    <w:rPr>
                      <w:sz w:val="20"/>
                      <w:szCs w:val="20"/>
                    </w:rPr>
                  </w:pPr>
                  <w:r>
                    <w:rPr>
                      <w:sz w:val="20"/>
                      <w:szCs w:val="20"/>
                    </w:rPr>
                    <w:t>无</w:t>
                  </w:r>
                </w:p>
              </w:tc>
            </w:tr>
            <w:tr w14:paraId="730A5C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721" w:type="dxa"/>
                  <w:vAlign w:val="top"/>
                </w:tcPr>
                <w:p w14:paraId="11025F6A">
                  <w:pPr>
                    <w:spacing w:before="105" w:line="195" w:lineRule="auto"/>
                    <w:ind w:left="314"/>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1424" w:type="dxa"/>
                  <w:vAlign w:val="top"/>
                </w:tcPr>
                <w:p w14:paraId="02CEDFC6">
                  <w:pPr>
                    <w:pStyle w:val="9"/>
                    <w:spacing w:before="68" w:line="228" w:lineRule="auto"/>
                    <w:ind w:left="506"/>
                    <w:rPr>
                      <w:sz w:val="20"/>
                      <w:szCs w:val="20"/>
                    </w:rPr>
                  </w:pPr>
                  <w:r>
                    <w:rPr>
                      <w:spacing w:val="3"/>
                      <w:sz w:val="20"/>
                      <w:szCs w:val="20"/>
                    </w:rPr>
                    <w:t>家燕</w:t>
                  </w:r>
                </w:p>
              </w:tc>
              <w:tc>
                <w:tcPr>
                  <w:tcW w:w="3096" w:type="dxa"/>
                  <w:vAlign w:val="top"/>
                </w:tcPr>
                <w:p w14:paraId="1DD9FA25">
                  <w:pPr>
                    <w:spacing w:before="35" w:line="278" w:lineRule="exact"/>
                    <w:ind w:left="867"/>
                    <w:rPr>
                      <w:rFonts w:ascii="Times New Roman" w:hAnsi="Times New Roman" w:eastAsia="Times New Roman" w:cs="Times New Roman"/>
                      <w:sz w:val="20"/>
                      <w:szCs w:val="20"/>
                    </w:rPr>
                  </w:pPr>
                  <w:r>
                    <w:rPr>
                      <w:rFonts w:ascii="Times New Roman" w:hAnsi="Times New Roman" w:eastAsia="Times New Roman" w:cs="Times New Roman"/>
                      <w:i/>
                      <w:iCs/>
                      <w:spacing w:val="4"/>
                      <w:position w:val="2"/>
                      <w:sz w:val="20"/>
                      <w:szCs w:val="20"/>
                    </w:rPr>
                    <w:t>Hirundo rustica</w:t>
                  </w:r>
                </w:p>
              </w:tc>
              <w:tc>
                <w:tcPr>
                  <w:tcW w:w="1661" w:type="dxa"/>
                  <w:vAlign w:val="top"/>
                </w:tcPr>
                <w:p w14:paraId="5984E951">
                  <w:pPr>
                    <w:pStyle w:val="9"/>
                    <w:spacing w:before="67" w:line="228" w:lineRule="auto"/>
                    <w:ind w:left="313"/>
                    <w:rPr>
                      <w:sz w:val="20"/>
                      <w:szCs w:val="20"/>
                    </w:rPr>
                  </w:pPr>
                  <w:r>
                    <w:rPr>
                      <w:spacing w:val="7"/>
                      <w:sz w:val="20"/>
                      <w:szCs w:val="20"/>
                    </w:rPr>
                    <w:t>草地、灌丛</w:t>
                  </w:r>
                </w:p>
              </w:tc>
              <w:tc>
                <w:tcPr>
                  <w:tcW w:w="1193" w:type="dxa"/>
                  <w:vAlign w:val="top"/>
                </w:tcPr>
                <w:p w14:paraId="06A593FE">
                  <w:pPr>
                    <w:pStyle w:val="9"/>
                    <w:spacing w:before="68" w:line="228" w:lineRule="auto"/>
                    <w:ind w:left="498"/>
                    <w:rPr>
                      <w:sz w:val="20"/>
                      <w:szCs w:val="20"/>
                    </w:rPr>
                  </w:pPr>
                  <w:r>
                    <w:rPr>
                      <w:sz w:val="20"/>
                      <w:szCs w:val="20"/>
                    </w:rPr>
                    <w:t>无</w:t>
                  </w:r>
                </w:p>
              </w:tc>
            </w:tr>
            <w:tr w14:paraId="0036A8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8095" w:type="dxa"/>
                  <w:gridSpan w:val="5"/>
                  <w:vAlign w:val="top"/>
                </w:tcPr>
                <w:p w14:paraId="70C80FFF">
                  <w:pPr>
                    <w:pStyle w:val="9"/>
                    <w:spacing w:before="68" w:line="228" w:lineRule="auto"/>
                    <w:ind w:left="3530"/>
                    <w:rPr>
                      <w:sz w:val="20"/>
                      <w:szCs w:val="20"/>
                    </w:rPr>
                  </w:pPr>
                  <w:r>
                    <w:rPr>
                      <w:spacing w:val="7"/>
                      <w:sz w:val="20"/>
                      <w:szCs w:val="20"/>
                    </w:rPr>
                    <w:t>二、哺乳纲</w:t>
                  </w:r>
                </w:p>
              </w:tc>
            </w:tr>
            <w:tr w14:paraId="3BBD95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8095" w:type="dxa"/>
                  <w:gridSpan w:val="5"/>
                  <w:vAlign w:val="top"/>
                </w:tcPr>
                <w:p w14:paraId="44FC9A63">
                  <w:pPr>
                    <w:pStyle w:val="9"/>
                    <w:spacing w:before="68" w:line="229" w:lineRule="auto"/>
                    <w:ind w:left="3431"/>
                    <w:rPr>
                      <w:sz w:val="20"/>
                      <w:szCs w:val="20"/>
                    </w:rPr>
                  </w:pPr>
                  <w:r>
                    <w:rPr>
                      <w:spacing w:val="6"/>
                      <w:sz w:val="20"/>
                      <w:szCs w:val="20"/>
                    </w:rPr>
                    <w:t>（一）兔形目</w:t>
                  </w:r>
                </w:p>
              </w:tc>
            </w:tr>
            <w:tr w14:paraId="4A40B1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721" w:type="dxa"/>
                  <w:vAlign w:val="top"/>
                </w:tcPr>
                <w:p w14:paraId="094CCA91">
                  <w:pPr>
                    <w:spacing w:before="107" w:line="192" w:lineRule="auto"/>
                    <w:ind w:left="313"/>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1424" w:type="dxa"/>
                  <w:vAlign w:val="top"/>
                </w:tcPr>
                <w:p w14:paraId="0EDCFF3D">
                  <w:pPr>
                    <w:pStyle w:val="9"/>
                    <w:spacing w:before="68" w:line="228" w:lineRule="auto"/>
                    <w:ind w:left="297"/>
                    <w:rPr>
                      <w:sz w:val="20"/>
                      <w:szCs w:val="20"/>
                    </w:rPr>
                  </w:pPr>
                  <w:r>
                    <w:rPr>
                      <w:spacing w:val="6"/>
                      <w:sz w:val="20"/>
                      <w:szCs w:val="20"/>
                    </w:rPr>
                    <w:t>草原鼠兔</w:t>
                  </w:r>
                </w:p>
              </w:tc>
              <w:tc>
                <w:tcPr>
                  <w:tcW w:w="3096" w:type="dxa"/>
                  <w:vAlign w:val="top"/>
                </w:tcPr>
                <w:p w14:paraId="7BF8ABD3">
                  <w:pPr>
                    <w:spacing w:before="34" w:line="278" w:lineRule="exact"/>
                    <w:ind w:left="832"/>
                    <w:rPr>
                      <w:rFonts w:ascii="Times New Roman" w:hAnsi="Times New Roman" w:eastAsia="Times New Roman" w:cs="Times New Roman"/>
                      <w:sz w:val="20"/>
                      <w:szCs w:val="20"/>
                    </w:rPr>
                  </w:pPr>
                  <w:r>
                    <w:rPr>
                      <w:rFonts w:ascii="Times New Roman" w:hAnsi="Times New Roman" w:eastAsia="Times New Roman" w:cs="Times New Roman"/>
                      <w:i/>
                      <w:iCs/>
                      <w:spacing w:val="5"/>
                      <w:position w:val="4"/>
                      <w:sz w:val="20"/>
                      <w:szCs w:val="20"/>
                    </w:rPr>
                    <w:t>Ochotona</w:t>
                  </w:r>
                  <w:r>
                    <w:rPr>
                      <w:rFonts w:ascii="Times New Roman" w:hAnsi="Times New Roman" w:eastAsia="Times New Roman" w:cs="Times New Roman"/>
                      <w:i/>
                      <w:iCs/>
                      <w:spacing w:val="-20"/>
                      <w:position w:val="4"/>
                      <w:sz w:val="20"/>
                      <w:szCs w:val="20"/>
                    </w:rPr>
                    <w:t xml:space="preserve"> </w:t>
                  </w:r>
                  <w:r>
                    <w:rPr>
                      <w:rFonts w:ascii="Times New Roman" w:hAnsi="Times New Roman" w:eastAsia="Times New Roman" w:cs="Times New Roman"/>
                      <w:i/>
                      <w:iCs/>
                      <w:spacing w:val="5"/>
                      <w:position w:val="4"/>
                      <w:sz w:val="20"/>
                      <w:szCs w:val="20"/>
                    </w:rPr>
                    <w:t>pallasi</w:t>
                  </w:r>
                </w:p>
              </w:tc>
              <w:tc>
                <w:tcPr>
                  <w:tcW w:w="1661" w:type="dxa"/>
                  <w:vAlign w:val="top"/>
                </w:tcPr>
                <w:p w14:paraId="676ECF7D">
                  <w:pPr>
                    <w:pStyle w:val="9"/>
                    <w:spacing w:before="68" w:line="228" w:lineRule="auto"/>
                    <w:ind w:left="313"/>
                    <w:rPr>
                      <w:sz w:val="20"/>
                      <w:szCs w:val="20"/>
                    </w:rPr>
                  </w:pPr>
                  <w:r>
                    <w:rPr>
                      <w:spacing w:val="7"/>
                      <w:sz w:val="20"/>
                      <w:szCs w:val="20"/>
                    </w:rPr>
                    <w:t>草地、灌丛</w:t>
                  </w:r>
                </w:p>
              </w:tc>
              <w:tc>
                <w:tcPr>
                  <w:tcW w:w="1193" w:type="dxa"/>
                  <w:vAlign w:val="top"/>
                </w:tcPr>
                <w:p w14:paraId="39B97CF6">
                  <w:pPr>
                    <w:pStyle w:val="9"/>
                    <w:spacing w:before="69" w:line="228" w:lineRule="auto"/>
                    <w:ind w:left="498"/>
                    <w:rPr>
                      <w:sz w:val="20"/>
                      <w:szCs w:val="20"/>
                    </w:rPr>
                  </w:pPr>
                  <w:r>
                    <w:rPr>
                      <w:sz w:val="20"/>
                      <w:szCs w:val="20"/>
                    </w:rPr>
                    <w:t>无</w:t>
                  </w:r>
                </w:p>
              </w:tc>
            </w:tr>
            <w:tr w14:paraId="7F1452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721" w:type="dxa"/>
                  <w:vAlign w:val="top"/>
                </w:tcPr>
                <w:p w14:paraId="693ADC1A">
                  <w:pPr>
                    <w:spacing w:before="105" w:line="195" w:lineRule="auto"/>
                    <w:ind w:left="318"/>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1424" w:type="dxa"/>
                  <w:vAlign w:val="top"/>
                </w:tcPr>
                <w:p w14:paraId="105BA055">
                  <w:pPr>
                    <w:pStyle w:val="9"/>
                    <w:spacing w:before="54" w:line="216" w:lineRule="auto"/>
                    <w:ind w:left="476"/>
                  </w:pPr>
                  <w:r>
                    <w:rPr>
                      <w:spacing w:val="-5"/>
                    </w:rPr>
                    <w:t>黄鼬</w:t>
                  </w:r>
                </w:p>
              </w:tc>
              <w:tc>
                <w:tcPr>
                  <w:tcW w:w="3096" w:type="dxa"/>
                  <w:vAlign w:val="top"/>
                </w:tcPr>
                <w:p w14:paraId="77DE7EF0">
                  <w:pPr>
                    <w:spacing w:before="15" w:line="319" w:lineRule="exact"/>
                    <w:ind w:left="754"/>
                    <w:rPr>
                      <w:rFonts w:ascii="Times New Roman" w:hAnsi="Times New Roman" w:eastAsia="Times New Roman" w:cs="Times New Roman"/>
                      <w:sz w:val="24"/>
                      <w:szCs w:val="24"/>
                    </w:rPr>
                  </w:pPr>
                  <w:r>
                    <w:rPr>
                      <w:rFonts w:ascii="Times New Roman" w:hAnsi="Times New Roman" w:eastAsia="Times New Roman" w:cs="Times New Roman"/>
                      <w:i/>
                      <w:iCs/>
                      <w:position w:val="1"/>
                      <w:sz w:val="24"/>
                      <w:szCs w:val="24"/>
                    </w:rPr>
                    <w:t>Mustela</w:t>
                  </w:r>
                  <w:r>
                    <w:rPr>
                      <w:rFonts w:ascii="Times New Roman" w:hAnsi="Times New Roman" w:eastAsia="Times New Roman" w:cs="Times New Roman"/>
                      <w:i/>
                      <w:iCs/>
                      <w:spacing w:val="8"/>
                      <w:position w:val="1"/>
                      <w:sz w:val="24"/>
                      <w:szCs w:val="24"/>
                    </w:rPr>
                    <w:t xml:space="preserve"> </w:t>
                  </w:r>
                  <w:r>
                    <w:rPr>
                      <w:rFonts w:ascii="Times New Roman" w:hAnsi="Times New Roman" w:eastAsia="Times New Roman" w:cs="Times New Roman"/>
                      <w:i/>
                      <w:iCs/>
                      <w:position w:val="1"/>
                      <w:sz w:val="24"/>
                      <w:szCs w:val="24"/>
                    </w:rPr>
                    <w:t>sibirica</w:t>
                  </w:r>
                </w:p>
              </w:tc>
              <w:tc>
                <w:tcPr>
                  <w:tcW w:w="1661" w:type="dxa"/>
                  <w:vAlign w:val="top"/>
                </w:tcPr>
                <w:p w14:paraId="36322EA3">
                  <w:pPr>
                    <w:pStyle w:val="9"/>
                    <w:spacing w:before="68" w:line="228" w:lineRule="auto"/>
                    <w:ind w:left="313"/>
                    <w:rPr>
                      <w:sz w:val="20"/>
                      <w:szCs w:val="20"/>
                    </w:rPr>
                  </w:pPr>
                  <w:r>
                    <w:rPr>
                      <w:spacing w:val="7"/>
                      <w:sz w:val="20"/>
                      <w:szCs w:val="20"/>
                    </w:rPr>
                    <w:t>草地、灌丛</w:t>
                  </w:r>
                </w:p>
              </w:tc>
              <w:tc>
                <w:tcPr>
                  <w:tcW w:w="1193" w:type="dxa"/>
                  <w:vAlign w:val="top"/>
                </w:tcPr>
                <w:p w14:paraId="38927BFC">
                  <w:pPr>
                    <w:pStyle w:val="9"/>
                    <w:spacing w:before="69" w:line="228" w:lineRule="auto"/>
                    <w:ind w:left="498"/>
                    <w:rPr>
                      <w:sz w:val="20"/>
                      <w:szCs w:val="20"/>
                    </w:rPr>
                  </w:pPr>
                  <w:r>
                    <w:rPr>
                      <w:sz w:val="20"/>
                      <w:szCs w:val="20"/>
                    </w:rPr>
                    <w:t>无</w:t>
                  </w:r>
                </w:p>
              </w:tc>
            </w:tr>
            <w:tr w14:paraId="1B047D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8095" w:type="dxa"/>
                  <w:gridSpan w:val="5"/>
                  <w:vAlign w:val="top"/>
                </w:tcPr>
                <w:p w14:paraId="72D9FF67">
                  <w:pPr>
                    <w:pStyle w:val="9"/>
                    <w:spacing w:before="66" w:line="231" w:lineRule="auto"/>
                    <w:ind w:left="3431"/>
                    <w:rPr>
                      <w:sz w:val="20"/>
                      <w:szCs w:val="20"/>
                    </w:rPr>
                  </w:pPr>
                  <w:r>
                    <w:rPr>
                      <w:spacing w:val="6"/>
                      <w:sz w:val="20"/>
                      <w:szCs w:val="20"/>
                    </w:rPr>
                    <w:t>（二）啮齿目</w:t>
                  </w:r>
                </w:p>
              </w:tc>
            </w:tr>
            <w:tr w14:paraId="217D78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721" w:type="dxa"/>
                  <w:vAlign w:val="top"/>
                </w:tcPr>
                <w:p w14:paraId="03B2BF3D">
                  <w:pPr>
                    <w:spacing w:before="105" w:line="195" w:lineRule="auto"/>
                    <w:ind w:left="313"/>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tc>
              <w:tc>
                <w:tcPr>
                  <w:tcW w:w="1424" w:type="dxa"/>
                  <w:vAlign w:val="top"/>
                </w:tcPr>
                <w:p w14:paraId="5D618C0E">
                  <w:pPr>
                    <w:pStyle w:val="9"/>
                    <w:spacing w:before="67" w:line="228" w:lineRule="auto"/>
                    <w:ind w:left="189"/>
                    <w:rPr>
                      <w:sz w:val="20"/>
                      <w:szCs w:val="20"/>
                    </w:rPr>
                  </w:pPr>
                  <w:r>
                    <w:rPr>
                      <w:spacing w:val="8"/>
                      <w:sz w:val="20"/>
                      <w:szCs w:val="20"/>
                    </w:rPr>
                    <w:t>达乌尔黄鼠</w:t>
                  </w:r>
                </w:p>
              </w:tc>
              <w:tc>
                <w:tcPr>
                  <w:tcW w:w="3096" w:type="dxa"/>
                  <w:vAlign w:val="top"/>
                </w:tcPr>
                <w:p w14:paraId="6419B57B">
                  <w:pPr>
                    <w:spacing w:before="35" w:line="278" w:lineRule="exact"/>
                    <w:ind w:left="574"/>
                    <w:rPr>
                      <w:rFonts w:ascii="Times New Roman" w:hAnsi="Times New Roman" w:eastAsia="Times New Roman" w:cs="Times New Roman"/>
                      <w:sz w:val="20"/>
                      <w:szCs w:val="20"/>
                    </w:rPr>
                  </w:pPr>
                  <w:r>
                    <w:rPr>
                      <w:rFonts w:ascii="Times New Roman" w:hAnsi="Times New Roman" w:eastAsia="Times New Roman" w:cs="Times New Roman"/>
                      <w:i/>
                      <w:iCs/>
                      <w:spacing w:val="4"/>
                      <w:position w:val="4"/>
                      <w:sz w:val="20"/>
                      <w:szCs w:val="20"/>
                    </w:rPr>
                    <w:t>Spermophilus dauricus</w:t>
                  </w:r>
                </w:p>
              </w:tc>
              <w:tc>
                <w:tcPr>
                  <w:tcW w:w="1661" w:type="dxa"/>
                  <w:vAlign w:val="top"/>
                </w:tcPr>
                <w:p w14:paraId="4818514F">
                  <w:pPr>
                    <w:pStyle w:val="9"/>
                    <w:spacing w:before="67" w:line="228" w:lineRule="auto"/>
                    <w:ind w:left="313"/>
                    <w:rPr>
                      <w:sz w:val="20"/>
                      <w:szCs w:val="20"/>
                    </w:rPr>
                  </w:pPr>
                  <w:r>
                    <w:rPr>
                      <w:spacing w:val="7"/>
                      <w:sz w:val="20"/>
                      <w:szCs w:val="20"/>
                    </w:rPr>
                    <w:t>草地、沙地</w:t>
                  </w:r>
                </w:p>
              </w:tc>
              <w:tc>
                <w:tcPr>
                  <w:tcW w:w="1193" w:type="dxa"/>
                  <w:vAlign w:val="top"/>
                </w:tcPr>
                <w:p w14:paraId="094E4922">
                  <w:pPr>
                    <w:pStyle w:val="9"/>
                    <w:spacing w:before="68" w:line="228" w:lineRule="auto"/>
                    <w:ind w:left="498"/>
                    <w:rPr>
                      <w:sz w:val="20"/>
                      <w:szCs w:val="20"/>
                    </w:rPr>
                  </w:pPr>
                  <w:r>
                    <w:rPr>
                      <w:sz w:val="20"/>
                      <w:szCs w:val="20"/>
                    </w:rPr>
                    <w:t>无</w:t>
                  </w:r>
                </w:p>
              </w:tc>
            </w:tr>
            <w:tr w14:paraId="4E6B5C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721" w:type="dxa"/>
                  <w:vAlign w:val="top"/>
                </w:tcPr>
                <w:p w14:paraId="3D286EE6">
                  <w:pPr>
                    <w:spacing w:before="106" w:line="195" w:lineRule="auto"/>
                    <w:ind w:left="277"/>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10</w:t>
                  </w:r>
                </w:p>
              </w:tc>
              <w:tc>
                <w:tcPr>
                  <w:tcW w:w="1424" w:type="dxa"/>
                  <w:vAlign w:val="top"/>
                </w:tcPr>
                <w:p w14:paraId="7389F96E">
                  <w:pPr>
                    <w:pStyle w:val="9"/>
                    <w:spacing w:before="67" w:line="227" w:lineRule="auto"/>
                    <w:ind w:left="295"/>
                    <w:rPr>
                      <w:sz w:val="20"/>
                      <w:szCs w:val="20"/>
                    </w:rPr>
                  </w:pPr>
                  <w:r>
                    <w:rPr>
                      <w:spacing w:val="7"/>
                      <w:sz w:val="20"/>
                      <w:szCs w:val="20"/>
                    </w:rPr>
                    <w:t>布氏田鼠</w:t>
                  </w:r>
                </w:p>
              </w:tc>
              <w:tc>
                <w:tcPr>
                  <w:tcW w:w="3096" w:type="dxa"/>
                  <w:vAlign w:val="top"/>
                </w:tcPr>
                <w:p w14:paraId="315AC16D">
                  <w:pPr>
                    <w:spacing w:before="36" w:line="277" w:lineRule="exact"/>
                    <w:ind w:left="566"/>
                    <w:rPr>
                      <w:rFonts w:ascii="Times New Roman" w:hAnsi="Times New Roman" w:eastAsia="Times New Roman" w:cs="Times New Roman"/>
                      <w:sz w:val="20"/>
                      <w:szCs w:val="20"/>
                    </w:rPr>
                  </w:pPr>
                  <w:r>
                    <w:rPr>
                      <w:rFonts w:ascii="Times New Roman" w:hAnsi="Times New Roman" w:eastAsia="Times New Roman" w:cs="Times New Roman"/>
                      <w:i/>
                      <w:iCs/>
                      <w:spacing w:val="4"/>
                      <w:position w:val="4"/>
                      <w:sz w:val="20"/>
                      <w:szCs w:val="20"/>
                    </w:rPr>
                    <w:t>Lasiopodomys brandtii</w:t>
                  </w:r>
                </w:p>
              </w:tc>
              <w:tc>
                <w:tcPr>
                  <w:tcW w:w="1661" w:type="dxa"/>
                  <w:vAlign w:val="top"/>
                </w:tcPr>
                <w:p w14:paraId="51D34DFB">
                  <w:pPr>
                    <w:pStyle w:val="9"/>
                    <w:spacing w:before="67" w:line="228" w:lineRule="auto"/>
                    <w:ind w:left="313"/>
                    <w:rPr>
                      <w:sz w:val="20"/>
                      <w:szCs w:val="20"/>
                    </w:rPr>
                  </w:pPr>
                  <w:r>
                    <w:rPr>
                      <w:spacing w:val="7"/>
                      <w:sz w:val="20"/>
                      <w:szCs w:val="20"/>
                    </w:rPr>
                    <w:t>草地、沙地</w:t>
                  </w:r>
                </w:p>
              </w:tc>
              <w:tc>
                <w:tcPr>
                  <w:tcW w:w="1193" w:type="dxa"/>
                  <w:vAlign w:val="top"/>
                </w:tcPr>
                <w:p w14:paraId="36200842">
                  <w:pPr>
                    <w:pStyle w:val="9"/>
                    <w:spacing w:before="68" w:line="228" w:lineRule="auto"/>
                    <w:ind w:left="498"/>
                    <w:rPr>
                      <w:sz w:val="20"/>
                      <w:szCs w:val="20"/>
                    </w:rPr>
                  </w:pPr>
                  <w:r>
                    <w:rPr>
                      <w:sz w:val="20"/>
                      <w:szCs w:val="20"/>
                    </w:rPr>
                    <w:t>无</w:t>
                  </w:r>
                </w:p>
              </w:tc>
            </w:tr>
          </w:tbl>
          <w:p w14:paraId="11C4BD80">
            <w:pPr>
              <w:pStyle w:val="9"/>
              <w:spacing w:before="168" w:line="353" w:lineRule="auto"/>
              <w:ind w:left="120" w:right="102" w:firstLine="467"/>
              <w:jc w:val="both"/>
            </w:pPr>
            <w:r>
              <w:rPr>
                <w:spacing w:val="-2"/>
              </w:rPr>
              <w:t>通过资料收集、结合现场观察和访问，历史以来人为扰动较为严</w:t>
            </w:r>
            <w:r>
              <w:rPr>
                <w:spacing w:val="-3"/>
              </w:rPr>
              <w:t>重，区域</w:t>
            </w:r>
            <w:r>
              <w:rPr>
                <w:spacing w:val="-2"/>
              </w:rPr>
              <w:t>内野生动物的种类不多，数量不多。经过现场踏</w:t>
            </w:r>
            <w:r>
              <w:rPr>
                <w:spacing w:val="-3"/>
              </w:rPr>
              <w:t>勘，评价区范围内涉及国家重点保护野生动物物种。</w:t>
            </w:r>
          </w:p>
          <w:p w14:paraId="7A443CD1">
            <w:pPr>
              <w:pStyle w:val="9"/>
              <w:spacing w:line="218" w:lineRule="auto"/>
              <w:ind w:left="670"/>
              <w:outlineLvl w:val="0"/>
              <w:rPr>
                <w:sz w:val="28"/>
                <w:szCs w:val="28"/>
              </w:rPr>
            </w:pPr>
            <w:r>
              <w:rPr>
                <w:b/>
                <w:bCs/>
                <w:spacing w:val="-3"/>
                <w:sz w:val="28"/>
                <w:szCs w:val="28"/>
              </w:rPr>
              <w:t>三、环境空气质量现状调查与评价</w:t>
            </w:r>
          </w:p>
          <w:p w14:paraId="07E7DE42">
            <w:pPr>
              <w:pStyle w:val="9"/>
              <w:spacing w:before="174" w:line="219" w:lineRule="auto"/>
              <w:ind w:left="594"/>
              <w:outlineLvl w:val="1"/>
            </w:pPr>
            <w:r>
              <w:rPr>
                <w:rFonts w:ascii="Times New Roman" w:hAnsi="Times New Roman" w:eastAsia="Times New Roman" w:cs="Times New Roman"/>
                <w:b/>
                <w:bCs/>
                <w:spacing w:val="-3"/>
              </w:rPr>
              <w:t>1.</w:t>
            </w:r>
            <w:r>
              <w:rPr>
                <w:b/>
                <w:bCs/>
                <w:spacing w:val="-3"/>
              </w:rPr>
              <w:t>项目所在区域达标判断</w:t>
            </w:r>
          </w:p>
          <w:p w14:paraId="236336F7">
            <w:pPr>
              <w:pStyle w:val="9"/>
              <w:spacing w:before="187" w:line="361" w:lineRule="auto"/>
              <w:ind w:left="109" w:right="40" w:firstLine="478"/>
              <w:jc w:val="both"/>
            </w:pPr>
            <w:r>
              <w:t>根据《环境影响评价技术导则 大气环境》（</w:t>
            </w:r>
            <w:r>
              <w:rPr>
                <w:rFonts w:ascii="Times New Roman" w:hAnsi="Times New Roman" w:eastAsia="Times New Roman" w:cs="Times New Roman"/>
              </w:rPr>
              <w:t>HJ2.2-2018</w:t>
            </w:r>
            <w:r>
              <w:t>）中</w:t>
            </w:r>
            <w:r>
              <w:rPr>
                <w:spacing w:val="-32"/>
              </w:rPr>
              <w:t xml:space="preserve"> </w:t>
            </w:r>
            <w:r>
              <w:rPr>
                <w:rFonts w:ascii="Times New Roman" w:hAnsi="Times New Roman" w:eastAsia="Times New Roman" w:cs="Times New Roman"/>
              </w:rPr>
              <w:t>6.4.1.1</w:t>
            </w:r>
            <w:r>
              <w:rPr>
                <w:rFonts w:ascii="Times New Roman" w:hAnsi="Times New Roman" w:eastAsia="Times New Roman" w:cs="Times New Roman"/>
                <w:spacing w:val="34"/>
                <w:w w:val="101"/>
              </w:rPr>
              <w:t xml:space="preserve"> </w:t>
            </w:r>
            <w:r>
              <w:t>中的</w:t>
            </w:r>
            <w:r>
              <w:rPr>
                <w:spacing w:val="-4"/>
              </w:rPr>
              <w:t>内容</w:t>
            </w:r>
            <w:r>
              <w:rPr>
                <w:rFonts w:ascii="Times New Roman" w:hAnsi="Times New Roman" w:eastAsia="Times New Roman" w:cs="Times New Roman"/>
                <w:spacing w:val="-4"/>
              </w:rPr>
              <w:t>“</w:t>
            </w:r>
            <w:r>
              <w:rPr>
                <w:spacing w:val="-4"/>
              </w:rPr>
              <w:t>城市环境空气质量达标评价指标为</w:t>
            </w:r>
            <w:r>
              <w:rPr>
                <w:spacing w:val="-45"/>
              </w:rPr>
              <w:t xml:space="preserve"> </w:t>
            </w:r>
            <w:r>
              <w:rPr>
                <w:rFonts w:ascii="Times New Roman" w:hAnsi="Times New Roman" w:eastAsia="Times New Roman" w:cs="Times New Roman"/>
                <w:spacing w:val="-4"/>
              </w:rPr>
              <w:t>SO</w:t>
            </w:r>
            <w:r>
              <w:rPr>
                <w:rFonts w:ascii="Times New Roman" w:hAnsi="Times New Roman" w:eastAsia="Times New Roman" w:cs="Times New Roman"/>
                <w:spacing w:val="-4"/>
                <w:position w:val="-1"/>
                <w:sz w:val="15"/>
                <w:szCs w:val="15"/>
              </w:rPr>
              <w:t>2</w:t>
            </w:r>
            <w:r>
              <w:rPr>
                <w:rFonts w:ascii="Times New Roman" w:hAnsi="Times New Roman" w:eastAsia="Times New Roman" w:cs="Times New Roman"/>
                <w:spacing w:val="-13"/>
                <w:position w:val="-1"/>
                <w:sz w:val="15"/>
                <w:szCs w:val="15"/>
              </w:rPr>
              <w:t xml:space="preserve"> </w:t>
            </w:r>
            <w:r>
              <w:rPr>
                <w:spacing w:val="-4"/>
              </w:rPr>
              <w:t>、</w:t>
            </w:r>
            <w:r>
              <w:rPr>
                <w:rFonts w:ascii="Times New Roman" w:hAnsi="Times New Roman" w:eastAsia="Times New Roman" w:cs="Times New Roman"/>
                <w:spacing w:val="-4"/>
              </w:rPr>
              <w:t>NO</w:t>
            </w:r>
            <w:r>
              <w:rPr>
                <w:rFonts w:ascii="Times New Roman" w:hAnsi="Times New Roman" w:eastAsia="Times New Roman" w:cs="Times New Roman"/>
                <w:spacing w:val="-4"/>
                <w:position w:val="-1"/>
                <w:sz w:val="15"/>
                <w:szCs w:val="15"/>
              </w:rPr>
              <w:t>2</w:t>
            </w:r>
            <w:r>
              <w:rPr>
                <w:rFonts w:ascii="Times New Roman" w:hAnsi="Times New Roman" w:eastAsia="Times New Roman" w:cs="Times New Roman"/>
                <w:spacing w:val="-12"/>
                <w:position w:val="-1"/>
                <w:sz w:val="15"/>
                <w:szCs w:val="15"/>
              </w:rPr>
              <w:t xml:space="preserve"> </w:t>
            </w:r>
            <w:r>
              <w:rPr>
                <w:spacing w:val="-4"/>
              </w:rPr>
              <w:t>、</w:t>
            </w:r>
            <w:r>
              <w:rPr>
                <w:rFonts w:ascii="Times New Roman" w:hAnsi="Times New Roman" w:eastAsia="Times New Roman" w:cs="Times New Roman"/>
                <w:spacing w:val="-4"/>
              </w:rPr>
              <w:t>PM</w:t>
            </w:r>
            <w:r>
              <w:rPr>
                <w:rFonts w:ascii="Times New Roman" w:hAnsi="Times New Roman" w:eastAsia="Times New Roman" w:cs="Times New Roman"/>
                <w:spacing w:val="-4"/>
                <w:position w:val="-1"/>
                <w:sz w:val="15"/>
                <w:szCs w:val="15"/>
              </w:rPr>
              <w:t>10</w:t>
            </w:r>
            <w:r>
              <w:rPr>
                <w:rFonts w:ascii="Times New Roman" w:hAnsi="Times New Roman" w:eastAsia="Times New Roman" w:cs="Times New Roman"/>
                <w:spacing w:val="-15"/>
                <w:position w:val="-1"/>
                <w:sz w:val="15"/>
                <w:szCs w:val="15"/>
              </w:rPr>
              <w:t xml:space="preserve"> </w:t>
            </w:r>
            <w:r>
              <w:rPr>
                <w:spacing w:val="-5"/>
              </w:rPr>
              <w:t>、</w:t>
            </w:r>
            <w:r>
              <w:rPr>
                <w:rFonts w:ascii="Times New Roman" w:hAnsi="Times New Roman" w:eastAsia="Times New Roman" w:cs="Times New Roman"/>
                <w:spacing w:val="-5"/>
              </w:rPr>
              <w:t>PM</w:t>
            </w:r>
            <w:r>
              <w:rPr>
                <w:rFonts w:ascii="Times New Roman" w:hAnsi="Times New Roman" w:eastAsia="Times New Roman" w:cs="Times New Roman"/>
                <w:spacing w:val="-5"/>
                <w:position w:val="-1"/>
                <w:sz w:val="15"/>
                <w:szCs w:val="15"/>
              </w:rPr>
              <w:t>2.5</w:t>
            </w:r>
            <w:r>
              <w:rPr>
                <w:rFonts w:ascii="Times New Roman" w:hAnsi="Times New Roman" w:eastAsia="Times New Roman" w:cs="Times New Roman"/>
                <w:spacing w:val="-15"/>
                <w:position w:val="-1"/>
                <w:sz w:val="15"/>
                <w:szCs w:val="15"/>
              </w:rPr>
              <w:t xml:space="preserve"> </w:t>
            </w:r>
            <w:r>
              <w:rPr>
                <w:spacing w:val="-5"/>
              </w:rPr>
              <w:t>、</w:t>
            </w:r>
            <w:r>
              <w:rPr>
                <w:rFonts w:ascii="Times New Roman" w:hAnsi="Times New Roman" w:eastAsia="Times New Roman" w:cs="Times New Roman"/>
                <w:spacing w:val="-5"/>
              </w:rPr>
              <w:t xml:space="preserve">CO </w:t>
            </w:r>
            <w:r>
              <w:rPr>
                <w:spacing w:val="-5"/>
              </w:rPr>
              <w:t>和</w:t>
            </w:r>
            <w:r>
              <w:rPr>
                <w:spacing w:val="-52"/>
              </w:rPr>
              <w:t xml:space="preserve"> </w:t>
            </w:r>
            <w:r>
              <w:rPr>
                <w:rFonts w:ascii="Times New Roman" w:hAnsi="Times New Roman" w:eastAsia="Times New Roman" w:cs="Times New Roman"/>
                <w:spacing w:val="-5"/>
              </w:rPr>
              <w:t>O</w:t>
            </w:r>
            <w:r>
              <w:rPr>
                <w:rFonts w:ascii="Times New Roman" w:hAnsi="Times New Roman" w:eastAsia="Times New Roman" w:cs="Times New Roman"/>
                <w:spacing w:val="-5"/>
                <w:position w:val="-1"/>
                <w:sz w:val="15"/>
                <w:szCs w:val="15"/>
              </w:rPr>
              <w:t>3</w:t>
            </w:r>
            <w:r>
              <w:rPr>
                <w:spacing w:val="-5"/>
              </w:rPr>
              <w:t>，</w:t>
            </w:r>
            <w:r>
              <w:rPr>
                <w:spacing w:val="-1"/>
              </w:rPr>
              <w:t>六项污染物全部达标即为城市环境空气质量达标</w:t>
            </w:r>
            <w:r>
              <w:rPr>
                <w:rFonts w:ascii="Times New Roman" w:hAnsi="Times New Roman" w:eastAsia="Times New Roman" w:cs="Times New Roman"/>
                <w:spacing w:val="-1"/>
              </w:rPr>
              <w:t>”</w:t>
            </w:r>
            <w:r>
              <w:rPr>
                <w:spacing w:val="-1"/>
              </w:rPr>
              <w:t>。</w:t>
            </w:r>
          </w:p>
          <w:p w14:paraId="284349E5">
            <w:pPr>
              <w:pStyle w:val="9"/>
              <w:spacing w:before="2" w:line="361" w:lineRule="auto"/>
              <w:ind w:left="106" w:right="22" w:firstLine="480"/>
              <w:jc w:val="both"/>
            </w:pPr>
            <w:r>
              <w:rPr>
                <w:spacing w:val="-2"/>
              </w:rPr>
              <w:t>根据《环境影响评价技术导则 大气环境》（</w:t>
            </w:r>
            <w:r>
              <w:rPr>
                <w:rFonts w:ascii="Times New Roman" w:hAnsi="Times New Roman" w:eastAsia="Times New Roman" w:cs="Times New Roman"/>
                <w:spacing w:val="-3"/>
              </w:rPr>
              <w:t>HJ2.2-2018</w:t>
            </w:r>
            <w:r>
              <w:rPr>
                <w:spacing w:val="-14"/>
              </w:rPr>
              <w:t>），</w:t>
            </w:r>
            <w:r>
              <w:rPr>
                <w:spacing w:val="-3"/>
              </w:rPr>
              <w:t>项目所在区域</w:t>
            </w:r>
            <w:r>
              <w:rPr>
                <w:spacing w:val="-2"/>
              </w:rPr>
              <w:t>达标判定，优先采用国家或地方生态环境主管部门公开发布的评价基准年环境质量公告或环境质量报告中的数据或结论。其中评价基准年为近</w:t>
            </w:r>
            <w:r>
              <w:rPr>
                <w:spacing w:val="-51"/>
              </w:rPr>
              <w:t xml:space="preserve"> </w:t>
            </w:r>
            <w:r>
              <w:rPr>
                <w:rFonts w:ascii="Times New Roman" w:hAnsi="Times New Roman" w:eastAsia="Times New Roman" w:cs="Times New Roman"/>
                <w:spacing w:val="-3"/>
              </w:rPr>
              <w:t xml:space="preserve">3 </w:t>
            </w:r>
            <w:r>
              <w:rPr>
                <w:spacing w:val="-3"/>
              </w:rPr>
              <w:t>年中数据相</w:t>
            </w:r>
            <w:r>
              <w:rPr>
                <w:spacing w:val="-4"/>
              </w:rPr>
              <w:t>对完整的</w:t>
            </w:r>
            <w:r>
              <w:rPr>
                <w:spacing w:val="-20"/>
              </w:rPr>
              <w:t xml:space="preserve"> </w:t>
            </w:r>
            <w:r>
              <w:rPr>
                <w:rFonts w:ascii="Times New Roman" w:hAnsi="Times New Roman" w:eastAsia="Times New Roman" w:cs="Times New Roman"/>
                <w:spacing w:val="-4"/>
              </w:rPr>
              <w:t xml:space="preserve">1 </w:t>
            </w:r>
            <w:r>
              <w:rPr>
                <w:spacing w:val="-4"/>
              </w:rPr>
              <w:t>个日历年作为评价基准年，本次环评设定的评价基准年为</w:t>
            </w:r>
            <w:r>
              <w:rPr>
                <w:spacing w:val="-55"/>
              </w:rPr>
              <w:t xml:space="preserve"> </w:t>
            </w:r>
            <w:r>
              <w:rPr>
                <w:rFonts w:ascii="Times New Roman" w:hAnsi="Times New Roman" w:eastAsia="Times New Roman" w:cs="Times New Roman"/>
                <w:spacing w:val="-4"/>
              </w:rPr>
              <w:t xml:space="preserve">2025 </w:t>
            </w:r>
            <w:r>
              <w:rPr>
                <w:spacing w:val="-4"/>
              </w:rPr>
              <w:t>年。</w:t>
            </w:r>
          </w:p>
          <w:p w14:paraId="7C54D36D">
            <w:pPr>
              <w:pStyle w:val="9"/>
              <w:spacing w:before="1" w:line="293" w:lineRule="auto"/>
              <w:ind w:left="111" w:right="102" w:firstLine="477"/>
            </w:pPr>
            <w:r>
              <w:rPr>
                <w:spacing w:val="-2"/>
              </w:rPr>
              <w:t>本项目位于内蒙古自治区通辽市扎鲁特旗，根据内蒙古自治区</w:t>
            </w:r>
            <w:r>
              <w:rPr>
                <w:spacing w:val="-3"/>
              </w:rPr>
              <w:t>环境保护厅</w:t>
            </w:r>
            <w:r>
              <w:rPr>
                <w:spacing w:val="-4"/>
              </w:rPr>
              <w:t>发布的《</w:t>
            </w:r>
            <w:r>
              <w:rPr>
                <w:rFonts w:ascii="Times New Roman" w:hAnsi="Times New Roman" w:eastAsia="Times New Roman" w:cs="Times New Roman"/>
                <w:spacing w:val="-4"/>
              </w:rPr>
              <w:t xml:space="preserve">2025 </w:t>
            </w:r>
            <w:r>
              <w:rPr>
                <w:spacing w:val="-4"/>
              </w:rPr>
              <w:t>年度内蒙古自治区生态环境状况公报》，通辽市环境空气质量较</w:t>
            </w:r>
          </w:p>
        </w:tc>
      </w:tr>
    </w:tbl>
    <w:p w14:paraId="2841212D">
      <w:pPr>
        <w:pStyle w:val="3"/>
      </w:pPr>
    </w:p>
    <w:p w14:paraId="64FBDE93">
      <w:pPr>
        <w:sectPr>
          <w:footerReference r:id="rId48" w:type="default"/>
          <w:pgSz w:w="11906" w:h="16838"/>
          <w:pgMar w:top="1416" w:right="1413" w:bottom="1295" w:left="1413" w:header="0" w:footer="1133" w:gutter="0"/>
          <w:cols w:space="720" w:num="1"/>
        </w:sectPr>
      </w:pPr>
    </w:p>
    <w:tbl>
      <w:tblPr>
        <w:tblStyle w:val="8"/>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1"/>
        <w:gridCol w:w="2064"/>
        <w:gridCol w:w="1636"/>
        <w:gridCol w:w="1636"/>
        <w:gridCol w:w="1427"/>
        <w:gridCol w:w="1550"/>
      </w:tblGrid>
      <w:tr w14:paraId="6176D3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10" w:hRule="atLeast"/>
        </w:trPr>
        <w:tc>
          <w:tcPr>
            <w:tcW w:w="751" w:type="dxa"/>
            <w:vMerge w:val="restart"/>
            <w:tcBorders>
              <w:top w:val="single" w:color="000000" w:sz="6" w:space="0"/>
              <w:left w:val="single" w:color="000000" w:sz="6" w:space="0"/>
              <w:bottom w:val="nil"/>
            </w:tcBorders>
            <w:vAlign w:val="top"/>
          </w:tcPr>
          <w:p w14:paraId="158C308F">
            <w:pPr>
              <w:rPr>
                <w:rFonts w:ascii="Arial"/>
                <w:sz w:val="21"/>
              </w:rPr>
            </w:pPr>
            <w:r>
              <w:drawing>
                <wp:anchor distT="0" distB="0" distL="0" distR="0" simplePos="0" relativeHeight="251674624" behindDoc="0" locked="0" layoutInCell="0" allowOverlap="1">
                  <wp:simplePos x="0" y="0"/>
                  <wp:positionH relativeFrom="page">
                    <wp:posOffset>6581775</wp:posOffset>
                  </wp:positionH>
                  <wp:positionV relativeFrom="page">
                    <wp:posOffset>8101965</wp:posOffset>
                  </wp:positionV>
                  <wp:extent cx="6350" cy="1518285"/>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248"/>
                          <a:stretch>
                            <a:fillRect/>
                          </a:stretch>
                        </pic:blipFill>
                        <pic:spPr>
                          <a:xfrm>
                            <a:off x="0" y="0"/>
                            <a:ext cx="6350" cy="1518539"/>
                          </a:xfrm>
                          <a:prstGeom prst="rect">
                            <a:avLst/>
                          </a:prstGeom>
                        </pic:spPr>
                      </pic:pic>
                    </a:graphicData>
                  </a:graphic>
                </wp:anchor>
              </w:drawing>
            </w:r>
            <w:r>
              <w:drawing>
                <wp:anchor distT="0" distB="0" distL="0" distR="0" simplePos="0" relativeHeight="251675648" behindDoc="0" locked="0" layoutInCell="0" allowOverlap="1">
                  <wp:simplePos x="0" y="0"/>
                  <wp:positionH relativeFrom="page">
                    <wp:posOffset>1443990</wp:posOffset>
                  </wp:positionH>
                  <wp:positionV relativeFrom="page">
                    <wp:posOffset>8096250</wp:posOffset>
                  </wp:positionV>
                  <wp:extent cx="6350" cy="1524635"/>
                  <wp:effectExtent l="0" t="0" r="0" b="0"/>
                  <wp:wrapNone/>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249"/>
                          <a:stretch>
                            <a:fillRect/>
                          </a:stretch>
                        </pic:blipFill>
                        <pic:spPr>
                          <a:xfrm>
                            <a:off x="0" y="0"/>
                            <a:ext cx="6350" cy="1524635"/>
                          </a:xfrm>
                          <a:prstGeom prst="rect">
                            <a:avLst/>
                          </a:prstGeom>
                        </pic:spPr>
                      </pic:pic>
                    </a:graphicData>
                  </a:graphic>
                </wp:anchor>
              </w:drawing>
            </w:r>
          </w:p>
        </w:tc>
        <w:tc>
          <w:tcPr>
            <w:tcW w:w="8313" w:type="dxa"/>
            <w:gridSpan w:val="5"/>
            <w:tcBorders>
              <w:top w:val="single" w:color="000000" w:sz="6" w:space="0"/>
              <w:right w:val="single" w:color="000000" w:sz="6" w:space="0"/>
            </w:tcBorders>
            <w:vAlign w:val="top"/>
          </w:tcPr>
          <w:p w14:paraId="4685CFEE">
            <w:pPr>
              <w:pStyle w:val="9"/>
              <w:spacing w:before="175" w:line="348" w:lineRule="auto"/>
              <w:ind w:left="118" w:right="102" w:hanging="11"/>
            </w:pPr>
            <w:r>
              <w:rPr>
                <w:spacing w:val="-2"/>
              </w:rPr>
              <w:t>好，各污染物平均浓度均低于《环境空气质量标准》</w:t>
            </w:r>
            <w:r>
              <w:rPr>
                <w:rFonts w:ascii="Times New Roman" w:hAnsi="Times New Roman" w:eastAsia="Times New Roman" w:cs="Times New Roman"/>
                <w:spacing w:val="-2"/>
              </w:rPr>
              <w:t>(GB3095—2026)</w:t>
            </w:r>
            <w:r>
              <w:rPr>
                <w:spacing w:val="-2"/>
              </w:rPr>
              <w:t>二级</w:t>
            </w:r>
            <w:r>
              <w:rPr>
                <w:spacing w:val="-3"/>
              </w:rPr>
              <w:t>标准</w:t>
            </w:r>
            <w:r>
              <w:rPr>
                <w:spacing w:val="-4"/>
              </w:rPr>
              <w:t>（过度值）。</w:t>
            </w:r>
          </w:p>
          <w:p w14:paraId="761F8AB2">
            <w:pPr>
              <w:pStyle w:val="9"/>
              <w:spacing w:line="218" w:lineRule="auto"/>
              <w:ind w:left="697"/>
              <w:outlineLvl w:val="0"/>
              <w:rPr>
                <w:sz w:val="28"/>
                <w:szCs w:val="28"/>
              </w:rPr>
            </w:pPr>
            <w:r>
              <w:rPr>
                <w:b/>
                <w:bCs/>
                <w:spacing w:val="-5"/>
                <w:sz w:val="28"/>
                <w:szCs w:val="28"/>
              </w:rPr>
              <w:t>四、声环境质量现状调查及评价</w:t>
            </w:r>
          </w:p>
          <w:p w14:paraId="34FBEABC">
            <w:pPr>
              <w:pStyle w:val="9"/>
              <w:spacing w:before="174" w:line="219" w:lineRule="auto"/>
              <w:ind w:left="594"/>
              <w:outlineLvl w:val="1"/>
            </w:pPr>
            <w:r>
              <w:rPr>
                <w:rFonts w:ascii="Times New Roman" w:hAnsi="Times New Roman" w:eastAsia="Times New Roman" w:cs="Times New Roman"/>
                <w:b/>
                <w:bCs/>
                <w:spacing w:val="-3"/>
              </w:rPr>
              <w:t>1.</w:t>
            </w:r>
            <w:r>
              <w:rPr>
                <w:b/>
                <w:bCs/>
                <w:spacing w:val="-3"/>
              </w:rPr>
              <w:t>噪声质量现状监测方案</w:t>
            </w:r>
          </w:p>
          <w:p w14:paraId="11F8D1B3">
            <w:pPr>
              <w:pStyle w:val="9"/>
              <w:spacing w:before="185" w:line="217" w:lineRule="auto"/>
              <w:ind w:left="586"/>
              <w:outlineLvl w:val="2"/>
            </w:pPr>
            <w:r>
              <w:rPr>
                <w:spacing w:val="-2"/>
              </w:rPr>
              <w:t>①监测布点</w:t>
            </w:r>
          </w:p>
          <w:p w14:paraId="77D0F105">
            <w:pPr>
              <w:pStyle w:val="9"/>
              <w:spacing w:before="189" w:line="361" w:lineRule="auto"/>
              <w:ind w:left="105" w:right="102" w:firstLine="481"/>
              <w:jc w:val="both"/>
            </w:pPr>
            <w:r>
              <w:rPr>
                <w:spacing w:val="-2"/>
              </w:rPr>
              <w:t>根据项目升压站范围，结合本项目的特点，所处的地理位置和环</w:t>
            </w:r>
            <w:r>
              <w:rPr>
                <w:spacing w:val="-3"/>
              </w:rPr>
              <w:t>境功能区</w:t>
            </w:r>
            <w:r>
              <w:rPr>
                <w:spacing w:val="-2"/>
              </w:rPr>
              <w:t>要求，在项目厂界处设置</w:t>
            </w:r>
            <w:r>
              <w:rPr>
                <w:spacing w:val="-57"/>
              </w:rPr>
              <w:t xml:space="preserve"> </w:t>
            </w:r>
            <w:r>
              <w:rPr>
                <w:rFonts w:ascii="Times New Roman" w:hAnsi="Times New Roman" w:eastAsia="Times New Roman" w:cs="Times New Roman"/>
                <w:spacing w:val="-2"/>
              </w:rPr>
              <w:t xml:space="preserve">4 </w:t>
            </w:r>
            <w:r>
              <w:rPr>
                <w:spacing w:val="-2"/>
              </w:rPr>
              <w:t>个噪声监测点。委托内蒙古肆合环境检测有限公司</w:t>
            </w:r>
            <w:r>
              <w:rPr>
                <w:spacing w:val="-1"/>
              </w:rPr>
              <w:t>进行声环境现状监测。噪声监测点位置见附图</w:t>
            </w:r>
            <w:r>
              <w:rPr>
                <w:spacing w:val="-47"/>
              </w:rPr>
              <w:t xml:space="preserve"> </w:t>
            </w:r>
            <w:r>
              <w:rPr>
                <w:rFonts w:ascii="Times New Roman" w:hAnsi="Times New Roman" w:eastAsia="Times New Roman" w:cs="Times New Roman"/>
                <w:spacing w:val="-1"/>
              </w:rPr>
              <w:t>4</w:t>
            </w:r>
            <w:r>
              <w:rPr>
                <w:spacing w:val="-1"/>
              </w:rPr>
              <w:t>。</w:t>
            </w:r>
          </w:p>
          <w:p w14:paraId="023F2FFE">
            <w:pPr>
              <w:pStyle w:val="9"/>
              <w:spacing w:line="217" w:lineRule="auto"/>
              <w:ind w:left="585"/>
              <w:outlineLvl w:val="2"/>
            </w:pPr>
            <w:r>
              <w:rPr>
                <w:spacing w:val="-1"/>
              </w:rPr>
              <w:t>②监测时间、频率</w:t>
            </w:r>
          </w:p>
          <w:p w14:paraId="51B1292A">
            <w:pPr>
              <w:pStyle w:val="9"/>
              <w:spacing w:before="189" w:line="219" w:lineRule="auto"/>
              <w:ind w:left="588"/>
            </w:pPr>
            <w:r>
              <w:rPr>
                <w:spacing w:val="-6"/>
              </w:rPr>
              <w:t>监测时间：</w:t>
            </w:r>
            <w:r>
              <w:rPr>
                <w:rFonts w:ascii="Times New Roman" w:hAnsi="Times New Roman" w:eastAsia="Times New Roman" w:cs="Times New Roman"/>
                <w:spacing w:val="-6"/>
              </w:rPr>
              <w:t xml:space="preserve">2026 </w:t>
            </w:r>
            <w:r>
              <w:rPr>
                <w:spacing w:val="-6"/>
              </w:rPr>
              <w:t>年</w:t>
            </w:r>
            <w:r>
              <w:rPr>
                <w:spacing w:val="-41"/>
              </w:rPr>
              <w:t xml:space="preserve"> </w:t>
            </w:r>
            <w:r>
              <w:rPr>
                <w:rFonts w:ascii="Times New Roman" w:hAnsi="Times New Roman" w:eastAsia="Times New Roman" w:cs="Times New Roman"/>
                <w:spacing w:val="-6"/>
              </w:rPr>
              <w:t>7</w:t>
            </w:r>
            <w:r>
              <w:rPr>
                <w:rFonts w:ascii="Times New Roman" w:hAnsi="Times New Roman" w:eastAsia="Times New Roman" w:cs="Times New Roman"/>
                <w:spacing w:val="15"/>
              </w:rPr>
              <w:t xml:space="preserve"> </w:t>
            </w:r>
            <w:r>
              <w:rPr>
                <w:spacing w:val="-6"/>
              </w:rPr>
              <w:t>月</w:t>
            </w:r>
            <w:r>
              <w:rPr>
                <w:spacing w:val="-32"/>
              </w:rPr>
              <w:t xml:space="preserve"> </w:t>
            </w:r>
            <w:r>
              <w:rPr>
                <w:rFonts w:ascii="Times New Roman" w:hAnsi="Times New Roman" w:eastAsia="Times New Roman" w:cs="Times New Roman"/>
                <w:spacing w:val="-6"/>
              </w:rPr>
              <w:t xml:space="preserve">18  </w:t>
            </w:r>
            <w:r>
              <w:rPr>
                <w:spacing w:val="-6"/>
              </w:rPr>
              <w:t>日</w:t>
            </w:r>
            <w:r>
              <w:rPr>
                <w:rFonts w:ascii="Times New Roman" w:hAnsi="Times New Roman" w:eastAsia="Times New Roman" w:cs="Times New Roman"/>
                <w:spacing w:val="-6"/>
              </w:rPr>
              <w:t xml:space="preserve">-19  </w:t>
            </w:r>
            <w:r>
              <w:rPr>
                <w:spacing w:val="-6"/>
              </w:rPr>
              <w:t>日</w:t>
            </w:r>
          </w:p>
          <w:p w14:paraId="67232988">
            <w:pPr>
              <w:pStyle w:val="9"/>
              <w:spacing w:before="185" w:line="219" w:lineRule="auto"/>
              <w:ind w:left="588"/>
            </w:pPr>
            <w:r>
              <w:rPr>
                <w:spacing w:val="-6"/>
              </w:rPr>
              <w:t>连续监测</w:t>
            </w:r>
            <w:r>
              <w:rPr>
                <w:spacing w:val="-48"/>
              </w:rPr>
              <w:t xml:space="preserve"> </w:t>
            </w:r>
            <w:r>
              <w:rPr>
                <w:rFonts w:ascii="Times New Roman" w:hAnsi="Times New Roman" w:eastAsia="Times New Roman" w:cs="Times New Roman"/>
                <w:spacing w:val="-6"/>
              </w:rPr>
              <w:t>2</w:t>
            </w:r>
            <w:r>
              <w:rPr>
                <w:rFonts w:ascii="Times New Roman" w:hAnsi="Times New Roman" w:eastAsia="Times New Roman" w:cs="Times New Roman"/>
                <w:spacing w:val="14"/>
              </w:rPr>
              <w:t xml:space="preserve"> </w:t>
            </w:r>
            <w:r>
              <w:rPr>
                <w:spacing w:val="-6"/>
              </w:rPr>
              <w:t>天，昼间监测</w:t>
            </w:r>
            <w:r>
              <w:rPr>
                <w:spacing w:val="-32"/>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16"/>
                <w:w w:val="101"/>
              </w:rPr>
              <w:t xml:space="preserve"> </w:t>
            </w:r>
            <w:r>
              <w:rPr>
                <w:spacing w:val="-6"/>
              </w:rPr>
              <w:t>次，夜间监测</w:t>
            </w:r>
            <w:r>
              <w:rPr>
                <w:spacing w:val="-32"/>
              </w:rPr>
              <w:t xml:space="preserve"> </w:t>
            </w:r>
            <w:r>
              <w:rPr>
                <w:rFonts w:ascii="Times New Roman" w:hAnsi="Times New Roman" w:eastAsia="Times New Roman" w:cs="Times New Roman"/>
                <w:spacing w:val="-6"/>
              </w:rPr>
              <w:t>1</w:t>
            </w:r>
            <w:r>
              <w:rPr>
                <w:rFonts w:ascii="Times New Roman" w:hAnsi="Times New Roman" w:eastAsia="Times New Roman" w:cs="Times New Roman"/>
                <w:spacing w:val="16"/>
              </w:rPr>
              <w:t xml:space="preserve"> </w:t>
            </w:r>
            <w:r>
              <w:rPr>
                <w:spacing w:val="-6"/>
              </w:rPr>
              <w:t>次。</w:t>
            </w:r>
          </w:p>
          <w:p w14:paraId="2842BDF1">
            <w:pPr>
              <w:pStyle w:val="9"/>
              <w:spacing w:before="186" w:line="217" w:lineRule="auto"/>
              <w:ind w:left="585"/>
            </w:pPr>
            <w:r>
              <w:rPr>
                <w:spacing w:val="-2"/>
              </w:rPr>
              <w:t>③监测气象条件</w:t>
            </w:r>
          </w:p>
          <w:p w14:paraId="0784FD33">
            <w:pPr>
              <w:pStyle w:val="9"/>
              <w:spacing w:before="185" w:line="362" w:lineRule="auto"/>
              <w:ind w:left="108" w:right="102" w:firstLine="480"/>
            </w:pPr>
            <w:r>
              <w:rPr>
                <w:spacing w:val="-4"/>
              </w:rPr>
              <w:t>监测时天气条件为：天空晴朗、无云、无雨雪、风力小于</w:t>
            </w:r>
            <w:r>
              <w:rPr>
                <w:spacing w:val="-40"/>
              </w:rPr>
              <w:t xml:space="preserve"> </w:t>
            </w:r>
            <w:r>
              <w:rPr>
                <w:rFonts w:ascii="Times New Roman" w:hAnsi="Times New Roman" w:eastAsia="Times New Roman" w:cs="Times New Roman"/>
                <w:spacing w:val="-4"/>
              </w:rPr>
              <w:t>5m/s</w:t>
            </w:r>
            <w:r>
              <w:rPr>
                <w:spacing w:val="-4"/>
              </w:rPr>
              <w:t>，符合噪声</w:t>
            </w:r>
            <w:r>
              <w:t>监测的气象条件。在测量中尽量避免交通噪声</w:t>
            </w:r>
            <w:r>
              <w:rPr>
                <w:spacing w:val="-1"/>
              </w:rPr>
              <w:t>和各种突发性噪声的影响。</w:t>
            </w:r>
          </w:p>
          <w:p w14:paraId="44FAE98F">
            <w:pPr>
              <w:pStyle w:val="9"/>
              <w:spacing w:before="1" w:line="219" w:lineRule="auto"/>
              <w:ind w:left="2890"/>
            </w:pPr>
            <w:r>
              <w:rPr>
                <w:b/>
                <w:bCs/>
                <w:spacing w:val="-3"/>
              </w:rPr>
              <w:t>表</w:t>
            </w:r>
            <w:r>
              <w:rPr>
                <w:spacing w:val="-44"/>
              </w:rPr>
              <w:t xml:space="preserve"> </w:t>
            </w:r>
            <w:r>
              <w:rPr>
                <w:rFonts w:ascii="Times New Roman" w:hAnsi="Times New Roman" w:eastAsia="Times New Roman" w:cs="Times New Roman"/>
                <w:b/>
                <w:bCs/>
                <w:spacing w:val="-3"/>
              </w:rPr>
              <w:t xml:space="preserve">3-11      </w:t>
            </w:r>
            <w:r>
              <w:rPr>
                <w:b/>
                <w:bCs/>
                <w:spacing w:val="-3"/>
              </w:rPr>
              <w:t>监测气象条件</w:t>
            </w:r>
          </w:p>
          <w:p w14:paraId="2F5C58CC">
            <w:pPr>
              <w:spacing w:line="14" w:lineRule="exact"/>
            </w:pPr>
          </w:p>
          <w:tbl>
            <w:tblPr>
              <w:tblStyle w:val="8"/>
              <w:tblW w:w="8219" w:type="dxa"/>
              <w:tblInd w:w="3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1"/>
              <w:gridCol w:w="704"/>
              <w:gridCol w:w="854"/>
              <w:gridCol w:w="788"/>
              <w:gridCol w:w="863"/>
              <w:gridCol w:w="698"/>
              <w:gridCol w:w="957"/>
              <w:gridCol w:w="1011"/>
              <w:gridCol w:w="621"/>
              <w:gridCol w:w="812"/>
            </w:tblGrid>
            <w:tr w14:paraId="55BC0C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911" w:type="dxa"/>
                  <w:vAlign w:val="top"/>
                </w:tcPr>
                <w:p w14:paraId="23980F67">
                  <w:pPr>
                    <w:pStyle w:val="9"/>
                    <w:spacing w:before="209" w:line="228" w:lineRule="auto"/>
                    <w:ind w:left="6"/>
                    <w:rPr>
                      <w:sz w:val="20"/>
                      <w:szCs w:val="20"/>
                    </w:rPr>
                  </w:pPr>
                  <w:r>
                    <w:rPr>
                      <w:spacing w:val="19"/>
                      <w:sz w:val="20"/>
                      <w:szCs w:val="20"/>
                    </w:rPr>
                    <w:t>检测日期</w:t>
                  </w:r>
                </w:p>
              </w:tc>
              <w:tc>
                <w:tcPr>
                  <w:tcW w:w="704" w:type="dxa"/>
                  <w:vAlign w:val="top"/>
                </w:tcPr>
                <w:p w14:paraId="1647C899">
                  <w:pPr>
                    <w:pStyle w:val="9"/>
                    <w:spacing w:before="209" w:line="230" w:lineRule="auto"/>
                    <w:ind w:left="156"/>
                    <w:rPr>
                      <w:sz w:val="20"/>
                      <w:szCs w:val="20"/>
                    </w:rPr>
                  </w:pPr>
                  <w:r>
                    <w:rPr>
                      <w:spacing w:val="-1"/>
                      <w:sz w:val="20"/>
                      <w:szCs w:val="20"/>
                    </w:rPr>
                    <w:t>时间</w:t>
                  </w:r>
                </w:p>
              </w:tc>
              <w:tc>
                <w:tcPr>
                  <w:tcW w:w="854" w:type="dxa"/>
                  <w:vAlign w:val="top"/>
                </w:tcPr>
                <w:p w14:paraId="5170199D">
                  <w:pPr>
                    <w:pStyle w:val="9"/>
                    <w:spacing w:before="74" w:line="247" w:lineRule="auto"/>
                    <w:ind w:left="137" w:right="106" w:hanging="44"/>
                    <w:rPr>
                      <w:rFonts w:ascii="Times New Roman" w:hAnsi="Times New Roman" w:eastAsia="Times New Roman" w:cs="Times New Roman"/>
                      <w:sz w:val="20"/>
                      <w:szCs w:val="20"/>
                    </w:rPr>
                  </w:pPr>
                  <w:r>
                    <w:rPr>
                      <w:spacing w:val="16"/>
                      <w:sz w:val="20"/>
                      <w:szCs w:val="20"/>
                    </w:rPr>
                    <w:t>环境温</w:t>
                  </w:r>
                  <w:r>
                    <w:rPr>
                      <w:spacing w:val="8"/>
                      <w:sz w:val="20"/>
                      <w:szCs w:val="20"/>
                    </w:rPr>
                    <w:t>度</w:t>
                  </w:r>
                  <w:r>
                    <w:rPr>
                      <w:rFonts w:ascii="Times New Roman" w:hAnsi="Times New Roman" w:eastAsia="Times New Roman" w:cs="Times New Roman"/>
                      <w:spacing w:val="8"/>
                      <w:sz w:val="20"/>
                      <w:szCs w:val="20"/>
                    </w:rPr>
                    <w:t>(℃)</w:t>
                  </w:r>
                </w:p>
              </w:tc>
              <w:tc>
                <w:tcPr>
                  <w:tcW w:w="788" w:type="dxa"/>
                  <w:vAlign w:val="top"/>
                </w:tcPr>
                <w:p w14:paraId="36E31B1B">
                  <w:pPr>
                    <w:pStyle w:val="9"/>
                    <w:spacing w:before="89" w:line="259" w:lineRule="auto"/>
                    <w:ind w:left="139" w:right="73" w:hanging="72"/>
                    <w:rPr>
                      <w:rFonts w:ascii="Times New Roman" w:hAnsi="Times New Roman" w:eastAsia="Times New Roman" w:cs="Times New Roman"/>
                      <w:sz w:val="20"/>
                      <w:szCs w:val="20"/>
                    </w:rPr>
                  </w:pPr>
                  <w:r>
                    <w:rPr>
                      <w:spacing w:val="14"/>
                      <w:sz w:val="20"/>
                      <w:szCs w:val="20"/>
                    </w:rPr>
                    <w:t>大气压</w:t>
                  </w:r>
                  <w:r>
                    <w:rPr>
                      <w:rFonts w:ascii="Times New Roman" w:hAnsi="Times New Roman" w:eastAsia="Times New Roman" w:cs="Times New Roman"/>
                      <w:spacing w:val="11"/>
                      <w:sz w:val="20"/>
                      <w:szCs w:val="20"/>
                    </w:rPr>
                    <w:t>(</w:t>
                  </w:r>
                  <w:r>
                    <w:rPr>
                      <w:rFonts w:ascii="Times New Roman" w:hAnsi="Times New Roman" w:eastAsia="Times New Roman" w:cs="Times New Roman"/>
                      <w:sz w:val="20"/>
                      <w:szCs w:val="20"/>
                    </w:rPr>
                    <w:t>KPa</w:t>
                  </w:r>
                  <w:r>
                    <w:rPr>
                      <w:rFonts w:ascii="Times New Roman" w:hAnsi="Times New Roman" w:eastAsia="Times New Roman" w:cs="Times New Roman"/>
                      <w:spacing w:val="11"/>
                      <w:sz w:val="20"/>
                      <w:szCs w:val="20"/>
                    </w:rPr>
                    <w:t>)</w:t>
                  </w:r>
                </w:p>
              </w:tc>
              <w:tc>
                <w:tcPr>
                  <w:tcW w:w="863" w:type="dxa"/>
                  <w:vAlign w:val="top"/>
                </w:tcPr>
                <w:p w14:paraId="1D7F2C61">
                  <w:pPr>
                    <w:pStyle w:val="9"/>
                    <w:spacing w:before="89" w:line="259" w:lineRule="auto"/>
                    <w:ind w:left="210" w:right="206" w:firstLine="10"/>
                    <w:rPr>
                      <w:rFonts w:ascii="Times New Roman" w:hAnsi="Times New Roman" w:eastAsia="Times New Roman" w:cs="Times New Roman"/>
                      <w:sz w:val="20"/>
                      <w:szCs w:val="20"/>
                    </w:rPr>
                  </w:pPr>
                  <w:r>
                    <w:rPr>
                      <w:spacing w:val="9"/>
                      <w:sz w:val="20"/>
                      <w:szCs w:val="20"/>
                    </w:rPr>
                    <w:t>风速</w:t>
                  </w:r>
                  <w:r>
                    <w:rPr>
                      <w:rFonts w:ascii="Times New Roman" w:hAnsi="Times New Roman" w:eastAsia="Times New Roman" w:cs="Times New Roman"/>
                      <w:spacing w:val="3"/>
                      <w:sz w:val="20"/>
                      <w:szCs w:val="20"/>
                    </w:rPr>
                    <w:t>(m/s)</w:t>
                  </w:r>
                </w:p>
              </w:tc>
              <w:tc>
                <w:tcPr>
                  <w:tcW w:w="698" w:type="dxa"/>
                  <w:vAlign w:val="top"/>
                </w:tcPr>
                <w:p w14:paraId="2015A93C">
                  <w:pPr>
                    <w:pStyle w:val="9"/>
                    <w:spacing w:before="74" w:line="253" w:lineRule="auto"/>
                    <w:ind w:left="77" w:right="70" w:firstLine="59"/>
                    <w:rPr>
                      <w:sz w:val="20"/>
                      <w:szCs w:val="20"/>
                    </w:rPr>
                  </w:pPr>
                  <w:r>
                    <w:rPr>
                      <w:spacing w:val="9"/>
                      <w:sz w:val="20"/>
                      <w:szCs w:val="20"/>
                    </w:rPr>
                    <w:t>湿度</w:t>
                  </w:r>
                  <w:r>
                    <w:rPr>
                      <w:spacing w:val="-8"/>
                      <w:sz w:val="20"/>
                      <w:szCs w:val="20"/>
                    </w:rPr>
                    <w:t>（</w:t>
                  </w:r>
                  <w:r>
                    <w:rPr>
                      <w:rFonts w:ascii="Times New Roman" w:hAnsi="Times New Roman" w:eastAsia="Times New Roman" w:cs="Times New Roman"/>
                      <w:spacing w:val="-8"/>
                      <w:sz w:val="20"/>
                      <w:szCs w:val="20"/>
                    </w:rPr>
                    <w:t>%</w:t>
                  </w:r>
                  <w:r>
                    <w:rPr>
                      <w:spacing w:val="-8"/>
                      <w:sz w:val="20"/>
                      <w:szCs w:val="20"/>
                    </w:rPr>
                    <w:t>）</w:t>
                  </w:r>
                </w:p>
              </w:tc>
              <w:tc>
                <w:tcPr>
                  <w:tcW w:w="957" w:type="dxa"/>
                  <w:vAlign w:val="top"/>
                </w:tcPr>
                <w:p w14:paraId="1335B4C6">
                  <w:pPr>
                    <w:pStyle w:val="9"/>
                    <w:spacing w:before="209" w:line="228" w:lineRule="auto"/>
                    <w:ind w:left="267"/>
                    <w:rPr>
                      <w:sz w:val="20"/>
                      <w:szCs w:val="20"/>
                    </w:rPr>
                  </w:pPr>
                  <w:r>
                    <w:rPr>
                      <w:spacing w:val="9"/>
                      <w:sz w:val="20"/>
                      <w:szCs w:val="20"/>
                    </w:rPr>
                    <w:t>风向</w:t>
                  </w:r>
                </w:p>
              </w:tc>
              <w:tc>
                <w:tcPr>
                  <w:tcW w:w="1011" w:type="dxa"/>
                  <w:vAlign w:val="top"/>
                </w:tcPr>
                <w:p w14:paraId="7BE8129B">
                  <w:pPr>
                    <w:pStyle w:val="9"/>
                    <w:spacing w:before="209" w:line="228" w:lineRule="auto"/>
                    <w:ind w:left="72"/>
                    <w:rPr>
                      <w:sz w:val="20"/>
                      <w:szCs w:val="20"/>
                    </w:rPr>
                  </w:pPr>
                  <w:r>
                    <w:rPr>
                      <w:spacing w:val="15"/>
                      <w:sz w:val="20"/>
                      <w:szCs w:val="20"/>
                    </w:rPr>
                    <w:t>天气状况</w:t>
                  </w:r>
                </w:p>
              </w:tc>
              <w:tc>
                <w:tcPr>
                  <w:tcW w:w="621" w:type="dxa"/>
                  <w:vAlign w:val="top"/>
                </w:tcPr>
                <w:p w14:paraId="74AC2CB2">
                  <w:pPr>
                    <w:pStyle w:val="9"/>
                    <w:spacing w:before="209" w:line="233" w:lineRule="auto"/>
                    <w:ind w:left="109"/>
                    <w:rPr>
                      <w:sz w:val="20"/>
                      <w:szCs w:val="20"/>
                    </w:rPr>
                  </w:pPr>
                  <w:r>
                    <w:rPr>
                      <w:spacing w:val="4"/>
                      <w:sz w:val="20"/>
                      <w:szCs w:val="20"/>
                    </w:rPr>
                    <w:t>云量</w:t>
                  </w:r>
                </w:p>
              </w:tc>
              <w:tc>
                <w:tcPr>
                  <w:tcW w:w="812" w:type="dxa"/>
                  <w:vAlign w:val="top"/>
                </w:tcPr>
                <w:p w14:paraId="60981DB2">
                  <w:pPr>
                    <w:pStyle w:val="9"/>
                    <w:spacing w:before="209" w:line="229" w:lineRule="auto"/>
                    <w:ind w:left="77"/>
                    <w:rPr>
                      <w:sz w:val="20"/>
                      <w:szCs w:val="20"/>
                    </w:rPr>
                  </w:pPr>
                  <w:r>
                    <w:rPr>
                      <w:spacing w:val="16"/>
                      <w:sz w:val="20"/>
                      <w:szCs w:val="20"/>
                    </w:rPr>
                    <w:t>低云量</w:t>
                  </w:r>
                </w:p>
              </w:tc>
            </w:tr>
            <w:tr w14:paraId="0F299F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trPr>
              <w:tc>
                <w:tcPr>
                  <w:tcW w:w="911" w:type="dxa"/>
                  <w:vAlign w:val="top"/>
                </w:tcPr>
                <w:p w14:paraId="29CB7EC4">
                  <w:pPr>
                    <w:spacing w:before="144" w:line="195" w:lineRule="auto"/>
                    <w:ind w:left="1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2026.7.</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3"/>
                      <w:sz w:val="20"/>
                      <w:szCs w:val="20"/>
                    </w:rPr>
                    <w:t>18</w:t>
                  </w:r>
                </w:p>
              </w:tc>
              <w:tc>
                <w:tcPr>
                  <w:tcW w:w="704" w:type="dxa"/>
                  <w:vAlign w:val="top"/>
                </w:tcPr>
                <w:p w14:paraId="5965ED5F">
                  <w:pPr>
                    <w:spacing w:before="144" w:line="195" w:lineRule="auto"/>
                    <w:ind w:left="13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12:09</w:t>
                  </w:r>
                </w:p>
              </w:tc>
              <w:tc>
                <w:tcPr>
                  <w:tcW w:w="854" w:type="dxa"/>
                  <w:vAlign w:val="top"/>
                </w:tcPr>
                <w:p w14:paraId="7E917800">
                  <w:pPr>
                    <w:spacing w:before="144" w:line="195" w:lineRule="auto"/>
                    <w:ind w:left="23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25.6</w:t>
                  </w:r>
                </w:p>
              </w:tc>
              <w:tc>
                <w:tcPr>
                  <w:tcW w:w="788" w:type="dxa"/>
                  <w:vAlign w:val="top"/>
                </w:tcPr>
                <w:p w14:paraId="31F9CE40">
                  <w:pPr>
                    <w:spacing w:before="144" w:line="195" w:lineRule="auto"/>
                    <w:ind w:left="21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90.</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1"/>
                      <w:sz w:val="20"/>
                      <w:szCs w:val="20"/>
                    </w:rPr>
                    <w:t>1</w:t>
                  </w:r>
                </w:p>
              </w:tc>
              <w:tc>
                <w:tcPr>
                  <w:tcW w:w="863" w:type="dxa"/>
                  <w:vAlign w:val="top"/>
                </w:tcPr>
                <w:p w14:paraId="5542B2D5">
                  <w:pPr>
                    <w:spacing w:before="144" w:line="195" w:lineRule="auto"/>
                    <w:ind w:left="327"/>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1.5</w:t>
                  </w:r>
                </w:p>
              </w:tc>
              <w:tc>
                <w:tcPr>
                  <w:tcW w:w="698" w:type="dxa"/>
                  <w:vAlign w:val="top"/>
                </w:tcPr>
                <w:p w14:paraId="04C378C6">
                  <w:pPr>
                    <w:spacing w:before="144" w:line="195" w:lineRule="auto"/>
                    <w:ind w:left="250"/>
                    <w:rPr>
                      <w:rFonts w:ascii="Times New Roman" w:hAnsi="Times New Roman" w:eastAsia="Times New Roman" w:cs="Times New Roman"/>
                      <w:sz w:val="20"/>
                      <w:szCs w:val="20"/>
                    </w:rPr>
                  </w:pPr>
                  <w:r>
                    <w:rPr>
                      <w:rFonts w:ascii="Times New Roman" w:hAnsi="Times New Roman" w:eastAsia="Times New Roman" w:cs="Times New Roman"/>
                      <w:sz w:val="20"/>
                      <w:szCs w:val="20"/>
                    </w:rPr>
                    <w:t>33</w:t>
                  </w:r>
                </w:p>
              </w:tc>
              <w:tc>
                <w:tcPr>
                  <w:tcW w:w="957" w:type="dxa"/>
                  <w:vAlign w:val="top"/>
                </w:tcPr>
                <w:p w14:paraId="568808A6">
                  <w:pPr>
                    <w:pStyle w:val="9"/>
                    <w:spacing w:before="108" w:line="228" w:lineRule="auto"/>
                    <w:ind w:left="219"/>
                    <w:rPr>
                      <w:rFonts w:ascii="Times New Roman" w:hAnsi="Times New Roman" w:eastAsia="Times New Roman" w:cs="Times New Roman"/>
                      <w:sz w:val="20"/>
                      <w:szCs w:val="20"/>
                    </w:rPr>
                  </w:pPr>
                  <w:r>
                    <w:rPr>
                      <w:spacing w:val="-2"/>
                      <w:sz w:val="20"/>
                      <w:szCs w:val="20"/>
                    </w:rPr>
                    <w:t>东</w:t>
                  </w:r>
                  <w:r>
                    <w:rPr>
                      <w:spacing w:val="-42"/>
                      <w:sz w:val="20"/>
                      <w:szCs w:val="20"/>
                    </w:rPr>
                    <w:t xml:space="preserve"> </w:t>
                  </w:r>
                  <w:r>
                    <w:rPr>
                      <w:rFonts w:ascii="Times New Roman" w:hAnsi="Times New Roman" w:eastAsia="Times New Roman" w:cs="Times New Roman"/>
                      <w:spacing w:val="-2"/>
                      <w:sz w:val="20"/>
                      <w:szCs w:val="20"/>
                    </w:rPr>
                    <w:t>72°</w:t>
                  </w:r>
                </w:p>
              </w:tc>
              <w:tc>
                <w:tcPr>
                  <w:tcW w:w="1011" w:type="dxa"/>
                  <w:vAlign w:val="top"/>
                </w:tcPr>
                <w:p w14:paraId="56D82ED5">
                  <w:pPr>
                    <w:pStyle w:val="9"/>
                    <w:spacing w:before="109" w:line="228" w:lineRule="auto"/>
                    <w:ind w:left="425"/>
                    <w:rPr>
                      <w:sz w:val="20"/>
                      <w:szCs w:val="20"/>
                    </w:rPr>
                  </w:pPr>
                  <w:r>
                    <w:rPr>
                      <w:sz w:val="20"/>
                      <w:szCs w:val="20"/>
                    </w:rPr>
                    <w:t>阴</w:t>
                  </w:r>
                </w:p>
              </w:tc>
              <w:tc>
                <w:tcPr>
                  <w:tcW w:w="621" w:type="dxa"/>
                  <w:vAlign w:val="top"/>
                </w:tcPr>
                <w:p w14:paraId="2A3C3A3A">
                  <w:pPr>
                    <w:spacing w:before="144" w:line="195" w:lineRule="auto"/>
                    <w:ind w:left="271"/>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812" w:type="dxa"/>
                  <w:vAlign w:val="top"/>
                </w:tcPr>
                <w:p w14:paraId="30CD50C6">
                  <w:pPr>
                    <w:spacing w:before="144" w:line="195" w:lineRule="auto"/>
                    <w:ind w:left="360"/>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r>
            <w:tr w14:paraId="3EF697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trPr>
              <w:tc>
                <w:tcPr>
                  <w:tcW w:w="911" w:type="dxa"/>
                  <w:vMerge w:val="restart"/>
                  <w:tcBorders>
                    <w:bottom w:val="nil"/>
                  </w:tcBorders>
                  <w:vAlign w:val="top"/>
                </w:tcPr>
                <w:p w14:paraId="170F6E49">
                  <w:pPr>
                    <w:spacing w:line="261" w:lineRule="auto"/>
                    <w:rPr>
                      <w:rFonts w:ascii="Arial"/>
                      <w:sz w:val="21"/>
                    </w:rPr>
                  </w:pPr>
                </w:p>
                <w:p w14:paraId="63B25490">
                  <w:pPr>
                    <w:spacing w:line="261" w:lineRule="auto"/>
                    <w:rPr>
                      <w:rFonts w:ascii="Arial"/>
                      <w:sz w:val="21"/>
                    </w:rPr>
                  </w:pPr>
                </w:p>
                <w:p w14:paraId="08F4AC29">
                  <w:pPr>
                    <w:spacing w:before="57" w:line="195" w:lineRule="auto"/>
                    <w:ind w:left="1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2026.7.</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3"/>
                      <w:sz w:val="20"/>
                      <w:szCs w:val="20"/>
                    </w:rPr>
                    <w:t>19</w:t>
                  </w:r>
                </w:p>
              </w:tc>
              <w:tc>
                <w:tcPr>
                  <w:tcW w:w="704" w:type="dxa"/>
                  <w:vAlign w:val="top"/>
                </w:tcPr>
                <w:p w14:paraId="7590063D">
                  <w:pPr>
                    <w:spacing w:before="146" w:line="195" w:lineRule="auto"/>
                    <w:ind w:left="10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00:07</w:t>
                  </w:r>
                </w:p>
              </w:tc>
              <w:tc>
                <w:tcPr>
                  <w:tcW w:w="854" w:type="dxa"/>
                  <w:vAlign w:val="top"/>
                </w:tcPr>
                <w:p w14:paraId="03A9DB65">
                  <w:pPr>
                    <w:spacing w:before="146" w:line="195" w:lineRule="auto"/>
                    <w:ind w:left="26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18.3</w:t>
                  </w:r>
                </w:p>
              </w:tc>
              <w:tc>
                <w:tcPr>
                  <w:tcW w:w="788" w:type="dxa"/>
                  <w:vAlign w:val="top"/>
                </w:tcPr>
                <w:p w14:paraId="01700BE7">
                  <w:pPr>
                    <w:spacing w:before="146" w:line="195" w:lineRule="auto"/>
                    <w:ind w:left="21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90.2</w:t>
                  </w:r>
                </w:p>
              </w:tc>
              <w:tc>
                <w:tcPr>
                  <w:tcW w:w="863" w:type="dxa"/>
                  <w:vAlign w:val="top"/>
                </w:tcPr>
                <w:p w14:paraId="4A0A3D28">
                  <w:pPr>
                    <w:spacing w:before="146" w:line="195" w:lineRule="auto"/>
                    <w:ind w:left="29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1"/>
                      <w:sz w:val="20"/>
                      <w:szCs w:val="20"/>
                    </w:rPr>
                    <w:t>1</w:t>
                  </w:r>
                </w:p>
              </w:tc>
              <w:tc>
                <w:tcPr>
                  <w:tcW w:w="698" w:type="dxa"/>
                  <w:vAlign w:val="top"/>
                </w:tcPr>
                <w:p w14:paraId="3FCC90C6">
                  <w:pPr>
                    <w:spacing w:before="146" w:line="195" w:lineRule="auto"/>
                    <w:ind w:left="250"/>
                    <w:rPr>
                      <w:rFonts w:ascii="Times New Roman" w:hAnsi="Times New Roman" w:eastAsia="Times New Roman" w:cs="Times New Roman"/>
                      <w:sz w:val="20"/>
                      <w:szCs w:val="20"/>
                    </w:rPr>
                  </w:pPr>
                  <w:r>
                    <w:rPr>
                      <w:rFonts w:ascii="Times New Roman" w:hAnsi="Times New Roman" w:eastAsia="Times New Roman" w:cs="Times New Roman"/>
                      <w:sz w:val="20"/>
                      <w:szCs w:val="20"/>
                    </w:rPr>
                    <w:t>37</w:t>
                  </w:r>
                </w:p>
              </w:tc>
              <w:tc>
                <w:tcPr>
                  <w:tcW w:w="957" w:type="dxa"/>
                  <w:vAlign w:val="top"/>
                </w:tcPr>
                <w:p w14:paraId="5F6DE75B">
                  <w:pPr>
                    <w:pStyle w:val="9"/>
                    <w:spacing w:before="110" w:line="228" w:lineRule="auto"/>
                    <w:ind w:left="219"/>
                    <w:rPr>
                      <w:rFonts w:ascii="Times New Roman" w:hAnsi="Times New Roman" w:eastAsia="Times New Roman" w:cs="Times New Roman"/>
                      <w:sz w:val="20"/>
                      <w:szCs w:val="20"/>
                    </w:rPr>
                  </w:pPr>
                  <w:r>
                    <w:rPr>
                      <w:spacing w:val="-2"/>
                      <w:sz w:val="20"/>
                      <w:szCs w:val="20"/>
                    </w:rPr>
                    <w:t>东</w:t>
                  </w:r>
                  <w:r>
                    <w:rPr>
                      <w:spacing w:val="-42"/>
                      <w:sz w:val="20"/>
                      <w:szCs w:val="20"/>
                    </w:rPr>
                    <w:t xml:space="preserve"> </w:t>
                  </w:r>
                  <w:r>
                    <w:rPr>
                      <w:rFonts w:ascii="Times New Roman" w:hAnsi="Times New Roman" w:eastAsia="Times New Roman" w:cs="Times New Roman"/>
                      <w:spacing w:val="-2"/>
                      <w:sz w:val="20"/>
                      <w:szCs w:val="20"/>
                    </w:rPr>
                    <w:t>90°</w:t>
                  </w:r>
                </w:p>
              </w:tc>
              <w:tc>
                <w:tcPr>
                  <w:tcW w:w="1011" w:type="dxa"/>
                  <w:vAlign w:val="top"/>
                </w:tcPr>
                <w:p w14:paraId="71001AE3">
                  <w:pPr>
                    <w:pStyle w:val="9"/>
                    <w:spacing w:before="110" w:line="228" w:lineRule="auto"/>
                    <w:ind w:left="425"/>
                    <w:rPr>
                      <w:sz w:val="20"/>
                      <w:szCs w:val="20"/>
                    </w:rPr>
                  </w:pPr>
                  <w:r>
                    <w:rPr>
                      <w:sz w:val="20"/>
                      <w:szCs w:val="20"/>
                    </w:rPr>
                    <w:t>阴</w:t>
                  </w:r>
                </w:p>
              </w:tc>
              <w:tc>
                <w:tcPr>
                  <w:tcW w:w="621" w:type="dxa"/>
                  <w:vAlign w:val="top"/>
                </w:tcPr>
                <w:p w14:paraId="287FE147">
                  <w:pPr>
                    <w:spacing w:before="234" w:line="97" w:lineRule="exact"/>
                    <w:ind w:left="262"/>
                    <w:rPr>
                      <w:rFonts w:ascii="Times New Roman" w:hAnsi="Times New Roman" w:eastAsia="Times New Roman" w:cs="Times New Roman"/>
                      <w:sz w:val="20"/>
                      <w:szCs w:val="20"/>
                    </w:rPr>
                  </w:pPr>
                  <w:r>
                    <w:rPr>
                      <w:rFonts w:ascii="Times New Roman" w:hAnsi="Times New Roman" w:eastAsia="Times New Roman" w:cs="Times New Roman"/>
                      <w:spacing w:val="11"/>
                      <w:position w:val="-2"/>
                      <w:sz w:val="20"/>
                      <w:szCs w:val="20"/>
                    </w:rPr>
                    <w:t>-</w:t>
                  </w:r>
                </w:p>
              </w:tc>
              <w:tc>
                <w:tcPr>
                  <w:tcW w:w="812" w:type="dxa"/>
                  <w:vAlign w:val="top"/>
                </w:tcPr>
                <w:p w14:paraId="0340B8A7">
                  <w:pPr>
                    <w:spacing w:before="234" w:line="97" w:lineRule="exact"/>
                    <w:ind w:left="359"/>
                    <w:rPr>
                      <w:rFonts w:ascii="Times New Roman" w:hAnsi="Times New Roman" w:eastAsia="Times New Roman" w:cs="Times New Roman"/>
                      <w:sz w:val="20"/>
                      <w:szCs w:val="20"/>
                    </w:rPr>
                  </w:pPr>
                  <w:r>
                    <w:rPr>
                      <w:rFonts w:ascii="Times New Roman" w:hAnsi="Times New Roman" w:eastAsia="Times New Roman" w:cs="Times New Roman"/>
                      <w:spacing w:val="11"/>
                      <w:position w:val="-2"/>
                      <w:sz w:val="20"/>
                      <w:szCs w:val="20"/>
                    </w:rPr>
                    <w:t>-</w:t>
                  </w:r>
                </w:p>
              </w:tc>
            </w:tr>
            <w:tr w14:paraId="6561C4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8" w:hRule="atLeast"/>
              </w:trPr>
              <w:tc>
                <w:tcPr>
                  <w:tcW w:w="911" w:type="dxa"/>
                  <w:vMerge w:val="continue"/>
                  <w:tcBorders>
                    <w:top w:val="nil"/>
                    <w:bottom w:val="nil"/>
                  </w:tcBorders>
                  <w:vAlign w:val="top"/>
                </w:tcPr>
                <w:p w14:paraId="7BAA8703">
                  <w:pPr>
                    <w:rPr>
                      <w:rFonts w:ascii="Arial"/>
                      <w:sz w:val="21"/>
                    </w:rPr>
                  </w:pPr>
                </w:p>
              </w:tc>
              <w:tc>
                <w:tcPr>
                  <w:tcW w:w="704" w:type="dxa"/>
                  <w:vAlign w:val="top"/>
                </w:tcPr>
                <w:p w14:paraId="717C338A">
                  <w:pPr>
                    <w:spacing w:before="145" w:line="195" w:lineRule="auto"/>
                    <w:ind w:left="10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09:01</w:t>
                  </w:r>
                </w:p>
              </w:tc>
              <w:tc>
                <w:tcPr>
                  <w:tcW w:w="854" w:type="dxa"/>
                  <w:vAlign w:val="top"/>
                </w:tcPr>
                <w:p w14:paraId="255E63ED">
                  <w:pPr>
                    <w:spacing w:before="145" w:line="195" w:lineRule="auto"/>
                    <w:ind w:left="23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27.</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2"/>
                      <w:sz w:val="20"/>
                      <w:szCs w:val="20"/>
                    </w:rPr>
                    <w:t>1</w:t>
                  </w:r>
                </w:p>
              </w:tc>
              <w:tc>
                <w:tcPr>
                  <w:tcW w:w="788" w:type="dxa"/>
                  <w:vAlign w:val="top"/>
                </w:tcPr>
                <w:p w14:paraId="22C73ABE">
                  <w:pPr>
                    <w:spacing w:before="145" w:line="195" w:lineRule="auto"/>
                    <w:ind w:left="21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90.</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1"/>
                      <w:sz w:val="20"/>
                      <w:szCs w:val="20"/>
                    </w:rPr>
                    <w:t>1</w:t>
                  </w:r>
                </w:p>
              </w:tc>
              <w:tc>
                <w:tcPr>
                  <w:tcW w:w="863" w:type="dxa"/>
                  <w:vAlign w:val="top"/>
                </w:tcPr>
                <w:p w14:paraId="76164B63">
                  <w:pPr>
                    <w:spacing w:before="145" w:line="195" w:lineRule="auto"/>
                    <w:ind w:left="29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2.5</w:t>
                  </w:r>
                </w:p>
              </w:tc>
              <w:tc>
                <w:tcPr>
                  <w:tcW w:w="698" w:type="dxa"/>
                  <w:vAlign w:val="top"/>
                </w:tcPr>
                <w:p w14:paraId="5826F668">
                  <w:pPr>
                    <w:spacing w:before="145" w:line="195" w:lineRule="auto"/>
                    <w:ind w:left="250"/>
                    <w:rPr>
                      <w:rFonts w:ascii="Times New Roman" w:hAnsi="Times New Roman" w:eastAsia="Times New Roman" w:cs="Times New Roman"/>
                      <w:sz w:val="20"/>
                      <w:szCs w:val="20"/>
                    </w:rPr>
                  </w:pPr>
                  <w:r>
                    <w:rPr>
                      <w:rFonts w:ascii="Times New Roman" w:hAnsi="Times New Roman" w:eastAsia="Times New Roman" w:cs="Times New Roman"/>
                      <w:sz w:val="20"/>
                      <w:szCs w:val="20"/>
                    </w:rPr>
                    <w:t>30</w:t>
                  </w:r>
                </w:p>
              </w:tc>
              <w:tc>
                <w:tcPr>
                  <w:tcW w:w="957" w:type="dxa"/>
                  <w:vAlign w:val="top"/>
                </w:tcPr>
                <w:p w14:paraId="303D2F56">
                  <w:pPr>
                    <w:pStyle w:val="9"/>
                    <w:spacing w:before="109" w:line="228" w:lineRule="auto"/>
                    <w:ind w:left="65"/>
                    <w:rPr>
                      <w:rFonts w:ascii="Times New Roman" w:hAnsi="Times New Roman" w:eastAsia="Times New Roman" w:cs="Times New Roman"/>
                      <w:sz w:val="20"/>
                      <w:szCs w:val="20"/>
                    </w:rPr>
                  </w:pPr>
                  <w:r>
                    <w:rPr>
                      <w:spacing w:val="-2"/>
                      <w:sz w:val="20"/>
                      <w:szCs w:val="20"/>
                    </w:rPr>
                    <w:t>东南</w:t>
                  </w:r>
                  <w:r>
                    <w:rPr>
                      <w:spacing w:val="-28"/>
                      <w:sz w:val="20"/>
                      <w:szCs w:val="20"/>
                    </w:rPr>
                    <w:t xml:space="preserve"> </w:t>
                  </w:r>
                  <w:r>
                    <w:rPr>
                      <w:rFonts w:ascii="Times New Roman" w:hAnsi="Times New Roman" w:eastAsia="Times New Roman" w:cs="Times New Roman"/>
                      <w:spacing w:val="-2"/>
                      <w:sz w:val="20"/>
                      <w:szCs w:val="20"/>
                    </w:rPr>
                    <w:t>132°</w:t>
                  </w:r>
                </w:p>
              </w:tc>
              <w:tc>
                <w:tcPr>
                  <w:tcW w:w="1011" w:type="dxa"/>
                  <w:vAlign w:val="top"/>
                </w:tcPr>
                <w:p w14:paraId="05F3ABC9">
                  <w:pPr>
                    <w:pStyle w:val="9"/>
                    <w:spacing w:before="109" w:line="228" w:lineRule="auto"/>
                    <w:ind w:left="419"/>
                    <w:rPr>
                      <w:sz w:val="20"/>
                      <w:szCs w:val="20"/>
                    </w:rPr>
                  </w:pPr>
                  <w:r>
                    <w:rPr>
                      <w:sz w:val="20"/>
                      <w:szCs w:val="20"/>
                    </w:rPr>
                    <w:t>晴</w:t>
                  </w:r>
                </w:p>
              </w:tc>
              <w:tc>
                <w:tcPr>
                  <w:tcW w:w="621" w:type="dxa"/>
                  <w:vAlign w:val="top"/>
                </w:tcPr>
                <w:p w14:paraId="3CC951A4">
                  <w:pPr>
                    <w:spacing w:before="145" w:line="195" w:lineRule="auto"/>
                    <w:ind w:left="283"/>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812" w:type="dxa"/>
                  <w:vAlign w:val="top"/>
                </w:tcPr>
                <w:p w14:paraId="672ABABF">
                  <w:pPr>
                    <w:spacing w:before="145" w:line="195" w:lineRule="auto"/>
                    <w:ind w:left="360"/>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r>
            <w:tr w14:paraId="3A47E2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5" w:hRule="atLeast"/>
              </w:trPr>
              <w:tc>
                <w:tcPr>
                  <w:tcW w:w="911" w:type="dxa"/>
                  <w:vMerge w:val="continue"/>
                  <w:tcBorders>
                    <w:top w:val="nil"/>
                  </w:tcBorders>
                  <w:vAlign w:val="top"/>
                </w:tcPr>
                <w:p w14:paraId="7E30BD78">
                  <w:pPr>
                    <w:rPr>
                      <w:rFonts w:ascii="Arial"/>
                      <w:sz w:val="21"/>
                    </w:rPr>
                  </w:pPr>
                </w:p>
              </w:tc>
              <w:tc>
                <w:tcPr>
                  <w:tcW w:w="704" w:type="dxa"/>
                  <w:vAlign w:val="top"/>
                </w:tcPr>
                <w:p w14:paraId="6813373F">
                  <w:pPr>
                    <w:spacing w:before="149" w:line="195" w:lineRule="auto"/>
                    <w:ind w:left="104"/>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22:07</w:t>
                  </w:r>
                </w:p>
              </w:tc>
              <w:tc>
                <w:tcPr>
                  <w:tcW w:w="854" w:type="dxa"/>
                  <w:vAlign w:val="top"/>
                </w:tcPr>
                <w:p w14:paraId="21125CF6">
                  <w:pPr>
                    <w:spacing w:before="149" w:line="195" w:lineRule="auto"/>
                    <w:ind w:left="23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21.</w:t>
                  </w:r>
                  <w:r>
                    <w:rPr>
                      <w:rFonts w:ascii="Times New Roman" w:hAnsi="Times New Roman" w:eastAsia="Times New Roman" w:cs="Times New Roman"/>
                      <w:spacing w:val="-23"/>
                      <w:sz w:val="20"/>
                      <w:szCs w:val="20"/>
                    </w:rPr>
                    <w:t xml:space="preserve"> </w:t>
                  </w:r>
                  <w:r>
                    <w:rPr>
                      <w:rFonts w:ascii="Times New Roman" w:hAnsi="Times New Roman" w:eastAsia="Times New Roman" w:cs="Times New Roman"/>
                      <w:spacing w:val="2"/>
                      <w:sz w:val="20"/>
                      <w:szCs w:val="20"/>
                    </w:rPr>
                    <w:t>1</w:t>
                  </w:r>
                </w:p>
              </w:tc>
              <w:tc>
                <w:tcPr>
                  <w:tcW w:w="788" w:type="dxa"/>
                  <w:vAlign w:val="top"/>
                </w:tcPr>
                <w:p w14:paraId="4282D2B8">
                  <w:pPr>
                    <w:spacing w:before="149" w:line="195" w:lineRule="auto"/>
                    <w:ind w:left="21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90.2</w:t>
                  </w:r>
                </w:p>
              </w:tc>
              <w:tc>
                <w:tcPr>
                  <w:tcW w:w="863" w:type="dxa"/>
                  <w:vAlign w:val="top"/>
                </w:tcPr>
                <w:p w14:paraId="2DF9660A">
                  <w:pPr>
                    <w:spacing w:before="149" w:line="195" w:lineRule="auto"/>
                    <w:ind w:left="327"/>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1.6</w:t>
                  </w:r>
                </w:p>
              </w:tc>
              <w:tc>
                <w:tcPr>
                  <w:tcW w:w="698" w:type="dxa"/>
                  <w:vAlign w:val="top"/>
                </w:tcPr>
                <w:p w14:paraId="54850635">
                  <w:pPr>
                    <w:spacing w:before="149" w:line="195" w:lineRule="auto"/>
                    <w:ind w:left="250"/>
                    <w:rPr>
                      <w:rFonts w:ascii="Times New Roman" w:hAnsi="Times New Roman" w:eastAsia="Times New Roman" w:cs="Times New Roman"/>
                      <w:sz w:val="20"/>
                      <w:szCs w:val="20"/>
                    </w:rPr>
                  </w:pPr>
                  <w:r>
                    <w:rPr>
                      <w:rFonts w:ascii="Times New Roman" w:hAnsi="Times New Roman" w:eastAsia="Times New Roman" w:cs="Times New Roman"/>
                      <w:sz w:val="20"/>
                      <w:szCs w:val="20"/>
                    </w:rPr>
                    <w:t>35</w:t>
                  </w:r>
                </w:p>
              </w:tc>
              <w:tc>
                <w:tcPr>
                  <w:tcW w:w="957" w:type="dxa"/>
                  <w:vAlign w:val="top"/>
                </w:tcPr>
                <w:p w14:paraId="522097D7">
                  <w:pPr>
                    <w:pStyle w:val="9"/>
                    <w:spacing w:before="112" w:line="228" w:lineRule="auto"/>
                    <w:ind w:left="65"/>
                    <w:rPr>
                      <w:rFonts w:ascii="Times New Roman" w:hAnsi="Times New Roman" w:eastAsia="Times New Roman" w:cs="Times New Roman"/>
                      <w:sz w:val="20"/>
                      <w:szCs w:val="20"/>
                    </w:rPr>
                  </w:pPr>
                  <w:r>
                    <w:rPr>
                      <w:spacing w:val="-2"/>
                      <w:sz w:val="20"/>
                      <w:szCs w:val="20"/>
                    </w:rPr>
                    <w:t>东南</w:t>
                  </w:r>
                  <w:r>
                    <w:rPr>
                      <w:spacing w:val="-28"/>
                      <w:sz w:val="20"/>
                      <w:szCs w:val="20"/>
                    </w:rPr>
                    <w:t xml:space="preserve"> </w:t>
                  </w:r>
                  <w:r>
                    <w:rPr>
                      <w:rFonts w:ascii="Times New Roman" w:hAnsi="Times New Roman" w:eastAsia="Times New Roman" w:cs="Times New Roman"/>
                      <w:spacing w:val="-2"/>
                      <w:sz w:val="20"/>
                      <w:szCs w:val="20"/>
                    </w:rPr>
                    <w:t>153°</w:t>
                  </w:r>
                </w:p>
              </w:tc>
              <w:tc>
                <w:tcPr>
                  <w:tcW w:w="1011" w:type="dxa"/>
                  <w:vAlign w:val="top"/>
                </w:tcPr>
                <w:p w14:paraId="43D9FB6A">
                  <w:pPr>
                    <w:pStyle w:val="9"/>
                    <w:spacing w:before="113" w:line="228" w:lineRule="auto"/>
                    <w:ind w:left="419"/>
                    <w:rPr>
                      <w:sz w:val="20"/>
                      <w:szCs w:val="20"/>
                    </w:rPr>
                  </w:pPr>
                  <w:r>
                    <w:rPr>
                      <w:sz w:val="20"/>
                      <w:szCs w:val="20"/>
                    </w:rPr>
                    <w:t>晴</w:t>
                  </w:r>
                </w:p>
              </w:tc>
              <w:tc>
                <w:tcPr>
                  <w:tcW w:w="621" w:type="dxa"/>
                  <w:vAlign w:val="top"/>
                </w:tcPr>
                <w:p w14:paraId="0879515C">
                  <w:pPr>
                    <w:spacing w:before="237" w:line="97" w:lineRule="exact"/>
                    <w:ind w:left="262"/>
                    <w:rPr>
                      <w:rFonts w:ascii="Times New Roman" w:hAnsi="Times New Roman" w:eastAsia="Times New Roman" w:cs="Times New Roman"/>
                      <w:sz w:val="20"/>
                      <w:szCs w:val="20"/>
                    </w:rPr>
                  </w:pPr>
                  <w:r>
                    <w:rPr>
                      <w:rFonts w:ascii="Times New Roman" w:hAnsi="Times New Roman" w:eastAsia="Times New Roman" w:cs="Times New Roman"/>
                      <w:spacing w:val="11"/>
                      <w:position w:val="-2"/>
                      <w:sz w:val="20"/>
                      <w:szCs w:val="20"/>
                    </w:rPr>
                    <w:t>-</w:t>
                  </w:r>
                </w:p>
              </w:tc>
              <w:tc>
                <w:tcPr>
                  <w:tcW w:w="812" w:type="dxa"/>
                  <w:vAlign w:val="top"/>
                </w:tcPr>
                <w:p w14:paraId="08A08C5F">
                  <w:pPr>
                    <w:spacing w:before="237" w:line="97" w:lineRule="exact"/>
                    <w:ind w:left="359"/>
                    <w:rPr>
                      <w:rFonts w:ascii="Times New Roman" w:hAnsi="Times New Roman" w:eastAsia="Times New Roman" w:cs="Times New Roman"/>
                      <w:sz w:val="20"/>
                      <w:szCs w:val="20"/>
                    </w:rPr>
                  </w:pPr>
                  <w:r>
                    <w:rPr>
                      <w:rFonts w:ascii="Times New Roman" w:hAnsi="Times New Roman" w:eastAsia="Times New Roman" w:cs="Times New Roman"/>
                      <w:spacing w:val="11"/>
                      <w:position w:val="-2"/>
                      <w:sz w:val="20"/>
                      <w:szCs w:val="20"/>
                    </w:rPr>
                    <w:t>-</w:t>
                  </w:r>
                </w:p>
              </w:tc>
            </w:tr>
          </w:tbl>
          <w:p w14:paraId="66536DCA">
            <w:pPr>
              <w:pStyle w:val="9"/>
              <w:spacing w:before="172" w:line="217" w:lineRule="auto"/>
              <w:ind w:left="585"/>
              <w:outlineLvl w:val="2"/>
            </w:pPr>
            <w:r>
              <w:rPr>
                <w:spacing w:val="-2"/>
              </w:rPr>
              <w:t>④评价标准</w:t>
            </w:r>
          </w:p>
          <w:p w14:paraId="3567A2D0">
            <w:pPr>
              <w:pStyle w:val="9"/>
              <w:spacing w:before="188" w:line="210" w:lineRule="auto"/>
              <w:ind w:left="586"/>
            </w:pPr>
            <w:r>
              <w:t>评价标准执行《声环境质量标准》</w:t>
            </w:r>
            <w:r>
              <w:rPr>
                <w:rFonts w:ascii="Times New Roman" w:hAnsi="Times New Roman" w:eastAsia="Times New Roman" w:cs="Times New Roman"/>
              </w:rPr>
              <w:t>(GB309</w:t>
            </w:r>
            <w:r>
              <w:rPr>
                <w:rFonts w:ascii="Times New Roman" w:hAnsi="Times New Roman" w:eastAsia="Times New Roman" w:cs="Times New Roman"/>
                <w:spacing w:val="-1"/>
              </w:rPr>
              <w:t>6-2008)</w:t>
            </w:r>
            <w:r>
              <w:rPr>
                <w:spacing w:val="-1"/>
              </w:rPr>
              <w:t>中的</w:t>
            </w:r>
            <w:r>
              <w:rPr>
                <w:spacing w:val="-54"/>
              </w:rPr>
              <w:t xml:space="preserve"> </w:t>
            </w:r>
            <w:r>
              <w:rPr>
                <w:rFonts w:ascii="Times New Roman" w:hAnsi="Times New Roman" w:eastAsia="Times New Roman" w:cs="Times New Roman"/>
                <w:spacing w:val="-1"/>
              </w:rPr>
              <w:t xml:space="preserve">2 </w:t>
            </w:r>
            <w:r>
              <w:rPr>
                <w:spacing w:val="-1"/>
              </w:rPr>
              <w:t>类标准。</w:t>
            </w:r>
          </w:p>
          <w:p w14:paraId="4873AFE6">
            <w:pPr>
              <w:pStyle w:val="9"/>
              <w:spacing w:before="195" w:line="217" w:lineRule="auto"/>
              <w:ind w:left="585"/>
              <w:outlineLvl w:val="2"/>
            </w:pPr>
            <w:r>
              <w:rPr>
                <w:spacing w:val="-2"/>
              </w:rPr>
              <w:t>⑤监测工况</w:t>
            </w:r>
          </w:p>
          <w:p w14:paraId="618A1F36">
            <w:pPr>
              <w:pStyle w:val="9"/>
              <w:spacing w:before="188" w:line="217" w:lineRule="auto"/>
              <w:ind w:left="2886"/>
            </w:pPr>
            <w:r>
              <w:rPr>
                <w:b/>
                <w:bCs/>
                <w:spacing w:val="-2"/>
              </w:rPr>
              <w:t>表</w:t>
            </w:r>
            <w:r>
              <w:rPr>
                <w:spacing w:val="-49"/>
              </w:rPr>
              <w:t xml:space="preserve"> </w:t>
            </w:r>
            <w:r>
              <w:rPr>
                <w:rFonts w:ascii="Times New Roman" w:hAnsi="Times New Roman" w:eastAsia="Times New Roman" w:cs="Times New Roman"/>
                <w:b/>
                <w:bCs/>
                <w:spacing w:val="-2"/>
              </w:rPr>
              <w:t xml:space="preserve">3-12      </w:t>
            </w:r>
            <w:r>
              <w:rPr>
                <w:b/>
                <w:bCs/>
                <w:spacing w:val="-2"/>
              </w:rPr>
              <w:t>监测工况条件</w:t>
            </w:r>
          </w:p>
        </w:tc>
      </w:tr>
      <w:tr w14:paraId="31D6DA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751" w:type="dxa"/>
            <w:vMerge w:val="continue"/>
            <w:tcBorders>
              <w:top w:val="nil"/>
              <w:left w:val="single" w:color="000000" w:sz="6" w:space="0"/>
              <w:bottom w:val="nil"/>
            </w:tcBorders>
            <w:vAlign w:val="top"/>
          </w:tcPr>
          <w:p w14:paraId="0786FE5B">
            <w:pPr>
              <w:rPr>
                <w:rFonts w:ascii="Arial"/>
                <w:sz w:val="21"/>
              </w:rPr>
            </w:pPr>
          </w:p>
        </w:tc>
        <w:tc>
          <w:tcPr>
            <w:tcW w:w="8313" w:type="dxa"/>
            <w:gridSpan w:val="5"/>
            <w:tcBorders>
              <w:right w:val="single" w:color="000000" w:sz="6" w:space="0"/>
            </w:tcBorders>
            <w:vAlign w:val="top"/>
          </w:tcPr>
          <w:p w14:paraId="361BC2F3">
            <w:pPr>
              <w:pStyle w:val="9"/>
              <w:spacing w:before="142" w:line="233" w:lineRule="auto"/>
              <w:ind w:left="3938"/>
              <w:rPr>
                <w:sz w:val="20"/>
                <w:szCs w:val="20"/>
              </w:rPr>
            </w:pPr>
            <w:r>
              <w:rPr>
                <w:rFonts w:ascii="Times New Roman" w:hAnsi="Times New Roman" w:eastAsia="Times New Roman" w:cs="Times New Roman"/>
                <w:spacing w:val="-5"/>
                <w:sz w:val="20"/>
                <w:szCs w:val="20"/>
              </w:rPr>
              <w:t>18</w:t>
            </w:r>
            <w:r>
              <w:rPr>
                <w:rFonts w:ascii="Times New Roman" w:hAnsi="Times New Roman" w:eastAsia="Times New Roman" w:cs="Times New Roman"/>
                <w:spacing w:val="45"/>
                <w:w w:val="101"/>
                <w:sz w:val="20"/>
                <w:szCs w:val="20"/>
              </w:rPr>
              <w:t xml:space="preserve"> </w:t>
            </w:r>
            <w:r>
              <w:rPr>
                <w:spacing w:val="-5"/>
                <w:sz w:val="20"/>
                <w:szCs w:val="20"/>
              </w:rPr>
              <w:t>日</w:t>
            </w:r>
          </w:p>
        </w:tc>
      </w:tr>
      <w:tr w14:paraId="215438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751" w:type="dxa"/>
            <w:vMerge w:val="continue"/>
            <w:tcBorders>
              <w:top w:val="nil"/>
              <w:left w:val="single" w:color="000000" w:sz="6" w:space="0"/>
              <w:bottom w:val="nil"/>
            </w:tcBorders>
            <w:vAlign w:val="top"/>
          </w:tcPr>
          <w:p w14:paraId="08F684FF">
            <w:pPr>
              <w:rPr>
                <w:rFonts w:ascii="Arial"/>
                <w:sz w:val="21"/>
              </w:rPr>
            </w:pPr>
          </w:p>
        </w:tc>
        <w:tc>
          <w:tcPr>
            <w:tcW w:w="2064" w:type="dxa"/>
            <w:vAlign w:val="top"/>
          </w:tcPr>
          <w:p w14:paraId="64311FCE">
            <w:pPr>
              <w:pStyle w:val="9"/>
              <w:spacing w:before="211" w:line="228" w:lineRule="auto"/>
              <w:ind w:left="882"/>
              <w:rPr>
                <w:sz w:val="20"/>
                <w:szCs w:val="20"/>
              </w:rPr>
            </w:pPr>
            <w:r>
              <w:rPr>
                <w:spacing w:val="3"/>
                <w:sz w:val="20"/>
                <w:szCs w:val="20"/>
              </w:rPr>
              <w:t>项目</w:t>
            </w:r>
          </w:p>
        </w:tc>
        <w:tc>
          <w:tcPr>
            <w:tcW w:w="1636" w:type="dxa"/>
            <w:vAlign w:val="top"/>
          </w:tcPr>
          <w:p w14:paraId="64B126FD">
            <w:pPr>
              <w:pStyle w:val="9"/>
              <w:spacing w:before="143" w:line="231" w:lineRule="auto"/>
              <w:ind w:left="635"/>
              <w:rPr>
                <w:sz w:val="20"/>
                <w:szCs w:val="20"/>
              </w:rPr>
            </w:pPr>
            <w:r>
              <w:rPr>
                <w:spacing w:val="-8"/>
                <w:sz w:val="20"/>
                <w:szCs w:val="20"/>
              </w:rPr>
              <w:t>电流</w:t>
            </w:r>
          </w:p>
        </w:tc>
        <w:tc>
          <w:tcPr>
            <w:tcW w:w="1636" w:type="dxa"/>
            <w:vAlign w:val="top"/>
          </w:tcPr>
          <w:p w14:paraId="49761964">
            <w:pPr>
              <w:pStyle w:val="9"/>
              <w:spacing w:before="143" w:line="231" w:lineRule="auto"/>
              <w:ind w:left="638"/>
              <w:rPr>
                <w:sz w:val="20"/>
                <w:szCs w:val="20"/>
              </w:rPr>
            </w:pPr>
            <w:r>
              <w:rPr>
                <w:spacing w:val="-8"/>
                <w:sz w:val="20"/>
                <w:szCs w:val="20"/>
              </w:rPr>
              <w:t>电压</w:t>
            </w:r>
          </w:p>
        </w:tc>
        <w:tc>
          <w:tcPr>
            <w:tcW w:w="1427" w:type="dxa"/>
            <w:vAlign w:val="top"/>
          </w:tcPr>
          <w:p w14:paraId="594CC015">
            <w:pPr>
              <w:pStyle w:val="9"/>
              <w:spacing w:before="143" w:line="228" w:lineRule="auto"/>
              <w:ind w:left="514"/>
              <w:rPr>
                <w:sz w:val="20"/>
                <w:szCs w:val="20"/>
              </w:rPr>
            </w:pPr>
            <w:r>
              <w:rPr>
                <w:spacing w:val="4"/>
                <w:sz w:val="20"/>
                <w:szCs w:val="20"/>
              </w:rPr>
              <w:t>有功</w:t>
            </w:r>
          </w:p>
        </w:tc>
        <w:tc>
          <w:tcPr>
            <w:tcW w:w="1550" w:type="dxa"/>
            <w:tcBorders>
              <w:right w:val="single" w:color="000000" w:sz="6" w:space="0"/>
            </w:tcBorders>
            <w:vAlign w:val="top"/>
          </w:tcPr>
          <w:p w14:paraId="7A116752">
            <w:pPr>
              <w:pStyle w:val="9"/>
              <w:spacing w:before="143" w:line="228" w:lineRule="auto"/>
              <w:ind w:left="516"/>
              <w:rPr>
                <w:sz w:val="20"/>
                <w:szCs w:val="20"/>
              </w:rPr>
            </w:pPr>
            <w:r>
              <w:rPr>
                <w:spacing w:val="3"/>
                <w:sz w:val="20"/>
                <w:szCs w:val="20"/>
              </w:rPr>
              <w:t>无功</w:t>
            </w:r>
          </w:p>
        </w:tc>
      </w:tr>
      <w:tr w14:paraId="350B98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751" w:type="dxa"/>
            <w:vMerge w:val="continue"/>
            <w:tcBorders>
              <w:top w:val="nil"/>
              <w:left w:val="single" w:color="000000" w:sz="6" w:space="0"/>
              <w:bottom w:val="nil"/>
            </w:tcBorders>
            <w:vAlign w:val="top"/>
          </w:tcPr>
          <w:p w14:paraId="255D446D">
            <w:pPr>
              <w:rPr>
                <w:rFonts w:ascii="Arial"/>
                <w:sz w:val="21"/>
              </w:rPr>
            </w:pPr>
          </w:p>
        </w:tc>
        <w:tc>
          <w:tcPr>
            <w:tcW w:w="2064" w:type="dxa"/>
            <w:vAlign w:val="top"/>
          </w:tcPr>
          <w:p w14:paraId="202EFFCF">
            <w:pPr>
              <w:pStyle w:val="9"/>
              <w:spacing w:before="144" w:line="229" w:lineRule="auto"/>
              <w:ind w:left="710"/>
              <w:rPr>
                <w:sz w:val="20"/>
                <w:szCs w:val="20"/>
              </w:rPr>
            </w:pPr>
            <w:r>
              <w:rPr>
                <w:rFonts w:ascii="Times New Roman" w:hAnsi="Times New Roman" w:eastAsia="Times New Roman" w:cs="Times New Roman"/>
                <w:spacing w:val="-2"/>
                <w:sz w:val="20"/>
                <w:szCs w:val="20"/>
              </w:rPr>
              <w:t>1</w:t>
            </w:r>
            <w:r>
              <w:rPr>
                <w:rFonts w:ascii="Times New Roman" w:hAnsi="Times New Roman" w:eastAsia="Times New Roman" w:cs="Times New Roman"/>
                <w:spacing w:val="19"/>
                <w:w w:val="101"/>
                <w:sz w:val="20"/>
                <w:szCs w:val="20"/>
              </w:rPr>
              <w:t xml:space="preserve"> </w:t>
            </w:r>
            <w:r>
              <w:rPr>
                <w:spacing w:val="-2"/>
                <w:sz w:val="20"/>
                <w:szCs w:val="20"/>
              </w:rPr>
              <w:t>号主变</w:t>
            </w:r>
          </w:p>
        </w:tc>
        <w:tc>
          <w:tcPr>
            <w:tcW w:w="1636" w:type="dxa"/>
            <w:vAlign w:val="top"/>
          </w:tcPr>
          <w:p w14:paraId="7350881B">
            <w:pPr>
              <w:spacing w:before="182" w:line="195" w:lineRule="auto"/>
              <w:ind w:left="58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61.96</w:t>
            </w:r>
          </w:p>
        </w:tc>
        <w:tc>
          <w:tcPr>
            <w:tcW w:w="1636" w:type="dxa"/>
            <w:vAlign w:val="top"/>
          </w:tcPr>
          <w:p w14:paraId="1B86C66A">
            <w:pPr>
              <w:spacing w:before="182" w:line="195" w:lineRule="auto"/>
              <w:ind w:left="58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229.2</w:t>
            </w:r>
          </w:p>
        </w:tc>
        <w:tc>
          <w:tcPr>
            <w:tcW w:w="1427" w:type="dxa"/>
            <w:vAlign w:val="top"/>
          </w:tcPr>
          <w:p w14:paraId="25DF4652">
            <w:pPr>
              <w:spacing w:before="182" w:line="195" w:lineRule="auto"/>
              <w:ind w:left="48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22.33</w:t>
            </w:r>
          </w:p>
        </w:tc>
        <w:tc>
          <w:tcPr>
            <w:tcW w:w="1550" w:type="dxa"/>
            <w:tcBorders>
              <w:right w:val="single" w:color="000000" w:sz="6" w:space="0"/>
            </w:tcBorders>
            <w:vAlign w:val="top"/>
          </w:tcPr>
          <w:p w14:paraId="5349B29A">
            <w:pPr>
              <w:spacing w:before="182" w:line="195" w:lineRule="auto"/>
              <w:ind w:left="50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13.51</w:t>
            </w:r>
          </w:p>
        </w:tc>
      </w:tr>
      <w:tr w14:paraId="0074FE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751" w:type="dxa"/>
            <w:vMerge w:val="continue"/>
            <w:tcBorders>
              <w:top w:val="nil"/>
              <w:left w:val="single" w:color="000000" w:sz="6" w:space="0"/>
              <w:bottom w:val="nil"/>
            </w:tcBorders>
            <w:vAlign w:val="top"/>
          </w:tcPr>
          <w:p w14:paraId="1D1532A2">
            <w:pPr>
              <w:rPr>
                <w:rFonts w:ascii="Arial"/>
                <w:sz w:val="21"/>
              </w:rPr>
            </w:pPr>
          </w:p>
        </w:tc>
        <w:tc>
          <w:tcPr>
            <w:tcW w:w="2064" w:type="dxa"/>
            <w:vAlign w:val="top"/>
          </w:tcPr>
          <w:p w14:paraId="5D3C9426">
            <w:pPr>
              <w:pStyle w:val="9"/>
              <w:spacing w:before="144" w:line="229" w:lineRule="auto"/>
              <w:ind w:left="690"/>
              <w:rPr>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19"/>
                <w:w w:val="101"/>
                <w:sz w:val="20"/>
                <w:szCs w:val="20"/>
              </w:rPr>
              <w:t xml:space="preserve"> </w:t>
            </w:r>
            <w:r>
              <w:rPr>
                <w:spacing w:val="3"/>
                <w:sz w:val="20"/>
                <w:szCs w:val="20"/>
              </w:rPr>
              <w:t>号主变</w:t>
            </w:r>
          </w:p>
        </w:tc>
        <w:tc>
          <w:tcPr>
            <w:tcW w:w="1636" w:type="dxa"/>
            <w:vAlign w:val="top"/>
          </w:tcPr>
          <w:p w14:paraId="7EC6E58D">
            <w:pPr>
              <w:spacing w:before="182" w:line="195" w:lineRule="auto"/>
              <w:ind w:left="59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83.35</w:t>
            </w:r>
          </w:p>
        </w:tc>
        <w:tc>
          <w:tcPr>
            <w:tcW w:w="1636" w:type="dxa"/>
            <w:vAlign w:val="top"/>
          </w:tcPr>
          <w:p w14:paraId="1A839C42">
            <w:pPr>
              <w:spacing w:before="182" w:line="195" w:lineRule="auto"/>
              <w:ind w:left="53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229.32</w:t>
            </w:r>
          </w:p>
        </w:tc>
        <w:tc>
          <w:tcPr>
            <w:tcW w:w="1427" w:type="dxa"/>
            <w:vAlign w:val="top"/>
          </w:tcPr>
          <w:p w14:paraId="10142C5F">
            <w:pPr>
              <w:spacing w:before="182" w:line="195" w:lineRule="auto"/>
              <w:ind w:left="48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31.98</w:t>
            </w:r>
          </w:p>
        </w:tc>
        <w:tc>
          <w:tcPr>
            <w:tcW w:w="1550" w:type="dxa"/>
            <w:tcBorders>
              <w:right w:val="single" w:color="000000" w:sz="6" w:space="0"/>
            </w:tcBorders>
            <w:vAlign w:val="top"/>
          </w:tcPr>
          <w:p w14:paraId="32D2108F">
            <w:pPr>
              <w:spacing w:before="182" w:line="195" w:lineRule="auto"/>
              <w:ind w:left="50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11.27</w:t>
            </w:r>
          </w:p>
        </w:tc>
      </w:tr>
      <w:tr w14:paraId="2FC7D8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 w:hRule="atLeast"/>
        </w:trPr>
        <w:tc>
          <w:tcPr>
            <w:tcW w:w="751" w:type="dxa"/>
            <w:vMerge w:val="continue"/>
            <w:tcBorders>
              <w:top w:val="nil"/>
              <w:left w:val="single" w:color="000000" w:sz="6" w:space="0"/>
              <w:bottom w:val="single" w:color="000000" w:sz="6" w:space="0"/>
            </w:tcBorders>
            <w:vAlign w:val="top"/>
          </w:tcPr>
          <w:p w14:paraId="43781994">
            <w:pPr>
              <w:rPr>
                <w:rFonts w:ascii="Arial"/>
                <w:sz w:val="21"/>
              </w:rPr>
            </w:pPr>
          </w:p>
        </w:tc>
        <w:tc>
          <w:tcPr>
            <w:tcW w:w="2064" w:type="dxa"/>
            <w:tcBorders>
              <w:bottom w:val="single" w:color="000000" w:sz="6" w:space="0"/>
            </w:tcBorders>
            <w:vAlign w:val="top"/>
          </w:tcPr>
          <w:p w14:paraId="61B11F94">
            <w:pPr>
              <w:pStyle w:val="9"/>
              <w:spacing w:before="144" w:line="229" w:lineRule="auto"/>
              <w:ind w:left="694"/>
              <w:rPr>
                <w:sz w:val="20"/>
                <w:szCs w:val="20"/>
              </w:rPr>
            </w:pPr>
            <w:r>
              <w:rPr>
                <w:rFonts w:ascii="Times New Roman" w:hAnsi="Times New Roman" w:eastAsia="Times New Roman" w:cs="Times New Roman"/>
                <w:spacing w:val="2"/>
                <w:sz w:val="20"/>
                <w:szCs w:val="20"/>
              </w:rPr>
              <w:t>3</w:t>
            </w:r>
            <w:r>
              <w:rPr>
                <w:rFonts w:ascii="Times New Roman" w:hAnsi="Times New Roman" w:eastAsia="Times New Roman" w:cs="Times New Roman"/>
                <w:spacing w:val="19"/>
                <w:w w:val="101"/>
                <w:sz w:val="20"/>
                <w:szCs w:val="20"/>
              </w:rPr>
              <w:t xml:space="preserve"> </w:t>
            </w:r>
            <w:r>
              <w:rPr>
                <w:spacing w:val="2"/>
                <w:sz w:val="20"/>
                <w:szCs w:val="20"/>
              </w:rPr>
              <w:t>号主变</w:t>
            </w:r>
          </w:p>
        </w:tc>
        <w:tc>
          <w:tcPr>
            <w:tcW w:w="1636" w:type="dxa"/>
            <w:vAlign w:val="top"/>
          </w:tcPr>
          <w:p w14:paraId="342E3D1A">
            <w:pPr>
              <w:spacing w:before="182" w:line="195" w:lineRule="auto"/>
              <w:ind w:left="58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40.63</w:t>
            </w:r>
          </w:p>
        </w:tc>
        <w:tc>
          <w:tcPr>
            <w:tcW w:w="1636" w:type="dxa"/>
            <w:vAlign w:val="top"/>
          </w:tcPr>
          <w:p w14:paraId="29A964BD">
            <w:pPr>
              <w:spacing w:before="182" w:line="195" w:lineRule="auto"/>
              <w:ind w:left="53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229.31</w:t>
            </w:r>
          </w:p>
        </w:tc>
        <w:tc>
          <w:tcPr>
            <w:tcW w:w="1427" w:type="dxa"/>
            <w:vAlign w:val="top"/>
          </w:tcPr>
          <w:p w14:paraId="576D608D">
            <w:pPr>
              <w:spacing w:before="182" w:line="195" w:lineRule="auto"/>
              <w:ind w:left="50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15.61</w:t>
            </w:r>
          </w:p>
        </w:tc>
        <w:tc>
          <w:tcPr>
            <w:tcW w:w="1550" w:type="dxa"/>
            <w:tcBorders>
              <w:bottom w:val="single" w:color="000000" w:sz="6" w:space="0"/>
              <w:right w:val="single" w:color="000000" w:sz="6" w:space="0"/>
            </w:tcBorders>
            <w:vAlign w:val="top"/>
          </w:tcPr>
          <w:p w14:paraId="679AC2A9">
            <w:pPr>
              <w:spacing w:before="182" w:line="195" w:lineRule="auto"/>
              <w:ind w:left="55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1.43</w:t>
            </w:r>
          </w:p>
        </w:tc>
      </w:tr>
    </w:tbl>
    <w:p w14:paraId="646D423A">
      <w:pPr>
        <w:pStyle w:val="3"/>
      </w:pPr>
    </w:p>
    <w:p w14:paraId="4F0CEF3D">
      <w:pPr>
        <w:sectPr>
          <w:footerReference r:id="rId49" w:type="default"/>
          <w:pgSz w:w="11906" w:h="16838"/>
          <w:pgMar w:top="1416" w:right="1413" w:bottom="1295" w:left="1413" w:header="0" w:footer="1133" w:gutter="0"/>
          <w:cols w:space="720" w:num="1"/>
        </w:sectPr>
      </w:pPr>
    </w:p>
    <w:tbl>
      <w:tblPr>
        <w:tblStyle w:val="8"/>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1"/>
        <w:gridCol w:w="113"/>
        <w:gridCol w:w="24"/>
        <w:gridCol w:w="540"/>
        <w:gridCol w:w="984"/>
        <w:gridCol w:w="402"/>
        <w:gridCol w:w="335"/>
        <w:gridCol w:w="280"/>
        <w:gridCol w:w="1021"/>
        <w:gridCol w:w="394"/>
        <w:gridCol w:w="39"/>
        <w:gridCol w:w="1064"/>
        <w:gridCol w:w="139"/>
        <w:gridCol w:w="152"/>
        <w:gridCol w:w="1275"/>
        <w:gridCol w:w="78"/>
        <w:gridCol w:w="231"/>
        <w:gridCol w:w="1242"/>
      </w:tblGrid>
      <w:tr w14:paraId="705EDD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751" w:type="dxa"/>
            <w:vMerge w:val="restart"/>
            <w:tcBorders>
              <w:top w:val="single" w:color="000000" w:sz="6" w:space="0"/>
              <w:left w:val="single" w:color="000000" w:sz="6" w:space="0"/>
              <w:bottom w:val="nil"/>
            </w:tcBorders>
            <w:vAlign w:val="top"/>
          </w:tcPr>
          <w:p w14:paraId="5C2ED395">
            <w:pPr>
              <w:rPr>
                <w:rFonts w:ascii="Arial"/>
                <w:sz w:val="21"/>
              </w:rPr>
            </w:pPr>
            <w:r>
              <w:pict>
                <v:shape id="_x0000_s1040" o:spid="_x0000_s1040" style="position:absolute;left:0pt;margin-left:518.25pt;margin-top:494.45pt;height:159.9pt;width:0.5pt;mso-position-horizontal-relative:page;mso-position-vertical-relative:page;z-index:251678720;mso-width-relative:page;mso-height-relative:page;" filled="f" stroked="t" coordsize="10,3198" o:allowincell="f" path="m4,0l4,3197e">
                  <v:fill on="f" focussize="0,0"/>
                  <v:stroke weight="0.48pt" color="#000000" miterlimit="2" joinstyle="bevel"/>
                  <v:imagedata o:title=""/>
                  <o:lock v:ext="edit"/>
                </v:shape>
              </w:pict>
            </w:r>
            <w:r>
              <w:pict>
                <v:shape id="_x0000_s1041" o:spid="_x0000_s1041" style="position:absolute;left:0pt;margin-left:517.1pt;margin-top:287.55pt;height:135.95pt;width:0.25pt;mso-position-horizontal-relative:page;mso-position-vertical-relative:page;z-index:251677696;mso-width-relative:page;mso-height-relative:page;" filled="f" stroked="t" coordsize="5,2719" o:allowincell="f" path="m2,0l2,2718e">
                  <v:fill on="f" focussize="0,0"/>
                  <v:stroke weight="0.24pt" color="#000000" miterlimit="2" joinstyle="bevel"/>
                  <v:imagedata o:title=""/>
                  <o:lock v:ext="edit"/>
                </v:shape>
              </w:pict>
            </w:r>
            <w:r>
              <w:pict>
                <v:shape id="_x0000_s1042" o:spid="_x0000_s1042" style="position:absolute;left:0pt;margin-left:518.25pt;margin-top:72.3pt;height:168pt;width:0.5pt;mso-position-horizontal-relative:page;mso-position-vertical-relative:page;z-index:251676672;mso-width-relative:page;mso-height-relative:page;" filled="f" stroked="t" coordsize="10,3360" o:allowincell="f" path="m4,0l4,3360e">
                  <v:fill on="f" focussize="0,0"/>
                  <v:stroke weight="0.48pt" color="#000000" miterlimit="2" joinstyle="bevel"/>
                  <v:imagedata o:title=""/>
                  <o:lock v:ext="edit"/>
                </v:shape>
              </w:pict>
            </w:r>
          </w:p>
        </w:tc>
        <w:tc>
          <w:tcPr>
            <w:tcW w:w="113" w:type="dxa"/>
            <w:tcBorders>
              <w:top w:val="single" w:color="000000" w:sz="6" w:space="0"/>
              <w:bottom w:val="nil"/>
            </w:tcBorders>
            <w:vAlign w:val="top"/>
          </w:tcPr>
          <w:p w14:paraId="1F788433">
            <w:pPr>
              <w:rPr>
                <w:rFonts w:ascii="Arial"/>
                <w:sz w:val="21"/>
              </w:rPr>
            </w:pPr>
          </w:p>
        </w:tc>
        <w:tc>
          <w:tcPr>
            <w:tcW w:w="1950" w:type="dxa"/>
            <w:gridSpan w:val="4"/>
            <w:tcBorders>
              <w:top w:val="single" w:color="000000" w:sz="6" w:space="0"/>
            </w:tcBorders>
            <w:vAlign w:val="top"/>
          </w:tcPr>
          <w:p w14:paraId="7C7DD217">
            <w:pPr>
              <w:pStyle w:val="9"/>
              <w:spacing w:before="146" w:line="229" w:lineRule="auto"/>
              <w:ind w:left="583"/>
              <w:rPr>
                <w:sz w:val="20"/>
                <w:szCs w:val="20"/>
              </w:rPr>
            </w:pPr>
            <w:r>
              <w:rPr>
                <w:rFonts w:ascii="Times New Roman" w:hAnsi="Times New Roman" w:eastAsia="Times New Roman" w:cs="Times New Roman"/>
                <w:spacing w:val="2"/>
                <w:sz w:val="20"/>
                <w:szCs w:val="20"/>
              </w:rPr>
              <w:t>5</w:t>
            </w:r>
            <w:r>
              <w:rPr>
                <w:rFonts w:ascii="Times New Roman" w:hAnsi="Times New Roman" w:eastAsia="Times New Roman" w:cs="Times New Roman"/>
                <w:spacing w:val="18"/>
                <w:sz w:val="20"/>
                <w:szCs w:val="20"/>
              </w:rPr>
              <w:t xml:space="preserve"> </w:t>
            </w:r>
            <w:r>
              <w:rPr>
                <w:spacing w:val="2"/>
                <w:sz w:val="20"/>
                <w:szCs w:val="20"/>
              </w:rPr>
              <w:t>号主变</w:t>
            </w:r>
          </w:p>
        </w:tc>
        <w:tc>
          <w:tcPr>
            <w:tcW w:w="1636" w:type="dxa"/>
            <w:gridSpan w:val="3"/>
            <w:tcBorders>
              <w:top w:val="single" w:color="000000" w:sz="6" w:space="0"/>
            </w:tcBorders>
            <w:vAlign w:val="top"/>
          </w:tcPr>
          <w:p w14:paraId="1033AD57">
            <w:pPr>
              <w:spacing w:before="182" w:line="195" w:lineRule="auto"/>
              <w:ind w:left="551"/>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136.</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4"/>
                <w:sz w:val="20"/>
                <w:szCs w:val="20"/>
              </w:rPr>
              <w:t>11</w:t>
            </w:r>
          </w:p>
        </w:tc>
        <w:tc>
          <w:tcPr>
            <w:tcW w:w="1636" w:type="dxa"/>
            <w:gridSpan w:val="4"/>
            <w:tcBorders>
              <w:top w:val="single" w:color="000000" w:sz="6" w:space="0"/>
            </w:tcBorders>
            <w:vAlign w:val="top"/>
          </w:tcPr>
          <w:p w14:paraId="7C143B70">
            <w:pPr>
              <w:spacing w:before="182" w:line="195" w:lineRule="auto"/>
              <w:ind w:left="53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229.27</w:t>
            </w:r>
          </w:p>
        </w:tc>
        <w:tc>
          <w:tcPr>
            <w:tcW w:w="1427" w:type="dxa"/>
            <w:gridSpan w:val="2"/>
            <w:tcBorders>
              <w:top w:val="single" w:color="000000" w:sz="6" w:space="0"/>
            </w:tcBorders>
            <w:vAlign w:val="top"/>
          </w:tcPr>
          <w:p w14:paraId="07F5D6F6">
            <w:pPr>
              <w:spacing w:before="182" w:line="195" w:lineRule="auto"/>
              <w:ind w:left="49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53.66</w:t>
            </w:r>
          </w:p>
        </w:tc>
        <w:tc>
          <w:tcPr>
            <w:tcW w:w="1551" w:type="dxa"/>
            <w:gridSpan w:val="3"/>
            <w:tcBorders>
              <w:top w:val="single" w:color="000000" w:sz="6" w:space="0"/>
              <w:right w:val="single" w:color="000000" w:sz="6" w:space="0"/>
            </w:tcBorders>
            <w:vAlign w:val="top"/>
          </w:tcPr>
          <w:p w14:paraId="5D686851">
            <w:pPr>
              <w:spacing w:before="182" w:line="195" w:lineRule="auto"/>
              <w:ind w:left="50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10.03</w:t>
            </w:r>
          </w:p>
        </w:tc>
      </w:tr>
      <w:tr w14:paraId="4BF25E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751" w:type="dxa"/>
            <w:vMerge w:val="continue"/>
            <w:tcBorders>
              <w:top w:val="nil"/>
              <w:left w:val="single" w:color="000000" w:sz="6" w:space="0"/>
              <w:bottom w:val="nil"/>
            </w:tcBorders>
            <w:vAlign w:val="top"/>
          </w:tcPr>
          <w:p w14:paraId="5C1C82AE">
            <w:pPr>
              <w:rPr>
                <w:rFonts w:ascii="Arial"/>
                <w:sz w:val="21"/>
              </w:rPr>
            </w:pPr>
          </w:p>
        </w:tc>
        <w:tc>
          <w:tcPr>
            <w:tcW w:w="113" w:type="dxa"/>
            <w:tcBorders>
              <w:top w:val="nil"/>
              <w:bottom w:val="nil"/>
            </w:tcBorders>
            <w:vAlign w:val="top"/>
          </w:tcPr>
          <w:p w14:paraId="304B7D10">
            <w:pPr>
              <w:rPr>
                <w:rFonts w:ascii="Arial"/>
                <w:sz w:val="21"/>
              </w:rPr>
            </w:pPr>
          </w:p>
        </w:tc>
        <w:tc>
          <w:tcPr>
            <w:tcW w:w="8200" w:type="dxa"/>
            <w:gridSpan w:val="16"/>
            <w:tcBorders>
              <w:right w:val="single" w:color="000000" w:sz="6" w:space="0"/>
            </w:tcBorders>
            <w:vAlign w:val="top"/>
          </w:tcPr>
          <w:p w14:paraId="65AD6E5C">
            <w:pPr>
              <w:pStyle w:val="9"/>
              <w:spacing w:before="196" w:line="233" w:lineRule="auto"/>
              <w:ind w:left="3825"/>
              <w:rPr>
                <w:sz w:val="20"/>
                <w:szCs w:val="20"/>
              </w:rPr>
            </w:pPr>
            <w:r>
              <w:rPr>
                <w:rFonts w:ascii="Times New Roman" w:hAnsi="Times New Roman" w:eastAsia="Times New Roman" w:cs="Times New Roman"/>
                <w:spacing w:val="-5"/>
                <w:sz w:val="20"/>
                <w:szCs w:val="20"/>
              </w:rPr>
              <w:t>19</w:t>
            </w:r>
            <w:r>
              <w:rPr>
                <w:rFonts w:ascii="Times New Roman" w:hAnsi="Times New Roman" w:eastAsia="Times New Roman" w:cs="Times New Roman"/>
                <w:spacing w:val="45"/>
                <w:w w:val="101"/>
                <w:sz w:val="20"/>
                <w:szCs w:val="20"/>
              </w:rPr>
              <w:t xml:space="preserve"> </w:t>
            </w:r>
            <w:r>
              <w:rPr>
                <w:spacing w:val="-5"/>
                <w:sz w:val="20"/>
                <w:szCs w:val="20"/>
              </w:rPr>
              <w:t>日</w:t>
            </w:r>
          </w:p>
        </w:tc>
      </w:tr>
      <w:tr w14:paraId="677C09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751" w:type="dxa"/>
            <w:vMerge w:val="continue"/>
            <w:tcBorders>
              <w:top w:val="nil"/>
              <w:left w:val="single" w:color="000000" w:sz="6" w:space="0"/>
              <w:bottom w:val="nil"/>
            </w:tcBorders>
            <w:vAlign w:val="top"/>
          </w:tcPr>
          <w:p w14:paraId="26AF7CA6">
            <w:pPr>
              <w:rPr>
                <w:rFonts w:ascii="Arial"/>
                <w:sz w:val="21"/>
              </w:rPr>
            </w:pPr>
          </w:p>
        </w:tc>
        <w:tc>
          <w:tcPr>
            <w:tcW w:w="113" w:type="dxa"/>
            <w:tcBorders>
              <w:top w:val="nil"/>
              <w:bottom w:val="nil"/>
            </w:tcBorders>
            <w:vAlign w:val="top"/>
          </w:tcPr>
          <w:p w14:paraId="1602DE72">
            <w:pPr>
              <w:rPr>
                <w:rFonts w:ascii="Arial"/>
                <w:sz w:val="21"/>
              </w:rPr>
            </w:pPr>
          </w:p>
        </w:tc>
        <w:tc>
          <w:tcPr>
            <w:tcW w:w="1950" w:type="dxa"/>
            <w:gridSpan w:val="4"/>
            <w:vAlign w:val="top"/>
          </w:tcPr>
          <w:p w14:paraId="00F8D74A">
            <w:pPr>
              <w:pStyle w:val="9"/>
              <w:spacing w:before="198" w:line="228" w:lineRule="auto"/>
              <w:ind w:left="769"/>
              <w:rPr>
                <w:sz w:val="20"/>
                <w:szCs w:val="20"/>
              </w:rPr>
            </w:pPr>
            <w:r>
              <w:rPr>
                <w:spacing w:val="3"/>
                <w:sz w:val="20"/>
                <w:szCs w:val="20"/>
              </w:rPr>
              <w:t>项目</w:t>
            </w:r>
          </w:p>
        </w:tc>
        <w:tc>
          <w:tcPr>
            <w:tcW w:w="1636" w:type="dxa"/>
            <w:gridSpan w:val="3"/>
            <w:vAlign w:val="top"/>
          </w:tcPr>
          <w:p w14:paraId="56305E03">
            <w:pPr>
              <w:pStyle w:val="9"/>
              <w:spacing w:before="133" w:line="231" w:lineRule="auto"/>
              <w:ind w:left="636"/>
              <w:rPr>
                <w:sz w:val="20"/>
                <w:szCs w:val="20"/>
              </w:rPr>
            </w:pPr>
            <w:r>
              <w:rPr>
                <w:spacing w:val="-8"/>
                <w:sz w:val="20"/>
                <w:szCs w:val="20"/>
              </w:rPr>
              <w:t>电流</w:t>
            </w:r>
          </w:p>
        </w:tc>
        <w:tc>
          <w:tcPr>
            <w:tcW w:w="1636" w:type="dxa"/>
            <w:gridSpan w:val="4"/>
            <w:vAlign w:val="top"/>
          </w:tcPr>
          <w:p w14:paraId="00EC4DF9">
            <w:pPr>
              <w:pStyle w:val="9"/>
              <w:spacing w:before="133" w:line="231" w:lineRule="auto"/>
              <w:ind w:left="639"/>
              <w:rPr>
                <w:sz w:val="20"/>
                <w:szCs w:val="20"/>
              </w:rPr>
            </w:pPr>
            <w:r>
              <w:rPr>
                <w:spacing w:val="-8"/>
                <w:sz w:val="20"/>
                <w:szCs w:val="20"/>
              </w:rPr>
              <w:t>电压</w:t>
            </w:r>
          </w:p>
        </w:tc>
        <w:tc>
          <w:tcPr>
            <w:tcW w:w="1427" w:type="dxa"/>
            <w:gridSpan w:val="2"/>
            <w:vAlign w:val="top"/>
          </w:tcPr>
          <w:p w14:paraId="2DA05AE6">
            <w:pPr>
              <w:pStyle w:val="9"/>
              <w:spacing w:before="133" w:line="228" w:lineRule="auto"/>
              <w:ind w:left="515"/>
              <w:rPr>
                <w:sz w:val="20"/>
                <w:szCs w:val="20"/>
              </w:rPr>
            </w:pPr>
            <w:r>
              <w:rPr>
                <w:spacing w:val="4"/>
                <w:sz w:val="20"/>
                <w:szCs w:val="20"/>
              </w:rPr>
              <w:t>有功</w:t>
            </w:r>
          </w:p>
        </w:tc>
        <w:tc>
          <w:tcPr>
            <w:tcW w:w="1551" w:type="dxa"/>
            <w:gridSpan w:val="3"/>
            <w:tcBorders>
              <w:right w:val="single" w:color="000000" w:sz="6" w:space="0"/>
            </w:tcBorders>
            <w:vAlign w:val="top"/>
          </w:tcPr>
          <w:p w14:paraId="55019ACC">
            <w:pPr>
              <w:pStyle w:val="9"/>
              <w:spacing w:before="133" w:line="228" w:lineRule="auto"/>
              <w:ind w:left="517"/>
              <w:rPr>
                <w:sz w:val="20"/>
                <w:szCs w:val="20"/>
              </w:rPr>
            </w:pPr>
            <w:r>
              <w:rPr>
                <w:spacing w:val="3"/>
                <w:sz w:val="20"/>
                <w:szCs w:val="20"/>
              </w:rPr>
              <w:t>无功</w:t>
            </w:r>
          </w:p>
        </w:tc>
      </w:tr>
      <w:tr w14:paraId="21EC72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751" w:type="dxa"/>
            <w:vMerge w:val="continue"/>
            <w:tcBorders>
              <w:top w:val="nil"/>
              <w:left w:val="single" w:color="000000" w:sz="6" w:space="0"/>
              <w:bottom w:val="nil"/>
            </w:tcBorders>
            <w:vAlign w:val="top"/>
          </w:tcPr>
          <w:p w14:paraId="043E62E4">
            <w:pPr>
              <w:rPr>
                <w:rFonts w:ascii="Arial"/>
                <w:sz w:val="21"/>
              </w:rPr>
            </w:pPr>
          </w:p>
        </w:tc>
        <w:tc>
          <w:tcPr>
            <w:tcW w:w="113" w:type="dxa"/>
            <w:tcBorders>
              <w:top w:val="nil"/>
              <w:bottom w:val="nil"/>
            </w:tcBorders>
            <w:vAlign w:val="top"/>
          </w:tcPr>
          <w:p w14:paraId="38090FB3">
            <w:pPr>
              <w:rPr>
                <w:rFonts w:ascii="Arial"/>
                <w:sz w:val="21"/>
              </w:rPr>
            </w:pPr>
          </w:p>
        </w:tc>
        <w:tc>
          <w:tcPr>
            <w:tcW w:w="1950" w:type="dxa"/>
            <w:gridSpan w:val="4"/>
            <w:vAlign w:val="top"/>
          </w:tcPr>
          <w:p w14:paraId="34EE950B">
            <w:pPr>
              <w:pStyle w:val="9"/>
              <w:spacing w:before="134" w:line="229" w:lineRule="auto"/>
              <w:ind w:left="597"/>
              <w:rPr>
                <w:sz w:val="20"/>
                <w:szCs w:val="20"/>
              </w:rPr>
            </w:pPr>
            <w:r>
              <w:rPr>
                <w:rFonts w:ascii="Times New Roman" w:hAnsi="Times New Roman" w:eastAsia="Times New Roman" w:cs="Times New Roman"/>
                <w:spacing w:val="-2"/>
                <w:sz w:val="20"/>
                <w:szCs w:val="20"/>
              </w:rPr>
              <w:t>1</w:t>
            </w:r>
            <w:r>
              <w:rPr>
                <w:rFonts w:ascii="Times New Roman" w:hAnsi="Times New Roman" w:eastAsia="Times New Roman" w:cs="Times New Roman"/>
                <w:spacing w:val="19"/>
                <w:w w:val="101"/>
                <w:sz w:val="20"/>
                <w:szCs w:val="20"/>
              </w:rPr>
              <w:t xml:space="preserve"> </w:t>
            </w:r>
            <w:r>
              <w:rPr>
                <w:spacing w:val="-2"/>
                <w:sz w:val="20"/>
                <w:szCs w:val="20"/>
              </w:rPr>
              <w:t>号主变</w:t>
            </w:r>
          </w:p>
        </w:tc>
        <w:tc>
          <w:tcPr>
            <w:tcW w:w="1636" w:type="dxa"/>
            <w:gridSpan w:val="3"/>
            <w:vAlign w:val="top"/>
          </w:tcPr>
          <w:p w14:paraId="7A175F60">
            <w:pPr>
              <w:spacing w:before="170" w:line="195" w:lineRule="auto"/>
              <w:ind w:left="58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72.69</w:t>
            </w:r>
          </w:p>
        </w:tc>
        <w:tc>
          <w:tcPr>
            <w:tcW w:w="1636" w:type="dxa"/>
            <w:gridSpan w:val="4"/>
            <w:vAlign w:val="top"/>
          </w:tcPr>
          <w:p w14:paraId="019AA4E1">
            <w:pPr>
              <w:spacing w:before="170" w:line="195" w:lineRule="auto"/>
              <w:ind w:left="53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229.45</w:t>
            </w:r>
          </w:p>
        </w:tc>
        <w:tc>
          <w:tcPr>
            <w:tcW w:w="1427" w:type="dxa"/>
            <w:gridSpan w:val="2"/>
            <w:vAlign w:val="top"/>
          </w:tcPr>
          <w:p w14:paraId="00D8C275">
            <w:pPr>
              <w:spacing w:before="170" w:line="195" w:lineRule="auto"/>
              <w:ind w:left="48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24.22</w:t>
            </w:r>
          </w:p>
        </w:tc>
        <w:tc>
          <w:tcPr>
            <w:tcW w:w="1551" w:type="dxa"/>
            <w:gridSpan w:val="3"/>
            <w:tcBorders>
              <w:right w:val="single" w:color="000000" w:sz="6" w:space="0"/>
            </w:tcBorders>
            <w:vAlign w:val="top"/>
          </w:tcPr>
          <w:p w14:paraId="08D1E007">
            <w:pPr>
              <w:spacing w:before="170" w:line="195" w:lineRule="auto"/>
              <w:ind w:left="54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8.85</w:t>
            </w:r>
          </w:p>
        </w:tc>
      </w:tr>
      <w:tr w14:paraId="310F23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751" w:type="dxa"/>
            <w:vMerge w:val="continue"/>
            <w:tcBorders>
              <w:top w:val="nil"/>
              <w:left w:val="single" w:color="000000" w:sz="6" w:space="0"/>
              <w:bottom w:val="nil"/>
            </w:tcBorders>
            <w:vAlign w:val="top"/>
          </w:tcPr>
          <w:p w14:paraId="0677CA20">
            <w:pPr>
              <w:rPr>
                <w:rFonts w:ascii="Arial"/>
                <w:sz w:val="21"/>
              </w:rPr>
            </w:pPr>
          </w:p>
        </w:tc>
        <w:tc>
          <w:tcPr>
            <w:tcW w:w="113" w:type="dxa"/>
            <w:tcBorders>
              <w:top w:val="nil"/>
              <w:bottom w:val="nil"/>
            </w:tcBorders>
            <w:vAlign w:val="top"/>
          </w:tcPr>
          <w:p w14:paraId="17D649C4">
            <w:pPr>
              <w:rPr>
                <w:rFonts w:ascii="Arial"/>
                <w:sz w:val="21"/>
              </w:rPr>
            </w:pPr>
          </w:p>
        </w:tc>
        <w:tc>
          <w:tcPr>
            <w:tcW w:w="1950" w:type="dxa"/>
            <w:gridSpan w:val="4"/>
            <w:vAlign w:val="top"/>
          </w:tcPr>
          <w:p w14:paraId="69CA6475">
            <w:pPr>
              <w:pStyle w:val="9"/>
              <w:spacing w:before="134" w:line="229" w:lineRule="auto"/>
              <w:ind w:left="577"/>
              <w:rPr>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19"/>
                <w:w w:val="101"/>
                <w:sz w:val="20"/>
                <w:szCs w:val="20"/>
              </w:rPr>
              <w:t xml:space="preserve"> </w:t>
            </w:r>
            <w:r>
              <w:rPr>
                <w:spacing w:val="3"/>
                <w:sz w:val="20"/>
                <w:szCs w:val="20"/>
              </w:rPr>
              <w:t>号主变</w:t>
            </w:r>
          </w:p>
        </w:tc>
        <w:tc>
          <w:tcPr>
            <w:tcW w:w="1636" w:type="dxa"/>
            <w:gridSpan w:val="3"/>
            <w:vAlign w:val="top"/>
          </w:tcPr>
          <w:p w14:paraId="040F397F">
            <w:pPr>
              <w:spacing w:before="170" w:line="195" w:lineRule="auto"/>
              <w:ind w:left="63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90.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p>
        </w:tc>
        <w:tc>
          <w:tcPr>
            <w:tcW w:w="1636" w:type="dxa"/>
            <w:gridSpan w:val="4"/>
            <w:vAlign w:val="top"/>
          </w:tcPr>
          <w:p w14:paraId="0CD0D1A7">
            <w:pPr>
              <w:spacing w:before="170" w:line="195" w:lineRule="auto"/>
              <w:ind w:left="53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229.48</w:t>
            </w:r>
          </w:p>
        </w:tc>
        <w:tc>
          <w:tcPr>
            <w:tcW w:w="1427" w:type="dxa"/>
            <w:gridSpan w:val="2"/>
            <w:vAlign w:val="top"/>
          </w:tcPr>
          <w:p w14:paraId="3393DD40">
            <w:pPr>
              <w:spacing w:before="170" w:line="195" w:lineRule="auto"/>
              <w:ind w:left="48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31.64</w:t>
            </w:r>
          </w:p>
        </w:tc>
        <w:tc>
          <w:tcPr>
            <w:tcW w:w="1551" w:type="dxa"/>
            <w:gridSpan w:val="3"/>
            <w:tcBorders>
              <w:right w:val="single" w:color="000000" w:sz="6" w:space="0"/>
            </w:tcBorders>
            <w:vAlign w:val="top"/>
          </w:tcPr>
          <w:p w14:paraId="15AE72AE">
            <w:pPr>
              <w:spacing w:before="170" w:line="195" w:lineRule="auto"/>
              <w:ind w:left="54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5.92</w:t>
            </w:r>
          </w:p>
        </w:tc>
      </w:tr>
      <w:tr w14:paraId="4730D1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751" w:type="dxa"/>
            <w:vMerge w:val="continue"/>
            <w:tcBorders>
              <w:top w:val="nil"/>
              <w:left w:val="single" w:color="000000" w:sz="6" w:space="0"/>
              <w:bottom w:val="nil"/>
            </w:tcBorders>
            <w:vAlign w:val="top"/>
          </w:tcPr>
          <w:p w14:paraId="7E43002D">
            <w:pPr>
              <w:rPr>
                <w:rFonts w:ascii="Arial"/>
                <w:sz w:val="21"/>
              </w:rPr>
            </w:pPr>
          </w:p>
        </w:tc>
        <w:tc>
          <w:tcPr>
            <w:tcW w:w="113" w:type="dxa"/>
            <w:tcBorders>
              <w:top w:val="nil"/>
              <w:bottom w:val="nil"/>
            </w:tcBorders>
            <w:vAlign w:val="top"/>
          </w:tcPr>
          <w:p w14:paraId="7E4DA929">
            <w:pPr>
              <w:rPr>
                <w:rFonts w:ascii="Arial"/>
                <w:sz w:val="21"/>
              </w:rPr>
            </w:pPr>
          </w:p>
        </w:tc>
        <w:tc>
          <w:tcPr>
            <w:tcW w:w="1950" w:type="dxa"/>
            <w:gridSpan w:val="4"/>
            <w:vAlign w:val="top"/>
          </w:tcPr>
          <w:p w14:paraId="5F096832">
            <w:pPr>
              <w:pStyle w:val="9"/>
              <w:spacing w:before="134" w:line="229" w:lineRule="auto"/>
              <w:ind w:left="581"/>
              <w:rPr>
                <w:sz w:val="20"/>
                <w:szCs w:val="20"/>
              </w:rPr>
            </w:pPr>
            <w:r>
              <w:rPr>
                <w:rFonts w:ascii="Times New Roman" w:hAnsi="Times New Roman" w:eastAsia="Times New Roman" w:cs="Times New Roman"/>
                <w:spacing w:val="2"/>
                <w:sz w:val="20"/>
                <w:szCs w:val="20"/>
              </w:rPr>
              <w:t>3</w:t>
            </w:r>
            <w:r>
              <w:rPr>
                <w:rFonts w:ascii="Times New Roman" w:hAnsi="Times New Roman" w:eastAsia="Times New Roman" w:cs="Times New Roman"/>
                <w:spacing w:val="19"/>
                <w:w w:val="101"/>
                <w:sz w:val="20"/>
                <w:szCs w:val="20"/>
              </w:rPr>
              <w:t xml:space="preserve"> </w:t>
            </w:r>
            <w:r>
              <w:rPr>
                <w:spacing w:val="2"/>
                <w:sz w:val="20"/>
                <w:szCs w:val="20"/>
              </w:rPr>
              <w:t>号主变</w:t>
            </w:r>
          </w:p>
        </w:tc>
        <w:tc>
          <w:tcPr>
            <w:tcW w:w="1636" w:type="dxa"/>
            <w:gridSpan w:val="3"/>
            <w:vAlign w:val="top"/>
          </w:tcPr>
          <w:p w14:paraId="155B97D5">
            <w:pPr>
              <w:spacing w:before="170" w:line="195" w:lineRule="auto"/>
              <w:ind w:left="58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46.26</w:t>
            </w:r>
          </w:p>
        </w:tc>
        <w:tc>
          <w:tcPr>
            <w:tcW w:w="1636" w:type="dxa"/>
            <w:gridSpan w:val="4"/>
            <w:vAlign w:val="top"/>
          </w:tcPr>
          <w:p w14:paraId="36FD7A08">
            <w:pPr>
              <w:spacing w:before="170" w:line="195" w:lineRule="auto"/>
              <w:ind w:left="53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229.93</w:t>
            </w:r>
          </w:p>
        </w:tc>
        <w:tc>
          <w:tcPr>
            <w:tcW w:w="1427" w:type="dxa"/>
            <w:gridSpan w:val="2"/>
            <w:vAlign w:val="top"/>
          </w:tcPr>
          <w:p w14:paraId="4D540849">
            <w:pPr>
              <w:spacing w:before="170" w:line="195" w:lineRule="auto"/>
              <w:ind w:left="50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17.33</w:t>
            </w:r>
          </w:p>
        </w:tc>
        <w:tc>
          <w:tcPr>
            <w:tcW w:w="1551" w:type="dxa"/>
            <w:gridSpan w:val="3"/>
            <w:tcBorders>
              <w:right w:val="single" w:color="000000" w:sz="6" w:space="0"/>
            </w:tcBorders>
            <w:vAlign w:val="top"/>
          </w:tcPr>
          <w:p w14:paraId="5A5B82F6">
            <w:pPr>
              <w:spacing w:before="170" w:line="195" w:lineRule="auto"/>
              <w:ind w:left="53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2.23</w:t>
            </w:r>
          </w:p>
        </w:tc>
      </w:tr>
      <w:tr w14:paraId="685745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751" w:type="dxa"/>
            <w:vMerge w:val="continue"/>
            <w:tcBorders>
              <w:top w:val="nil"/>
              <w:left w:val="single" w:color="000000" w:sz="6" w:space="0"/>
              <w:bottom w:val="nil"/>
            </w:tcBorders>
            <w:vAlign w:val="top"/>
          </w:tcPr>
          <w:p w14:paraId="081DD191">
            <w:pPr>
              <w:rPr>
                <w:rFonts w:ascii="Arial"/>
                <w:sz w:val="21"/>
              </w:rPr>
            </w:pPr>
          </w:p>
        </w:tc>
        <w:tc>
          <w:tcPr>
            <w:tcW w:w="113" w:type="dxa"/>
            <w:tcBorders>
              <w:top w:val="nil"/>
              <w:bottom w:val="nil"/>
            </w:tcBorders>
            <w:vAlign w:val="top"/>
          </w:tcPr>
          <w:p w14:paraId="729FD84F">
            <w:pPr>
              <w:rPr>
                <w:rFonts w:ascii="Arial"/>
                <w:sz w:val="21"/>
              </w:rPr>
            </w:pPr>
          </w:p>
        </w:tc>
        <w:tc>
          <w:tcPr>
            <w:tcW w:w="1950" w:type="dxa"/>
            <w:gridSpan w:val="4"/>
            <w:vAlign w:val="top"/>
          </w:tcPr>
          <w:p w14:paraId="6ACCBFB8">
            <w:pPr>
              <w:pStyle w:val="9"/>
              <w:spacing w:before="134" w:line="229" w:lineRule="auto"/>
              <w:ind w:left="583"/>
              <w:rPr>
                <w:sz w:val="20"/>
                <w:szCs w:val="20"/>
              </w:rPr>
            </w:pPr>
            <w:r>
              <w:rPr>
                <w:rFonts w:ascii="Times New Roman" w:hAnsi="Times New Roman" w:eastAsia="Times New Roman" w:cs="Times New Roman"/>
                <w:spacing w:val="2"/>
                <w:sz w:val="20"/>
                <w:szCs w:val="20"/>
              </w:rPr>
              <w:t>5</w:t>
            </w:r>
            <w:r>
              <w:rPr>
                <w:rFonts w:ascii="Times New Roman" w:hAnsi="Times New Roman" w:eastAsia="Times New Roman" w:cs="Times New Roman"/>
                <w:spacing w:val="18"/>
                <w:sz w:val="20"/>
                <w:szCs w:val="20"/>
              </w:rPr>
              <w:t xml:space="preserve"> </w:t>
            </w:r>
            <w:r>
              <w:rPr>
                <w:spacing w:val="2"/>
                <w:sz w:val="20"/>
                <w:szCs w:val="20"/>
              </w:rPr>
              <w:t>号主变</w:t>
            </w:r>
          </w:p>
        </w:tc>
        <w:tc>
          <w:tcPr>
            <w:tcW w:w="1636" w:type="dxa"/>
            <w:gridSpan w:val="3"/>
            <w:vAlign w:val="top"/>
          </w:tcPr>
          <w:p w14:paraId="1F3A1761">
            <w:pPr>
              <w:spacing w:before="170" w:line="195" w:lineRule="auto"/>
              <w:ind w:left="551"/>
              <w:rPr>
                <w:rFonts w:ascii="Times New Roman" w:hAnsi="Times New Roman" w:eastAsia="Times New Roman" w:cs="Times New Roman"/>
                <w:sz w:val="20"/>
                <w:szCs w:val="20"/>
              </w:rPr>
            </w:pPr>
            <w:r>
              <w:rPr>
                <w:rFonts w:ascii="Times New Roman" w:hAnsi="Times New Roman" w:eastAsia="Times New Roman" w:cs="Times New Roman"/>
                <w:sz w:val="20"/>
                <w:szCs w:val="20"/>
              </w:rPr>
              <w:t>115.77</w:t>
            </w:r>
          </w:p>
        </w:tc>
        <w:tc>
          <w:tcPr>
            <w:tcW w:w="1636" w:type="dxa"/>
            <w:gridSpan w:val="4"/>
            <w:vAlign w:val="top"/>
          </w:tcPr>
          <w:p w14:paraId="6A64B8FC">
            <w:pPr>
              <w:spacing w:before="170" w:line="195" w:lineRule="auto"/>
              <w:ind w:left="53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229.79</w:t>
            </w:r>
          </w:p>
        </w:tc>
        <w:tc>
          <w:tcPr>
            <w:tcW w:w="1427" w:type="dxa"/>
            <w:gridSpan w:val="2"/>
            <w:vAlign w:val="top"/>
          </w:tcPr>
          <w:p w14:paraId="727B39A5">
            <w:pPr>
              <w:spacing w:before="170" w:line="195" w:lineRule="auto"/>
              <w:ind w:left="53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40.9</w:t>
            </w:r>
          </w:p>
        </w:tc>
        <w:tc>
          <w:tcPr>
            <w:tcW w:w="1551" w:type="dxa"/>
            <w:gridSpan w:val="3"/>
            <w:tcBorders>
              <w:right w:val="single" w:color="000000" w:sz="6" w:space="0"/>
            </w:tcBorders>
            <w:vAlign w:val="top"/>
          </w:tcPr>
          <w:p w14:paraId="735CECC1">
            <w:pPr>
              <w:spacing w:before="170" w:line="195" w:lineRule="auto"/>
              <w:ind w:left="50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11.23</w:t>
            </w:r>
          </w:p>
        </w:tc>
      </w:tr>
      <w:tr w14:paraId="18DBEC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2" w:hRule="atLeast"/>
        </w:trPr>
        <w:tc>
          <w:tcPr>
            <w:tcW w:w="751" w:type="dxa"/>
            <w:vMerge w:val="continue"/>
            <w:tcBorders>
              <w:top w:val="nil"/>
              <w:left w:val="single" w:color="000000" w:sz="6" w:space="0"/>
              <w:bottom w:val="nil"/>
            </w:tcBorders>
            <w:vAlign w:val="top"/>
          </w:tcPr>
          <w:p w14:paraId="024835D3">
            <w:pPr>
              <w:rPr>
                <w:rFonts w:ascii="Arial"/>
                <w:sz w:val="21"/>
              </w:rPr>
            </w:pPr>
          </w:p>
        </w:tc>
        <w:tc>
          <w:tcPr>
            <w:tcW w:w="8313" w:type="dxa"/>
            <w:gridSpan w:val="17"/>
            <w:tcBorders>
              <w:right w:val="single" w:color="000000" w:sz="6" w:space="0"/>
            </w:tcBorders>
            <w:vAlign w:val="top"/>
          </w:tcPr>
          <w:p w14:paraId="4D35DB30">
            <w:pPr>
              <w:pStyle w:val="9"/>
              <w:spacing w:before="175" w:line="217" w:lineRule="auto"/>
              <w:ind w:left="585"/>
              <w:outlineLvl w:val="2"/>
            </w:pPr>
            <w:r>
              <w:rPr>
                <w:spacing w:val="-2"/>
              </w:rPr>
              <w:t>⑥监测仪器设备</w:t>
            </w:r>
          </w:p>
          <w:p w14:paraId="519BA92D">
            <w:pPr>
              <w:pStyle w:val="9"/>
              <w:spacing w:before="186" w:line="219" w:lineRule="auto"/>
              <w:ind w:left="2523"/>
            </w:pPr>
            <w:r>
              <w:rPr>
                <w:b/>
                <w:bCs/>
                <w:spacing w:val="-2"/>
              </w:rPr>
              <w:t>表</w:t>
            </w:r>
            <w:r>
              <w:rPr>
                <w:spacing w:val="-49"/>
              </w:rPr>
              <w:t xml:space="preserve"> </w:t>
            </w:r>
            <w:r>
              <w:rPr>
                <w:rFonts w:ascii="Times New Roman" w:hAnsi="Times New Roman" w:eastAsia="Times New Roman" w:cs="Times New Roman"/>
                <w:b/>
                <w:bCs/>
                <w:spacing w:val="-2"/>
              </w:rPr>
              <w:t xml:space="preserve">3-13      </w:t>
            </w:r>
            <w:r>
              <w:rPr>
                <w:b/>
                <w:bCs/>
                <w:spacing w:val="-2"/>
              </w:rPr>
              <w:t>监测仪器设备一览表</w:t>
            </w:r>
          </w:p>
        </w:tc>
      </w:tr>
      <w:tr w14:paraId="386B88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751" w:type="dxa"/>
            <w:vMerge w:val="continue"/>
            <w:tcBorders>
              <w:top w:val="nil"/>
              <w:left w:val="single" w:color="000000" w:sz="6" w:space="0"/>
              <w:bottom w:val="nil"/>
            </w:tcBorders>
            <w:vAlign w:val="top"/>
          </w:tcPr>
          <w:p w14:paraId="315EFF86">
            <w:pPr>
              <w:rPr>
                <w:rFonts w:ascii="Arial"/>
                <w:sz w:val="21"/>
              </w:rPr>
            </w:pPr>
          </w:p>
        </w:tc>
        <w:tc>
          <w:tcPr>
            <w:tcW w:w="137" w:type="dxa"/>
            <w:gridSpan w:val="2"/>
            <w:vMerge w:val="restart"/>
            <w:tcBorders>
              <w:top w:val="nil"/>
              <w:bottom w:val="nil"/>
            </w:tcBorders>
            <w:vAlign w:val="top"/>
          </w:tcPr>
          <w:p w14:paraId="6ABA61B9">
            <w:pPr>
              <w:rPr>
                <w:rFonts w:ascii="Arial"/>
                <w:sz w:val="21"/>
              </w:rPr>
            </w:pPr>
          </w:p>
        </w:tc>
        <w:tc>
          <w:tcPr>
            <w:tcW w:w="540" w:type="dxa"/>
            <w:vAlign w:val="top"/>
          </w:tcPr>
          <w:p w14:paraId="7EFA159D">
            <w:pPr>
              <w:pStyle w:val="9"/>
              <w:spacing w:before="286" w:line="229" w:lineRule="auto"/>
              <w:ind w:left="47"/>
              <w:rPr>
                <w:sz w:val="20"/>
                <w:szCs w:val="20"/>
              </w:rPr>
            </w:pPr>
            <w:r>
              <w:rPr>
                <w:spacing w:val="11"/>
                <w:sz w:val="20"/>
                <w:szCs w:val="20"/>
              </w:rPr>
              <w:t>序号</w:t>
            </w:r>
          </w:p>
        </w:tc>
        <w:tc>
          <w:tcPr>
            <w:tcW w:w="984" w:type="dxa"/>
            <w:vAlign w:val="top"/>
          </w:tcPr>
          <w:p w14:paraId="6149556E">
            <w:pPr>
              <w:pStyle w:val="9"/>
              <w:spacing w:before="286" w:line="228" w:lineRule="auto"/>
              <w:ind w:left="46"/>
              <w:rPr>
                <w:sz w:val="20"/>
                <w:szCs w:val="20"/>
              </w:rPr>
            </w:pPr>
            <w:r>
              <w:rPr>
                <w:spacing w:val="18"/>
                <w:sz w:val="20"/>
                <w:szCs w:val="20"/>
              </w:rPr>
              <w:t>检测类别</w:t>
            </w:r>
          </w:p>
        </w:tc>
        <w:tc>
          <w:tcPr>
            <w:tcW w:w="737" w:type="dxa"/>
            <w:gridSpan w:val="2"/>
            <w:vAlign w:val="top"/>
          </w:tcPr>
          <w:p w14:paraId="7967D50B">
            <w:pPr>
              <w:pStyle w:val="9"/>
              <w:spacing w:before="152" w:line="253" w:lineRule="auto"/>
              <w:ind w:left="306" w:right="48" w:hanging="267"/>
              <w:rPr>
                <w:sz w:val="20"/>
                <w:szCs w:val="20"/>
              </w:rPr>
            </w:pPr>
            <w:r>
              <w:rPr>
                <w:spacing w:val="14"/>
                <w:sz w:val="20"/>
                <w:szCs w:val="20"/>
              </w:rPr>
              <w:t>检测项</w:t>
            </w:r>
            <w:r>
              <w:rPr>
                <w:sz w:val="20"/>
                <w:szCs w:val="20"/>
              </w:rPr>
              <w:t>目</w:t>
            </w:r>
          </w:p>
        </w:tc>
        <w:tc>
          <w:tcPr>
            <w:tcW w:w="1695" w:type="dxa"/>
            <w:gridSpan w:val="3"/>
            <w:vAlign w:val="top"/>
          </w:tcPr>
          <w:p w14:paraId="19077156">
            <w:pPr>
              <w:pStyle w:val="9"/>
              <w:spacing w:before="286" w:line="228" w:lineRule="auto"/>
              <w:jc w:val="right"/>
              <w:rPr>
                <w:sz w:val="20"/>
                <w:szCs w:val="20"/>
              </w:rPr>
            </w:pPr>
            <w:r>
              <w:rPr>
                <w:spacing w:val="10"/>
                <w:sz w:val="20"/>
                <w:szCs w:val="20"/>
              </w:rPr>
              <w:t>检测标准（方法）</w:t>
            </w:r>
          </w:p>
        </w:tc>
        <w:tc>
          <w:tcPr>
            <w:tcW w:w="1103" w:type="dxa"/>
            <w:gridSpan w:val="2"/>
            <w:vAlign w:val="top"/>
          </w:tcPr>
          <w:p w14:paraId="0D484B7D">
            <w:pPr>
              <w:pStyle w:val="9"/>
              <w:spacing w:before="286" w:line="228" w:lineRule="auto"/>
              <w:ind w:left="115"/>
              <w:rPr>
                <w:sz w:val="20"/>
                <w:szCs w:val="20"/>
              </w:rPr>
            </w:pPr>
            <w:r>
              <w:rPr>
                <w:spacing w:val="16"/>
                <w:sz w:val="20"/>
                <w:szCs w:val="20"/>
              </w:rPr>
              <w:t>校准日期</w:t>
            </w:r>
          </w:p>
        </w:tc>
        <w:tc>
          <w:tcPr>
            <w:tcW w:w="1875" w:type="dxa"/>
            <w:gridSpan w:val="5"/>
            <w:vAlign w:val="top"/>
          </w:tcPr>
          <w:p w14:paraId="70F68571">
            <w:pPr>
              <w:pStyle w:val="9"/>
              <w:spacing w:before="151" w:line="228" w:lineRule="auto"/>
              <w:jc w:val="right"/>
              <w:rPr>
                <w:sz w:val="20"/>
                <w:szCs w:val="20"/>
              </w:rPr>
            </w:pPr>
            <w:r>
              <w:rPr>
                <w:spacing w:val="6"/>
                <w:sz w:val="20"/>
                <w:szCs w:val="20"/>
              </w:rPr>
              <w:t>仪器设备、型号及编</w:t>
            </w:r>
          </w:p>
          <w:p w14:paraId="2FEF1B18">
            <w:pPr>
              <w:pStyle w:val="9"/>
              <w:spacing w:before="24" w:line="229" w:lineRule="auto"/>
              <w:ind w:left="843"/>
              <w:rPr>
                <w:sz w:val="20"/>
                <w:szCs w:val="20"/>
              </w:rPr>
            </w:pPr>
            <w:r>
              <w:rPr>
                <w:sz w:val="20"/>
                <w:szCs w:val="20"/>
              </w:rPr>
              <w:t>号</w:t>
            </w:r>
          </w:p>
        </w:tc>
        <w:tc>
          <w:tcPr>
            <w:tcW w:w="1242" w:type="dxa"/>
            <w:tcBorders>
              <w:right w:val="single" w:color="000000" w:sz="6" w:space="0"/>
            </w:tcBorders>
            <w:vAlign w:val="top"/>
          </w:tcPr>
          <w:p w14:paraId="4256AEBA">
            <w:pPr>
              <w:pStyle w:val="9"/>
              <w:spacing w:before="286" w:line="228" w:lineRule="auto"/>
              <w:ind w:left="111"/>
              <w:rPr>
                <w:sz w:val="20"/>
                <w:szCs w:val="20"/>
              </w:rPr>
            </w:pPr>
            <w:r>
              <w:rPr>
                <w:spacing w:val="17"/>
                <w:sz w:val="20"/>
                <w:szCs w:val="20"/>
              </w:rPr>
              <w:t>校准单位</w:t>
            </w:r>
          </w:p>
        </w:tc>
      </w:tr>
      <w:tr w14:paraId="1B1059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751" w:type="dxa"/>
            <w:vMerge w:val="continue"/>
            <w:tcBorders>
              <w:top w:val="nil"/>
              <w:left w:val="single" w:color="000000" w:sz="6" w:space="0"/>
              <w:bottom w:val="nil"/>
            </w:tcBorders>
            <w:vAlign w:val="top"/>
          </w:tcPr>
          <w:p w14:paraId="3552704B">
            <w:pPr>
              <w:rPr>
                <w:rFonts w:ascii="Arial"/>
                <w:sz w:val="21"/>
              </w:rPr>
            </w:pPr>
          </w:p>
        </w:tc>
        <w:tc>
          <w:tcPr>
            <w:tcW w:w="137" w:type="dxa"/>
            <w:gridSpan w:val="2"/>
            <w:vMerge w:val="continue"/>
            <w:tcBorders>
              <w:top w:val="nil"/>
              <w:bottom w:val="nil"/>
            </w:tcBorders>
            <w:vAlign w:val="top"/>
          </w:tcPr>
          <w:p w14:paraId="7B8F6131">
            <w:pPr>
              <w:rPr>
                <w:rFonts w:ascii="Arial"/>
                <w:sz w:val="21"/>
              </w:rPr>
            </w:pPr>
          </w:p>
        </w:tc>
        <w:tc>
          <w:tcPr>
            <w:tcW w:w="540" w:type="dxa"/>
            <w:vMerge w:val="restart"/>
            <w:tcBorders>
              <w:bottom w:val="nil"/>
            </w:tcBorders>
            <w:vAlign w:val="top"/>
          </w:tcPr>
          <w:p w14:paraId="6D9DC0E1">
            <w:pPr>
              <w:spacing w:line="277" w:lineRule="auto"/>
              <w:rPr>
                <w:rFonts w:ascii="Arial"/>
                <w:sz w:val="21"/>
              </w:rPr>
            </w:pPr>
          </w:p>
          <w:p w14:paraId="25B1E5E5">
            <w:pPr>
              <w:spacing w:line="278" w:lineRule="auto"/>
              <w:rPr>
                <w:rFonts w:ascii="Arial"/>
                <w:sz w:val="21"/>
              </w:rPr>
            </w:pPr>
          </w:p>
          <w:p w14:paraId="57B6598C">
            <w:pPr>
              <w:spacing w:line="278" w:lineRule="auto"/>
              <w:rPr>
                <w:rFonts w:ascii="Arial"/>
                <w:sz w:val="21"/>
              </w:rPr>
            </w:pPr>
          </w:p>
          <w:p w14:paraId="5B14E2D6">
            <w:pPr>
              <w:spacing w:before="58" w:line="195" w:lineRule="auto"/>
              <w:ind w:left="233"/>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984" w:type="dxa"/>
            <w:vMerge w:val="restart"/>
            <w:tcBorders>
              <w:bottom w:val="nil"/>
            </w:tcBorders>
            <w:vAlign w:val="top"/>
          </w:tcPr>
          <w:p w14:paraId="380ECC30">
            <w:pPr>
              <w:spacing w:line="263" w:lineRule="auto"/>
              <w:rPr>
                <w:rFonts w:ascii="Arial"/>
                <w:sz w:val="21"/>
              </w:rPr>
            </w:pPr>
          </w:p>
          <w:p w14:paraId="4D09AFF5">
            <w:pPr>
              <w:spacing w:line="263" w:lineRule="auto"/>
              <w:rPr>
                <w:rFonts w:ascii="Arial"/>
                <w:sz w:val="21"/>
              </w:rPr>
            </w:pPr>
          </w:p>
          <w:p w14:paraId="36C1D4F4">
            <w:pPr>
              <w:spacing w:line="264" w:lineRule="auto"/>
              <w:rPr>
                <w:rFonts w:ascii="Arial"/>
                <w:sz w:val="21"/>
              </w:rPr>
            </w:pPr>
          </w:p>
          <w:p w14:paraId="132F8574">
            <w:pPr>
              <w:pStyle w:val="9"/>
              <w:spacing w:before="65" w:line="228" w:lineRule="auto"/>
              <w:ind w:left="296"/>
              <w:rPr>
                <w:sz w:val="20"/>
                <w:szCs w:val="20"/>
              </w:rPr>
            </w:pPr>
            <w:r>
              <w:rPr>
                <w:spacing w:val="-1"/>
                <w:sz w:val="20"/>
                <w:szCs w:val="20"/>
              </w:rPr>
              <w:t>噪声</w:t>
            </w:r>
          </w:p>
        </w:tc>
        <w:tc>
          <w:tcPr>
            <w:tcW w:w="737" w:type="dxa"/>
            <w:gridSpan w:val="2"/>
            <w:vMerge w:val="restart"/>
            <w:tcBorders>
              <w:bottom w:val="nil"/>
            </w:tcBorders>
            <w:vAlign w:val="top"/>
          </w:tcPr>
          <w:p w14:paraId="30670C48">
            <w:pPr>
              <w:spacing w:line="327" w:lineRule="auto"/>
              <w:rPr>
                <w:rFonts w:ascii="Arial"/>
                <w:sz w:val="21"/>
              </w:rPr>
            </w:pPr>
          </w:p>
          <w:p w14:paraId="682A4C15">
            <w:pPr>
              <w:spacing w:line="327" w:lineRule="auto"/>
              <w:rPr>
                <w:rFonts w:ascii="Arial"/>
                <w:sz w:val="21"/>
              </w:rPr>
            </w:pPr>
          </w:p>
          <w:p w14:paraId="239FBCC0">
            <w:pPr>
              <w:pStyle w:val="9"/>
              <w:spacing w:before="65" w:line="252" w:lineRule="auto"/>
              <w:ind w:left="271" w:right="48" w:hanging="232"/>
              <w:rPr>
                <w:sz w:val="20"/>
                <w:szCs w:val="20"/>
              </w:rPr>
            </w:pPr>
            <w:r>
              <w:rPr>
                <w:spacing w:val="14"/>
                <w:sz w:val="20"/>
                <w:szCs w:val="20"/>
              </w:rPr>
              <w:t>环境噪</w:t>
            </w:r>
            <w:r>
              <w:rPr>
                <w:sz w:val="20"/>
                <w:szCs w:val="20"/>
              </w:rPr>
              <w:t>声</w:t>
            </w:r>
          </w:p>
        </w:tc>
        <w:tc>
          <w:tcPr>
            <w:tcW w:w="1695" w:type="dxa"/>
            <w:gridSpan w:val="3"/>
            <w:vMerge w:val="restart"/>
            <w:tcBorders>
              <w:bottom w:val="nil"/>
            </w:tcBorders>
            <w:vAlign w:val="top"/>
          </w:tcPr>
          <w:p w14:paraId="2C2579FF">
            <w:pPr>
              <w:spacing w:line="327" w:lineRule="auto"/>
              <w:rPr>
                <w:rFonts w:ascii="Arial"/>
                <w:sz w:val="21"/>
              </w:rPr>
            </w:pPr>
          </w:p>
          <w:p w14:paraId="5031B323">
            <w:pPr>
              <w:spacing w:line="328" w:lineRule="auto"/>
              <w:rPr>
                <w:rFonts w:ascii="Arial"/>
                <w:sz w:val="21"/>
              </w:rPr>
            </w:pPr>
          </w:p>
          <w:p w14:paraId="6AC2E55E">
            <w:pPr>
              <w:pStyle w:val="9"/>
              <w:spacing w:before="65" w:line="252" w:lineRule="auto"/>
              <w:ind w:left="9" w:right="4" w:firstLine="92"/>
              <w:rPr>
                <w:rFonts w:ascii="Times New Roman" w:hAnsi="Times New Roman" w:eastAsia="Times New Roman" w:cs="Times New Roman"/>
                <w:sz w:val="20"/>
                <w:szCs w:val="20"/>
              </w:rPr>
            </w:pPr>
            <w:r>
              <w:rPr>
                <w:spacing w:val="13"/>
                <w:sz w:val="20"/>
                <w:szCs w:val="20"/>
              </w:rPr>
              <w:t>《声环境质量标</w:t>
            </w:r>
            <w:r>
              <w:rPr>
                <w:spacing w:val="6"/>
                <w:sz w:val="20"/>
                <w:szCs w:val="20"/>
              </w:rPr>
              <w:t>准》</w:t>
            </w:r>
            <w:r>
              <w:rPr>
                <w:spacing w:val="-36"/>
                <w:sz w:val="20"/>
                <w:szCs w:val="20"/>
              </w:rPr>
              <w:t xml:space="preserve"> </w:t>
            </w:r>
            <w:r>
              <w:rPr>
                <w:rFonts w:ascii="Times New Roman" w:hAnsi="Times New Roman" w:eastAsia="Times New Roman" w:cs="Times New Roman"/>
                <w:sz w:val="20"/>
                <w:szCs w:val="20"/>
              </w:rPr>
              <w:t>GB</w:t>
            </w:r>
            <w:r>
              <w:rPr>
                <w:rFonts w:ascii="Times New Roman" w:hAnsi="Times New Roman" w:eastAsia="Times New Roman" w:cs="Times New Roman"/>
                <w:spacing w:val="6"/>
                <w:sz w:val="20"/>
                <w:szCs w:val="20"/>
              </w:rPr>
              <w:t>3096-2008</w:t>
            </w:r>
          </w:p>
        </w:tc>
        <w:tc>
          <w:tcPr>
            <w:tcW w:w="1103" w:type="dxa"/>
            <w:gridSpan w:val="2"/>
            <w:vAlign w:val="top"/>
          </w:tcPr>
          <w:p w14:paraId="502719C0">
            <w:pPr>
              <w:spacing w:before="204" w:line="195" w:lineRule="auto"/>
              <w:ind w:left="36"/>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2026.06.01-</w:t>
            </w:r>
          </w:p>
          <w:p w14:paraId="7ECAE701">
            <w:pPr>
              <w:spacing w:before="53" w:line="195" w:lineRule="auto"/>
              <w:ind w:left="72"/>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2027.05.31</w:t>
            </w:r>
          </w:p>
        </w:tc>
        <w:tc>
          <w:tcPr>
            <w:tcW w:w="1875" w:type="dxa"/>
            <w:gridSpan w:val="5"/>
            <w:vAlign w:val="top"/>
          </w:tcPr>
          <w:p w14:paraId="2ACDD39C">
            <w:pPr>
              <w:pStyle w:val="9"/>
              <w:spacing w:before="47" w:line="260" w:lineRule="auto"/>
              <w:ind w:left="481" w:right="273" w:hanging="197"/>
              <w:rPr>
                <w:rFonts w:ascii="Times New Roman" w:hAnsi="Times New Roman" w:eastAsia="Times New Roman" w:cs="Times New Roman"/>
                <w:sz w:val="20"/>
                <w:szCs w:val="20"/>
              </w:rPr>
            </w:pPr>
            <w:r>
              <w:rPr>
                <w:spacing w:val="18"/>
                <w:sz w:val="20"/>
                <w:szCs w:val="20"/>
              </w:rPr>
              <w:t>多功能声级计</w:t>
            </w:r>
            <w:r>
              <w:rPr>
                <w:rFonts w:ascii="Times New Roman" w:hAnsi="Times New Roman" w:eastAsia="Times New Roman" w:cs="Times New Roman"/>
                <w:sz w:val="20"/>
                <w:szCs w:val="20"/>
              </w:rPr>
              <w:t>AWA</w:t>
            </w:r>
            <w:r>
              <w:rPr>
                <w:rFonts w:ascii="Times New Roman" w:hAnsi="Times New Roman" w:eastAsia="Times New Roman" w:cs="Times New Roman"/>
                <w:spacing w:val="6"/>
                <w:sz w:val="20"/>
                <w:szCs w:val="20"/>
              </w:rPr>
              <w:t>5688</w:t>
            </w:r>
          </w:p>
          <w:p w14:paraId="25FE7CDA">
            <w:pPr>
              <w:spacing w:before="3" w:line="195" w:lineRule="auto"/>
              <w:ind w:left="488"/>
              <w:rPr>
                <w:rFonts w:ascii="Times New Roman" w:hAnsi="Times New Roman" w:eastAsia="Times New Roman" w:cs="Times New Roman"/>
                <w:sz w:val="20"/>
                <w:szCs w:val="20"/>
              </w:rPr>
            </w:pPr>
            <w:r>
              <w:rPr>
                <w:rFonts w:ascii="Times New Roman" w:hAnsi="Times New Roman" w:eastAsia="Times New Roman" w:cs="Times New Roman"/>
                <w:sz w:val="20"/>
                <w:szCs w:val="20"/>
              </w:rPr>
              <w:t>SH</w:t>
            </w:r>
            <w:r>
              <w:rPr>
                <w:rFonts w:ascii="Times New Roman" w:hAnsi="Times New Roman" w:eastAsia="Times New Roman" w:cs="Times New Roman"/>
                <w:spacing w:val="8"/>
                <w:sz w:val="20"/>
                <w:szCs w:val="20"/>
              </w:rPr>
              <w:t>010506</w:t>
            </w:r>
          </w:p>
        </w:tc>
        <w:tc>
          <w:tcPr>
            <w:tcW w:w="1242" w:type="dxa"/>
            <w:tcBorders>
              <w:right w:val="single" w:color="000000" w:sz="6" w:space="0"/>
            </w:tcBorders>
            <w:vAlign w:val="top"/>
          </w:tcPr>
          <w:p w14:paraId="33CFF7EB">
            <w:pPr>
              <w:pStyle w:val="9"/>
              <w:spacing w:before="151" w:line="252" w:lineRule="auto"/>
              <w:ind w:left="191" w:right="195" w:hanging="93"/>
              <w:rPr>
                <w:sz w:val="20"/>
                <w:szCs w:val="20"/>
              </w:rPr>
            </w:pPr>
            <w:r>
              <w:rPr>
                <w:spacing w:val="-13"/>
                <w:sz w:val="20"/>
                <w:szCs w:val="20"/>
              </w:rPr>
              <w:t>包头市检验</w:t>
            </w:r>
            <w:r>
              <w:rPr>
                <w:spacing w:val="-8"/>
                <w:sz w:val="20"/>
                <w:szCs w:val="20"/>
              </w:rPr>
              <w:t>检测中心</w:t>
            </w:r>
          </w:p>
        </w:tc>
      </w:tr>
      <w:tr w14:paraId="40D176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5" w:hRule="atLeast"/>
        </w:trPr>
        <w:tc>
          <w:tcPr>
            <w:tcW w:w="751" w:type="dxa"/>
            <w:vMerge w:val="continue"/>
            <w:tcBorders>
              <w:top w:val="nil"/>
              <w:left w:val="single" w:color="000000" w:sz="6" w:space="0"/>
              <w:bottom w:val="nil"/>
            </w:tcBorders>
            <w:vAlign w:val="top"/>
          </w:tcPr>
          <w:p w14:paraId="1E86466E">
            <w:pPr>
              <w:rPr>
                <w:rFonts w:ascii="Arial"/>
                <w:sz w:val="21"/>
              </w:rPr>
            </w:pPr>
          </w:p>
        </w:tc>
        <w:tc>
          <w:tcPr>
            <w:tcW w:w="137" w:type="dxa"/>
            <w:gridSpan w:val="2"/>
            <w:vMerge w:val="continue"/>
            <w:tcBorders>
              <w:top w:val="nil"/>
              <w:bottom w:val="nil"/>
            </w:tcBorders>
            <w:vAlign w:val="top"/>
          </w:tcPr>
          <w:p w14:paraId="1500D5CA">
            <w:pPr>
              <w:rPr>
                <w:rFonts w:ascii="Arial"/>
                <w:sz w:val="21"/>
              </w:rPr>
            </w:pPr>
          </w:p>
        </w:tc>
        <w:tc>
          <w:tcPr>
            <w:tcW w:w="540" w:type="dxa"/>
            <w:vMerge w:val="continue"/>
            <w:tcBorders>
              <w:top w:val="nil"/>
            </w:tcBorders>
            <w:vAlign w:val="top"/>
          </w:tcPr>
          <w:p w14:paraId="38C9A065">
            <w:pPr>
              <w:rPr>
                <w:rFonts w:ascii="Arial"/>
                <w:sz w:val="21"/>
              </w:rPr>
            </w:pPr>
          </w:p>
        </w:tc>
        <w:tc>
          <w:tcPr>
            <w:tcW w:w="984" w:type="dxa"/>
            <w:vMerge w:val="continue"/>
            <w:tcBorders>
              <w:top w:val="nil"/>
            </w:tcBorders>
            <w:vAlign w:val="top"/>
          </w:tcPr>
          <w:p w14:paraId="12FAEE59">
            <w:pPr>
              <w:rPr>
                <w:rFonts w:ascii="Arial"/>
                <w:sz w:val="21"/>
              </w:rPr>
            </w:pPr>
          </w:p>
        </w:tc>
        <w:tc>
          <w:tcPr>
            <w:tcW w:w="737" w:type="dxa"/>
            <w:gridSpan w:val="2"/>
            <w:vMerge w:val="continue"/>
            <w:tcBorders>
              <w:top w:val="nil"/>
            </w:tcBorders>
            <w:vAlign w:val="top"/>
          </w:tcPr>
          <w:p w14:paraId="24073225">
            <w:pPr>
              <w:rPr>
                <w:rFonts w:ascii="Arial"/>
                <w:sz w:val="21"/>
              </w:rPr>
            </w:pPr>
          </w:p>
        </w:tc>
        <w:tc>
          <w:tcPr>
            <w:tcW w:w="1695" w:type="dxa"/>
            <w:gridSpan w:val="3"/>
            <w:vMerge w:val="continue"/>
            <w:tcBorders>
              <w:top w:val="nil"/>
            </w:tcBorders>
            <w:vAlign w:val="top"/>
          </w:tcPr>
          <w:p w14:paraId="0FBD174E">
            <w:pPr>
              <w:rPr>
                <w:rFonts w:ascii="Arial"/>
                <w:sz w:val="21"/>
              </w:rPr>
            </w:pPr>
          </w:p>
        </w:tc>
        <w:tc>
          <w:tcPr>
            <w:tcW w:w="1103" w:type="dxa"/>
            <w:gridSpan w:val="2"/>
            <w:vAlign w:val="top"/>
          </w:tcPr>
          <w:p w14:paraId="3E55E672">
            <w:pPr>
              <w:spacing w:line="322" w:lineRule="auto"/>
              <w:rPr>
                <w:rFonts w:ascii="Arial"/>
                <w:sz w:val="21"/>
              </w:rPr>
            </w:pPr>
          </w:p>
          <w:p w14:paraId="42095E6F">
            <w:pPr>
              <w:spacing w:before="57" w:line="195" w:lineRule="auto"/>
              <w:ind w:left="3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2025.</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3"/>
                <w:sz w:val="20"/>
                <w:szCs w:val="20"/>
              </w:rPr>
              <w:t>10.09-</w:t>
            </w:r>
          </w:p>
          <w:p w14:paraId="332516F1">
            <w:pPr>
              <w:spacing w:before="53" w:line="195" w:lineRule="auto"/>
              <w:ind w:left="7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2026.</w:t>
            </w:r>
            <w:r>
              <w:rPr>
                <w:rFonts w:ascii="Times New Roman" w:hAnsi="Times New Roman" w:eastAsia="Times New Roman" w:cs="Times New Roman"/>
                <w:spacing w:val="-15"/>
                <w:sz w:val="20"/>
                <w:szCs w:val="20"/>
              </w:rPr>
              <w:t xml:space="preserve"> </w:t>
            </w:r>
            <w:r>
              <w:rPr>
                <w:rFonts w:ascii="Times New Roman" w:hAnsi="Times New Roman" w:eastAsia="Times New Roman" w:cs="Times New Roman"/>
                <w:spacing w:val="2"/>
                <w:sz w:val="20"/>
                <w:szCs w:val="20"/>
              </w:rPr>
              <w:t>10.08</w:t>
            </w:r>
          </w:p>
        </w:tc>
        <w:tc>
          <w:tcPr>
            <w:tcW w:w="1875" w:type="dxa"/>
            <w:gridSpan w:val="5"/>
            <w:vAlign w:val="top"/>
          </w:tcPr>
          <w:p w14:paraId="6A680B9A">
            <w:pPr>
              <w:pStyle w:val="9"/>
              <w:spacing w:before="224" w:line="260" w:lineRule="auto"/>
              <w:ind w:left="401" w:right="406" w:hanging="22"/>
              <w:rPr>
                <w:rFonts w:ascii="Times New Roman" w:hAnsi="Times New Roman" w:eastAsia="Times New Roman" w:cs="Times New Roman"/>
                <w:sz w:val="20"/>
                <w:szCs w:val="20"/>
              </w:rPr>
            </w:pPr>
            <w:r>
              <w:rPr>
                <w:spacing w:val="-1"/>
                <w:sz w:val="20"/>
                <w:szCs w:val="20"/>
              </w:rPr>
              <w:t>声</w:t>
            </w:r>
            <w:r>
              <w:rPr>
                <w:spacing w:val="-15"/>
                <w:sz w:val="20"/>
                <w:szCs w:val="20"/>
              </w:rPr>
              <w:t xml:space="preserve"> </w:t>
            </w:r>
            <w:r>
              <w:rPr>
                <w:spacing w:val="-1"/>
                <w:sz w:val="20"/>
                <w:szCs w:val="20"/>
              </w:rPr>
              <w:t>校</w:t>
            </w:r>
            <w:r>
              <w:rPr>
                <w:spacing w:val="-14"/>
                <w:sz w:val="20"/>
                <w:szCs w:val="20"/>
              </w:rPr>
              <w:t xml:space="preserve"> </w:t>
            </w:r>
            <w:r>
              <w:rPr>
                <w:spacing w:val="-1"/>
                <w:sz w:val="20"/>
                <w:szCs w:val="20"/>
              </w:rPr>
              <w:t>准</w:t>
            </w:r>
            <w:r>
              <w:rPr>
                <w:spacing w:val="-13"/>
                <w:sz w:val="20"/>
                <w:szCs w:val="20"/>
              </w:rPr>
              <w:t xml:space="preserve"> </w:t>
            </w:r>
            <w:r>
              <w:rPr>
                <w:spacing w:val="-1"/>
                <w:sz w:val="20"/>
                <w:szCs w:val="20"/>
              </w:rPr>
              <w:t>器</w:t>
            </w:r>
            <w:r>
              <w:rPr>
                <w:rFonts w:ascii="Times New Roman" w:hAnsi="Times New Roman" w:eastAsia="Times New Roman" w:cs="Times New Roman"/>
                <w:sz w:val="20"/>
                <w:szCs w:val="20"/>
              </w:rPr>
              <w:t>AWA</w:t>
            </w:r>
            <w:r>
              <w:rPr>
                <w:rFonts w:ascii="Times New Roman" w:hAnsi="Times New Roman" w:eastAsia="Times New Roman" w:cs="Times New Roman"/>
                <w:spacing w:val="7"/>
                <w:sz w:val="20"/>
                <w:szCs w:val="20"/>
              </w:rPr>
              <w:t>6022A</w:t>
            </w:r>
          </w:p>
          <w:p w14:paraId="66F54440">
            <w:pPr>
              <w:spacing w:before="3" w:line="195" w:lineRule="auto"/>
              <w:ind w:left="488"/>
              <w:rPr>
                <w:rFonts w:ascii="Times New Roman" w:hAnsi="Times New Roman" w:eastAsia="Times New Roman" w:cs="Times New Roman"/>
                <w:sz w:val="20"/>
                <w:szCs w:val="20"/>
              </w:rPr>
            </w:pPr>
            <w:r>
              <w:rPr>
                <w:rFonts w:ascii="Times New Roman" w:hAnsi="Times New Roman" w:eastAsia="Times New Roman" w:cs="Times New Roman"/>
                <w:sz w:val="20"/>
                <w:szCs w:val="20"/>
              </w:rPr>
              <w:t>SH</w:t>
            </w:r>
            <w:r>
              <w:rPr>
                <w:rFonts w:ascii="Times New Roman" w:hAnsi="Times New Roman" w:eastAsia="Times New Roman" w:cs="Times New Roman"/>
                <w:spacing w:val="8"/>
                <w:sz w:val="20"/>
                <w:szCs w:val="20"/>
              </w:rPr>
              <w:t>010604</w:t>
            </w:r>
          </w:p>
        </w:tc>
        <w:tc>
          <w:tcPr>
            <w:tcW w:w="1242" w:type="dxa"/>
            <w:tcBorders>
              <w:right w:val="single" w:color="000000" w:sz="6" w:space="0"/>
            </w:tcBorders>
            <w:vAlign w:val="top"/>
          </w:tcPr>
          <w:p w14:paraId="18103B81">
            <w:pPr>
              <w:pStyle w:val="9"/>
              <w:spacing w:before="191" w:line="228" w:lineRule="auto"/>
              <w:ind w:left="124"/>
              <w:rPr>
                <w:sz w:val="20"/>
                <w:szCs w:val="20"/>
              </w:rPr>
            </w:pPr>
            <w:r>
              <w:rPr>
                <w:spacing w:val="-15"/>
                <w:sz w:val="20"/>
                <w:szCs w:val="20"/>
              </w:rPr>
              <w:t>内蒙古自治</w:t>
            </w:r>
          </w:p>
          <w:p w14:paraId="584024A3">
            <w:pPr>
              <w:pStyle w:val="9"/>
              <w:spacing w:before="27" w:line="229" w:lineRule="auto"/>
              <w:ind w:left="114"/>
              <w:rPr>
                <w:sz w:val="20"/>
                <w:szCs w:val="20"/>
              </w:rPr>
            </w:pPr>
            <w:r>
              <w:rPr>
                <w:spacing w:val="-13"/>
                <w:sz w:val="20"/>
                <w:szCs w:val="20"/>
              </w:rPr>
              <w:t>区计量测试</w:t>
            </w:r>
          </w:p>
          <w:p w14:paraId="09EAC330">
            <w:pPr>
              <w:pStyle w:val="9"/>
              <w:spacing w:before="22" w:line="227" w:lineRule="auto"/>
              <w:ind w:left="283"/>
              <w:rPr>
                <w:sz w:val="20"/>
                <w:szCs w:val="20"/>
              </w:rPr>
            </w:pPr>
            <w:r>
              <w:rPr>
                <w:spacing w:val="-5"/>
                <w:sz w:val="20"/>
                <w:szCs w:val="20"/>
              </w:rPr>
              <w:t>研究院</w:t>
            </w:r>
          </w:p>
        </w:tc>
      </w:tr>
      <w:tr w14:paraId="6EFBD0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1" w:hRule="atLeast"/>
        </w:trPr>
        <w:tc>
          <w:tcPr>
            <w:tcW w:w="751" w:type="dxa"/>
            <w:vMerge w:val="continue"/>
            <w:tcBorders>
              <w:top w:val="nil"/>
              <w:left w:val="single" w:color="000000" w:sz="6" w:space="0"/>
              <w:bottom w:val="nil"/>
            </w:tcBorders>
            <w:vAlign w:val="top"/>
          </w:tcPr>
          <w:p w14:paraId="5572B363">
            <w:pPr>
              <w:rPr>
                <w:rFonts w:ascii="Arial"/>
                <w:sz w:val="21"/>
              </w:rPr>
            </w:pPr>
          </w:p>
        </w:tc>
        <w:tc>
          <w:tcPr>
            <w:tcW w:w="8313" w:type="dxa"/>
            <w:gridSpan w:val="17"/>
            <w:tcBorders>
              <w:right w:val="single" w:color="000000" w:sz="6" w:space="0"/>
            </w:tcBorders>
            <w:vAlign w:val="top"/>
          </w:tcPr>
          <w:p w14:paraId="3BC985BA">
            <w:pPr>
              <w:pStyle w:val="9"/>
              <w:spacing w:before="175" w:line="220" w:lineRule="auto"/>
              <w:ind w:left="584"/>
              <w:outlineLvl w:val="1"/>
            </w:pPr>
            <w:r>
              <w:rPr>
                <w:rFonts w:ascii="Times New Roman" w:hAnsi="Times New Roman" w:eastAsia="Times New Roman" w:cs="Times New Roman"/>
                <w:b/>
                <w:bCs/>
                <w:spacing w:val="-3"/>
              </w:rPr>
              <w:t>2.</w:t>
            </w:r>
            <w:r>
              <w:rPr>
                <w:b/>
                <w:bCs/>
                <w:spacing w:val="-3"/>
              </w:rPr>
              <w:t>噪声监测结果</w:t>
            </w:r>
          </w:p>
          <w:p w14:paraId="68CFB2E1">
            <w:pPr>
              <w:pStyle w:val="9"/>
              <w:spacing w:before="184" w:line="219" w:lineRule="auto"/>
              <w:ind w:left="591"/>
            </w:pPr>
            <w:r>
              <w:rPr>
                <w:spacing w:val="-3"/>
              </w:rPr>
              <w:t>项目风场周界噪声现状监测结果见表</w:t>
            </w:r>
            <w:r>
              <w:rPr>
                <w:spacing w:val="-40"/>
              </w:rPr>
              <w:t xml:space="preserve"> </w:t>
            </w:r>
            <w:r>
              <w:rPr>
                <w:rFonts w:ascii="Times New Roman" w:hAnsi="Times New Roman" w:eastAsia="Times New Roman" w:cs="Times New Roman"/>
                <w:spacing w:val="-3"/>
              </w:rPr>
              <w:t>3-</w:t>
            </w:r>
            <w:r>
              <w:rPr>
                <w:rFonts w:ascii="Times New Roman" w:hAnsi="Times New Roman" w:eastAsia="Times New Roman" w:cs="Times New Roman"/>
                <w:spacing w:val="-32"/>
              </w:rPr>
              <w:t xml:space="preserve"> </w:t>
            </w:r>
            <w:r>
              <w:rPr>
                <w:rFonts w:ascii="Times New Roman" w:hAnsi="Times New Roman" w:eastAsia="Times New Roman" w:cs="Times New Roman"/>
                <w:spacing w:val="-3"/>
              </w:rPr>
              <w:t>14</w:t>
            </w:r>
            <w:r>
              <w:rPr>
                <w:spacing w:val="-3"/>
              </w:rPr>
              <w:t>。</w:t>
            </w:r>
          </w:p>
          <w:p w14:paraId="241A6610">
            <w:pPr>
              <w:pStyle w:val="9"/>
              <w:spacing w:before="182" w:line="212" w:lineRule="auto"/>
              <w:ind w:left="586"/>
              <w:rPr>
                <w:rFonts w:ascii="Times New Roman" w:hAnsi="Times New Roman" w:eastAsia="Times New Roman" w:cs="Times New Roman"/>
              </w:rPr>
            </w:pPr>
            <w:r>
              <w:rPr>
                <w:b/>
                <w:bCs/>
                <w:spacing w:val="-1"/>
              </w:rPr>
              <w:t>表</w:t>
            </w:r>
            <w:r>
              <w:rPr>
                <w:spacing w:val="-56"/>
              </w:rPr>
              <w:t xml:space="preserve"> </w:t>
            </w:r>
            <w:r>
              <w:rPr>
                <w:rFonts w:ascii="Times New Roman" w:hAnsi="Times New Roman" w:eastAsia="Times New Roman" w:cs="Times New Roman"/>
                <w:b/>
                <w:bCs/>
                <w:spacing w:val="-1"/>
              </w:rPr>
              <w:t xml:space="preserve">3-14    </w:t>
            </w:r>
            <w:r>
              <w:rPr>
                <w:b/>
                <w:bCs/>
                <w:spacing w:val="-1"/>
              </w:rPr>
              <w:t>项目区域周界现状环境噪声测量结果统</w:t>
            </w:r>
            <w:r>
              <w:rPr>
                <w:b/>
                <w:bCs/>
                <w:spacing w:val="-2"/>
              </w:rPr>
              <w:t>计表</w:t>
            </w:r>
            <w:r>
              <w:rPr>
                <w:spacing w:val="-2"/>
              </w:rPr>
              <w:t xml:space="preserve">  </w:t>
            </w:r>
            <w:r>
              <w:rPr>
                <w:b/>
                <w:bCs/>
                <w:spacing w:val="-2"/>
              </w:rPr>
              <w:t>单位：</w:t>
            </w:r>
            <w:r>
              <w:rPr>
                <w:rFonts w:ascii="Times New Roman" w:hAnsi="Times New Roman" w:eastAsia="Times New Roman" w:cs="Times New Roman"/>
                <w:b/>
                <w:bCs/>
                <w:spacing w:val="-2"/>
              </w:rPr>
              <w:t>dB(A)</w:t>
            </w:r>
          </w:p>
        </w:tc>
      </w:tr>
      <w:tr w14:paraId="03F5DE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751" w:type="dxa"/>
            <w:vMerge w:val="continue"/>
            <w:tcBorders>
              <w:top w:val="nil"/>
              <w:left w:val="single" w:color="000000" w:sz="6" w:space="0"/>
              <w:bottom w:val="nil"/>
            </w:tcBorders>
            <w:vAlign w:val="top"/>
          </w:tcPr>
          <w:p w14:paraId="34782063">
            <w:pPr>
              <w:rPr>
                <w:rFonts w:ascii="Arial"/>
                <w:sz w:val="21"/>
              </w:rPr>
            </w:pPr>
          </w:p>
        </w:tc>
        <w:tc>
          <w:tcPr>
            <w:tcW w:w="113" w:type="dxa"/>
            <w:tcBorders>
              <w:top w:val="nil"/>
              <w:bottom w:val="nil"/>
            </w:tcBorders>
            <w:vAlign w:val="top"/>
          </w:tcPr>
          <w:p w14:paraId="4A40006A">
            <w:pPr>
              <w:rPr>
                <w:rFonts w:ascii="Arial"/>
                <w:sz w:val="21"/>
              </w:rPr>
            </w:pPr>
          </w:p>
        </w:tc>
        <w:tc>
          <w:tcPr>
            <w:tcW w:w="2565" w:type="dxa"/>
            <w:gridSpan w:val="6"/>
            <w:vMerge w:val="restart"/>
            <w:tcBorders>
              <w:bottom w:val="nil"/>
            </w:tcBorders>
            <w:vAlign w:val="top"/>
          </w:tcPr>
          <w:p w14:paraId="017F05AE">
            <w:pPr>
              <w:pStyle w:val="9"/>
              <w:spacing w:before="251" w:line="228" w:lineRule="auto"/>
              <w:ind w:left="865"/>
              <w:rPr>
                <w:sz w:val="20"/>
                <w:szCs w:val="20"/>
              </w:rPr>
            </w:pPr>
            <w:r>
              <w:rPr>
                <w:spacing w:val="7"/>
                <w:sz w:val="20"/>
                <w:szCs w:val="20"/>
              </w:rPr>
              <w:t>测点编号</w:t>
            </w:r>
          </w:p>
        </w:tc>
        <w:tc>
          <w:tcPr>
            <w:tcW w:w="2809" w:type="dxa"/>
            <w:gridSpan w:val="6"/>
            <w:vAlign w:val="top"/>
          </w:tcPr>
          <w:p w14:paraId="63227755">
            <w:pPr>
              <w:pStyle w:val="9"/>
              <w:spacing w:before="74" w:line="228" w:lineRule="auto"/>
              <w:ind w:left="592"/>
              <w:rPr>
                <w:sz w:val="20"/>
                <w:szCs w:val="20"/>
              </w:rPr>
            </w:pPr>
            <w:r>
              <w:rPr>
                <w:rFonts w:ascii="Times New Roman" w:hAnsi="Times New Roman" w:eastAsia="Times New Roman" w:cs="Times New Roman"/>
                <w:sz w:val="20"/>
                <w:szCs w:val="20"/>
              </w:rPr>
              <w:t xml:space="preserve">2025 </w:t>
            </w:r>
            <w:r>
              <w:rPr>
                <w:sz w:val="20"/>
                <w:szCs w:val="20"/>
              </w:rPr>
              <w:t>年</w:t>
            </w:r>
            <w:r>
              <w:rPr>
                <w:spacing w:val="-38"/>
                <w:sz w:val="20"/>
                <w:szCs w:val="20"/>
              </w:rPr>
              <w:t xml:space="preserve"> </w:t>
            </w:r>
            <w:r>
              <w:rPr>
                <w:rFonts w:ascii="Times New Roman" w:hAnsi="Times New Roman" w:eastAsia="Times New Roman" w:cs="Times New Roman"/>
                <w:sz w:val="20"/>
                <w:szCs w:val="20"/>
              </w:rPr>
              <w:t>7</w:t>
            </w:r>
            <w:r>
              <w:rPr>
                <w:rFonts w:ascii="Times New Roman" w:hAnsi="Times New Roman" w:eastAsia="Times New Roman" w:cs="Times New Roman"/>
                <w:spacing w:val="15"/>
                <w:w w:val="101"/>
                <w:sz w:val="20"/>
                <w:szCs w:val="20"/>
              </w:rPr>
              <w:t xml:space="preserve"> </w:t>
            </w:r>
            <w:r>
              <w:rPr>
                <w:sz w:val="20"/>
                <w:szCs w:val="20"/>
              </w:rPr>
              <w:t>月</w:t>
            </w:r>
            <w:r>
              <w:rPr>
                <w:spacing w:val="-21"/>
                <w:sz w:val="20"/>
                <w:szCs w:val="20"/>
              </w:rPr>
              <w:t xml:space="preserve"> </w:t>
            </w:r>
            <w:r>
              <w:rPr>
                <w:rFonts w:ascii="Times New Roman" w:hAnsi="Times New Roman" w:eastAsia="Times New Roman" w:cs="Times New Roman"/>
                <w:sz w:val="20"/>
                <w:szCs w:val="20"/>
              </w:rPr>
              <w:t xml:space="preserve">18  </w:t>
            </w:r>
            <w:r>
              <w:rPr>
                <w:sz w:val="20"/>
                <w:szCs w:val="20"/>
              </w:rPr>
              <w:t>日</w:t>
            </w:r>
          </w:p>
        </w:tc>
        <w:tc>
          <w:tcPr>
            <w:tcW w:w="2826" w:type="dxa"/>
            <w:gridSpan w:val="4"/>
            <w:tcBorders>
              <w:right w:val="single" w:color="000000" w:sz="6" w:space="0"/>
            </w:tcBorders>
            <w:vAlign w:val="top"/>
          </w:tcPr>
          <w:p w14:paraId="3D19B857">
            <w:pPr>
              <w:pStyle w:val="9"/>
              <w:spacing w:before="74" w:line="228" w:lineRule="auto"/>
              <w:ind w:left="543"/>
              <w:rPr>
                <w:sz w:val="20"/>
                <w:szCs w:val="20"/>
              </w:rPr>
            </w:pPr>
            <w:r>
              <w:rPr>
                <w:rFonts w:ascii="Times New Roman" w:hAnsi="Times New Roman" w:eastAsia="Times New Roman" w:cs="Times New Roman"/>
                <w:sz w:val="20"/>
                <w:szCs w:val="20"/>
              </w:rPr>
              <w:t xml:space="preserve">2025 </w:t>
            </w:r>
            <w:r>
              <w:rPr>
                <w:sz w:val="20"/>
                <w:szCs w:val="20"/>
              </w:rPr>
              <w:t>年</w:t>
            </w:r>
            <w:r>
              <w:rPr>
                <w:spacing w:val="-38"/>
                <w:sz w:val="20"/>
                <w:szCs w:val="20"/>
              </w:rPr>
              <w:t xml:space="preserve"> </w:t>
            </w:r>
            <w:r>
              <w:rPr>
                <w:rFonts w:ascii="Times New Roman" w:hAnsi="Times New Roman" w:eastAsia="Times New Roman" w:cs="Times New Roman"/>
                <w:sz w:val="20"/>
                <w:szCs w:val="20"/>
              </w:rPr>
              <w:t>7</w:t>
            </w:r>
            <w:r>
              <w:rPr>
                <w:rFonts w:ascii="Times New Roman" w:hAnsi="Times New Roman" w:eastAsia="Times New Roman" w:cs="Times New Roman"/>
                <w:spacing w:val="15"/>
                <w:w w:val="101"/>
                <w:sz w:val="20"/>
                <w:szCs w:val="20"/>
              </w:rPr>
              <w:t xml:space="preserve"> </w:t>
            </w:r>
            <w:r>
              <w:rPr>
                <w:sz w:val="20"/>
                <w:szCs w:val="20"/>
              </w:rPr>
              <w:t>月</w:t>
            </w:r>
            <w:r>
              <w:rPr>
                <w:spacing w:val="-21"/>
                <w:sz w:val="20"/>
                <w:szCs w:val="20"/>
              </w:rPr>
              <w:t xml:space="preserve"> </w:t>
            </w:r>
            <w:r>
              <w:rPr>
                <w:rFonts w:ascii="Times New Roman" w:hAnsi="Times New Roman" w:eastAsia="Times New Roman" w:cs="Times New Roman"/>
                <w:sz w:val="20"/>
                <w:szCs w:val="20"/>
              </w:rPr>
              <w:t xml:space="preserve">19  </w:t>
            </w:r>
            <w:r>
              <w:rPr>
                <w:sz w:val="20"/>
                <w:szCs w:val="20"/>
              </w:rPr>
              <w:t>日</w:t>
            </w:r>
          </w:p>
        </w:tc>
      </w:tr>
      <w:tr w14:paraId="1CAE82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 w:hRule="atLeast"/>
        </w:trPr>
        <w:tc>
          <w:tcPr>
            <w:tcW w:w="751" w:type="dxa"/>
            <w:vMerge w:val="continue"/>
            <w:tcBorders>
              <w:top w:val="nil"/>
              <w:left w:val="single" w:color="000000" w:sz="6" w:space="0"/>
              <w:bottom w:val="nil"/>
            </w:tcBorders>
            <w:vAlign w:val="top"/>
          </w:tcPr>
          <w:p w14:paraId="25DAF1AB">
            <w:pPr>
              <w:rPr>
                <w:rFonts w:ascii="Arial"/>
                <w:sz w:val="21"/>
              </w:rPr>
            </w:pPr>
          </w:p>
        </w:tc>
        <w:tc>
          <w:tcPr>
            <w:tcW w:w="113" w:type="dxa"/>
            <w:tcBorders>
              <w:top w:val="nil"/>
              <w:bottom w:val="nil"/>
            </w:tcBorders>
            <w:vAlign w:val="top"/>
          </w:tcPr>
          <w:p w14:paraId="188D083F">
            <w:pPr>
              <w:rPr>
                <w:rFonts w:ascii="Arial"/>
                <w:sz w:val="21"/>
              </w:rPr>
            </w:pPr>
          </w:p>
        </w:tc>
        <w:tc>
          <w:tcPr>
            <w:tcW w:w="2565" w:type="dxa"/>
            <w:gridSpan w:val="6"/>
            <w:vMerge w:val="continue"/>
            <w:tcBorders>
              <w:top w:val="nil"/>
            </w:tcBorders>
            <w:vAlign w:val="top"/>
          </w:tcPr>
          <w:p w14:paraId="7F8995FE">
            <w:pPr>
              <w:rPr>
                <w:rFonts w:ascii="Arial"/>
                <w:sz w:val="21"/>
              </w:rPr>
            </w:pPr>
          </w:p>
        </w:tc>
        <w:tc>
          <w:tcPr>
            <w:tcW w:w="1454" w:type="dxa"/>
            <w:gridSpan w:val="3"/>
            <w:vAlign w:val="top"/>
          </w:tcPr>
          <w:p w14:paraId="0D8AA1F9">
            <w:pPr>
              <w:pStyle w:val="9"/>
              <w:spacing w:before="78" w:line="231" w:lineRule="auto"/>
              <w:ind w:left="521"/>
              <w:rPr>
                <w:sz w:val="20"/>
                <w:szCs w:val="20"/>
              </w:rPr>
            </w:pPr>
            <w:r>
              <w:rPr>
                <w:spacing w:val="5"/>
                <w:sz w:val="20"/>
                <w:szCs w:val="20"/>
              </w:rPr>
              <w:t>昼间</w:t>
            </w:r>
          </w:p>
        </w:tc>
        <w:tc>
          <w:tcPr>
            <w:tcW w:w="1355" w:type="dxa"/>
            <w:gridSpan w:val="3"/>
            <w:vAlign w:val="top"/>
          </w:tcPr>
          <w:p w14:paraId="57686ED7">
            <w:pPr>
              <w:pStyle w:val="9"/>
              <w:spacing w:before="79" w:line="228" w:lineRule="auto"/>
              <w:ind w:left="477"/>
              <w:rPr>
                <w:sz w:val="20"/>
                <w:szCs w:val="20"/>
              </w:rPr>
            </w:pPr>
            <w:r>
              <w:rPr>
                <w:spacing w:val="3"/>
                <w:sz w:val="20"/>
                <w:szCs w:val="20"/>
              </w:rPr>
              <w:t>夜间</w:t>
            </w:r>
          </w:p>
        </w:tc>
        <w:tc>
          <w:tcPr>
            <w:tcW w:w="1353" w:type="dxa"/>
            <w:gridSpan w:val="2"/>
            <w:vAlign w:val="top"/>
          </w:tcPr>
          <w:p w14:paraId="7C273D4D">
            <w:pPr>
              <w:pStyle w:val="9"/>
              <w:spacing w:before="78" w:line="231" w:lineRule="auto"/>
              <w:ind w:left="474"/>
              <w:rPr>
                <w:sz w:val="20"/>
                <w:szCs w:val="20"/>
              </w:rPr>
            </w:pPr>
            <w:r>
              <w:rPr>
                <w:spacing w:val="5"/>
                <w:sz w:val="20"/>
                <w:szCs w:val="20"/>
              </w:rPr>
              <w:t>昼间</w:t>
            </w:r>
          </w:p>
        </w:tc>
        <w:tc>
          <w:tcPr>
            <w:tcW w:w="1473" w:type="dxa"/>
            <w:gridSpan w:val="2"/>
            <w:tcBorders>
              <w:right w:val="single" w:color="000000" w:sz="6" w:space="0"/>
            </w:tcBorders>
            <w:vAlign w:val="top"/>
          </w:tcPr>
          <w:p w14:paraId="3F5093C9">
            <w:pPr>
              <w:pStyle w:val="9"/>
              <w:spacing w:before="79" w:line="228" w:lineRule="auto"/>
              <w:ind w:left="481"/>
              <w:rPr>
                <w:sz w:val="20"/>
                <w:szCs w:val="20"/>
              </w:rPr>
            </w:pPr>
            <w:r>
              <w:rPr>
                <w:spacing w:val="3"/>
                <w:sz w:val="20"/>
                <w:szCs w:val="20"/>
              </w:rPr>
              <w:t>夜间</w:t>
            </w:r>
          </w:p>
        </w:tc>
      </w:tr>
      <w:tr w14:paraId="30B92D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751" w:type="dxa"/>
            <w:vMerge w:val="continue"/>
            <w:tcBorders>
              <w:top w:val="nil"/>
              <w:left w:val="single" w:color="000000" w:sz="6" w:space="0"/>
              <w:bottom w:val="nil"/>
            </w:tcBorders>
            <w:vAlign w:val="top"/>
          </w:tcPr>
          <w:p w14:paraId="2BC91A9F">
            <w:pPr>
              <w:rPr>
                <w:rFonts w:ascii="Arial"/>
                <w:sz w:val="21"/>
              </w:rPr>
            </w:pPr>
          </w:p>
        </w:tc>
        <w:tc>
          <w:tcPr>
            <w:tcW w:w="113" w:type="dxa"/>
            <w:tcBorders>
              <w:top w:val="nil"/>
              <w:bottom w:val="nil"/>
            </w:tcBorders>
            <w:vAlign w:val="top"/>
          </w:tcPr>
          <w:p w14:paraId="40F0A2E3">
            <w:pPr>
              <w:rPr>
                <w:rFonts w:ascii="Arial"/>
                <w:sz w:val="21"/>
              </w:rPr>
            </w:pPr>
          </w:p>
        </w:tc>
        <w:tc>
          <w:tcPr>
            <w:tcW w:w="2565" w:type="dxa"/>
            <w:gridSpan w:val="6"/>
            <w:vAlign w:val="top"/>
          </w:tcPr>
          <w:p w14:paraId="00D60D7A">
            <w:pPr>
              <w:pStyle w:val="9"/>
              <w:spacing w:before="41" w:line="228" w:lineRule="auto"/>
              <w:ind w:left="64"/>
              <w:rPr>
                <w:sz w:val="19"/>
                <w:szCs w:val="19"/>
              </w:rPr>
            </w:pPr>
            <w:r>
              <w:rPr>
                <w:rFonts w:ascii="Times New Roman" w:hAnsi="Times New Roman" w:eastAsia="Times New Roman" w:cs="Times New Roman"/>
                <w:spacing w:val="18"/>
                <w:sz w:val="19"/>
                <w:szCs w:val="19"/>
              </w:rPr>
              <w:t>01#</w:t>
            </w:r>
            <w:r>
              <w:rPr>
                <w:spacing w:val="18"/>
                <w:sz w:val="19"/>
                <w:szCs w:val="19"/>
              </w:rPr>
              <w:t>测点升压站北侧围墙外</w:t>
            </w:r>
          </w:p>
          <w:p w14:paraId="74A6B721">
            <w:pPr>
              <w:pStyle w:val="9"/>
              <w:spacing w:before="22" w:line="209" w:lineRule="auto"/>
              <w:ind w:left="985"/>
              <w:rPr>
                <w:sz w:val="19"/>
                <w:szCs w:val="19"/>
              </w:rPr>
            </w:pPr>
            <w:r>
              <w:rPr>
                <w:rFonts w:ascii="Times New Roman" w:hAnsi="Times New Roman" w:eastAsia="Times New Roman" w:cs="Times New Roman"/>
                <w:sz w:val="19"/>
                <w:szCs w:val="19"/>
              </w:rPr>
              <w:t>1</w:t>
            </w:r>
            <w:r>
              <w:rPr>
                <w:rFonts w:ascii="Times New Roman" w:hAnsi="Times New Roman" w:eastAsia="Times New Roman" w:cs="Times New Roman"/>
                <w:spacing w:val="12"/>
                <w:sz w:val="19"/>
                <w:szCs w:val="19"/>
              </w:rPr>
              <w:t xml:space="preserve">  </w:t>
            </w:r>
            <w:r>
              <w:rPr>
                <w:sz w:val="19"/>
                <w:szCs w:val="19"/>
              </w:rPr>
              <w:t>米处</w:t>
            </w:r>
          </w:p>
        </w:tc>
        <w:tc>
          <w:tcPr>
            <w:tcW w:w="1454" w:type="dxa"/>
            <w:gridSpan w:val="3"/>
            <w:vAlign w:val="top"/>
          </w:tcPr>
          <w:p w14:paraId="6556A688">
            <w:pPr>
              <w:spacing w:before="200" w:line="195" w:lineRule="auto"/>
              <w:ind w:left="62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49</w:t>
            </w:r>
          </w:p>
        </w:tc>
        <w:tc>
          <w:tcPr>
            <w:tcW w:w="1355" w:type="dxa"/>
            <w:gridSpan w:val="3"/>
            <w:vAlign w:val="top"/>
          </w:tcPr>
          <w:p w14:paraId="18F3FA5C">
            <w:pPr>
              <w:spacing w:before="200" w:line="195" w:lineRule="auto"/>
              <w:ind w:left="57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43</w:t>
            </w:r>
          </w:p>
        </w:tc>
        <w:tc>
          <w:tcPr>
            <w:tcW w:w="1353" w:type="dxa"/>
            <w:gridSpan w:val="2"/>
            <w:vAlign w:val="top"/>
          </w:tcPr>
          <w:p w14:paraId="681FFC46">
            <w:pPr>
              <w:spacing w:before="200" w:line="195" w:lineRule="auto"/>
              <w:ind w:left="583"/>
              <w:rPr>
                <w:rFonts w:ascii="Times New Roman" w:hAnsi="Times New Roman" w:eastAsia="Times New Roman" w:cs="Times New Roman"/>
                <w:sz w:val="20"/>
                <w:szCs w:val="20"/>
              </w:rPr>
            </w:pPr>
            <w:r>
              <w:rPr>
                <w:rFonts w:ascii="Times New Roman" w:hAnsi="Times New Roman" w:eastAsia="Times New Roman" w:cs="Times New Roman"/>
                <w:sz w:val="20"/>
                <w:szCs w:val="20"/>
              </w:rPr>
              <w:t>51</w:t>
            </w:r>
          </w:p>
        </w:tc>
        <w:tc>
          <w:tcPr>
            <w:tcW w:w="1473" w:type="dxa"/>
            <w:gridSpan w:val="2"/>
            <w:tcBorders>
              <w:right w:val="single" w:color="000000" w:sz="6" w:space="0"/>
            </w:tcBorders>
            <w:vAlign w:val="top"/>
          </w:tcPr>
          <w:p w14:paraId="504F0005">
            <w:pPr>
              <w:spacing w:before="200" w:line="195" w:lineRule="auto"/>
              <w:ind w:left="57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42</w:t>
            </w:r>
          </w:p>
        </w:tc>
      </w:tr>
      <w:tr w14:paraId="435725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751" w:type="dxa"/>
            <w:vMerge w:val="continue"/>
            <w:tcBorders>
              <w:top w:val="nil"/>
              <w:left w:val="single" w:color="000000" w:sz="6" w:space="0"/>
              <w:bottom w:val="nil"/>
            </w:tcBorders>
            <w:vAlign w:val="top"/>
          </w:tcPr>
          <w:p w14:paraId="2AA23C1D">
            <w:pPr>
              <w:rPr>
                <w:rFonts w:ascii="Arial"/>
                <w:sz w:val="21"/>
              </w:rPr>
            </w:pPr>
          </w:p>
        </w:tc>
        <w:tc>
          <w:tcPr>
            <w:tcW w:w="113" w:type="dxa"/>
            <w:tcBorders>
              <w:top w:val="nil"/>
              <w:bottom w:val="nil"/>
            </w:tcBorders>
            <w:vAlign w:val="top"/>
          </w:tcPr>
          <w:p w14:paraId="0A151ABB">
            <w:pPr>
              <w:rPr>
                <w:rFonts w:ascii="Arial"/>
                <w:sz w:val="21"/>
              </w:rPr>
            </w:pPr>
          </w:p>
        </w:tc>
        <w:tc>
          <w:tcPr>
            <w:tcW w:w="2565" w:type="dxa"/>
            <w:gridSpan w:val="6"/>
            <w:vAlign w:val="top"/>
          </w:tcPr>
          <w:p w14:paraId="65887D5C">
            <w:pPr>
              <w:pStyle w:val="9"/>
              <w:spacing w:before="41" w:line="228" w:lineRule="auto"/>
              <w:ind w:left="64"/>
              <w:rPr>
                <w:sz w:val="19"/>
                <w:szCs w:val="19"/>
              </w:rPr>
            </w:pPr>
            <w:r>
              <w:rPr>
                <w:rFonts w:ascii="Times New Roman" w:hAnsi="Times New Roman" w:eastAsia="Times New Roman" w:cs="Times New Roman"/>
                <w:spacing w:val="18"/>
                <w:sz w:val="19"/>
                <w:szCs w:val="19"/>
              </w:rPr>
              <w:t>02#</w:t>
            </w:r>
            <w:r>
              <w:rPr>
                <w:spacing w:val="18"/>
                <w:sz w:val="19"/>
                <w:szCs w:val="19"/>
              </w:rPr>
              <w:t>测点升压站西侧围墙外</w:t>
            </w:r>
          </w:p>
          <w:p w14:paraId="50B0A5EC">
            <w:pPr>
              <w:pStyle w:val="9"/>
              <w:spacing w:before="22" w:line="209" w:lineRule="auto"/>
              <w:ind w:left="985"/>
              <w:rPr>
                <w:sz w:val="19"/>
                <w:szCs w:val="19"/>
              </w:rPr>
            </w:pPr>
            <w:r>
              <w:rPr>
                <w:rFonts w:ascii="Times New Roman" w:hAnsi="Times New Roman" w:eastAsia="Times New Roman" w:cs="Times New Roman"/>
                <w:sz w:val="19"/>
                <w:szCs w:val="19"/>
              </w:rPr>
              <w:t>1</w:t>
            </w:r>
            <w:r>
              <w:rPr>
                <w:rFonts w:ascii="Times New Roman" w:hAnsi="Times New Roman" w:eastAsia="Times New Roman" w:cs="Times New Roman"/>
                <w:spacing w:val="12"/>
                <w:sz w:val="19"/>
                <w:szCs w:val="19"/>
              </w:rPr>
              <w:t xml:space="preserve">  </w:t>
            </w:r>
            <w:r>
              <w:rPr>
                <w:sz w:val="19"/>
                <w:szCs w:val="19"/>
              </w:rPr>
              <w:t>米处</w:t>
            </w:r>
          </w:p>
        </w:tc>
        <w:tc>
          <w:tcPr>
            <w:tcW w:w="1454" w:type="dxa"/>
            <w:gridSpan w:val="3"/>
            <w:vAlign w:val="top"/>
          </w:tcPr>
          <w:p w14:paraId="3EC24729">
            <w:pPr>
              <w:spacing w:before="200" w:line="195" w:lineRule="auto"/>
              <w:ind w:left="629"/>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c>
          <w:tcPr>
            <w:tcW w:w="1355" w:type="dxa"/>
            <w:gridSpan w:val="3"/>
            <w:vAlign w:val="top"/>
          </w:tcPr>
          <w:p w14:paraId="3AE85FE4">
            <w:pPr>
              <w:spacing w:before="200" w:line="195" w:lineRule="auto"/>
              <w:ind w:left="57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41</w:t>
            </w:r>
          </w:p>
        </w:tc>
        <w:tc>
          <w:tcPr>
            <w:tcW w:w="1353" w:type="dxa"/>
            <w:gridSpan w:val="2"/>
            <w:vAlign w:val="top"/>
          </w:tcPr>
          <w:p w14:paraId="5DA04817">
            <w:pPr>
              <w:spacing w:before="200" w:line="195" w:lineRule="auto"/>
              <w:ind w:left="583"/>
              <w:rPr>
                <w:rFonts w:ascii="Times New Roman" w:hAnsi="Times New Roman" w:eastAsia="Times New Roman" w:cs="Times New Roman"/>
                <w:sz w:val="20"/>
                <w:szCs w:val="20"/>
              </w:rPr>
            </w:pPr>
            <w:r>
              <w:rPr>
                <w:rFonts w:ascii="Times New Roman" w:hAnsi="Times New Roman" w:eastAsia="Times New Roman" w:cs="Times New Roman"/>
                <w:sz w:val="20"/>
                <w:szCs w:val="20"/>
              </w:rPr>
              <w:t>52</w:t>
            </w:r>
          </w:p>
        </w:tc>
        <w:tc>
          <w:tcPr>
            <w:tcW w:w="1473" w:type="dxa"/>
            <w:gridSpan w:val="2"/>
            <w:tcBorders>
              <w:right w:val="single" w:color="000000" w:sz="6" w:space="0"/>
            </w:tcBorders>
            <w:vAlign w:val="top"/>
          </w:tcPr>
          <w:p w14:paraId="40C03B3A">
            <w:pPr>
              <w:spacing w:before="200" w:line="195" w:lineRule="auto"/>
              <w:ind w:left="57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42</w:t>
            </w:r>
          </w:p>
        </w:tc>
      </w:tr>
      <w:tr w14:paraId="6C9479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trPr>
        <w:tc>
          <w:tcPr>
            <w:tcW w:w="751" w:type="dxa"/>
            <w:vMerge w:val="continue"/>
            <w:tcBorders>
              <w:top w:val="nil"/>
              <w:left w:val="single" w:color="000000" w:sz="6" w:space="0"/>
              <w:bottom w:val="nil"/>
            </w:tcBorders>
            <w:vAlign w:val="top"/>
          </w:tcPr>
          <w:p w14:paraId="5CD92A31">
            <w:pPr>
              <w:rPr>
                <w:rFonts w:ascii="Arial"/>
                <w:sz w:val="21"/>
              </w:rPr>
            </w:pPr>
          </w:p>
        </w:tc>
        <w:tc>
          <w:tcPr>
            <w:tcW w:w="113" w:type="dxa"/>
            <w:tcBorders>
              <w:top w:val="nil"/>
              <w:bottom w:val="nil"/>
            </w:tcBorders>
            <w:vAlign w:val="top"/>
          </w:tcPr>
          <w:p w14:paraId="3818679C">
            <w:pPr>
              <w:rPr>
                <w:rFonts w:ascii="Arial"/>
                <w:sz w:val="21"/>
              </w:rPr>
            </w:pPr>
          </w:p>
        </w:tc>
        <w:tc>
          <w:tcPr>
            <w:tcW w:w="2565" w:type="dxa"/>
            <w:gridSpan w:val="6"/>
            <w:vAlign w:val="top"/>
          </w:tcPr>
          <w:p w14:paraId="04BFB7AA">
            <w:pPr>
              <w:pStyle w:val="9"/>
              <w:spacing w:before="41" w:line="228" w:lineRule="auto"/>
              <w:ind w:left="64"/>
              <w:rPr>
                <w:sz w:val="19"/>
                <w:szCs w:val="19"/>
              </w:rPr>
            </w:pPr>
            <w:r>
              <w:rPr>
                <w:rFonts w:ascii="Times New Roman" w:hAnsi="Times New Roman" w:eastAsia="Times New Roman" w:cs="Times New Roman"/>
                <w:spacing w:val="18"/>
                <w:sz w:val="19"/>
                <w:szCs w:val="19"/>
              </w:rPr>
              <w:t>03#</w:t>
            </w:r>
            <w:r>
              <w:rPr>
                <w:spacing w:val="18"/>
                <w:sz w:val="19"/>
                <w:szCs w:val="19"/>
              </w:rPr>
              <w:t>测点升压站南侧围墙外</w:t>
            </w:r>
          </w:p>
          <w:p w14:paraId="5805F723">
            <w:pPr>
              <w:pStyle w:val="9"/>
              <w:spacing w:before="24" w:line="206" w:lineRule="auto"/>
              <w:ind w:left="985"/>
              <w:rPr>
                <w:sz w:val="19"/>
                <w:szCs w:val="19"/>
              </w:rPr>
            </w:pPr>
            <w:r>
              <w:rPr>
                <w:rFonts w:ascii="Times New Roman" w:hAnsi="Times New Roman" w:eastAsia="Times New Roman" w:cs="Times New Roman"/>
                <w:sz w:val="19"/>
                <w:szCs w:val="19"/>
              </w:rPr>
              <w:t>1</w:t>
            </w:r>
            <w:r>
              <w:rPr>
                <w:rFonts w:ascii="Times New Roman" w:hAnsi="Times New Roman" w:eastAsia="Times New Roman" w:cs="Times New Roman"/>
                <w:spacing w:val="12"/>
                <w:sz w:val="19"/>
                <w:szCs w:val="19"/>
              </w:rPr>
              <w:t xml:space="preserve">  </w:t>
            </w:r>
            <w:r>
              <w:rPr>
                <w:sz w:val="19"/>
                <w:szCs w:val="19"/>
              </w:rPr>
              <w:t>米处</w:t>
            </w:r>
          </w:p>
        </w:tc>
        <w:tc>
          <w:tcPr>
            <w:tcW w:w="1454" w:type="dxa"/>
            <w:gridSpan w:val="3"/>
            <w:vAlign w:val="top"/>
          </w:tcPr>
          <w:p w14:paraId="02E4FB22">
            <w:pPr>
              <w:spacing w:before="200" w:line="195" w:lineRule="auto"/>
              <w:ind w:left="629"/>
              <w:rPr>
                <w:rFonts w:ascii="Times New Roman" w:hAnsi="Times New Roman" w:eastAsia="Times New Roman" w:cs="Times New Roman"/>
                <w:sz w:val="20"/>
                <w:szCs w:val="20"/>
              </w:rPr>
            </w:pPr>
            <w:r>
              <w:rPr>
                <w:rFonts w:ascii="Times New Roman" w:hAnsi="Times New Roman" w:eastAsia="Times New Roman" w:cs="Times New Roman"/>
                <w:sz w:val="20"/>
                <w:szCs w:val="20"/>
              </w:rPr>
              <w:t>52</w:t>
            </w:r>
          </w:p>
        </w:tc>
        <w:tc>
          <w:tcPr>
            <w:tcW w:w="1355" w:type="dxa"/>
            <w:gridSpan w:val="3"/>
            <w:vAlign w:val="top"/>
          </w:tcPr>
          <w:p w14:paraId="0A422922">
            <w:pPr>
              <w:spacing w:before="200" w:line="195" w:lineRule="auto"/>
              <w:ind w:left="57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w:t>
            </w:r>
          </w:p>
        </w:tc>
        <w:tc>
          <w:tcPr>
            <w:tcW w:w="1353" w:type="dxa"/>
            <w:gridSpan w:val="2"/>
            <w:vAlign w:val="top"/>
          </w:tcPr>
          <w:p w14:paraId="7A02045C">
            <w:pPr>
              <w:spacing w:before="200" w:line="195" w:lineRule="auto"/>
              <w:ind w:left="583"/>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c>
          <w:tcPr>
            <w:tcW w:w="1473" w:type="dxa"/>
            <w:gridSpan w:val="2"/>
            <w:tcBorders>
              <w:right w:val="single" w:color="000000" w:sz="6" w:space="0"/>
            </w:tcBorders>
            <w:vAlign w:val="top"/>
          </w:tcPr>
          <w:p w14:paraId="058A420F">
            <w:pPr>
              <w:spacing w:before="200" w:line="195" w:lineRule="auto"/>
              <w:ind w:left="57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w:t>
            </w:r>
          </w:p>
        </w:tc>
      </w:tr>
      <w:tr w14:paraId="7D237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751" w:type="dxa"/>
            <w:vMerge w:val="continue"/>
            <w:tcBorders>
              <w:top w:val="nil"/>
              <w:left w:val="single" w:color="000000" w:sz="6" w:space="0"/>
              <w:bottom w:val="nil"/>
            </w:tcBorders>
            <w:vAlign w:val="top"/>
          </w:tcPr>
          <w:p w14:paraId="0A9BE181">
            <w:pPr>
              <w:rPr>
                <w:rFonts w:ascii="Arial"/>
                <w:sz w:val="21"/>
              </w:rPr>
            </w:pPr>
          </w:p>
        </w:tc>
        <w:tc>
          <w:tcPr>
            <w:tcW w:w="113" w:type="dxa"/>
            <w:tcBorders>
              <w:top w:val="nil"/>
              <w:bottom w:val="nil"/>
            </w:tcBorders>
            <w:vAlign w:val="top"/>
          </w:tcPr>
          <w:p w14:paraId="438AB0BF">
            <w:pPr>
              <w:rPr>
                <w:rFonts w:ascii="Arial"/>
                <w:sz w:val="21"/>
              </w:rPr>
            </w:pPr>
          </w:p>
        </w:tc>
        <w:tc>
          <w:tcPr>
            <w:tcW w:w="2565" w:type="dxa"/>
            <w:gridSpan w:val="6"/>
            <w:vAlign w:val="top"/>
          </w:tcPr>
          <w:p w14:paraId="70CAE492">
            <w:pPr>
              <w:pStyle w:val="9"/>
              <w:spacing w:before="42" w:line="228" w:lineRule="auto"/>
              <w:ind w:left="64"/>
              <w:rPr>
                <w:sz w:val="19"/>
                <w:szCs w:val="19"/>
              </w:rPr>
            </w:pPr>
            <w:r>
              <w:rPr>
                <w:rFonts w:ascii="Times New Roman" w:hAnsi="Times New Roman" w:eastAsia="Times New Roman" w:cs="Times New Roman"/>
                <w:spacing w:val="18"/>
                <w:sz w:val="19"/>
                <w:szCs w:val="19"/>
              </w:rPr>
              <w:t>04#</w:t>
            </w:r>
            <w:r>
              <w:rPr>
                <w:spacing w:val="18"/>
                <w:sz w:val="19"/>
                <w:szCs w:val="19"/>
              </w:rPr>
              <w:t>测点升压站东侧围墙外</w:t>
            </w:r>
          </w:p>
          <w:p w14:paraId="4EED9054">
            <w:pPr>
              <w:pStyle w:val="9"/>
              <w:spacing w:before="24" w:line="206" w:lineRule="auto"/>
              <w:ind w:left="985"/>
              <w:rPr>
                <w:sz w:val="19"/>
                <w:szCs w:val="19"/>
              </w:rPr>
            </w:pPr>
            <w:r>
              <w:rPr>
                <w:rFonts w:ascii="Times New Roman" w:hAnsi="Times New Roman" w:eastAsia="Times New Roman" w:cs="Times New Roman"/>
                <w:sz w:val="19"/>
                <w:szCs w:val="19"/>
              </w:rPr>
              <w:t>1</w:t>
            </w:r>
            <w:r>
              <w:rPr>
                <w:rFonts w:ascii="Times New Roman" w:hAnsi="Times New Roman" w:eastAsia="Times New Roman" w:cs="Times New Roman"/>
                <w:spacing w:val="12"/>
                <w:sz w:val="19"/>
                <w:szCs w:val="19"/>
              </w:rPr>
              <w:t xml:space="preserve">  </w:t>
            </w:r>
            <w:r>
              <w:rPr>
                <w:sz w:val="19"/>
                <w:szCs w:val="19"/>
              </w:rPr>
              <w:t>米处</w:t>
            </w:r>
          </w:p>
        </w:tc>
        <w:tc>
          <w:tcPr>
            <w:tcW w:w="1454" w:type="dxa"/>
            <w:gridSpan w:val="3"/>
            <w:vAlign w:val="top"/>
          </w:tcPr>
          <w:p w14:paraId="0E6AF8D8">
            <w:pPr>
              <w:spacing w:before="201" w:line="195" w:lineRule="auto"/>
              <w:ind w:left="62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49</w:t>
            </w:r>
          </w:p>
        </w:tc>
        <w:tc>
          <w:tcPr>
            <w:tcW w:w="1355" w:type="dxa"/>
            <w:gridSpan w:val="3"/>
            <w:vAlign w:val="top"/>
          </w:tcPr>
          <w:p w14:paraId="7AD2C304">
            <w:pPr>
              <w:spacing w:before="201" w:line="195" w:lineRule="auto"/>
              <w:ind w:left="57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42</w:t>
            </w:r>
          </w:p>
        </w:tc>
        <w:tc>
          <w:tcPr>
            <w:tcW w:w="1353" w:type="dxa"/>
            <w:gridSpan w:val="2"/>
            <w:vAlign w:val="top"/>
          </w:tcPr>
          <w:p w14:paraId="62538238">
            <w:pPr>
              <w:spacing w:before="201" w:line="195" w:lineRule="auto"/>
              <w:ind w:left="583"/>
              <w:rPr>
                <w:rFonts w:ascii="Times New Roman" w:hAnsi="Times New Roman" w:eastAsia="Times New Roman" w:cs="Times New Roman"/>
                <w:sz w:val="20"/>
                <w:szCs w:val="20"/>
              </w:rPr>
            </w:pPr>
            <w:r>
              <w:rPr>
                <w:rFonts w:ascii="Times New Roman" w:hAnsi="Times New Roman" w:eastAsia="Times New Roman" w:cs="Times New Roman"/>
                <w:sz w:val="20"/>
                <w:szCs w:val="20"/>
              </w:rPr>
              <w:t>52</w:t>
            </w:r>
          </w:p>
        </w:tc>
        <w:tc>
          <w:tcPr>
            <w:tcW w:w="1473" w:type="dxa"/>
            <w:gridSpan w:val="2"/>
            <w:tcBorders>
              <w:right w:val="single" w:color="000000" w:sz="6" w:space="0"/>
            </w:tcBorders>
            <w:vAlign w:val="top"/>
          </w:tcPr>
          <w:p w14:paraId="0AA1EC31">
            <w:pPr>
              <w:spacing w:before="201" w:line="195" w:lineRule="auto"/>
              <w:ind w:left="57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43</w:t>
            </w:r>
          </w:p>
        </w:tc>
      </w:tr>
      <w:tr w14:paraId="1DDA15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751" w:type="dxa"/>
            <w:vMerge w:val="continue"/>
            <w:tcBorders>
              <w:top w:val="nil"/>
              <w:left w:val="single" w:color="000000" w:sz="6" w:space="0"/>
              <w:bottom w:val="nil"/>
            </w:tcBorders>
            <w:vAlign w:val="top"/>
          </w:tcPr>
          <w:p w14:paraId="57918CD0">
            <w:pPr>
              <w:rPr>
                <w:rFonts w:ascii="Arial"/>
                <w:sz w:val="21"/>
              </w:rPr>
            </w:pPr>
          </w:p>
        </w:tc>
        <w:tc>
          <w:tcPr>
            <w:tcW w:w="113" w:type="dxa"/>
            <w:tcBorders>
              <w:top w:val="nil"/>
              <w:bottom w:val="nil"/>
            </w:tcBorders>
            <w:vAlign w:val="top"/>
          </w:tcPr>
          <w:p w14:paraId="31694C6B">
            <w:pPr>
              <w:rPr>
                <w:rFonts w:ascii="Arial"/>
                <w:sz w:val="21"/>
              </w:rPr>
            </w:pPr>
          </w:p>
        </w:tc>
        <w:tc>
          <w:tcPr>
            <w:tcW w:w="2565" w:type="dxa"/>
            <w:gridSpan w:val="6"/>
            <w:vAlign w:val="top"/>
          </w:tcPr>
          <w:p w14:paraId="5CB377BE">
            <w:pPr>
              <w:pStyle w:val="9"/>
              <w:spacing w:before="88" w:line="228" w:lineRule="auto"/>
              <w:ind w:left="971"/>
              <w:rPr>
                <w:sz w:val="20"/>
                <w:szCs w:val="20"/>
              </w:rPr>
            </w:pPr>
            <w:r>
              <w:rPr>
                <w:spacing w:val="6"/>
                <w:sz w:val="20"/>
                <w:szCs w:val="20"/>
              </w:rPr>
              <w:t>标准值</w:t>
            </w:r>
          </w:p>
        </w:tc>
        <w:tc>
          <w:tcPr>
            <w:tcW w:w="1454" w:type="dxa"/>
            <w:gridSpan w:val="3"/>
            <w:vAlign w:val="top"/>
          </w:tcPr>
          <w:p w14:paraId="0A512EC6">
            <w:pPr>
              <w:spacing w:before="126" w:line="195" w:lineRule="auto"/>
              <w:ind w:left="628"/>
              <w:rPr>
                <w:rFonts w:ascii="Times New Roman" w:hAnsi="Times New Roman" w:eastAsia="Times New Roman" w:cs="Times New Roman"/>
                <w:sz w:val="20"/>
                <w:szCs w:val="20"/>
              </w:rPr>
            </w:pPr>
            <w:r>
              <w:rPr>
                <w:rFonts w:ascii="Times New Roman" w:hAnsi="Times New Roman" w:eastAsia="Times New Roman" w:cs="Times New Roman"/>
                <w:sz w:val="20"/>
                <w:szCs w:val="20"/>
              </w:rPr>
              <w:t>60</w:t>
            </w:r>
          </w:p>
        </w:tc>
        <w:tc>
          <w:tcPr>
            <w:tcW w:w="1355" w:type="dxa"/>
            <w:gridSpan w:val="3"/>
            <w:vAlign w:val="top"/>
          </w:tcPr>
          <w:p w14:paraId="794304A9">
            <w:pPr>
              <w:spacing w:before="126" w:line="195" w:lineRule="auto"/>
              <w:ind w:left="582"/>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c>
          <w:tcPr>
            <w:tcW w:w="1353" w:type="dxa"/>
            <w:gridSpan w:val="2"/>
            <w:vAlign w:val="top"/>
          </w:tcPr>
          <w:p w14:paraId="5642BE36">
            <w:pPr>
              <w:spacing w:before="126" w:line="195" w:lineRule="auto"/>
              <w:ind w:left="581"/>
              <w:rPr>
                <w:rFonts w:ascii="Times New Roman" w:hAnsi="Times New Roman" w:eastAsia="Times New Roman" w:cs="Times New Roman"/>
                <w:sz w:val="20"/>
                <w:szCs w:val="20"/>
              </w:rPr>
            </w:pPr>
            <w:r>
              <w:rPr>
                <w:rFonts w:ascii="Times New Roman" w:hAnsi="Times New Roman" w:eastAsia="Times New Roman" w:cs="Times New Roman"/>
                <w:sz w:val="20"/>
                <w:szCs w:val="20"/>
              </w:rPr>
              <w:t>60</w:t>
            </w:r>
          </w:p>
        </w:tc>
        <w:tc>
          <w:tcPr>
            <w:tcW w:w="1473" w:type="dxa"/>
            <w:gridSpan w:val="2"/>
            <w:tcBorders>
              <w:right w:val="single" w:color="000000" w:sz="6" w:space="0"/>
            </w:tcBorders>
            <w:vAlign w:val="top"/>
          </w:tcPr>
          <w:p w14:paraId="1F388EAD">
            <w:pPr>
              <w:spacing w:before="126" w:line="195" w:lineRule="auto"/>
              <w:ind w:left="583"/>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r>
      <w:tr w14:paraId="73B5FE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95" w:hRule="atLeast"/>
        </w:trPr>
        <w:tc>
          <w:tcPr>
            <w:tcW w:w="751" w:type="dxa"/>
            <w:vMerge w:val="continue"/>
            <w:tcBorders>
              <w:top w:val="nil"/>
              <w:left w:val="single" w:color="000000" w:sz="6" w:space="0"/>
              <w:bottom w:val="single" w:color="000000" w:sz="6" w:space="0"/>
            </w:tcBorders>
            <w:vAlign w:val="top"/>
          </w:tcPr>
          <w:p w14:paraId="062CF370">
            <w:pPr>
              <w:rPr>
                <w:rFonts w:ascii="Arial"/>
                <w:sz w:val="21"/>
              </w:rPr>
            </w:pPr>
          </w:p>
        </w:tc>
        <w:tc>
          <w:tcPr>
            <w:tcW w:w="8313" w:type="dxa"/>
            <w:gridSpan w:val="17"/>
            <w:tcBorders>
              <w:bottom w:val="single" w:color="000000" w:sz="6" w:space="0"/>
              <w:right w:val="single" w:color="000000" w:sz="6" w:space="0"/>
            </w:tcBorders>
            <w:vAlign w:val="top"/>
          </w:tcPr>
          <w:p w14:paraId="14A68D3A">
            <w:pPr>
              <w:pStyle w:val="9"/>
              <w:spacing w:before="184" w:line="218" w:lineRule="auto"/>
              <w:ind w:left="582"/>
              <w:outlineLvl w:val="1"/>
            </w:pPr>
            <w:r>
              <w:rPr>
                <w:rFonts w:ascii="Times New Roman" w:hAnsi="Times New Roman" w:eastAsia="Times New Roman" w:cs="Times New Roman"/>
                <w:b/>
                <w:bCs/>
                <w:spacing w:val="-2"/>
              </w:rPr>
              <w:t>3.</w:t>
            </w:r>
            <w:r>
              <w:rPr>
                <w:b/>
                <w:bCs/>
                <w:spacing w:val="-2"/>
              </w:rPr>
              <w:t>噪声评价结果</w:t>
            </w:r>
          </w:p>
          <w:p w14:paraId="650A8B4A">
            <w:pPr>
              <w:pStyle w:val="9"/>
              <w:spacing w:before="184" w:line="316" w:lineRule="auto"/>
              <w:ind w:left="109" w:right="22" w:firstLine="506"/>
              <w:jc w:val="both"/>
            </w:pPr>
            <w:r>
              <w:rPr>
                <w:spacing w:val="9"/>
              </w:rPr>
              <w:t>由表</w:t>
            </w:r>
            <w:r>
              <w:rPr>
                <w:spacing w:val="-22"/>
              </w:rPr>
              <w:t xml:space="preserve"> </w:t>
            </w:r>
            <w:r>
              <w:rPr>
                <w:rFonts w:ascii="Times New Roman" w:hAnsi="Times New Roman" w:eastAsia="Times New Roman" w:cs="Times New Roman"/>
                <w:spacing w:val="9"/>
              </w:rPr>
              <w:t>3-</w:t>
            </w:r>
            <w:r>
              <w:rPr>
                <w:rFonts w:ascii="Times New Roman" w:hAnsi="Times New Roman" w:eastAsia="Times New Roman" w:cs="Times New Roman"/>
                <w:spacing w:val="-30"/>
              </w:rPr>
              <w:t xml:space="preserve"> </w:t>
            </w:r>
            <w:r>
              <w:rPr>
                <w:rFonts w:ascii="Times New Roman" w:hAnsi="Times New Roman" w:eastAsia="Times New Roman" w:cs="Times New Roman"/>
                <w:spacing w:val="9"/>
              </w:rPr>
              <w:t>14</w:t>
            </w:r>
            <w:r>
              <w:rPr>
                <w:rFonts w:ascii="Times New Roman" w:hAnsi="Times New Roman" w:eastAsia="Times New Roman" w:cs="Times New Roman"/>
                <w:spacing w:val="30"/>
                <w:w w:val="101"/>
              </w:rPr>
              <w:t xml:space="preserve"> </w:t>
            </w:r>
            <w:r>
              <w:rPr>
                <w:spacing w:val="9"/>
              </w:rPr>
              <w:t>可以看出</w:t>
            </w:r>
            <w:r>
              <w:rPr>
                <w:spacing w:val="-72"/>
              </w:rPr>
              <w:t xml:space="preserve"> </w:t>
            </w:r>
            <w:r>
              <w:rPr>
                <w:spacing w:val="9"/>
              </w:rPr>
              <w:t>，在项</w:t>
            </w:r>
            <w:r>
              <w:rPr>
                <w:spacing w:val="-46"/>
              </w:rPr>
              <w:t xml:space="preserve"> </w:t>
            </w:r>
            <w:r>
              <w:rPr>
                <w:spacing w:val="9"/>
              </w:rPr>
              <w:t>目区域周界噪声现状测量值</w:t>
            </w:r>
            <w:r>
              <w:rPr>
                <w:spacing w:val="-71"/>
              </w:rPr>
              <w:t xml:space="preserve"> </w:t>
            </w:r>
            <w:r>
              <w:rPr>
                <w:spacing w:val="9"/>
              </w:rPr>
              <w:t>，昼间在</w:t>
            </w:r>
            <w:r>
              <w:rPr>
                <w:spacing w:val="-37"/>
              </w:rPr>
              <w:t xml:space="preserve"> </w:t>
            </w:r>
            <w:r>
              <w:rPr>
                <w:rFonts w:ascii="Times New Roman" w:hAnsi="Times New Roman" w:eastAsia="Times New Roman" w:cs="Times New Roman"/>
                <w:spacing w:val="9"/>
              </w:rPr>
              <w:t>49</w:t>
            </w:r>
            <w:r>
              <w:rPr>
                <w:spacing w:val="9"/>
              </w:rPr>
              <w:t>~</w:t>
            </w:r>
            <w:r>
              <w:t xml:space="preserve"> </w:t>
            </w:r>
            <w:r>
              <w:rPr>
                <w:rFonts w:ascii="Times New Roman" w:hAnsi="Times New Roman" w:eastAsia="Times New Roman" w:cs="Times New Roman"/>
                <w:spacing w:val="2"/>
              </w:rPr>
              <w:t>52</w:t>
            </w:r>
            <w:r>
              <w:rPr>
                <w:rFonts w:ascii="Times New Roman" w:hAnsi="Times New Roman" w:eastAsia="Times New Roman" w:cs="Times New Roman"/>
              </w:rPr>
              <w:t>dB</w:t>
            </w:r>
            <w:r>
              <w:rPr>
                <w:rFonts w:ascii="Times New Roman" w:hAnsi="Times New Roman" w:eastAsia="Times New Roman" w:cs="Times New Roman"/>
                <w:spacing w:val="2"/>
              </w:rPr>
              <w:t>(A)</w:t>
            </w:r>
            <w:r>
              <w:rPr>
                <w:spacing w:val="2"/>
              </w:rPr>
              <w:t>之间，夜间在</w:t>
            </w:r>
            <w:r>
              <w:rPr>
                <w:spacing w:val="-51"/>
              </w:rPr>
              <w:t xml:space="preserve"> </w:t>
            </w:r>
            <w:r>
              <w:rPr>
                <w:rFonts w:ascii="Times New Roman" w:hAnsi="Times New Roman" w:eastAsia="Times New Roman" w:cs="Times New Roman"/>
                <w:spacing w:val="2"/>
              </w:rPr>
              <w:t>40</w:t>
            </w:r>
            <w:r>
              <w:rPr>
                <w:spacing w:val="2"/>
              </w:rPr>
              <w:t>～</w:t>
            </w:r>
            <w:r>
              <w:rPr>
                <w:rFonts w:ascii="Times New Roman" w:hAnsi="Times New Roman" w:eastAsia="Times New Roman" w:cs="Times New Roman"/>
                <w:spacing w:val="2"/>
              </w:rPr>
              <w:t>43</w:t>
            </w:r>
            <w:r>
              <w:rPr>
                <w:rFonts w:ascii="Times New Roman" w:hAnsi="Times New Roman" w:eastAsia="Times New Roman" w:cs="Times New Roman"/>
              </w:rPr>
              <w:t>dB</w:t>
            </w:r>
            <w:r>
              <w:rPr>
                <w:rFonts w:ascii="Times New Roman" w:hAnsi="Times New Roman" w:eastAsia="Times New Roman" w:cs="Times New Roman"/>
                <w:spacing w:val="2"/>
              </w:rPr>
              <w:t>(A)</w:t>
            </w:r>
            <w:r>
              <w:rPr>
                <w:spacing w:val="2"/>
              </w:rPr>
              <w:t>之间；监测点的噪声现状监测值均未超过</w:t>
            </w:r>
            <w:r>
              <w:rPr>
                <w:spacing w:val="-2"/>
              </w:rPr>
              <w:t>《声环境质量标准》</w:t>
            </w:r>
            <w:r>
              <w:rPr>
                <w:rFonts w:ascii="Times New Roman" w:hAnsi="Times New Roman" w:eastAsia="Times New Roman" w:cs="Times New Roman"/>
                <w:spacing w:val="-2"/>
              </w:rPr>
              <w:t>(GB3096-2008)</w:t>
            </w:r>
            <w:r>
              <w:rPr>
                <w:spacing w:val="-2"/>
              </w:rPr>
              <w:t>的</w:t>
            </w:r>
            <w:r>
              <w:rPr>
                <w:spacing w:val="-55"/>
              </w:rPr>
              <w:t xml:space="preserve"> </w:t>
            </w:r>
            <w:r>
              <w:rPr>
                <w:rFonts w:ascii="Times New Roman" w:hAnsi="Times New Roman" w:eastAsia="Times New Roman" w:cs="Times New Roman"/>
                <w:spacing w:val="-2"/>
              </w:rPr>
              <w:t xml:space="preserve">2 </w:t>
            </w:r>
            <w:r>
              <w:rPr>
                <w:spacing w:val="-2"/>
              </w:rPr>
              <w:t>类标准；本项目周围声环境</w:t>
            </w:r>
            <w:r>
              <w:rPr>
                <w:spacing w:val="-3"/>
              </w:rPr>
              <w:t>质量良好。</w:t>
            </w:r>
          </w:p>
        </w:tc>
      </w:tr>
    </w:tbl>
    <w:p w14:paraId="5B768E90">
      <w:pPr>
        <w:pStyle w:val="3"/>
      </w:pPr>
    </w:p>
    <w:p w14:paraId="3CDE205F">
      <w:pPr>
        <w:sectPr>
          <w:footerReference r:id="rId50" w:type="default"/>
          <w:pgSz w:w="11906" w:h="16838"/>
          <w:pgMar w:top="1416" w:right="1413" w:bottom="1295" w:left="1413" w:header="0" w:footer="1133" w:gutter="0"/>
          <w:cols w:space="720" w:num="1"/>
        </w:sectPr>
      </w:pPr>
    </w:p>
    <w:tbl>
      <w:tblPr>
        <w:tblStyle w:val="8"/>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1"/>
        <w:gridCol w:w="112"/>
        <w:gridCol w:w="764"/>
        <w:gridCol w:w="906"/>
        <w:gridCol w:w="1043"/>
        <w:gridCol w:w="1240"/>
        <w:gridCol w:w="1010"/>
        <w:gridCol w:w="1345"/>
        <w:gridCol w:w="832"/>
        <w:gridCol w:w="968"/>
        <w:gridCol w:w="93"/>
      </w:tblGrid>
      <w:tr w14:paraId="46760F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4" w:hRule="atLeast"/>
        </w:trPr>
        <w:tc>
          <w:tcPr>
            <w:tcW w:w="751" w:type="dxa"/>
            <w:tcBorders>
              <w:top w:val="single" w:color="000000" w:sz="6" w:space="0"/>
              <w:left w:val="single" w:color="000000" w:sz="6" w:space="0"/>
            </w:tcBorders>
            <w:vAlign w:val="top"/>
          </w:tcPr>
          <w:p w14:paraId="70E6CCA3">
            <w:pPr>
              <w:rPr>
                <w:rFonts w:ascii="Arial"/>
                <w:sz w:val="21"/>
              </w:rPr>
            </w:pPr>
          </w:p>
        </w:tc>
        <w:tc>
          <w:tcPr>
            <w:tcW w:w="8313" w:type="dxa"/>
            <w:gridSpan w:val="10"/>
            <w:tcBorders>
              <w:top w:val="single" w:color="000000" w:sz="6" w:space="0"/>
              <w:right w:val="single" w:color="000000" w:sz="6" w:space="0"/>
            </w:tcBorders>
            <w:vAlign w:val="top"/>
          </w:tcPr>
          <w:p w14:paraId="32E20E9A">
            <w:pPr>
              <w:pStyle w:val="9"/>
              <w:spacing w:before="174" w:line="219" w:lineRule="auto"/>
              <w:ind w:left="108"/>
            </w:pPr>
            <w:r>
              <w:rPr>
                <w:spacing w:val="-1"/>
              </w:rPr>
              <w:t>本项目噪声监测布点图见附图</w:t>
            </w:r>
            <w:r>
              <w:rPr>
                <w:spacing w:val="-57"/>
              </w:rPr>
              <w:t xml:space="preserve"> </w:t>
            </w:r>
            <w:r>
              <w:rPr>
                <w:rFonts w:ascii="Times New Roman" w:hAnsi="Times New Roman" w:eastAsia="Times New Roman" w:cs="Times New Roman"/>
                <w:spacing w:val="-1"/>
              </w:rPr>
              <w:t>4</w:t>
            </w:r>
            <w:r>
              <w:rPr>
                <w:spacing w:val="-1"/>
              </w:rPr>
              <w:t>。</w:t>
            </w:r>
          </w:p>
          <w:p w14:paraId="17E40B83">
            <w:pPr>
              <w:pStyle w:val="9"/>
              <w:spacing w:before="186" w:line="219" w:lineRule="auto"/>
              <w:ind w:left="591"/>
            </w:pPr>
            <w:r>
              <w:rPr>
                <w:b/>
                <w:bCs/>
                <w:spacing w:val="-4"/>
              </w:rPr>
              <w:t>五、电磁环境现状</w:t>
            </w:r>
          </w:p>
          <w:p w14:paraId="54906FF8">
            <w:pPr>
              <w:pStyle w:val="9"/>
              <w:spacing w:before="184" w:line="362" w:lineRule="auto"/>
              <w:ind w:left="115" w:right="22" w:firstLine="475"/>
            </w:pPr>
            <w:r>
              <w:rPr>
                <w:spacing w:val="-2"/>
              </w:rPr>
              <w:t>为了解项目所在区域的电磁环境质量现状，委托内蒙古肆</w:t>
            </w:r>
            <w:r>
              <w:rPr>
                <w:spacing w:val="-3"/>
              </w:rPr>
              <w:t>合环境检测有限</w:t>
            </w:r>
            <w:r>
              <w:rPr>
                <w:spacing w:val="-2"/>
              </w:rPr>
              <w:t>公司于</w:t>
            </w:r>
            <w:r>
              <w:rPr>
                <w:rFonts w:ascii="Times New Roman" w:hAnsi="Times New Roman" w:eastAsia="Times New Roman" w:cs="Times New Roman"/>
                <w:spacing w:val="-2"/>
              </w:rPr>
              <w:t>2026</w:t>
            </w:r>
            <w:r>
              <w:rPr>
                <w:rFonts w:ascii="Times New Roman" w:hAnsi="Times New Roman" w:eastAsia="Times New Roman" w:cs="Times New Roman"/>
                <w:spacing w:val="-19"/>
              </w:rPr>
              <w:t xml:space="preserve"> </w:t>
            </w:r>
            <w:r>
              <w:rPr>
                <w:spacing w:val="-2"/>
              </w:rPr>
              <w:t>年</w:t>
            </w:r>
            <w:r>
              <w:rPr>
                <w:rFonts w:ascii="Times New Roman" w:hAnsi="Times New Roman" w:eastAsia="Times New Roman" w:cs="Times New Roman"/>
                <w:spacing w:val="-2"/>
              </w:rPr>
              <w:t>7</w:t>
            </w:r>
            <w:r>
              <w:rPr>
                <w:rFonts w:ascii="Times New Roman" w:hAnsi="Times New Roman" w:eastAsia="Times New Roman" w:cs="Times New Roman"/>
                <w:spacing w:val="-14"/>
              </w:rPr>
              <w:t xml:space="preserve"> </w:t>
            </w:r>
            <w:r>
              <w:rPr>
                <w:spacing w:val="-2"/>
              </w:rPr>
              <w:t>月</w:t>
            </w:r>
            <w:r>
              <w:rPr>
                <w:spacing w:val="-60"/>
              </w:rPr>
              <w:t xml:space="preserve"> </w:t>
            </w:r>
            <w:r>
              <w:rPr>
                <w:rFonts w:ascii="Times New Roman" w:hAnsi="Times New Roman" w:eastAsia="Times New Roman" w:cs="Times New Roman"/>
                <w:spacing w:val="-2"/>
              </w:rPr>
              <w:t>19</w:t>
            </w:r>
            <w:r>
              <w:rPr>
                <w:rFonts w:ascii="Times New Roman" w:hAnsi="Times New Roman" w:eastAsia="Times New Roman" w:cs="Times New Roman"/>
                <w:spacing w:val="22"/>
              </w:rPr>
              <w:t xml:space="preserve"> </w:t>
            </w:r>
            <w:r>
              <w:rPr>
                <w:spacing w:val="-2"/>
              </w:rPr>
              <w:t>日对夏营地</w:t>
            </w:r>
            <w:r>
              <w:rPr>
                <w:rFonts w:ascii="Times New Roman" w:hAnsi="Times New Roman" w:eastAsia="Times New Roman" w:cs="Times New Roman"/>
                <w:spacing w:val="-2"/>
              </w:rPr>
              <w:t>220kV</w:t>
            </w:r>
            <w:r>
              <w:rPr>
                <w:rFonts w:ascii="Times New Roman" w:hAnsi="Times New Roman" w:eastAsia="Times New Roman" w:cs="Times New Roman"/>
                <w:spacing w:val="-16"/>
              </w:rPr>
              <w:t xml:space="preserve"> </w:t>
            </w:r>
            <w:r>
              <w:rPr>
                <w:spacing w:val="-2"/>
              </w:rPr>
              <w:t>升压站四周电磁环境进行了现</w:t>
            </w:r>
            <w:r>
              <w:rPr>
                <w:spacing w:val="-3"/>
              </w:rPr>
              <w:t>状监测。</w:t>
            </w:r>
          </w:p>
          <w:p w14:paraId="0C69F1FE">
            <w:pPr>
              <w:pStyle w:val="9"/>
              <w:spacing w:before="1" w:line="358" w:lineRule="auto"/>
              <w:ind w:left="108" w:right="102" w:firstLine="479"/>
            </w:pPr>
            <w:r>
              <w:rPr>
                <w:spacing w:val="10"/>
              </w:rPr>
              <w:t>根据现状监测结果，夏营地</w:t>
            </w:r>
            <w:r>
              <w:rPr>
                <w:spacing w:val="-27"/>
              </w:rPr>
              <w:t xml:space="preserve"> </w:t>
            </w:r>
            <w:r>
              <w:rPr>
                <w:rFonts w:ascii="Times New Roman" w:hAnsi="Times New Roman" w:eastAsia="Times New Roman" w:cs="Times New Roman"/>
                <w:spacing w:val="10"/>
              </w:rPr>
              <w:t>220</w:t>
            </w:r>
            <w:r>
              <w:rPr>
                <w:rFonts w:ascii="Times New Roman" w:hAnsi="Times New Roman" w:eastAsia="Times New Roman" w:cs="Times New Roman"/>
              </w:rPr>
              <w:t>kV</w:t>
            </w:r>
            <w:r>
              <w:rPr>
                <w:rFonts w:ascii="Times New Roman" w:hAnsi="Times New Roman" w:eastAsia="Times New Roman" w:cs="Times New Roman"/>
                <w:spacing w:val="25"/>
                <w:w w:val="101"/>
              </w:rPr>
              <w:t xml:space="preserve"> </w:t>
            </w:r>
            <w:r>
              <w:rPr>
                <w:spacing w:val="10"/>
              </w:rPr>
              <w:t>升压站现状监测点工频电场强度为</w:t>
            </w:r>
            <w:r>
              <w:rPr>
                <w:rFonts w:ascii="Times New Roman" w:hAnsi="Times New Roman" w:eastAsia="Times New Roman" w:cs="Times New Roman"/>
              </w:rPr>
              <w:t>105.8V/m~691.9 V/m</w:t>
            </w:r>
            <w:r>
              <w:rPr>
                <w:rFonts w:ascii="Times New Roman" w:hAnsi="Times New Roman" w:eastAsia="Times New Roman" w:cs="Times New Roman"/>
                <w:spacing w:val="-28"/>
              </w:rPr>
              <w:t xml:space="preserve"> </w:t>
            </w:r>
            <w:r>
              <w:t>，工频磁感应强度为</w:t>
            </w:r>
            <w:r>
              <w:rPr>
                <w:spacing w:val="-49"/>
              </w:rPr>
              <w:t xml:space="preserve"> </w:t>
            </w:r>
            <w:r>
              <w:rPr>
                <w:rFonts w:ascii="Times New Roman" w:hAnsi="Times New Roman" w:eastAsia="Times New Roman" w:cs="Times New Roman"/>
              </w:rPr>
              <w:t>0.0</w:t>
            </w:r>
            <w:r>
              <w:rPr>
                <w:rFonts w:ascii="Times New Roman" w:hAnsi="Times New Roman" w:eastAsia="Times New Roman" w:cs="Times New Roman"/>
                <w:spacing w:val="-1"/>
              </w:rPr>
              <w:t>85μT~0.372µT</w:t>
            </w:r>
            <w:r>
              <w:rPr>
                <w:rFonts w:ascii="Times New Roman" w:hAnsi="Times New Roman" w:eastAsia="Times New Roman" w:cs="Times New Roman"/>
                <w:spacing w:val="-28"/>
              </w:rPr>
              <w:t xml:space="preserve"> </w:t>
            </w:r>
            <w:r>
              <w:rPr>
                <w:spacing w:val="-1"/>
              </w:rPr>
              <w:t>，均小于《电磁环</w:t>
            </w:r>
            <w:r>
              <w:rPr>
                <w:spacing w:val="-11"/>
              </w:rPr>
              <w:t>境控制限值》（</w:t>
            </w:r>
            <w:r>
              <w:rPr>
                <w:rFonts w:ascii="Times New Roman" w:hAnsi="Times New Roman" w:eastAsia="Times New Roman" w:cs="Times New Roman"/>
                <w:spacing w:val="-11"/>
              </w:rPr>
              <w:t>GB8702-2014</w:t>
            </w:r>
            <w:r>
              <w:rPr>
                <w:spacing w:val="-11"/>
              </w:rPr>
              <w:t>）中工频电场强度</w:t>
            </w:r>
            <w:r>
              <w:rPr>
                <w:spacing w:val="-47"/>
              </w:rPr>
              <w:t xml:space="preserve"> </w:t>
            </w:r>
            <w:r>
              <w:rPr>
                <w:rFonts w:ascii="Times New Roman" w:hAnsi="Times New Roman" w:eastAsia="Times New Roman" w:cs="Times New Roman"/>
                <w:spacing w:val="-11"/>
              </w:rPr>
              <w:t>4000V/m</w:t>
            </w:r>
            <w:r>
              <w:rPr>
                <w:spacing w:val="-11"/>
              </w:rPr>
              <w:t>、工频磁感应强度</w:t>
            </w:r>
            <w:r>
              <w:rPr>
                <w:spacing w:val="-32"/>
              </w:rPr>
              <w:t xml:space="preserve"> </w:t>
            </w:r>
            <w:r>
              <w:rPr>
                <w:rFonts w:ascii="Times New Roman" w:hAnsi="Times New Roman" w:eastAsia="Times New Roman" w:cs="Times New Roman"/>
                <w:spacing w:val="-11"/>
              </w:rPr>
              <w:t>100μТ</w:t>
            </w:r>
            <w:r>
              <w:rPr>
                <w:spacing w:val="-1"/>
              </w:rPr>
              <w:t>的公众曝露控制限值要求。</w:t>
            </w:r>
          </w:p>
          <w:p w14:paraId="41B9669A">
            <w:pPr>
              <w:pStyle w:val="9"/>
              <w:spacing w:before="16" w:line="363" w:lineRule="auto"/>
              <w:ind w:left="108" w:right="84" w:firstLine="480"/>
            </w:pPr>
            <w:r>
              <w:rPr>
                <w:spacing w:val="-2"/>
              </w:rPr>
              <w:t>本项目电磁环境现状监测点位及布点方法、监测频次、监测方法及仪器、</w:t>
            </w:r>
            <w:r>
              <w:rPr>
                <w:spacing w:val="-1"/>
              </w:rPr>
              <w:t>监测结果等详见电磁环境影响专题评价。</w:t>
            </w:r>
          </w:p>
        </w:tc>
      </w:tr>
      <w:tr w14:paraId="71E1BA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8" w:hRule="atLeast"/>
        </w:trPr>
        <w:tc>
          <w:tcPr>
            <w:tcW w:w="751" w:type="dxa"/>
            <w:vMerge w:val="restart"/>
            <w:tcBorders>
              <w:left w:val="single" w:color="000000" w:sz="6" w:space="0"/>
              <w:bottom w:val="nil"/>
            </w:tcBorders>
            <w:vAlign w:val="top"/>
          </w:tcPr>
          <w:p w14:paraId="02B6FE99">
            <w:pPr>
              <w:spacing w:line="252" w:lineRule="auto"/>
              <w:rPr>
                <w:rFonts w:ascii="Arial"/>
                <w:sz w:val="21"/>
              </w:rPr>
            </w:pPr>
          </w:p>
          <w:p w14:paraId="31A13C1E">
            <w:pPr>
              <w:spacing w:line="252" w:lineRule="auto"/>
              <w:rPr>
                <w:rFonts w:ascii="Arial"/>
                <w:sz w:val="21"/>
              </w:rPr>
            </w:pPr>
          </w:p>
          <w:p w14:paraId="0EF29DBB">
            <w:pPr>
              <w:spacing w:line="252" w:lineRule="auto"/>
              <w:rPr>
                <w:rFonts w:ascii="Arial"/>
                <w:sz w:val="21"/>
              </w:rPr>
            </w:pPr>
          </w:p>
          <w:p w14:paraId="1AF2A3BD">
            <w:pPr>
              <w:spacing w:line="252" w:lineRule="auto"/>
              <w:rPr>
                <w:rFonts w:ascii="Arial"/>
                <w:sz w:val="21"/>
              </w:rPr>
            </w:pPr>
          </w:p>
          <w:p w14:paraId="67EFA7EE">
            <w:pPr>
              <w:spacing w:line="252" w:lineRule="auto"/>
              <w:rPr>
                <w:rFonts w:ascii="Arial"/>
                <w:sz w:val="21"/>
              </w:rPr>
            </w:pPr>
          </w:p>
          <w:p w14:paraId="78907702">
            <w:pPr>
              <w:spacing w:line="252" w:lineRule="auto"/>
              <w:rPr>
                <w:rFonts w:ascii="Arial"/>
                <w:sz w:val="21"/>
              </w:rPr>
            </w:pPr>
          </w:p>
          <w:p w14:paraId="258890C4">
            <w:pPr>
              <w:spacing w:line="252" w:lineRule="auto"/>
              <w:rPr>
                <w:rFonts w:ascii="Arial"/>
                <w:sz w:val="21"/>
              </w:rPr>
            </w:pPr>
          </w:p>
          <w:p w14:paraId="33A65E4C">
            <w:pPr>
              <w:spacing w:line="253" w:lineRule="auto"/>
              <w:rPr>
                <w:rFonts w:ascii="Arial"/>
                <w:sz w:val="21"/>
              </w:rPr>
            </w:pPr>
          </w:p>
          <w:p w14:paraId="4E4D86F0">
            <w:pPr>
              <w:spacing w:line="253" w:lineRule="auto"/>
              <w:rPr>
                <w:rFonts w:ascii="Arial"/>
                <w:sz w:val="21"/>
              </w:rPr>
            </w:pPr>
          </w:p>
          <w:p w14:paraId="1AB9EC27">
            <w:pPr>
              <w:spacing w:line="253" w:lineRule="auto"/>
              <w:rPr>
                <w:rFonts w:ascii="Arial"/>
                <w:sz w:val="21"/>
              </w:rPr>
            </w:pPr>
          </w:p>
          <w:p w14:paraId="1CD1B222">
            <w:pPr>
              <w:spacing w:line="253" w:lineRule="auto"/>
              <w:rPr>
                <w:rFonts w:ascii="Arial"/>
                <w:sz w:val="21"/>
              </w:rPr>
            </w:pPr>
          </w:p>
          <w:p w14:paraId="7BC6AC32">
            <w:pPr>
              <w:pStyle w:val="9"/>
              <w:spacing w:before="65" w:line="251" w:lineRule="auto"/>
              <w:ind w:left="163" w:right="167" w:firstLine="4"/>
              <w:outlineLvl w:val="2"/>
              <w:rPr>
                <w:sz w:val="20"/>
                <w:szCs w:val="20"/>
              </w:rPr>
            </w:pPr>
            <w:r>
              <w:rPr>
                <w:spacing w:val="2"/>
                <w:sz w:val="20"/>
                <w:szCs w:val="20"/>
              </w:rPr>
              <w:t>与项</w:t>
            </w:r>
            <w:r>
              <w:rPr>
                <w:spacing w:val="4"/>
                <w:sz w:val="20"/>
                <w:szCs w:val="20"/>
              </w:rPr>
              <w:t>目有关的原有环境污染和生</w:t>
            </w:r>
          </w:p>
          <w:p w14:paraId="7E85A4D6">
            <w:pPr>
              <w:pStyle w:val="9"/>
              <w:spacing w:line="253" w:lineRule="auto"/>
              <w:ind w:left="163" w:right="167"/>
              <w:jc w:val="both"/>
              <w:rPr>
                <w:sz w:val="20"/>
                <w:szCs w:val="20"/>
              </w:rPr>
            </w:pPr>
            <w:r>
              <w:rPr>
                <w:spacing w:val="4"/>
                <w:sz w:val="20"/>
                <w:szCs w:val="20"/>
              </w:rPr>
              <w:t>态破坏问</w:t>
            </w:r>
            <w:r>
              <w:rPr>
                <w:spacing w:val="30"/>
                <w:w w:val="138"/>
                <w:sz w:val="20"/>
                <w:szCs w:val="20"/>
              </w:rPr>
              <w:t>题</w:t>
            </w:r>
          </w:p>
        </w:tc>
        <w:tc>
          <w:tcPr>
            <w:tcW w:w="8313" w:type="dxa"/>
            <w:gridSpan w:val="10"/>
            <w:tcBorders>
              <w:right w:val="single" w:color="000000" w:sz="6" w:space="0"/>
            </w:tcBorders>
            <w:vAlign w:val="top"/>
          </w:tcPr>
          <w:p w14:paraId="13949054">
            <w:pPr>
              <w:pStyle w:val="9"/>
              <w:spacing w:before="176" w:line="219" w:lineRule="auto"/>
              <w:ind w:left="591"/>
            </w:pPr>
            <w:r>
              <w:rPr>
                <w:b/>
                <w:bCs/>
                <w:spacing w:val="-3"/>
              </w:rPr>
              <w:t>一、与本项目有关的主要环境问题</w:t>
            </w:r>
          </w:p>
          <w:p w14:paraId="5921E47F">
            <w:pPr>
              <w:pStyle w:val="9"/>
              <w:spacing w:before="185" w:line="361" w:lineRule="auto"/>
              <w:ind w:left="109" w:right="102" w:firstLine="479"/>
            </w:pPr>
            <w:r>
              <w:rPr>
                <w:spacing w:val="-2"/>
              </w:rPr>
              <w:t>本项目为新建项目，项目已建成投运，根据现场勘查情况，没</w:t>
            </w:r>
            <w:r>
              <w:rPr>
                <w:spacing w:val="-3"/>
              </w:rPr>
              <w:t>有原有环境</w:t>
            </w:r>
            <w:r>
              <w:rPr>
                <w:spacing w:val="-2"/>
              </w:rPr>
              <w:t>污染和生态破坏问题。</w:t>
            </w:r>
          </w:p>
          <w:p w14:paraId="55719EE3">
            <w:pPr>
              <w:pStyle w:val="9"/>
              <w:spacing w:line="218" w:lineRule="auto"/>
              <w:ind w:left="591"/>
            </w:pPr>
            <w:r>
              <w:rPr>
                <w:b/>
                <w:bCs/>
                <w:spacing w:val="-3"/>
              </w:rPr>
              <w:t>二、本项目施工临时工程恢复情况</w:t>
            </w:r>
          </w:p>
          <w:p w14:paraId="7FED3970">
            <w:pPr>
              <w:pStyle w:val="9"/>
              <w:spacing w:before="188" w:line="361" w:lineRule="auto"/>
              <w:ind w:left="109" w:right="102" w:firstLine="478"/>
              <w:jc w:val="both"/>
            </w:pPr>
            <w:r>
              <w:rPr>
                <w:spacing w:val="-1"/>
              </w:rPr>
              <w:t>根据《环境影响评价技术导则 输变电》（</w:t>
            </w:r>
            <w:r>
              <w:rPr>
                <w:rFonts w:ascii="Times New Roman" w:hAnsi="Times New Roman" w:eastAsia="Times New Roman" w:cs="Times New Roman"/>
                <w:spacing w:val="-1"/>
              </w:rPr>
              <w:t>HJ24</w:t>
            </w:r>
            <w:r>
              <w:rPr>
                <w:rFonts w:ascii="Times New Roman" w:hAnsi="Times New Roman" w:eastAsia="Times New Roman" w:cs="Times New Roman"/>
                <w:spacing w:val="-2"/>
              </w:rPr>
              <w:t>-2020</w:t>
            </w:r>
            <w:r>
              <w:rPr>
                <w:spacing w:val="-4"/>
              </w:rPr>
              <w:t>），</w:t>
            </w:r>
            <w:r>
              <w:rPr>
                <w:spacing w:val="-2"/>
              </w:rPr>
              <w:t>输变电建设项目</w:t>
            </w:r>
            <w:r>
              <w:rPr>
                <w:spacing w:val="-4"/>
              </w:rPr>
              <w:t>生态环境影响主要考虑施工期。本项目于</w:t>
            </w:r>
            <w:r>
              <w:rPr>
                <w:spacing w:val="-54"/>
              </w:rPr>
              <w:t xml:space="preserve"> </w:t>
            </w:r>
            <w:r>
              <w:rPr>
                <w:rFonts w:ascii="Times New Roman" w:hAnsi="Times New Roman" w:eastAsia="Times New Roman" w:cs="Times New Roman"/>
                <w:spacing w:val="-4"/>
              </w:rPr>
              <w:t xml:space="preserve">2012 </w:t>
            </w:r>
            <w:r>
              <w:rPr>
                <w:spacing w:val="-4"/>
              </w:rPr>
              <w:t>年开工建设，</w:t>
            </w:r>
            <w:r>
              <w:rPr>
                <w:rFonts w:ascii="Times New Roman" w:hAnsi="Times New Roman" w:eastAsia="Times New Roman" w:cs="Times New Roman"/>
                <w:spacing w:val="-4"/>
              </w:rPr>
              <w:t xml:space="preserve">2023 </w:t>
            </w:r>
            <w:r>
              <w:rPr>
                <w:spacing w:val="-4"/>
              </w:rPr>
              <w:t>年</w:t>
            </w:r>
            <w:r>
              <w:rPr>
                <w:spacing w:val="-32"/>
              </w:rPr>
              <w:t xml:space="preserve"> </w:t>
            </w:r>
            <w:r>
              <w:rPr>
                <w:rFonts w:ascii="Times New Roman" w:hAnsi="Times New Roman" w:eastAsia="Times New Roman" w:cs="Times New Roman"/>
                <w:spacing w:val="-4"/>
              </w:rPr>
              <w:t xml:space="preserve">11 </w:t>
            </w:r>
            <w:r>
              <w:rPr>
                <w:spacing w:val="-4"/>
              </w:rPr>
              <w:t>月完工</w:t>
            </w:r>
            <w:r>
              <w:rPr>
                <w:spacing w:val="-2"/>
              </w:rPr>
              <w:t>投运，施工期已结束，相应污染也已消失，经现场踏勘，项目施工营地植</w:t>
            </w:r>
            <w:r>
              <w:rPr>
                <w:spacing w:val="-3"/>
              </w:rPr>
              <w:t>被目</w:t>
            </w:r>
            <w:r>
              <w:rPr>
                <w:spacing w:val="-2"/>
              </w:rPr>
              <w:t>前已恢复至原有水平。</w:t>
            </w:r>
          </w:p>
          <w:p w14:paraId="1B7F2EF5">
            <w:pPr>
              <w:pStyle w:val="9"/>
              <w:spacing w:before="1" w:line="217" w:lineRule="auto"/>
              <w:ind w:left="2523"/>
            </w:pPr>
            <w:r>
              <w:rPr>
                <w:b/>
                <w:bCs/>
                <w:spacing w:val="-2"/>
              </w:rPr>
              <w:t>表</w:t>
            </w:r>
            <w:r>
              <w:rPr>
                <w:spacing w:val="-47"/>
              </w:rPr>
              <w:t xml:space="preserve"> </w:t>
            </w:r>
            <w:r>
              <w:rPr>
                <w:rFonts w:ascii="Times New Roman" w:hAnsi="Times New Roman" w:eastAsia="Times New Roman" w:cs="Times New Roman"/>
                <w:b/>
                <w:bCs/>
                <w:spacing w:val="-2"/>
              </w:rPr>
              <w:t xml:space="preserve">3-15      </w:t>
            </w:r>
            <w:r>
              <w:rPr>
                <w:b/>
                <w:bCs/>
                <w:spacing w:val="-2"/>
              </w:rPr>
              <w:t>临时占地恢复情况一览表</w:t>
            </w:r>
          </w:p>
        </w:tc>
      </w:tr>
      <w:tr w14:paraId="04F0CD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751" w:type="dxa"/>
            <w:vMerge w:val="continue"/>
            <w:tcBorders>
              <w:top w:val="nil"/>
              <w:left w:val="single" w:color="000000" w:sz="6" w:space="0"/>
              <w:bottom w:val="nil"/>
            </w:tcBorders>
            <w:vAlign w:val="top"/>
          </w:tcPr>
          <w:p w14:paraId="2128C8EB">
            <w:pPr>
              <w:rPr>
                <w:rFonts w:ascii="Arial"/>
                <w:sz w:val="21"/>
              </w:rPr>
            </w:pPr>
          </w:p>
        </w:tc>
        <w:tc>
          <w:tcPr>
            <w:tcW w:w="112" w:type="dxa"/>
            <w:tcBorders>
              <w:top w:val="nil"/>
              <w:bottom w:val="nil"/>
            </w:tcBorders>
            <w:vAlign w:val="top"/>
          </w:tcPr>
          <w:p w14:paraId="6905D4E4">
            <w:pPr>
              <w:rPr>
                <w:rFonts w:ascii="Arial"/>
                <w:sz w:val="21"/>
              </w:rPr>
            </w:pPr>
          </w:p>
        </w:tc>
        <w:tc>
          <w:tcPr>
            <w:tcW w:w="764" w:type="dxa"/>
            <w:vAlign w:val="top"/>
          </w:tcPr>
          <w:p w14:paraId="47237A4F">
            <w:pPr>
              <w:pStyle w:val="9"/>
              <w:spacing w:before="176" w:line="256" w:lineRule="auto"/>
              <w:ind w:left="277" w:right="71" w:hanging="212"/>
              <w:rPr>
                <w:sz w:val="20"/>
                <w:szCs w:val="20"/>
              </w:rPr>
            </w:pPr>
            <w:r>
              <w:rPr>
                <w:spacing w:val="7"/>
                <w:sz w:val="20"/>
                <w:szCs w:val="20"/>
              </w:rPr>
              <w:t>施工场</w:t>
            </w:r>
            <w:r>
              <w:rPr>
                <w:sz w:val="20"/>
                <w:szCs w:val="20"/>
              </w:rPr>
              <w:t>地</w:t>
            </w:r>
          </w:p>
        </w:tc>
        <w:tc>
          <w:tcPr>
            <w:tcW w:w="906" w:type="dxa"/>
            <w:vAlign w:val="top"/>
          </w:tcPr>
          <w:p w14:paraId="7DA6B954">
            <w:pPr>
              <w:spacing w:line="244" w:lineRule="auto"/>
              <w:rPr>
                <w:rFonts w:ascii="Arial"/>
                <w:sz w:val="21"/>
              </w:rPr>
            </w:pPr>
          </w:p>
          <w:p w14:paraId="0260E5ED">
            <w:pPr>
              <w:pStyle w:val="9"/>
              <w:spacing w:before="65" w:line="228" w:lineRule="auto"/>
              <w:ind w:left="34"/>
              <w:rPr>
                <w:sz w:val="20"/>
                <w:szCs w:val="20"/>
              </w:rPr>
            </w:pPr>
            <w:r>
              <w:rPr>
                <w:spacing w:val="7"/>
                <w:sz w:val="20"/>
                <w:szCs w:val="20"/>
              </w:rPr>
              <w:t>扰动面积</w:t>
            </w:r>
          </w:p>
        </w:tc>
        <w:tc>
          <w:tcPr>
            <w:tcW w:w="1043" w:type="dxa"/>
            <w:vAlign w:val="top"/>
          </w:tcPr>
          <w:p w14:paraId="2E5E7619">
            <w:pPr>
              <w:spacing w:line="243" w:lineRule="auto"/>
              <w:rPr>
                <w:rFonts w:ascii="Arial"/>
                <w:sz w:val="21"/>
              </w:rPr>
            </w:pPr>
          </w:p>
          <w:p w14:paraId="41AE8142">
            <w:pPr>
              <w:pStyle w:val="9"/>
              <w:spacing w:before="65" w:line="228" w:lineRule="auto"/>
              <w:ind w:left="137"/>
              <w:rPr>
                <w:sz w:val="20"/>
                <w:szCs w:val="20"/>
              </w:rPr>
            </w:pPr>
            <w:r>
              <w:rPr>
                <w:spacing w:val="-2"/>
                <w:sz w:val="20"/>
                <w:szCs w:val="20"/>
              </w:rPr>
              <w:t>占地类型</w:t>
            </w:r>
          </w:p>
        </w:tc>
        <w:tc>
          <w:tcPr>
            <w:tcW w:w="1240" w:type="dxa"/>
            <w:vAlign w:val="top"/>
          </w:tcPr>
          <w:p w14:paraId="3BA65674">
            <w:pPr>
              <w:pStyle w:val="9"/>
              <w:spacing w:before="176" w:line="253" w:lineRule="auto"/>
              <w:ind w:left="517" w:right="95" w:hanging="396"/>
              <w:rPr>
                <w:sz w:val="20"/>
                <w:szCs w:val="20"/>
              </w:rPr>
            </w:pPr>
            <w:r>
              <w:rPr>
                <w:spacing w:val="3"/>
                <w:sz w:val="20"/>
                <w:szCs w:val="20"/>
              </w:rPr>
              <w:t>已采取的措</w:t>
            </w:r>
            <w:r>
              <w:rPr>
                <w:spacing w:val="1"/>
                <w:sz w:val="20"/>
                <w:szCs w:val="20"/>
              </w:rPr>
              <w:t>施</w:t>
            </w:r>
          </w:p>
        </w:tc>
        <w:tc>
          <w:tcPr>
            <w:tcW w:w="1010" w:type="dxa"/>
            <w:vAlign w:val="top"/>
          </w:tcPr>
          <w:p w14:paraId="35269B38">
            <w:pPr>
              <w:pStyle w:val="9"/>
              <w:spacing w:before="176" w:line="252" w:lineRule="auto"/>
              <w:ind w:left="301" w:right="82" w:hanging="207"/>
              <w:rPr>
                <w:sz w:val="20"/>
                <w:szCs w:val="20"/>
              </w:rPr>
            </w:pPr>
            <w:r>
              <w:rPr>
                <w:spacing w:val="6"/>
                <w:sz w:val="20"/>
                <w:szCs w:val="20"/>
              </w:rPr>
              <w:t>现状植被</w:t>
            </w:r>
            <w:r>
              <w:rPr>
                <w:spacing w:val="4"/>
                <w:sz w:val="20"/>
                <w:szCs w:val="20"/>
              </w:rPr>
              <w:t>情况</w:t>
            </w:r>
          </w:p>
        </w:tc>
        <w:tc>
          <w:tcPr>
            <w:tcW w:w="1345" w:type="dxa"/>
            <w:vAlign w:val="top"/>
          </w:tcPr>
          <w:p w14:paraId="128CDF7D">
            <w:pPr>
              <w:spacing w:line="244" w:lineRule="auto"/>
              <w:rPr>
                <w:rFonts w:ascii="Arial"/>
                <w:sz w:val="21"/>
              </w:rPr>
            </w:pPr>
          </w:p>
          <w:p w14:paraId="240B0F25">
            <w:pPr>
              <w:pStyle w:val="9"/>
              <w:spacing w:before="65" w:line="228" w:lineRule="auto"/>
              <w:ind w:left="261"/>
              <w:rPr>
                <w:sz w:val="20"/>
                <w:szCs w:val="20"/>
              </w:rPr>
            </w:pPr>
            <w:r>
              <w:rPr>
                <w:spacing w:val="7"/>
                <w:sz w:val="20"/>
                <w:szCs w:val="20"/>
              </w:rPr>
              <w:t>影响情况</w:t>
            </w:r>
          </w:p>
        </w:tc>
        <w:tc>
          <w:tcPr>
            <w:tcW w:w="832" w:type="dxa"/>
            <w:vAlign w:val="top"/>
          </w:tcPr>
          <w:p w14:paraId="3D4675EF">
            <w:pPr>
              <w:pStyle w:val="9"/>
              <w:spacing w:before="39" w:line="228" w:lineRule="auto"/>
              <w:ind w:left="114"/>
              <w:rPr>
                <w:sz w:val="20"/>
                <w:szCs w:val="20"/>
              </w:rPr>
            </w:pPr>
            <w:r>
              <w:rPr>
                <w:spacing w:val="6"/>
                <w:sz w:val="20"/>
                <w:szCs w:val="20"/>
              </w:rPr>
              <w:t>须进一</w:t>
            </w:r>
          </w:p>
          <w:p w14:paraId="3DFB957F">
            <w:pPr>
              <w:pStyle w:val="9"/>
              <w:spacing w:before="23" w:line="227" w:lineRule="auto"/>
              <w:ind w:left="113"/>
              <w:rPr>
                <w:sz w:val="20"/>
                <w:szCs w:val="20"/>
              </w:rPr>
            </w:pPr>
            <w:r>
              <w:rPr>
                <w:spacing w:val="6"/>
                <w:sz w:val="20"/>
                <w:szCs w:val="20"/>
              </w:rPr>
              <w:t>步采取</w:t>
            </w:r>
          </w:p>
          <w:p w14:paraId="0F151A78">
            <w:pPr>
              <w:pStyle w:val="9"/>
              <w:spacing w:before="27" w:line="205" w:lineRule="auto"/>
              <w:ind w:left="128"/>
              <w:rPr>
                <w:sz w:val="20"/>
                <w:szCs w:val="20"/>
              </w:rPr>
            </w:pPr>
            <w:r>
              <w:rPr>
                <w:spacing w:val="1"/>
                <w:sz w:val="20"/>
                <w:szCs w:val="20"/>
              </w:rPr>
              <w:t>的措施</w:t>
            </w:r>
          </w:p>
        </w:tc>
        <w:tc>
          <w:tcPr>
            <w:tcW w:w="968" w:type="dxa"/>
            <w:vAlign w:val="top"/>
          </w:tcPr>
          <w:p w14:paraId="52FB7FD5">
            <w:pPr>
              <w:spacing w:line="243" w:lineRule="auto"/>
              <w:rPr>
                <w:rFonts w:ascii="Arial"/>
                <w:sz w:val="21"/>
              </w:rPr>
            </w:pPr>
          </w:p>
          <w:p w14:paraId="7F86FEE2">
            <w:pPr>
              <w:pStyle w:val="9"/>
              <w:spacing w:before="65" w:line="229" w:lineRule="auto"/>
              <w:ind w:left="287"/>
              <w:rPr>
                <w:sz w:val="20"/>
                <w:szCs w:val="20"/>
              </w:rPr>
            </w:pPr>
            <w:r>
              <w:rPr>
                <w:spacing w:val="3"/>
                <w:sz w:val="20"/>
                <w:szCs w:val="20"/>
              </w:rPr>
              <w:t>备注</w:t>
            </w:r>
          </w:p>
        </w:tc>
        <w:tc>
          <w:tcPr>
            <w:tcW w:w="93" w:type="dxa"/>
            <w:tcBorders>
              <w:top w:val="nil"/>
              <w:bottom w:val="nil"/>
              <w:right w:val="single" w:color="000000" w:sz="6" w:space="0"/>
            </w:tcBorders>
            <w:vAlign w:val="top"/>
          </w:tcPr>
          <w:p w14:paraId="41FB238A">
            <w:pPr>
              <w:rPr>
                <w:rFonts w:ascii="Arial"/>
                <w:sz w:val="21"/>
              </w:rPr>
            </w:pPr>
          </w:p>
        </w:tc>
      </w:tr>
      <w:tr w14:paraId="07C8D5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5" w:hRule="atLeast"/>
        </w:trPr>
        <w:tc>
          <w:tcPr>
            <w:tcW w:w="751" w:type="dxa"/>
            <w:vMerge w:val="continue"/>
            <w:tcBorders>
              <w:top w:val="nil"/>
              <w:left w:val="single" w:color="000000" w:sz="6" w:space="0"/>
              <w:bottom w:val="nil"/>
            </w:tcBorders>
            <w:vAlign w:val="top"/>
          </w:tcPr>
          <w:p w14:paraId="513D18FD">
            <w:pPr>
              <w:rPr>
                <w:rFonts w:ascii="Arial"/>
                <w:sz w:val="21"/>
              </w:rPr>
            </w:pPr>
          </w:p>
        </w:tc>
        <w:tc>
          <w:tcPr>
            <w:tcW w:w="112" w:type="dxa"/>
            <w:tcBorders>
              <w:top w:val="nil"/>
              <w:bottom w:val="nil"/>
            </w:tcBorders>
            <w:vAlign w:val="top"/>
          </w:tcPr>
          <w:p w14:paraId="741EA2FA">
            <w:pPr>
              <w:rPr>
                <w:rFonts w:ascii="Arial"/>
                <w:sz w:val="21"/>
              </w:rPr>
            </w:pPr>
          </w:p>
        </w:tc>
        <w:tc>
          <w:tcPr>
            <w:tcW w:w="764" w:type="dxa"/>
            <w:vAlign w:val="top"/>
          </w:tcPr>
          <w:p w14:paraId="6D898421">
            <w:pPr>
              <w:spacing w:line="385" w:lineRule="auto"/>
              <w:rPr>
                <w:rFonts w:ascii="Arial"/>
                <w:sz w:val="21"/>
              </w:rPr>
            </w:pPr>
          </w:p>
          <w:p w14:paraId="28357997">
            <w:pPr>
              <w:pStyle w:val="9"/>
              <w:spacing w:before="65" w:line="256" w:lineRule="auto"/>
              <w:ind w:left="277" w:right="71" w:hanging="212"/>
              <w:rPr>
                <w:sz w:val="20"/>
                <w:szCs w:val="20"/>
              </w:rPr>
            </w:pPr>
            <w:r>
              <w:rPr>
                <w:spacing w:val="7"/>
                <w:sz w:val="20"/>
                <w:szCs w:val="20"/>
              </w:rPr>
              <w:t>施工营</w:t>
            </w:r>
            <w:r>
              <w:rPr>
                <w:sz w:val="20"/>
                <w:szCs w:val="20"/>
              </w:rPr>
              <w:t>地</w:t>
            </w:r>
          </w:p>
        </w:tc>
        <w:tc>
          <w:tcPr>
            <w:tcW w:w="906" w:type="dxa"/>
            <w:vAlign w:val="top"/>
          </w:tcPr>
          <w:p w14:paraId="203446A4">
            <w:pPr>
              <w:spacing w:line="271" w:lineRule="auto"/>
              <w:rPr>
                <w:rFonts w:ascii="Arial"/>
                <w:sz w:val="21"/>
              </w:rPr>
            </w:pPr>
          </w:p>
          <w:p w14:paraId="16A9A929">
            <w:pPr>
              <w:spacing w:line="272" w:lineRule="auto"/>
              <w:rPr>
                <w:rFonts w:ascii="Arial"/>
                <w:sz w:val="21"/>
              </w:rPr>
            </w:pPr>
          </w:p>
          <w:p w14:paraId="073E6AFA">
            <w:pPr>
              <w:spacing w:before="57" w:line="216" w:lineRule="auto"/>
              <w:ind w:left="130"/>
              <w:rPr>
                <w:rFonts w:ascii="Times New Roman" w:hAnsi="Times New Roman" w:eastAsia="Times New Roman" w:cs="Times New Roman"/>
                <w:sz w:val="13"/>
                <w:szCs w:val="13"/>
              </w:rPr>
            </w:pPr>
            <w:r>
              <w:rPr>
                <w:rFonts w:ascii="Times New Roman" w:hAnsi="Times New Roman" w:eastAsia="Times New Roman" w:cs="Times New Roman"/>
                <w:spacing w:val="3"/>
                <w:sz w:val="20"/>
                <w:szCs w:val="20"/>
              </w:rPr>
              <w:t>5000m</w:t>
            </w:r>
            <w:r>
              <w:rPr>
                <w:rFonts w:ascii="Times New Roman" w:hAnsi="Times New Roman" w:eastAsia="Times New Roman" w:cs="Times New Roman"/>
                <w:spacing w:val="3"/>
                <w:position w:val="6"/>
                <w:sz w:val="13"/>
                <w:szCs w:val="13"/>
              </w:rPr>
              <w:t>2</w:t>
            </w:r>
          </w:p>
        </w:tc>
        <w:tc>
          <w:tcPr>
            <w:tcW w:w="1043" w:type="dxa"/>
            <w:vAlign w:val="top"/>
          </w:tcPr>
          <w:p w14:paraId="5539A3D3">
            <w:pPr>
              <w:spacing w:line="385" w:lineRule="auto"/>
              <w:rPr>
                <w:rFonts w:ascii="Arial"/>
                <w:sz w:val="21"/>
              </w:rPr>
            </w:pPr>
          </w:p>
          <w:p w14:paraId="16EF2D91">
            <w:pPr>
              <w:pStyle w:val="9"/>
              <w:spacing w:before="65" w:line="256" w:lineRule="auto"/>
              <w:ind w:left="419" w:right="105" w:hanging="312"/>
              <w:rPr>
                <w:sz w:val="20"/>
                <w:szCs w:val="20"/>
              </w:rPr>
            </w:pPr>
            <w:r>
              <w:rPr>
                <w:spacing w:val="6"/>
                <w:sz w:val="20"/>
                <w:szCs w:val="20"/>
              </w:rPr>
              <w:t>天然牧草</w:t>
            </w:r>
            <w:r>
              <w:rPr>
                <w:sz w:val="20"/>
                <w:szCs w:val="20"/>
              </w:rPr>
              <w:t>地</w:t>
            </w:r>
          </w:p>
        </w:tc>
        <w:tc>
          <w:tcPr>
            <w:tcW w:w="1240" w:type="dxa"/>
            <w:vAlign w:val="top"/>
          </w:tcPr>
          <w:p w14:paraId="1348A3B0">
            <w:pPr>
              <w:spacing w:line="247" w:lineRule="auto"/>
              <w:rPr>
                <w:rFonts w:ascii="Arial"/>
                <w:sz w:val="21"/>
              </w:rPr>
            </w:pPr>
          </w:p>
          <w:p w14:paraId="150F0B71">
            <w:pPr>
              <w:pStyle w:val="9"/>
              <w:spacing w:before="65" w:line="228" w:lineRule="auto"/>
              <w:jc w:val="right"/>
              <w:rPr>
                <w:sz w:val="20"/>
                <w:szCs w:val="20"/>
              </w:rPr>
            </w:pPr>
            <w:r>
              <w:rPr>
                <w:spacing w:val="4"/>
                <w:sz w:val="20"/>
                <w:szCs w:val="20"/>
              </w:rPr>
              <w:t>撒播草籽、人</w:t>
            </w:r>
          </w:p>
          <w:p w14:paraId="2EA375D5">
            <w:pPr>
              <w:pStyle w:val="9"/>
              <w:spacing w:before="24" w:line="228" w:lineRule="auto"/>
              <w:ind w:left="101"/>
              <w:rPr>
                <w:sz w:val="20"/>
                <w:szCs w:val="20"/>
              </w:rPr>
            </w:pPr>
            <w:r>
              <w:rPr>
                <w:spacing w:val="7"/>
                <w:sz w:val="20"/>
                <w:szCs w:val="20"/>
              </w:rPr>
              <w:t>工抚育及自</w:t>
            </w:r>
          </w:p>
          <w:p w14:paraId="71D02AF3">
            <w:pPr>
              <w:pStyle w:val="9"/>
              <w:spacing w:before="24" w:line="228" w:lineRule="auto"/>
              <w:ind w:left="311"/>
              <w:rPr>
                <w:sz w:val="20"/>
                <w:szCs w:val="20"/>
              </w:rPr>
            </w:pPr>
            <w:r>
              <w:rPr>
                <w:spacing w:val="6"/>
                <w:sz w:val="20"/>
                <w:szCs w:val="20"/>
              </w:rPr>
              <w:t>然恢复</w:t>
            </w:r>
          </w:p>
        </w:tc>
        <w:tc>
          <w:tcPr>
            <w:tcW w:w="1010" w:type="dxa"/>
            <w:vAlign w:val="top"/>
          </w:tcPr>
          <w:p w14:paraId="2DD8E3D7">
            <w:pPr>
              <w:spacing w:line="247" w:lineRule="auto"/>
              <w:rPr>
                <w:rFonts w:ascii="Arial"/>
                <w:sz w:val="21"/>
              </w:rPr>
            </w:pPr>
          </w:p>
          <w:p w14:paraId="5177DA77">
            <w:pPr>
              <w:pStyle w:val="9"/>
              <w:spacing w:before="65" w:line="228" w:lineRule="auto"/>
              <w:jc w:val="right"/>
              <w:rPr>
                <w:sz w:val="20"/>
                <w:szCs w:val="20"/>
              </w:rPr>
            </w:pPr>
            <w:r>
              <w:rPr>
                <w:spacing w:val="-1"/>
                <w:sz w:val="20"/>
                <w:szCs w:val="20"/>
              </w:rPr>
              <w:t>披碱草，盖</w:t>
            </w:r>
          </w:p>
          <w:p w14:paraId="760CCDEC">
            <w:pPr>
              <w:pStyle w:val="9"/>
              <w:spacing w:before="25" w:line="228" w:lineRule="auto"/>
              <w:ind w:left="82"/>
              <w:rPr>
                <w:sz w:val="20"/>
                <w:szCs w:val="20"/>
              </w:rPr>
            </w:pPr>
            <w:r>
              <w:rPr>
                <w:spacing w:val="4"/>
                <w:sz w:val="20"/>
                <w:szCs w:val="20"/>
              </w:rPr>
              <w:t>度</w:t>
            </w:r>
            <w:r>
              <w:rPr>
                <w:spacing w:val="-40"/>
                <w:sz w:val="20"/>
                <w:szCs w:val="20"/>
              </w:rPr>
              <w:t xml:space="preserve"> </w:t>
            </w:r>
            <w:r>
              <w:rPr>
                <w:rFonts w:ascii="Times New Roman" w:hAnsi="Times New Roman" w:eastAsia="Times New Roman" w:cs="Times New Roman"/>
                <w:spacing w:val="4"/>
                <w:sz w:val="20"/>
                <w:szCs w:val="20"/>
              </w:rPr>
              <w:t>70%</w:t>
            </w:r>
            <w:r>
              <w:rPr>
                <w:spacing w:val="4"/>
                <w:sz w:val="20"/>
                <w:szCs w:val="20"/>
              </w:rPr>
              <w:t>以</w:t>
            </w:r>
          </w:p>
          <w:p w14:paraId="69383E54">
            <w:pPr>
              <w:pStyle w:val="9"/>
              <w:spacing w:before="23" w:line="241" w:lineRule="auto"/>
              <w:ind w:left="408"/>
              <w:rPr>
                <w:sz w:val="20"/>
                <w:szCs w:val="20"/>
              </w:rPr>
            </w:pPr>
            <w:r>
              <w:rPr>
                <w:sz w:val="20"/>
                <w:szCs w:val="20"/>
              </w:rPr>
              <w:t>上</w:t>
            </w:r>
          </w:p>
        </w:tc>
        <w:tc>
          <w:tcPr>
            <w:tcW w:w="1345" w:type="dxa"/>
            <w:vAlign w:val="top"/>
          </w:tcPr>
          <w:p w14:paraId="01865C80">
            <w:pPr>
              <w:spacing w:line="248" w:lineRule="auto"/>
              <w:rPr>
                <w:rFonts w:ascii="Arial"/>
                <w:sz w:val="21"/>
              </w:rPr>
            </w:pPr>
          </w:p>
          <w:p w14:paraId="0F6BB60F">
            <w:pPr>
              <w:pStyle w:val="9"/>
              <w:spacing w:before="65" w:line="228" w:lineRule="auto"/>
              <w:ind w:left="51"/>
              <w:rPr>
                <w:sz w:val="20"/>
                <w:szCs w:val="20"/>
              </w:rPr>
            </w:pPr>
            <w:r>
              <w:rPr>
                <w:spacing w:val="7"/>
                <w:sz w:val="20"/>
                <w:szCs w:val="20"/>
              </w:rPr>
              <w:t>无影响，已恢</w:t>
            </w:r>
          </w:p>
          <w:p w14:paraId="39110A34">
            <w:pPr>
              <w:pStyle w:val="9"/>
              <w:spacing w:before="23" w:line="228" w:lineRule="auto"/>
              <w:ind w:left="55"/>
              <w:rPr>
                <w:sz w:val="20"/>
                <w:szCs w:val="20"/>
              </w:rPr>
            </w:pPr>
            <w:r>
              <w:rPr>
                <w:spacing w:val="7"/>
                <w:sz w:val="20"/>
                <w:szCs w:val="20"/>
              </w:rPr>
              <w:t>复为草地至自</w:t>
            </w:r>
          </w:p>
          <w:p w14:paraId="2BAC2E13">
            <w:pPr>
              <w:pStyle w:val="9"/>
              <w:spacing w:before="24" w:line="228" w:lineRule="auto"/>
              <w:ind w:left="367"/>
              <w:rPr>
                <w:sz w:val="20"/>
                <w:szCs w:val="20"/>
              </w:rPr>
            </w:pPr>
            <w:r>
              <w:rPr>
                <w:spacing w:val="6"/>
                <w:sz w:val="20"/>
                <w:szCs w:val="20"/>
              </w:rPr>
              <w:t>然水平</w:t>
            </w:r>
          </w:p>
        </w:tc>
        <w:tc>
          <w:tcPr>
            <w:tcW w:w="832" w:type="dxa"/>
            <w:vAlign w:val="top"/>
          </w:tcPr>
          <w:p w14:paraId="52597DDE">
            <w:pPr>
              <w:spacing w:line="279" w:lineRule="auto"/>
              <w:rPr>
                <w:rFonts w:ascii="Arial"/>
                <w:sz w:val="21"/>
              </w:rPr>
            </w:pPr>
          </w:p>
          <w:p w14:paraId="1128E57D">
            <w:pPr>
              <w:spacing w:line="280" w:lineRule="auto"/>
              <w:rPr>
                <w:rFonts w:ascii="Arial"/>
                <w:sz w:val="21"/>
              </w:rPr>
            </w:pPr>
          </w:p>
          <w:p w14:paraId="16EC70FA">
            <w:pPr>
              <w:spacing w:before="58" w:line="199" w:lineRule="auto"/>
              <w:ind w:left="38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968" w:type="dxa"/>
            <w:vAlign w:val="top"/>
          </w:tcPr>
          <w:p w14:paraId="134CC3C5">
            <w:pPr>
              <w:pStyle w:val="9"/>
              <w:spacing w:before="178" w:line="229" w:lineRule="auto"/>
              <w:ind w:left="76"/>
              <w:rPr>
                <w:sz w:val="20"/>
                <w:szCs w:val="20"/>
              </w:rPr>
            </w:pPr>
            <w:r>
              <w:rPr>
                <w:spacing w:val="7"/>
                <w:sz w:val="20"/>
                <w:szCs w:val="20"/>
              </w:rPr>
              <w:t>位于升压</w:t>
            </w:r>
          </w:p>
          <w:p w14:paraId="4821D88A">
            <w:pPr>
              <w:pStyle w:val="9"/>
              <w:spacing w:before="22" w:line="228" w:lineRule="auto"/>
              <w:jc w:val="right"/>
              <w:rPr>
                <w:sz w:val="20"/>
                <w:szCs w:val="20"/>
              </w:rPr>
            </w:pPr>
            <w:r>
              <w:rPr>
                <w:spacing w:val="-11"/>
                <w:sz w:val="20"/>
                <w:szCs w:val="20"/>
              </w:rPr>
              <w:t>站南侧，不</w:t>
            </w:r>
          </w:p>
          <w:p w14:paraId="6CFA4F36">
            <w:pPr>
              <w:pStyle w:val="9"/>
              <w:spacing w:before="27" w:line="229" w:lineRule="auto"/>
              <w:ind w:left="77"/>
              <w:rPr>
                <w:sz w:val="20"/>
                <w:szCs w:val="20"/>
              </w:rPr>
            </w:pPr>
            <w:r>
              <w:rPr>
                <w:spacing w:val="6"/>
                <w:sz w:val="20"/>
                <w:szCs w:val="20"/>
              </w:rPr>
              <w:t>涉及生态</w:t>
            </w:r>
          </w:p>
          <w:p w14:paraId="14BB6173">
            <w:pPr>
              <w:pStyle w:val="9"/>
              <w:spacing w:before="25" w:line="228" w:lineRule="auto"/>
              <w:ind w:left="289"/>
              <w:rPr>
                <w:sz w:val="20"/>
                <w:szCs w:val="20"/>
              </w:rPr>
            </w:pPr>
            <w:r>
              <w:rPr>
                <w:spacing w:val="2"/>
                <w:sz w:val="20"/>
                <w:szCs w:val="20"/>
              </w:rPr>
              <w:t>红线</w:t>
            </w:r>
          </w:p>
        </w:tc>
        <w:tc>
          <w:tcPr>
            <w:tcW w:w="93" w:type="dxa"/>
            <w:tcBorders>
              <w:top w:val="nil"/>
              <w:bottom w:val="nil"/>
              <w:right w:val="single" w:color="000000" w:sz="6" w:space="0"/>
            </w:tcBorders>
            <w:vAlign w:val="top"/>
          </w:tcPr>
          <w:p w14:paraId="44E28F9B">
            <w:pPr>
              <w:rPr>
                <w:rFonts w:ascii="Arial"/>
                <w:sz w:val="21"/>
              </w:rPr>
            </w:pPr>
          </w:p>
        </w:tc>
      </w:tr>
      <w:tr w14:paraId="152715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751" w:type="dxa"/>
            <w:vMerge w:val="continue"/>
            <w:tcBorders>
              <w:top w:val="nil"/>
              <w:left w:val="single" w:color="000000" w:sz="6" w:space="0"/>
              <w:bottom w:val="nil"/>
            </w:tcBorders>
            <w:vAlign w:val="top"/>
          </w:tcPr>
          <w:p w14:paraId="471D89A6">
            <w:pPr>
              <w:rPr>
                <w:rFonts w:ascii="Arial"/>
                <w:sz w:val="21"/>
              </w:rPr>
            </w:pPr>
          </w:p>
        </w:tc>
        <w:tc>
          <w:tcPr>
            <w:tcW w:w="112" w:type="dxa"/>
            <w:tcBorders>
              <w:top w:val="nil"/>
              <w:bottom w:val="nil"/>
            </w:tcBorders>
            <w:vAlign w:val="top"/>
          </w:tcPr>
          <w:p w14:paraId="71C135C7">
            <w:pPr>
              <w:rPr>
                <w:rFonts w:ascii="Arial"/>
                <w:sz w:val="21"/>
              </w:rPr>
            </w:pPr>
          </w:p>
        </w:tc>
        <w:tc>
          <w:tcPr>
            <w:tcW w:w="764" w:type="dxa"/>
            <w:vAlign w:val="top"/>
          </w:tcPr>
          <w:p w14:paraId="00BAC665">
            <w:pPr>
              <w:spacing w:line="387" w:lineRule="auto"/>
              <w:rPr>
                <w:rFonts w:ascii="Arial"/>
                <w:sz w:val="21"/>
              </w:rPr>
            </w:pPr>
          </w:p>
          <w:p w14:paraId="2014674D">
            <w:pPr>
              <w:pStyle w:val="9"/>
              <w:spacing w:before="65" w:line="252" w:lineRule="auto"/>
              <w:ind w:left="276" w:right="71" w:hanging="211"/>
              <w:rPr>
                <w:sz w:val="20"/>
                <w:szCs w:val="20"/>
              </w:rPr>
            </w:pPr>
            <w:r>
              <w:rPr>
                <w:spacing w:val="7"/>
                <w:sz w:val="20"/>
                <w:szCs w:val="20"/>
              </w:rPr>
              <w:t>表土堆</w:t>
            </w:r>
            <w:r>
              <w:rPr>
                <w:spacing w:val="1"/>
                <w:sz w:val="20"/>
                <w:szCs w:val="20"/>
              </w:rPr>
              <w:t>场</w:t>
            </w:r>
          </w:p>
        </w:tc>
        <w:tc>
          <w:tcPr>
            <w:tcW w:w="906" w:type="dxa"/>
            <w:vAlign w:val="top"/>
          </w:tcPr>
          <w:p w14:paraId="0282BCEA">
            <w:pPr>
              <w:spacing w:line="279" w:lineRule="auto"/>
              <w:rPr>
                <w:rFonts w:ascii="Arial"/>
                <w:sz w:val="21"/>
              </w:rPr>
            </w:pPr>
          </w:p>
          <w:p w14:paraId="4F2EF111">
            <w:pPr>
              <w:spacing w:line="280" w:lineRule="auto"/>
              <w:rPr>
                <w:rFonts w:ascii="Arial"/>
                <w:sz w:val="21"/>
              </w:rPr>
            </w:pPr>
          </w:p>
          <w:p w14:paraId="40A8D655">
            <w:pPr>
              <w:spacing w:before="58" w:line="199" w:lineRule="auto"/>
              <w:ind w:left="41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043" w:type="dxa"/>
            <w:vAlign w:val="top"/>
          </w:tcPr>
          <w:p w14:paraId="70F8760E">
            <w:pPr>
              <w:spacing w:line="388" w:lineRule="auto"/>
              <w:rPr>
                <w:rFonts w:ascii="Arial"/>
                <w:sz w:val="21"/>
              </w:rPr>
            </w:pPr>
          </w:p>
          <w:p w14:paraId="7E8B9D9D">
            <w:pPr>
              <w:pStyle w:val="9"/>
              <w:spacing w:before="65" w:line="252" w:lineRule="auto"/>
              <w:ind w:left="347" w:right="105" w:hanging="243"/>
              <w:rPr>
                <w:sz w:val="20"/>
                <w:szCs w:val="20"/>
              </w:rPr>
            </w:pPr>
            <w:r>
              <w:rPr>
                <w:spacing w:val="6"/>
                <w:sz w:val="20"/>
                <w:szCs w:val="20"/>
              </w:rPr>
              <w:t>升压站内</w:t>
            </w:r>
            <w:r>
              <w:rPr>
                <w:spacing w:val="-13"/>
                <w:sz w:val="20"/>
                <w:szCs w:val="20"/>
              </w:rPr>
              <w:t>占地</w:t>
            </w:r>
          </w:p>
        </w:tc>
        <w:tc>
          <w:tcPr>
            <w:tcW w:w="1240" w:type="dxa"/>
            <w:vAlign w:val="top"/>
          </w:tcPr>
          <w:p w14:paraId="530CCD1E">
            <w:pPr>
              <w:spacing w:line="386" w:lineRule="auto"/>
              <w:rPr>
                <w:rFonts w:ascii="Arial"/>
                <w:sz w:val="21"/>
              </w:rPr>
            </w:pPr>
          </w:p>
          <w:p w14:paraId="1A8F4735">
            <w:pPr>
              <w:pStyle w:val="9"/>
              <w:spacing w:before="65" w:line="252" w:lineRule="auto"/>
              <w:ind w:left="121" w:right="95" w:hanging="21"/>
              <w:rPr>
                <w:sz w:val="20"/>
                <w:szCs w:val="20"/>
              </w:rPr>
            </w:pPr>
            <w:r>
              <w:rPr>
                <w:spacing w:val="7"/>
                <w:sz w:val="20"/>
                <w:szCs w:val="20"/>
              </w:rPr>
              <w:t>升压站地面</w:t>
            </w:r>
            <w:r>
              <w:rPr>
                <w:spacing w:val="3"/>
                <w:sz w:val="20"/>
                <w:szCs w:val="20"/>
              </w:rPr>
              <w:t>已全部硬化</w:t>
            </w:r>
          </w:p>
        </w:tc>
        <w:tc>
          <w:tcPr>
            <w:tcW w:w="1010" w:type="dxa"/>
            <w:vAlign w:val="top"/>
          </w:tcPr>
          <w:p w14:paraId="10FBC750">
            <w:pPr>
              <w:spacing w:line="279" w:lineRule="auto"/>
              <w:rPr>
                <w:rFonts w:ascii="Arial"/>
                <w:sz w:val="21"/>
              </w:rPr>
            </w:pPr>
          </w:p>
          <w:p w14:paraId="146E7637">
            <w:pPr>
              <w:spacing w:line="280" w:lineRule="auto"/>
              <w:rPr>
                <w:rFonts w:ascii="Arial"/>
                <w:sz w:val="21"/>
              </w:rPr>
            </w:pPr>
          </w:p>
          <w:p w14:paraId="429673CB">
            <w:pPr>
              <w:spacing w:before="58" w:line="199" w:lineRule="auto"/>
              <w:ind w:left="47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345" w:type="dxa"/>
            <w:vAlign w:val="top"/>
          </w:tcPr>
          <w:p w14:paraId="3593AA61">
            <w:pPr>
              <w:spacing w:line="260" w:lineRule="auto"/>
              <w:rPr>
                <w:rFonts w:ascii="Arial"/>
                <w:sz w:val="21"/>
              </w:rPr>
            </w:pPr>
          </w:p>
          <w:p w14:paraId="4A37B5FB">
            <w:pPr>
              <w:spacing w:line="261" w:lineRule="auto"/>
              <w:rPr>
                <w:rFonts w:ascii="Arial"/>
                <w:sz w:val="21"/>
              </w:rPr>
            </w:pPr>
          </w:p>
          <w:p w14:paraId="03285DB5">
            <w:pPr>
              <w:pStyle w:val="9"/>
              <w:spacing w:before="65" w:line="228" w:lineRule="auto"/>
              <w:ind w:left="368"/>
              <w:rPr>
                <w:sz w:val="20"/>
                <w:szCs w:val="20"/>
              </w:rPr>
            </w:pPr>
            <w:r>
              <w:rPr>
                <w:spacing w:val="6"/>
                <w:sz w:val="20"/>
                <w:szCs w:val="20"/>
              </w:rPr>
              <w:t>无影响</w:t>
            </w:r>
          </w:p>
        </w:tc>
        <w:tc>
          <w:tcPr>
            <w:tcW w:w="832" w:type="dxa"/>
            <w:vAlign w:val="top"/>
          </w:tcPr>
          <w:p w14:paraId="55DDEF1F">
            <w:pPr>
              <w:spacing w:line="279" w:lineRule="auto"/>
              <w:rPr>
                <w:rFonts w:ascii="Arial"/>
                <w:sz w:val="21"/>
              </w:rPr>
            </w:pPr>
          </w:p>
          <w:p w14:paraId="2B65BF83">
            <w:pPr>
              <w:spacing w:line="280" w:lineRule="auto"/>
              <w:rPr>
                <w:rFonts w:ascii="Arial"/>
                <w:sz w:val="21"/>
              </w:rPr>
            </w:pPr>
          </w:p>
          <w:p w14:paraId="7FC38245">
            <w:pPr>
              <w:spacing w:before="58" w:line="199" w:lineRule="auto"/>
              <w:ind w:left="38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968" w:type="dxa"/>
            <w:vAlign w:val="top"/>
          </w:tcPr>
          <w:p w14:paraId="307FD5E5">
            <w:pPr>
              <w:pStyle w:val="9"/>
              <w:spacing w:before="180" w:line="229" w:lineRule="auto"/>
              <w:ind w:left="76"/>
              <w:rPr>
                <w:sz w:val="20"/>
                <w:szCs w:val="20"/>
              </w:rPr>
            </w:pPr>
            <w:r>
              <w:rPr>
                <w:spacing w:val="7"/>
                <w:sz w:val="20"/>
                <w:szCs w:val="20"/>
              </w:rPr>
              <w:t>位于升压</w:t>
            </w:r>
          </w:p>
          <w:p w14:paraId="0F75A890">
            <w:pPr>
              <w:pStyle w:val="9"/>
              <w:spacing w:before="21" w:line="253" w:lineRule="auto"/>
              <w:ind w:left="17" w:firstLine="59"/>
              <w:jc w:val="both"/>
              <w:rPr>
                <w:sz w:val="20"/>
                <w:szCs w:val="20"/>
              </w:rPr>
            </w:pPr>
            <w:r>
              <w:rPr>
                <w:spacing w:val="5"/>
                <w:sz w:val="20"/>
                <w:szCs w:val="20"/>
              </w:rPr>
              <w:t>站内西北</w:t>
            </w:r>
            <w:r>
              <w:rPr>
                <w:spacing w:val="-11"/>
                <w:sz w:val="20"/>
                <w:szCs w:val="20"/>
              </w:rPr>
              <w:t>角，不涉及</w:t>
            </w:r>
            <w:r>
              <w:rPr>
                <w:spacing w:val="20"/>
                <w:sz w:val="20"/>
                <w:szCs w:val="20"/>
              </w:rPr>
              <w:t>生态红线</w:t>
            </w:r>
          </w:p>
        </w:tc>
        <w:tc>
          <w:tcPr>
            <w:tcW w:w="93" w:type="dxa"/>
            <w:tcBorders>
              <w:top w:val="nil"/>
              <w:bottom w:val="nil"/>
              <w:right w:val="single" w:color="000000" w:sz="6" w:space="0"/>
            </w:tcBorders>
            <w:vAlign w:val="top"/>
          </w:tcPr>
          <w:p w14:paraId="54F00D2A">
            <w:pPr>
              <w:rPr>
                <w:rFonts w:ascii="Arial"/>
                <w:sz w:val="21"/>
              </w:rPr>
            </w:pPr>
          </w:p>
        </w:tc>
      </w:tr>
      <w:tr w14:paraId="23BF99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751" w:type="dxa"/>
            <w:vMerge w:val="continue"/>
            <w:tcBorders>
              <w:top w:val="nil"/>
              <w:left w:val="single" w:color="000000" w:sz="6" w:space="0"/>
              <w:bottom w:val="single" w:color="000000" w:sz="6" w:space="0"/>
            </w:tcBorders>
            <w:vAlign w:val="top"/>
          </w:tcPr>
          <w:p w14:paraId="43FF7658">
            <w:pPr>
              <w:rPr>
                <w:rFonts w:ascii="Arial"/>
                <w:sz w:val="21"/>
              </w:rPr>
            </w:pPr>
          </w:p>
        </w:tc>
        <w:tc>
          <w:tcPr>
            <w:tcW w:w="112" w:type="dxa"/>
            <w:tcBorders>
              <w:top w:val="nil"/>
              <w:bottom w:val="single" w:color="000000" w:sz="6" w:space="0"/>
            </w:tcBorders>
            <w:vAlign w:val="top"/>
          </w:tcPr>
          <w:p w14:paraId="2C2F21DF">
            <w:pPr>
              <w:rPr>
                <w:rFonts w:ascii="Arial"/>
                <w:sz w:val="21"/>
              </w:rPr>
            </w:pPr>
          </w:p>
        </w:tc>
        <w:tc>
          <w:tcPr>
            <w:tcW w:w="764" w:type="dxa"/>
            <w:tcBorders>
              <w:bottom w:val="single" w:color="000000" w:sz="6" w:space="0"/>
            </w:tcBorders>
            <w:vAlign w:val="top"/>
          </w:tcPr>
          <w:p w14:paraId="0EA8C378">
            <w:pPr>
              <w:pStyle w:val="9"/>
              <w:spacing w:before="182" w:line="229" w:lineRule="auto"/>
              <w:ind w:left="172"/>
              <w:rPr>
                <w:sz w:val="20"/>
                <w:szCs w:val="20"/>
              </w:rPr>
            </w:pPr>
            <w:r>
              <w:rPr>
                <w:spacing w:val="4"/>
                <w:sz w:val="20"/>
                <w:szCs w:val="20"/>
              </w:rPr>
              <w:t>合计</w:t>
            </w:r>
          </w:p>
        </w:tc>
        <w:tc>
          <w:tcPr>
            <w:tcW w:w="906" w:type="dxa"/>
            <w:tcBorders>
              <w:bottom w:val="single" w:color="000000" w:sz="6" w:space="0"/>
            </w:tcBorders>
            <w:vAlign w:val="top"/>
          </w:tcPr>
          <w:p w14:paraId="1D384CA7">
            <w:pPr>
              <w:spacing w:before="200" w:line="216" w:lineRule="auto"/>
              <w:ind w:left="130"/>
              <w:rPr>
                <w:rFonts w:ascii="Times New Roman" w:hAnsi="Times New Roman" w:eastAsia="Times New Roman" w:cs="Times New Roman"/>
                <w:sz w:val="13"/>
                <w:szCs w:val="13"/>
              </w:rPr>
            </w:pPr>
            <w:r>
              <w:rPr>
                <w:rFonts w:ascii="Times New Roman" w:hAnsi="Times New Roman" w:eastAsia="Times New Roman" w:cs="Times New Roman"/>
                <w:spacing w:val="3"/>
                <w:sz w:val="20"/>
                <w:szCs w:val="20"/>
              </w:rPr>
              <w:t>5000m</w:t>
            </w:r>
            <w:r>
              <w:rPr>
                <w:rFonts w:ascii="Times New Roman" w:hAnsi="Times New Roman" w:eastAsia="Times New Roman" w:cs="Times New Roman"/>
                <w:spacing w:val="3"/>
                <w:position w:val="6"/>
                <w:sz w:val="13"/>
                <w:szCs w:val="13"/>
              </w:rPr>
              <w:t>2</w:t>
            </w:r>
          </w:p>
        </w:tc>
        <w:tc>
          <w:tcPr>
            <w:tcW w:w="6438" w:type="dxa"/>
            <w:gridSpan w:val="6"/>
            <w:tcBorders>
              <w:bottom w:val="single" w:color="000000" w:sz="6" w:space="0"/>
            </w:tcBorders>
            <w:vAlign w:val="top"/>
          </w:tcPr>
          <w:p w14:paraId="2F8B7800">
            <w:pPr>
              <w:rPr>
                <w:rFonts w:ascii="Arial"/>
                <w:sz w:val="21"/>
              </w:rPr>
            </w:pPr>
          </w:p>
        </w:tc>
        <w:tc>
          <w:tcPr>
            <w:tcW w:w="93" w:type="dxa"/>
            <w:tcBorders>
              <w:top w:val="nil"/>
              <w:bottom w:val="single" w:color="000000" w:sz="6" w:space="0"/>
              <w:right w:val="single" w:color="000000" w:sz="6" w:space="0"/>
            </w:tcBorders>
            <w:vAlign w:val="top"/>
          </w:tcPr>
          <w:p w14:paraId="5F513E81">
            <w:pPr>
              <w:rPr>
                <w:rFonts w:ascii="Arial"/>
                <w:sz w:val="21"/>
              </w:rPr>
            </w:pPr>
          </w:p>
        </w:tc>
      </w:tr>
    </w:tbl>
    <w:p w14:paraId="1E4720D7">
      <w:pPr>
        <w:pStyle w:val="3"/>
      </w:pPr>
    </w:p>
    <w:p w14:paraId="7F234D1D">
      <w:pPr>
        <w:sectPr>
          <w:footerReference r:id="rId51" w:type="default"/>
          <w:pgSz w:w="11906" w:h="16838"/>
          <w:pgMar w:top="1416" w:right="1413" w:bottom="1295" w:left="1413" w:header="0" w:footer="1133" w:gutter="0"/>
          <w:cols w:space="720" w:num="1"/>
        </w:sectPr>
      </w:pPr>
    </w:p>
    <w:tbl>
      <w:tblPr>
        <w:tblStyle w:val="8"/>
        <w:tblW w:w="90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51"/>
        <w:gridCol w:w="8313"/>
      </w:tblGrid>
      <w:tr w14:paraId="6A2EE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07" w:hRule="atLeast"/>
        </w:trPr>
        <w:tc>
          <w:tcPr>
            <w:tcW w:w="751" w:type="dxa"/>
            <w:tcBorders>
              <w:bottom w:val="single" w:color="000000" w:sz="2" w:space="0"/>
              <w:right w:val="single" w:color="000000" w:sz="2" w:space="0"/>
            </w:tcBorders>
            <w:vAlign w:val="top"/>
          </w:tcPr>
          <w:p w14:paraId="4F1E4360">
            <w:pPr>
              <w:rPr>
                <w:rFonts w:ascii="Arial"/>
                <w:sz w:val="21"/>
              </w:rPr>
            </w:pPr>
          </w:p>
        </w:tc>
        <w:tc>
          <w:tcPr>
            <w:tcW w:w="8313" w:type="dxa"/>
            <w:tcBorders>
              <w:left w:val="single" w:color="000000" w:sz="2" w:space="0"/>
              <w:bottom w:val="single" w:color="000000" w:sz="2" w:space="0"/>
            </w:tcBorders>
            <w:vAlign w:val="top"/>
          </w:tcPr>
          <w:p w14:paraId="546CBC5B">
            <w:pPr>
              <w:pStyle w:val="9"/>
              <w:spacing w:before="166" w:line="363" w:lineRule="auto"/>
              <w:ind w:left="111" w:right="102" w:firstLine="476"/>
              <w:jc w:val="both"/>
            </w:pPr>
            <w:r>
              <w:rPr>
                <w:spacing w:val="-2"/>
              </w:rPr>
              <w:t>根据内蒙古肆合环境检测有限公司对项目周围环境现状的监测结</w:t>
            </w:r>
            <w:r>
              <w:rPr>
                <w:spacing w:val="-3"/>
              </w:rPr>
              <w:t>果表明，</w:t>
            </w:r>
            <w:r>
              <w:rPr>
                <w:spacing w:val="-2"/>
              </w:rPr>
              <w:t>项目建设区域的噪声、工频电场、工频磁场现状值满足相应的要求。</w:t>
            </w:r>
            <w:r>
              <w:rPr>
                <w:spacing w:val="-3"/>
              </w:rPr>
              <w:t>因此，本</w:t>
            </w:r>
            <w:r>
              <w:rPr>
                <w:spacing w:val="-1"/>
              </w:rPr>
              <w:t>项目不存在原有环境污染和生态破坏的问题。</w:t>
            </w:r>
          </w:p>
        </w:tc>
      </w:tr>
      <w:tr w14:paraId="6FE16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964" w:hRule="atLeast"/>
        </w:trPr>
        <w:tc>
          <w:tcPr>
            <w:tcW w:w="751" w:type="dxa"/>
            <w:tcBorders>
              <w:top w:val="single" w:color="000000" w:sz="2" w:space="0"/>
              <w:right w:val="single" w:color="000000" w:sz="2" w:space="0"/>
            </w:tcBorders>
            <w:vAlign w:val="top"/>
          </w:tcPr>
          <w:p w14:paraId="0D129EBA">
            <w:pPr>
              <w:spacing w:line="244" w:lineRule="auto"/>
              <w:rPr>
                <w:rFonts w:ascii="Arial"/>
                <w:sz w:val="21"/>
              </w:rPr>
            </w:pPr>
          </w:p>
          <w:p w14:paraId="0C31541D">
            <w:pPr>
              <w:spacing w:line="244" w:lineRule="auto"/>
              <w:rPr>
                <w:rFonts w:ascii="Arial"/>
                <w:sz w:val="21"/>
              </w:rPr>
            </w:pPr>
          </w:p>
          <w:p w14:paraId="6B3F70D1">
            <w:pPr>
              <w:spacing w:line="244" w:lineRule="auto"/>
              <w:rPr>
                <w:rFonts w:ascii="Arial"/>
                <w:sz w:val="21"/>
              </w:rPr>
            </w:pPr>
          </w:p>
          <w:p w14:paraId="6FEF5DD4">
            <w:pPr>
              <w:spacing w:line="244" w:lineRule="auto"/>
              <w:rPr>
                <w:rFonts w:ascii="Arial"/>
                <w:sz w:val="21"/>
              </w:rPr>
            </w:pPr>
          </w:p>
          <w:p w14:paraId="34AE6DA0">
            <w:pPr>
              <w:spacing w:line="244" w:lineRule="auto"/>
              <w:rPr>
                <w:rFonts w:ascii="Arial"/>
                <w:sz w:val="21"/>
              </w:rPr>
            </w:pPr>
          </w:p>
          <w:p w14:paraId="25DCD9AC">
            <w:pPr>
              <w:spacing w:line="244" w:lineRule="auto"/>
              <w:rPr>
                <w:rFonts w:ascii="Arial"/>
                <w:sz w:val="21"/>
              </w:rPr>
            </w:pPr>
          </w:p>
          <w:p w14:paraId="7ABBF594">
            <w:pPr>
              <w:spacing w:line="244" w:lineRule="auto"/>
              <w:rPr>
                <w:rFonts w:ascii="Arial"/>
                <w:sz w:val="21"/>
              </w:rPr>
            </w:pPr>
          </w:p>
          <w:p w14:paraId="1E55A037">
            <w:pPr>
              <w:spacing w:line="244" w:lineRule="auto"/>
              <w:rPr>
                <w:rFonts w:ascii="Arial"/>
                <w:sz w:val="21"/>
              </w:rPr>
            </w:pPr>
          </w:p>
          <w:p w14:paraId="467A0923">
            <w:pPr>
              <w:spacing w:line="244" w:lineRule="auto"/>
              <w:rPr>
                <w:rFonts w:ascii="Arial"/>
                <w:sz w:val="21"/>
              </w:rPr>
            </w:pPr>
          </w:p>
          <w:p w14:paraId="14808A5F">
            <w:pPr>
              <w:spacing w:line="244" w:lineRule="auto"/>
              <w:rPr>
                <w:rFonts w:ascii="Arial"/>
                <w:sz w:val="21"/>
              </w:rPr>
            </w:pPr>
          </w:p>
          <w:p w14:paraId="1C2F47F5">
            <w:pPr>
              <w:spacing w:line="244" w:lineRule="auto"/>
              <w:rPr>
                <w:rFonts w:ascii="Arial"/>
                <w:sz w:val="21"/>
              </w:rPr>
            </w:pPr>
          </w:p>
          <w:p w14:paraId="5680C8BE">
            <w:pPr>
              <w:spacing w:line="244" w:lineRule="auto"/>
              <w:rPr>
                <w:rFonts w:ascii="Arial"/>
                <w:sz w:val="21"/>
              </w:rPr>
            </w:pPr>
          </w:p>
          <w:p w14:paraId="2ECAC133">
            <w:pPr>
              <w:spacing w:line="244" w:lineRule="auto"/>
              <w:rPr>
                <w:rFonts w:ascii="Arial"/>
                <w:sz w:val="21"/>
              </w:rPr>
            </w:pPr>
          </w:p>
          <w:p w14:paraId="27651C45">
            <w:pPr>
              <w:spacing w:line="244" w:lineRule="auto"/>
              <w:rPr>
                <w:rFonts w:ascii="Arial"/>
                <w:sz w:val="21"/>
              </w:rPr>
            </w:pPr>
          </w:p>
          <w:p w14:paraId="41939575">
            <w:pPr>
              <w:spacing w:line="244" w:lineRule="auto"/>
              <w:rPr>
                <w:rFonts w:ascii="Arial"/>
                <w:sz w:val="21"/>
              </w:rPr>
            </w:pPr>
          </w:p>
          <w:p w14:paraId="57B18390">
            <w:pPr>
              <w:spacing w:line="244" w:lineRule="auto"/>
              <w:rPr>
                <w:rFonts w:ascii="Arial"/>
                <w:sz w:val="21"/>
              </w:rPr>
            </w:pPr>
          </w:p>
          <w:p w14:paraId="401056EB">
            <w:pPr>
              <w:spacing w:line="244" w:lineRule="auto"/>
              <w:rPr>
                <w:rFonts w:ascii="Arial"/>
                <w:sz w:val="21"/>
              </w:rPr>
            </w:pPr>
          </w:p>
          <w:p w14:paraId="7B722822">
            <w:pPr>
              <w:spacing w:line="244" w:lineRule="auto"/>
              <w:rPr>
                <w:rFonts w:ascii="Arial"/>
                <w:sz w:val="21"/>
              </w:rPr>
            </w:pPr>
          </w:p>
          <w:p w14:paraId="034D386D">
            <w:pPr>
              <w:spacing w:line="244" w:lineRule="auto"/>
              <w:rPr>
                <w:rFonts w:ascii="Arial"/>
                <w:sz w:val="21"/>
              </w:rPr>
            </w:pPr>
          </w:p>
          <w:p w14:paraId="74005464">
            <w:pPr>
              <w:spacing w:line="244" w:lineRule="auto"/>
              <w:rPr>
                <w:rFonts w:ascii="Arial"/>
                <w:sz w:val="21"/>
              </w:rPr>
            </w:pPr>
          </w:p>
          <w:p w14:paraId="533ECCEC">
            <w:pPr>
              <w:spacing w:line="244" w:lineRule="auto"/>
              <w:rPr>
                <w:rFonts w:ascii="Arial"/>
                <w:sz w:val="21"/>
              </w:rPr>
            </w:pPr>
          </w:p>
          <w:p w14:paraId="7BC919C8">
            <w:pPr>
              <w:spacing w:line="244" w:lineRule="auto"/>
              <w:rPr>
                <w:rFonts w:ascii="Arial"/>
                <w:sz w:val="21"/>
              </w:rPr>
            </w:pPr>
          </w:p>
          <w:p w14:paraId="7D0B7FB8">
            <w:pPr>
              <w:pStyle w:val="9"/>
              <w:spacing w:before="65" w:line="253" w:lineRule="auto"/>
              <w:ind w:left="163" w:right="167" w:firstLine="1"/>
              <w:outlineLvl w:val="2"/>
              <w:rPr>
                <w:sz w:val="20"/>
                <w:szCs w:val="20"/>
              </w:rPr>
            </w:pPr>
            <w:r>
              <w:rPr>
                <w:spacing w:val="3"/>
                <w:sz w:val="20"/>
                <w:szCs w:val="20"/>
              </w:rPr>
              <w:t>生态</w:t>
            </w:r>
            <w:r>
              <w:rPr>
                <w:spacing w:val="4"/>
                <w:sz w:val="20"/>
                <w:szCs w:val="20"/>
              </w:rPr>
              <w:t>环境保护目标</w:t>
            </w:r>
          </w:p>
        </w:tc>
        <w:tc>
          <w:tcPr>
            <w:tcW w:w="8313" w:type="dxa"/>
            <w:tcBorders>
              <w:top w:val="single" w:color="000000" w:sz="2" w:space="0"/>
              <w:left w:val="single" w:color="000000" w:sz="2" w:space="0"/>
            </w:tcBorders>
            <w:vAlign w:val="top"/>
          </w:tcPr>
          <w:p w14:paraId="02563D4E">
            <w:pPr>
              <w:pStyle w:val="9"/>
              <w:spacing w:before="163" w:line="218" w:lineRule="auto"/>
              <w:ind w:left="591"/>
              <w:outlineLvl w:val="1"/>
            </w:pPr>
            <w:r>
              <w:rPr>
                <w:b/>
                <w:bCs/>
                <w:spacing w:val="-4"/>
              </w:rPr>
              <w:t>一、评价等级</w:t>
            </w:r>
          </w:p>
          <w:p w14:paraId="4ECDE962">
            <w:pPr>
              <w:pStyle w:val="9"/>
              <w:spacing w:before="177" w:line="354" w:lineRule="auto"/>
              <w:ind w:left="114" w:firstLine="475"/>
              <w:jc w:val="both"/>
            </w:pPr>
            <w:r>
              <w:rPr>
                <w:spacing w:val="-3"/>
              </w:rPr>
              <w:t>依据《建设项目环境影响评价技术导则 总纲》（</w:t>
            </w:r>
            <w:r>
              <w:rPr>
                <w:rFonts w:ascii="Times New Roman" w:hAnsi="Times New Roman" w:eastAsia="Times New Roman" w:cs="Times New Roman"/>
                <w:spacing w:val="-3"/>
              </w:rPr>
              <w:t>HJ2.1-2016</w:t>
            </w:r>
            <w:r>
              <w:rPr>
                <w:spacing w:val="-4"/>
              </w:rPr>
              <w:t>）、《环境影</w:t>
            </w:r>
            <w:r>
              <w:rPr>
                <w:spacing w:val="-5"/>
              </w:rPr>
              <w:t>响评价技术 导则 输变电》（</w:t>
            </w:r>
            <w:r>
              <w:rPr>
                <w:rFonts w:ascii="Times New Roman" w:hAnsi="Times New Roman" w:eastAsia="Times New Roman" w:cs="Times New Roman"/>
                <w:spacing w:val="-5"/>
              </w:rPr>
              <w:t>HJ24-2020</w:t>
            </w:r>
            <w:r>
              <w:rPr>
                <w:spacing w:val="-5"/>
              </w:rPr>
              <w:t>）、《环境影响评价技术导则 声环境》</w:t>
            </w:r>
            <w:r>
              <w:rPr>
                <w:spacing w:val="6"/>
              </w:rPr>
              <w:t xml:space="preserve"> </w:t>
            </w:r>
            <w:r>
              <w:t>（</w:t>
            </w:r>
            <w:r>
              <w:rPr>
                <w:rFonts w:ascii="Times New Roman" w:hAnsi="Times New Roman" w:eastAsia="Times New Roman" w:cs="Times New Roman"/>
              </w:rPr>
              <w:t>HJ2.4-2021</w:t>
            </w:r>
            <w:r>
              <w:t>）和《环境影响评价技术导则 生态影响》（</w:t>
            </w:r>
            <w:r>
              <w:rPr>
                <w:rFonts w:ascii="Times New Roman" w:hAnsi="Times New Roman" w:eastAsia="Times New Roman" w:cs="Times New Roman"/>
              </w:rPr>
              <w:t>HJ19-2022</w:t>
            </w:r>
            <w:r>
              <w:t>）确定本</w:t>
            </w:r>
            <w:r>
              <w:rPr>
                <w:spacing w:val="-2"/>
              </w:rPr>
              <w:t>次评价工作的等级。</w:t>
            </w:r>
          </w:p>
          <w:p w14:paraId="47EBC281">
            <w:pPr>
              <w:pStyle w:val="9"/>
              <w:spacing w:line="220" w:lineRule="auto"/>
              <w:ind w:left="599"/>
            </w:pPr>
            <w:r>
              <w:rPr>
                <w:spacing w:val="-3"/>
              </w:rPr>
              <w:t>（</w:t>
            </w:r>
            <w:r>
              <w:rPr>
                <w:rFonts w:ascii="Times New Roman" w:hAnsi="Times New Roman" w:eastAsia="Times New Roman" w:cs="Times New Roman"/>
                <w:spacing w:val="-3"/>
              </w:rPr>
              <w:t>1</w:t>
            </w:r>
            <w:r>
              <w:rPr>
                <w:spacing w:val="-3"/>
              </w:rPr>
              <w:t>）电磁环境影</w:t>
            </w:r>
          </w:p>
          <w:p w14:paraId="17E79F98">
            <w:pPr>
              <w:pStyle w:val="9"/>
              <w:spacing w:before="173" w:line="354" w:lineRule="auto"/>
              <w:ind w:left="109" w:right="104" w:firstLine="479"/>
            </w:pPr>
            <w:r>
              <w:rPr>
                <w:spacing w:val="-6"/>
              </w:rPr>
              <w:t>依据《环境影响评价技术导则 输变电》（</w:t>
            </w:r>
            <w:r>
              <w:rPr>
                <w:rFonts w:ascii="Times New Roman" w:hAnsi="Times New Roman" w:eastAsia="Times New Roman" w:cs="Times New Roman"/>
                <w:spacing w:val="-6"/>
              </w:rPr>
              <w:t>HJ24-2020</w:t>
            </w:r>
            <w:r>
              <w:rPr>
                <w:spacing w:val="-6"/>
              </w:rPr>
              <w:t>）中有关规定，</w:t>
            </w:r>
            <w:r>
              <w:rPr>
                <w:rFonts w:ascii="Times New Roman" w:hAnsi="Times New Roman" w:eastAsia="Times New Roman" w:cs="Times New Roman"/>
                <w:spacing w:val="-6"/>
              </w:rPr>
              <w:t>220kV</w:t>
            </w:r>
            <w:r>
              <w:rPr>
                <w:spacing w:val="-1"/>
              </w:rPr>
              <w:t>升压站为户外升压站，评价工作等级确定为二级。</w:t>
            </w:r>
          </w:p>
          <w:p w14:paraId="1D92AA0D">
            <w:pPr>
              <w:pStyle w:val="9"/>
              <w:spacing w:line="220" w:lineRule="auto"/>
              <w:ind w:left="599"/>
            </w:pPr>
            <w:r>
              <w:rPr>
                <w:spacing w:val="-3"/>
              </w:rPr>
              <w:t>（</w:t>
            </w:r>
            <w:r>
              <w:rPr>
                <w:rFonts w:ascii="Times New Roman" w:hAnsi="Times New Roman" w:eastAsia="Times New Roman" w:cs="Times New Roman"/>
                <w:spacing w:val="-3"/>
              </w:rPr>
              <w:t>2</w:t>
            </w:r>
            <w:r>
              <w:rPr>
                <w:spacing w:val="-3"/>
              </w:rPr>
              <w:t>）声环境影响</w:t>
            </w:r>
          </w:p>
          <w:p w14:paraId="447820A3">
            <w:pPr>
              <w:pStyle w:val="9"/>
              <w:spacing w:before="170" w:line="352" w:lineRule="auto"/>
              <w:ind w:left="106" w:right="102" w:firstLine="481"/>
            </w:pPr>
            <w:r>
              <w:rPr>
                <w:spacing w:val="-1"/>
              </w:rPr>
              <w:t>根据《环境影响评价技术导则 声环境》</w:t>
            </w:r>
            <w:r>
              <w:rPr>
                <w:rFonts w:ascii="Times New Roman" w:hAnsi="Times New Roman" w:eastAsia="Times New Roman" w:cs="Times New Roman"/>
                <w:spacing w:val="-1"/>
              </w:rPr>
              <w:t>(HJ2.4-2021)</w:t>
            </w:r>
            <w:r>
              <w:rPr>
                <w:spacing w:val="-1"/>
              </w:rPr>
              <w:t>中环评工作等级的划分原则：</w:t>
            </w:r>
            <w:r>
              <w:rPr>
                <w:rFonts w:ascii="Times New Roman" w:hAnsi="Times New Roman" w:eastAsia="Times New Roman" w:cs="Times New Roman"/>
                <w:spacing w:val="-1"/>
              </w:rPr>
              <w:t>5.1.3</w:t>
            </w:r>
            <w:r>
              <w:rPr>
                <w:rFonts w:ascii="Times New Roman" w:hAnsi="Times New Roman" w:eastAsia="Times New Roman" w:cs="Times New Roman"/>
                <w:spacing w:val="-18"/>
              </w:rPr>
              <w:t xml:space="preserve"> </w:t>
            </w:r>
            <w:r>
              <w:rPr>
                <w:spacing w:val="-1"/>
              </w:rPr>
              <w:t>，建设项目所处的声环境功能区为</w:t>
            </w:r>
            <w:r>
              <w:rPr>
                <w:spacing w:val="-51"/>
              </w:rPr>
              <w:t xml:space="preserve"> </w:t>
            </w:r>
            <w:r>
              <w:rPr>
                <w:rFonts w:ascii="Times New Roman" w:hAnsi="Times New Roman" w:eastAsia="Times New Roman" w:cs="Times New Roman"/>
                <w:spacing w:val="-1"/>
              </w:rPr>
              <w:t xml:space="preserve">GB3096  </w:t>
            </w:r>
            <w:r>
              <w:rPr>
                <w:spacing w:val="-1"/>
              </w:rPr>
              <w:t xml:space="preserve">规定的 </w:t>
            </w:r>
            <w:r>
              <w:rPr>
                <w:rFonts w:ascii="Times New Roman" w:hAnsi="Times New Roman" w:eastAsia="Times New Roman" w:cs="Times New Roman"/>
                <w:spacing w:val="-1"/>
              </w:rPr>
              <w:t xml:space="preserve">1  </w:t>
            </w:r>
            <w:r>
              <w:rPr>
                <w:spacing w:val="-1"/>
              </w:rPr>
              <w:t>类、</w:t>
            </w:r>
            <w:r>
              <w:rPr>
                <w:rFonts w:ascii="Times New Roman" w:hAnsi="Times New Roman" w:eastAsia="Times New Roman" w:cs="Times New Roman"/>
                <w:spacing w:val="-1"/>
              </w:rPr>
              <w:t>2</w:t>
            </w:r>
            <w:r>
              <w:rPr>
                <w:rFonts w:ascii="Times New Roman" w:hAnsi="Times New Roman" w:eastAsia="Times New Roman" w:cs="Times New Roman"/>
                <w:spacing w:val="6"/>
              </w:rPr>
              <w:t xml:space="preserve">  </w:t>
            </w:r>
            <w:r>
              <w:rPr>
                <w:spacing w:val="-1"/>
              </w:rPr>
              <w:t>类</w:t>
            </w:r>
            <w:r>
              <w:rPr>
                <w:spacing w:val="6"/>
              </w:rPr>
              <w:t>地区，或建设项目建设前后评价范围内敏感目标噪声级增高量达</w:t>
            </w:r>
            <w:r>
              <w:rPr>
                <w:spacing w:val="-40"/>
              </w:rPr>
              <w:t xml:space="preserve"> </w:t>
            </w:r>
            <w:r>
              <w:rPr>
                <w:rFonts w:ascii="Times New Roman" w:hAnsi="Times New Roman" w:eastAsia="Times New Roman" w:cs="Times New Roman"/>
                <w:spacing w:val="6"/>
              </w:rPr>
              <w:t>3</w:t>
            </w:r>
            <w:r>
              <w:rPr>
                <w:rFonts w:ascii="Times New Roman" w:hAnsi="Times New Roman" w:eastAsia="Times New Roman" w:cs="Times New Roman"/>
              </w:rPr>
              <w:t>dB</w:t>
            </w:r>
            <w:r>
              <w:rPr>
                <w:rFonts w:ascii="Times New Roman" w:hAnsi="Times New Roman" w:eastAsia="Times New Roman" w:cs="Times New Roman"/>
                <w:spacing w:val="6"/>
              </w:rPr>
              <w:t>(</w:t>
            </w:r>
            <w:r>
              <w:rPr>
                <w:rFonts w:ascii="Times New Roman" w:hAnsi="Times New Roman" w:eastAsia="Times New Roman" w:cs="Times New Roman"/>
                <w:spacing w:val="5"/>
              </w:rPr>
              <w:t>A)</w:t>
            </w:r>
            <w:r>
              <w:rPr>
                <w:spacing w:val="5"/>
              </w:rPr>
              <w:t>～</w:t>
            </w:r>
            <w:r>
              <w:rPr>
                <w:rFonts w:ascii="Times New Roman" w:hAnsi="Times New Roman" w:eastAsia="Times New Roman" w:cs="Times New Roman"/>
                <w:spacing w:val="5"/>
              </w:rPr>
              <w:t>5</w:t>
            </w:r>
            <w:r>
              <w:rPr>
                <w:rFonts w:ascii="Times New Roman" w:hAnsi="Times New Roman" w:eastAsia="Times New Roman" w:cs="Times New Roman"/>
              </w:rPr>
              <w:t xml:space="preserve"> </w:t>
            </w:r>
            <w:r>
              <w:rPr>
                <w:rFonts w:ascii="Times New Roman" w:hAnsi="Times New Roman" w:eastAsia="Times New Roman" w:cs="Times New Roman"/>
                <w:spacing w:val="-2"/>
              </w:rPr>
              <w:t>dB(A)</w:t>
            </w:r>
            <w:r>
              <w:rPr>
                <w:rFonts w:ascii="Times New Roman" w:hAnsi="Times New Roman" w:eastAsia="Times New Roman" w:cs="Times New Roman"/>
                <w:spacing w:val="-16"/>
              </w:rPr>
              <w:t xml:space="preserve"> </w:t>
            </w:r>
            <w:r>
              <w:rPr>
                <w:spacing w:val="-2"/>
              </w:rPr>
              <w:t>，或受影响人口数量增加较多时，按二级评价。</w:t>
            </w:r>
          </w:p>
          <w:p w14:paraId="7D9687FD">
            <w:pPr>
              <w:pStyle w:val="9"/>
              <w:spacing w:before="12" w:line="354" w:lineRule="auto"/>
              <w:ind w:left="107" w:right="102" w:firstLine="480"/>
              <w:jc w:val="both"/>
            </w:pPr>
            <w:r>
              <w:rPr>
                <w:spacing w:val="-2"/>
              </w:rPr>
              <w:t>本项目位于扎鲁特旗格日朝鲁苏木，紧邻内蒙古通辽市霍林郭</w:t>
            </w:r>
            <w:r>
              <w:rPr>
                <w:spacing w:val="-3"/>
              </w:rPr>
              <w:t>勒高新技术</w:t>
            </w:r>
            <w:r>
              <w:rPr>
                <w:spacing w:val="-1"/>
              </w:rPr>
              <w:t>产业开发区（扎鲁特旗</w:t>
            </w:r>
            <w:r>
              <w:rPr>
                <w:spacing w:val="5"/>
              </w:rPr>
              <w:t>），</w:t>
            </w:r>
            <w:r>
              <w:rPr>
                <w:spacing w:val="-1"/>
              </w:rPr>
              <w:t>其所在区域执行声环境功能区为</w:t>
            </w:r>
            <w:r>
              <w:rPr>
                <w:spacing w:val="-51"/>
              </w:rPr>
              <w:t xml:space="preserve"> </w:t>
            </w:r>
            <w:r>
              <w:rPr>
                <w:rFonts w:ascii="Times New Roman" w:hAnsi="Times New Roman" w:eastAsia="Times New Roman" w:cs="Times New Roman"/>
                <w:spacing w:val="-1"/>
              </w:rPr>
              <w:t xml:space="preserve">GB3096 </w:t>
            </w:r>
            <w:r>
              <w:rPr>
                <w:spacing w:val="-1"/>
              </w:rPr>
              <w:t>规定的</w:t>
            </w:r>
            <w:r>
              <w:rPr>
                <w:spacing w:val="-55"/>
              </w:rPr>
              <w:t xml:space="preserve"> </w:t>
            </w:r>
            <w:r>
              <w:rPr>
                <w:rFonts w:ascii="Times New Roman" w:hAnsi="Times New Roman" w:eastAsia="Times New Roman" w:cs="Times New Roman"/>
                <w:spacing w:val="-1"/>
              </w:rPr>
              <w:t>2</w:t>
            </w:r>
            <w:r>
              <w:rPr>
                <w:spacing w:val="-1"/>
              </w:rPr>
              <w:t>类地区，因此本次评价噪声工作等级定为二级。</w:t>
            </w:r>
          </w:p>
          <w:p w14:paraId="514E9371">
            <w:pPr>
              <w:pStyle w:val="9"/>
              <w:spacing w:before="1" w:line="217" w:lineRule="auto"/>
              <w:ind w:left="599"/>
            </w:pPr>
            <w:r>
              <w:rPr>
                <w:spacing w:val="-2"/>
              </w:rPr>
              <w:t>（</w:t>
            </w:r>
            <w:r>
              <w:rPr>
                <w:rFonts w:ascii="Times New Roman" w:hAnsi="Times New Roman" w:eastAsia="Times New Roman" w:cs="Times New Roman"/>
                <w:spacing w:val="-2"/>
              </w:rPr>
              <w:t>3</w:t>
            </w:r>
            <w:r>
              <w:rPr>
                <w:spacing w:val="-2"/>
              </w:rPr>
              <w:t>）生态环境影响评价范围</w:t>
            </w:r>
          </w:p>
          <w:p w14:paraId="29A3DF4D">
            <w:pPr>
              <w:pStyle w:val="9"/>
              <w:spacing w:before="175" w:line="354" w:lineRule="auto"/>
              <w:ind w:left="107" w:right="22" w:firstLine="480"/>
            </w:pPr>
            <w:r>
              <w:rPr>
                <w:spacing w:val="-2"/>
              </w:rPr>
              <w:t>本项目征地不涉及国家公园、自然保护区、世界自然遗产、重</w:t>
            </w:r>
            <w:r>
              <w:rPr>
                <w:spacing w:val="-3"/>
              </w:rPr>
              <w:t>要生境、自</w:t>
            </w:r>
            <w:r>
              <w:rPr>
                <w:spacing w:val="-10"/>
              </w:rPr>
              <w:t>然公园等；不涉及生态保护红线；工程永久占地面积共计</w:t>
            </w:r>
            <w:r>
              <w:rPr>
                <w:spacing w:val="-47"/>
              </w:rPr>
              <w:t xml:space="preserve"> </w:t>
            </w:r>
            <w:r>
              <w:rPr>
                <w:rFonts w:ascii="Times New Roman" w:hAnsi="Times New Roman" w:eastAsia="Times New Roman" w:cs="Times New Roman"/>
                <w:spacing w:val="-10"/>
              </w:rPr>
              <w:t>44858m</w:t>
            </w:r>
            <w:r>
              <w:rPr>
                <w:rFonts w:ascii="Times New Roman" w:hAnsi="Times New Roman" w:eastAsia="Times New Roman" w:cs="Times New Roman"/>
                <w:spacing w:val="-10"/>
                <w:position w:val="7"/>
                <w:sz w:val="15"/>
                <w:szCs w:val="15"/>
              </w:rPr>
              <w:t>2</w:t>
            </w:r>
            <w:r>
              <w:rPr>
                <w:spacing w:val="-10"/>
              </w:rPr>
              <w:t>，小于</w:t>
            </w:r>
            <w:r>
              <w:rPr>
                <w:spacing w:val="-55"/>
              </w:rPr>
              <w:t xml:space="preserve"> </w:t>
            </w:r>
            <w:r>
              <w:rPr>
                <w:rFonts w:ascii="Times New Roman" w:hAnsi="Times New Roman" w:eastAsia="Times New Roman" w:cs="Times New Roman"/>
                <w:spacing w:val="-10"/>
              </w:rPr>
              <w:t>20km</w:t>
            </w:r>
            <w:r>
              <w:rPr>
                <w:rFonts w:ascii="Times New Roman" w:hAnsi="Times New Roman" w:eastAsia="Times New Roman" w:cs="Times New Roman"/>
                <w:spacing w:val="-10"/>
                <w:position w:val="7"/>
                <w:sz w:val="15"/>
                <w:szCs w:val="15"/>
              </w:rPr>
              <w:t>2</w:t>
            </w:r>
            <w:r>
              <w:rPr>
                <w:spacing w:val="-10"/>
              </w:rPr>
              <w:t>。</w:t>
            </w:r>
            <w:r>
              <w:rPr>
                <w:spacing w:val="-4"/>
              </w:rPr>
              <w:t>依据《环境影响评价技术导则 生态影响》（</w:t>
            </w:r>
            <w:r>
              <w:rPr>
                <w:rFonts w:ascii="Times New Roman" w:hAnsi="Times New Roman" w:eastAsia="Times New Roman" w:cs="Times New Roman"/>
                <w:spacing w:val="-4"/>
              </w:rPr>
              <w:t>HJ</w:t>
            </w:r>
            <w:r>
              <w:rPr>
                <w:rFonts w:ascii="Times New Roman" w:hAnsi="Times New Roman" w:eastAsia="Times New Roman" w:cs="Times New Roman"/>
                <w:spacing w:val="41"/>
              </w:rPr>
              <w:t xml:space="preserve"> </w:t>
            </w:r>
            <w:r>
              <w:rPr>
                <w:rFonts w:ascii="Times New Roman" w:hAnsi="Times New Roman" w:eastAsia="Times New Roman" w:cs="Times New Roman"/>
                <w:spacing w:val="-4"/>
              </w:rPr>
              <w:t>19-2022</w:t>
            </w:r>
            <w:r>
              <w:rPr>
                <w:spacing w:val="-4"/>
              </w:rPr>
              <w:t>）生态影响评价等级的</w:t>
            </w:r>
            <w:r>
              <w:rPr>
                <w:spacing w:val="-1"/>
              </w:rPr>
              <w:t>确定原则，本项目生态影响评价工作等级为三级。</w:t>
            </w:r>
          </w:p>
          <w:p w14:paraId="554B8A76">
            <w:pPr>
              <w:pStyle w:val="9"/>
              <w:spacing w:line="219" w:lineRule="auto"/>
              <w:ind w:left="599"/>
            </w:pPr>
            <w:r>
              <w:rPr>
                <w:spacing w:val="-4"/>
              </w:rPr>
              <w:t>（</w:t>
            </w:r>
            <w:r>
              <w:rPr>
                <w:rFonts w:ascii="Times New Roman" w:hAnsi="Times New Roman" w:eastAsia="Times New Roman" w:cs="Times New Roman"/>
                <w:spacing w:val="-4"/>
              </w:rPr>
              <w:t>4</w:t>
            </w:r>
            <w:r>
              <w:rPr>
                <w:spacing w:val="-4"/>
              </w:rPr>
              <w:t>）地表水</w:t>
            </w:r>
          </w:p>
          <w:p w14:paraId="66A18553">
            <w:pPr>
              <w:pStyle w:val="9"/>
              <w:spacing w:before="175" w:line="354" w:lineRule="auto"/>
              <w:ind w:left="111" w:right="102" w:firstLine="476"/>
            </w:pPr>
            <w:r>
              <w:rPr>
                <w:spacing w:val="5"/>
              </w:rPr>
              <w:t>运行期生活污水经排水管道排至站内化粪池后由地埋式一体化污水处理</w:t>
            </w:r>
            <w:r>
              <w:t>设施处理后排入</w:t>
            </w:r>
            <w:r>
              <w:rPr>
                <w:spacing w:val="-36"/>
              </w:rPr>
              <w:t xml:space="preserve"> </w:t>
            </w:r>
            <w:r>
              <w:rPr>
                <w:rFonts w:ascii="Times New Roman" w:hAnsi="Times New Roman" w:eastAsia="Times New Roman" w:cs="Times New Roman"/>
              </w:rPr>
              <w:t>80m</w:t>
            </w:r>
            <w:r>
              <w:rPr>
                <w:rFonts w:ascii="Times New Roman" w:hAnsi="Times New Roman" w:eastAsia="Times New Roman" w:cs="Times New Roman"/>
                <w:position w:val="8"/>
                <w:sz w:val="15"/>
                <w:szCs w:val="15"/>
              </w:rPr>
              <w:t>3</w:t>
            </w:r>
            <w:r>
              <w:rPr>
                <w:rFonts w:ascii="Times New Roman" w:hAnsi="Times New Roman" w:eastAsia="Times New Roman" w:cs="Times New Roman"/>
                <w:spacing w:val="24"/>
                <w:w w:val="102"/>
                <w:position w:val="8"/>
                <w:sz w:val="15"/>
                <w:szCs w:val="15"/>
              </w:rPr>
              <w:t xml:space="preserve"> </w:t>
            </w:r>
            <w:r>
              <w:t>蓄水池，最终用于升压站区内绿化用水。化粪池、污水</w:t>
            </w:r>
            <w:r>
              <w:rPr>
                <w:spacing w:val="-1"/>
              </w:rPr>
              <w:t>处理设施底部均按照相关要求进行防渗，防止渗入外环境。</w:t>
            </w:r>
          </w:p>
          <w:p w14:paraId="60DA895B">
            <w:pPr>
              <w:pStyle w:val="9"/>
              <w:spacing w:before="1" w:line="217" w:lineRule="auto"/>
              <w:ind w:left="587"/>
            </w:pPr>
            <w:r>
              <w:rPr>
                <w:spacing w:val="-2"/>
              </w:rPr>
              <w:t>根据《环境影响评价技术导则 地表水环境》（</w:t>
            </w:r>
            <w:r>
              <w:rPr>
                <w:rFonts w:ascii="Times New Roman" w:hAnsi="Times New Roman" w:eastAsia="Times New Roman" w:cs="Times New Roman"/>
                <w:spacing w:val="-2"/>
              </w:rPr>
              <w:t>HJ2.3-2018</w:t>
            </w:r>
            <w:r>
              <w:rPr>
                <w:spacing w:val="-15"/>
              </w:rPr>
              <w:t>），</w:t>
            </w:r>
            <w:r>
              <w:rPr>
                <w:rFonts w:ascii="Times New Roman" w:hAnsi="Times New Roman" w:eastAsia="Times New Roman" w:cs="Times New Roman"/>
                <w:spacing w:val="-2"/>
              </w:rPr>
              <w:t xml:space="preserve">220kV </w:t>
            </w:r>
            <w:r>
              <w:rPr>
                <w:spacing w:val="-2"/>
              </w:rPr>
              <w:t>升压</w:t>
            </w:r>
          </w:p>
        </w:tc>
      </w:tr>
    </w:tbl>
    <w:p w14:paraId="294B5C81">
      <w:pPr>
        <w:pStyle w:val="3"/>
      </w:pPr>
    </w:p>
    <w:p w14:paraId="3CAE8051">
      <w:pPr>
        <w:sectPr>
          <w:footerReference r:id="rId52" w:type="default"/>
          <w:pgSz w:w="11906" w:h="16838"/>
          <w:pgMar w:top="1416" w:right="1413" w:bottom="1295" w:left="1413" w:header="0" w:footer="1133" w:gutter="0"/>
          <w:cols w:space="720" w:num="1"/>
        </w:sectPr>
      </w:pPr>
    </w:p>
    <w:tbl>
      <w:tblPr>
        <w:tblStyle w:val="8"/>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1"/>
        <w:gridCol w:w="118"/>
        <w:gridCol w:w="714"/>
        <w:gridCol w:w="977"/>
        <w:gridCol w:w="4325"/>
        <w:gridCol w:w="2062"/>
        <w:gridCol w:w="117"/>
      </w:tblGrid>
      <w:tr w14:paraId="434B34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20" w:hRule="atLeast"/>
        </w:trPr>
        <w:tc>
          <w:tcPr>
            <w:tcW w:w="751" w:type="dxa"/>
            <w:vMerge w:val="restart"/>
            <w:tcBorders>
              <w:top w:val="single" w:color="000000" w:sz="6" w:space="0"/>
              <w:left w:val="single" w:color="000000" w:sz="6" w:space="0"/>
              <w:bottom w:val="nil"/>
            </w:tcBorders>
            <w:vAlign w:val="top"/>
          </w:tcPr>
          <w:p w14:paraId="4D4E4411">
            <w:pPr>
              <w:rPr>
                <w:rFonts w:ascii="Arial"/>
                <w:sz w:val="21"/>
              </w:rPr>
            </w:pPr>
            <w:r>
              <w:pict>
                <v:shape id="_x0000_s1043" o:spid="_x0000_s1043" style="position:absolute;left:0pt;margin-left:113.95pt;margin-top:757.55pt;height:0.5pt;width:405.05pt;mso-position-horizontal-relative:page;mso-position-vertical-relative:page;z-index:-251636736;mso-width-relative:page;mso-height-relative:page;" filled="f" stroked="t" coordsize="8101,10" o:allowincell="f" path="m0,4l8100,4e">
                  <v:fill on="f" focussize="0,0"/>
                  <v:stroke weight="0.48pt" color="#000000" miterlimit="2" joinstyle="bevel"/>
                  <v:imagedata o:title=""/>
                  <o:lock v:ext="edit"/>
                </v:shape>
              </w:pict>
            </w:r>
          </w:p>
        </w:tc>
        <w:tc>
          <w:tcPr>
            <w:tcW w:w="8313" w:type="dxa"/>
            <w:gridSpan w:val="6"/>
            <w:tcBorders>
              <w:top w:val="single" w:color="000000" w:sz="6" w:space="0"/>
              <w:right w:val="single" w:color="000000" w:sz="6" w:space="0"/>
            </w:tcBorders>
            <w:vAlign w:val="top"/>
          </w:tcPr>
          <w:p w14:paraId="62665FA1">
            <w:pPr>
              <w:pStyle w:val="9"/>
              <w:spacing w:before="156" w:line="354" w:lineRule="auto"/>
              <w:ind w:left="109" w:right="102" w:hanging="1"/>
            </w:pPr>
            <w:r>
              <w:rPr>
                <w:spacing w:val="-2"/>
              </w:rPr>
              <w:t>站地表水环境影响评价工作等级确定为三级</w:t>
            </w:r>
            <w:r>
              <w:rPr>
                <w:spacing w:val="-42"/>
              </w:rPr>
              <w:t xml:space="preserve"> </w:t>
            </w:r>
            <w:r>
              <w:rPr>
                <w:rFonts w:ascii="Times New Roman" w:hAnsi="Times New Roman" w:eastAsia="Times New Roman" w:cs="Times New Roman"/>
                <w:spacing w:val="-2"/>
              </w:rPr>
              <w:t>B</w:t>
            </w:r>
            <w:r>
              <w:rPr>
                <w:spacing w:val="-2"/>
              </w:rPr>
              <w:t>，本次评价对水环境影响以分析</w:t>
            </w:r>
            <w:r>
              <w:rPr>
                <w:spacing w:val="-3"/>
              </w:rPr>
              <w:t>说明为主。</w:t>
            </w:r>
          </w:p>
          <w:p w14:paraId="0BF934E9">
            <w:pPr>
              <w:pStyle w:val="9"/>
              <w:spacing w:before="1" w:line="217" w:lineRule="auto"/>
              <w:ind w:left="591"/>
            </w:pPr>
            <w:r>
              <w:rPr>
                <w:b/>
                <w:bCs/>
                <w:spacing w:val="-4"/>
              </w:rPr>
              <w:t>二、评价范围</w:t>
            </w:r>
          </w:p>
          <w:p w14:paraId="5C3987D1">
            <w:pPr>
              <w:pStyle w:val="9"/>
              <w:spacing w:before="176" w:line="354" w:lineRule="auto"/>
              <w:ind w:left="106" w:right="102" w:firstLine="480"/>
            </w:pPr>
            <w:r>
              <w:rPr>
                <w:spacing w:val="-1"/>
              </w:rPr>
              <w:t>根据《环境影响评价技术导则 输变电》（</w:t>
            </w:r>
            <w:r>
              <w:rPr>
                <w:rFonts w:ascii="Times New Roman" w:hAnsi="Times New Roman" w:eastAsia="Times New Roman" w:cs="Times New Roman"/>
                <w:spacing w:val="-2"/>
              </w:rPr>
              <w:t>HJ24-2020</w:t>
            </w:r>
            <w:r>
              <w:rPr>
                <w:spacing w:val="-2"/>
              </w:rPr>
              <w:t>）相关规定，本工程</w:t>
            </w:r>
            <w:r>
              <w:rPr>
                <w:spacing w:val="-5"/>
              </w:rPr>
              <w:t>评价范围见表</w:t>
            </w:r>
            <w:r>
              <w:rPr>
                <w:spacing w:val="-43"/>
              </w:rPr>
              <w:t xml:space="preserve"> </w:t>
            </w:r>
            <w:r>
              <w:rPr>
                <w:rFonts w:ascii="Times New Roman" w:hAnsi="Times New Roman" w:eastAsia="Times New Roman" w:cs="Times New Roman"/>
                <w:spacing w:val="-5"/>
              </w:rPr>
              <w:t>3-</w:t>
            </w:r>
            <w:r>
              <w:rPr>
                <w:rFonts w:ascii="Times New Roman" w:hAnsi="Times New Roman" w:eastAsia="Times New Roman" w:cs="Times New Roman"/>
                <w:spacing w:val="-33"/>
              </w:rPr>
              <w:t xml:space="preserve"> </w:t>
            </w:r>
            <w:r>
              <w:rPr>
                <w:rFonts w:ascii="Times New Roman" w:hAnsi="Times New Roman" w:eastAsia="Times New Roman" w:cs="Times New Roman"/>
                <w:spacing w:val="-5"/>
              </w:rPr>
              <w:t>16</w:t>
            </w:r>
            <w:r>
              <w:rPr>
                <w:spacing w:val="-5"/>
              </w:rPr>
              <w:t>。</w:t>
            </w:r>
          </w:p>
          <w:p w14:paraId="0393BE8A">
            <w:pPr>
              <w:pStyle w:val="9"/>
              <w:spacing w:before="1" w:line="217" w:lineRule="auto"/>
              <w:ind w:left="3306"/>
            </w:pPr>
            <w:r>
              <w:rPr>
                <w:b/>
                <w:bCs/>
                <w:spacing w:val="-2"/>
              </w:rPr>
              <w:t>表</w:t>
            </w:r>
            <w:r>
              <w:rPr>
                <w:spacing w:val="-47"/>
              </w:rPr>
              <w:t xml:space="preserve"> </w:t>
            </w:r>
            <w:r>
              <w:rPr>
                <w:rFonts w:ascii="Times New Roman" w:hAnsi="Times New Roman" w:eastAsia="Times New Roman" w:cs="Times New Roman"/>
                <w:b/>
                <w:bCs/>
                <w:spacing w:val="-2"/>
              </w:rPr>
              <w:t xml:space="preserve">3-16        </w:t>
            </w:r>
            <w:r>
              <w:rPr>
                <w:b/>
                <w:bCs/>
                <w:spacing w:val="-2"/>
              </w:rPr>
              <w:t>评价范围</w:t>
            </w:r>
          </w:p>
          <w:p w14:paraId="1655174C">
            <w:pPr>
              <w:spacing w:line="14" w:lineRule="exact"/>
            </w:pPr>
          </w:p>
          <w:tbl>
            <w:tblPr>
              <w:tblStyle w:val="8"/>
              <w:tblW w:w="8095" w:type="dxa"/>
              <w:tblInd w:w="10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14"/>
              <w:gridCol w:w="1679"/>
              <w:gridCol w:w="4402"/>
            </w:tblGrid>
            <w:tr w14:paraId="117933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2014" w:type="dxa"/>
                  <w:vAlign w:val="top"/>
                </w:tcPr>
                <w:p w14:paraId="06D1C0F1">
                  <w:pPr>
                    <w:pStyle w:val="9"/>
                    <w:spacing w:before="48" w:line="226" w:lineRule="auto"/>
                    <w:ind w:left="591"/>
                    <w:rPr>
                      <w:sz w:val="20"/>
                      <w:szCs w:val="20"/>
                    </w:rPr>
                  </w:pPr>
                  <w:r>
                    <w:rPr>
                      <w:b/>
                      <w:bCs/>
                      <w:spacing w:val="6"/>
                      <w:sz w:val="20"/>
                      <w:szCs w:val="20"/>
                    </w:rPr>
                    <w:t>评价对象</w:t>
                  </w:r>
                </w:p>
              </w:tc>
              <w:tc>
                <w:tcPr>
                  <w:tcW w:w="1679" w:type="dxa"/>
                  <w:vAlign w:val="top"/>
                </w:tcPr>
                <w:p w14:paraId="2D4538C4">
                  <w:pPr>
                    <w:pStyle w:val="9"/>
                    <w:spacing w:before="48" w:line="226" w:lineRule="auto"/>
                    <w:ind w:left="422"/>
                    <w:rPr>
                      <w:sz w:val="20"/>
                      <w:szCs w:val="20"/>
                    </w:rPr>
                  </w:pPr>
                  <w:r>
                    <w:rPr>
                      <w:b/>
                      <w:bCs/>
                      <w:spacing w:val="6"/>
                      <w:sz w:val="20"/>
                      <w:szCs w:val="20"/>
                    </w:rPr>
                    <w:t>评价项目</w:t>
                  </w:r>
                </w:p>
              </w:tc>
              <w:tc>
                <w:tcPr>
                  <w:tcW w:w="4402" w:type="dxa"/>
                  <w:vAlign w:val="top"/>
                </w:tcPr>
                <w:p w14:paraId="1AB2CEF7">
                  <w:pPr>
                    <w:pStyle w:val="9"/>
                    <w:spacing w:before="48" w:line="226" w:lineRule="auto"/>
                    <w:ind w:left="1782"/>
                    <w:rPr>
                      <w:sz w:val="20"/>
                      <w:szCs w:val="20"/>
                    </w:rPr>
                  </w:pPr>
                  <w:r>
                    <w:rPr>
                      <w:b/>
                      <w:bCs/>
                      <w:spacing w:val="6"/>
                      <w:sz w:val="20"/>
                      <w:szCs w:val="20"/>
                    </w:rPr>
                    <w:t>评价范围</w:t>
                  </w:r>
                </w:p>
              </w:tc>
            </w:tr>
            <w:tr w14:paraId="2790A3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2014" w:type="dxa"/>
                  <w:vMerge w:val="restart"/>
                  <w:tcBorders>
                    <w:bottom w:val="nil"/>
                  </w:tcBorders>
                  <w:vAlign w:val="top"/>
                </w:tcPr>
                <w:p w14:paraId="31B592F2">
                  <w:pPr>
                    <w:spacing w:line="273" w:lineRule="auto"/>
                    <w:rPr>
                      <w:rFonts w:ascii="Arial"/>
                      <w:sz w:val="21"/>
                    </w:rPr>
                  </w:pPr>
                </w:p>
                <w:p w14:paraId="55994496">
                  <w:pPr>
                    <w:pStyle w:val="9"/>
                    <w:spacing w:before="65" w:line="229" w:lineRule="auto"/>
                    <w:ind w:left="381"/>
                    <w:rPr>
                      <w:sz w:val="20"/>
                      <w:szCs w:val="20"/>
                    </w:rPr>
                  </w:pPr>
                  <w:r>
                    <w:rPr>
                      <w:rFonts w:ascii="Times New Roman" w:hAnsi="Times New Roman" w:eastAsia="Times New Roman" w:cs="Times New Roman"/>
                      <w:spacing w:val="6"/>
                      <w:sz w:val="20"/>
                      <w:szCs w:val="20"/>
                    </w:rPr>
                    <w:t>220</w:t>
                  </w:r>
                  <w:r>
                    <w:rPr>
                      <w:rFonts w:ascii="Times New Roman" w:hAnsi="Times New Roman" w:eastAsia="Times New Roman" w:cs="Times New Roman"/>
                      <w:sz w:val="20"/>
                      <w:szCs w:val="20"/>
                    </w:rPr>
                    <w:t>kV</w:t>
                  </w:r>
                  <w:r>
                    <w:rPr>
                      <w:rFonts w:ascii="Times New Roman" w:hAnsi="Times New Roman" w:eastAsia="Times New Roman" w:cs="Times New Roman"/>
                      <w:spacing w:val="17"/>
                      <w:sz w:val="20"/>
                      <w:szCs w:val="20"/>
                    </w:rPr>
                    <w:t xml:space="preserve"> </w:t>
                  </w:r>
                  <w:r>
                    <w:rPr>
                      <w:spacing w:val="6"/>
                      <w:sz w:val="20"/>
                      <w:szCs w:val="20"/>
                    </w:rPr>
                    <w:t>升压站</w:t>
                  </w:r>
                </w:p>
              </w:tc>
              <w:tc>
                <w:tcPr>
                  <w:tcW w:w="1679" w:type="dxa"/>
                  <w:vAlign w:val="top"/>
                </w:tcPr>
                <w:p w14:paraId="038F1FEC">
                  <w:pPr>
                    <w:pStyle w:val="9"/>
                    <w:spacing w:before="35" w:line="220" w:lineRule="auto"/>
                    <w:ind w:left="448"/>
                    <w:rPr>
                      <w:sz w:val="20"/>
                      <w:szCs w:val="20"/>
                    </w:rPr>
                  </w:pPr>
                  <w:r>
                    <w:rPr>
                      <w:spacing w:val="1"/>
                      <w:sz w:val="20"/>
                      <w:szCs w:val="20"/>
                    </w:rPr>
                    <w:t>电磁环境</w:t>
                  </w:r>
                </w:p>
              </w:tc>
              <w:tc>
                <w:tcPr>
                  <w:tcW w:w="4402" w:type="dxa"/>
                  <w:vAlign w:val="top"/>
                </w:tcPr>
                <w:p w14:paraId="7907C6B6">
                  <w:pPr>
                    <w:pStyle w:val="9"/>
                    <w:spacing w:before="35" w:line="220" w:lineRule="auto"/>
                    <w:ind w:left="1023"/>
                    <w:rPr>
                      <w:sz w:val="20"/>
                      <w:szCs w:val="20"/>
                    </w:rPr>
                  </w:pPr>
                  <w:r>
                    <w:rPr>
                      <w:spacing w:val="7"/>
                      <w:sz w:val="20"/>
                      <w:szCs w:val="20"/>
                    </w:rPr>
                    <w:t>站界外</w:t>
                  </w:r>
                  <w:r>
                    <w:rPr>
                      <w:spacing w:val="-43"/>
                      <w:sz w:val="20"/>
                      <w:szCs w:val="20"/>
                    </w:rPr>
                    <w:t xml:space="preserve"> </w:t>
                  </w:r>
                  <w:r>
                    <w:rPr>
                      <w:rFonts w:ascii="Times New Roman" w:hAnsi="Times New Roman" w:eastAsia="Times New Roman" w:cs="Times New Roman"/>
                      <w:spacing w:val="7"/>
                      <w:sz w:val="20"/>
                      <w:szCs w:val="20"/>
                    </w:rPr>
                    <w:t xml:space="preserve">40m </w:t>
                  </w:r>
                  <w:r>
                    <w:rPr>
                      <w:spacing w:val="7"/>
                      <w:sz w:val="20"/>
                      <w:szCs w:val="20"/>
                    </w:rPr>
                    <w:t>范围内的区域</w:t>
                  </w:r>
                </w:p>
              </w:tc>
            </w:tr>
            <w:tr w14:paraId="0D02DF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rPr>
              <w:tc>
                <w:tcPr>
                  <w:tcW w:w="2014" w:type="dxa"/>
                  <w:vMerge w:val="continue"/>
                  <w:tcBorders>
                    <w:top w:val="nil"/>
                    <w:bottom w:val="nil"/>
                  </w:tcBorders>
                  <w:vAlign w:val="top"/>
                </w:tcPr>
                <w:p w14:paraId="2DAEA3E5">
                  <w:pPr>
                    <w:rPr>
                      <w:rFonts w:ascii="Arial"/>
                      <w:sz w:val="21"/>
                    </w:rPr>
                  </w:pPr>
                </w:p>
              </w:tc>
              <w:tc>
                <w:tcPr>
                  <w:tcW w:w="1679" w:type="dxa"/>
                  <w:vAlign w:val="top"/>
                </w:tcPr>
                <w:p w14:paraId="7EC2D26D">
                  <w:pPr>
                    <w:pStyle w:val="9"/>
                    <w:spacing w:before="36" w:line="219" w:lineRule="auto"/>
                    <w:ind w:left="533"/>
                    <w:rPr>
                      <w:sz w:val="20"/>
                      <w:szCs w:val="20"/>
                    </w:rPr>
                  </w:pPr>
                  <w:r>
                    <w:rPr>
                      <w:spacing w:val="5"/>
                      <w:sz w:val="20"/>
                      <w:szCs w:val="20"/>
                    </w:rPr>
                    <w:t>声环境</w:t>
                  </w:r>
                </w:p>
              </w:tc>
              <w:tc>
                <w:tcPr>
                  <w:tcW w:w="4402" w:type="dxa"/>
                  <w:vAlign w:val="top"/>
                </w:tcPr>
                <w:p w14:paraId="2C9CB07D">
                  <w:pPr>
                    <w:pStyle w:val="9"/>
                    <w:spacing w:before="36" w:line="219" w:lineRule="auto"/>
                    <w:ind w:left="970"/>
                    <w:rPr>
                      <w:sz w:val="20"/>
                      <w:szCs w:val="20"/>
                    </w:rPr>
                  </w:pPr>
                  <w:r>
                    <w:rPr>
                      <w:spacing w:val="7"/>
                      <w:sz w:val="20"/>
                      <w:szCs w:val="20"/>
                    </w:rPr>
                    <w:t>站界外</w:t>
                  </w:r>
                  <w:r>
                    <w:rPr>
                      <w:spacing w:val="-44"/>
                      <w:sz w:val="20"/>
                      <w:szCs w:val="20"/>
                    </w:rPr>
                    <w:t xml:space="preserve"> </w:t>
                  </w:r>
                  <w:r>
                    <w:rPr>
                      <w:rFonts w:ascii="Times New Roman" w:hAnsi="Times New Roman" w:eastAsia="Times New Roman" w:cs="Times New Roman"/>
                      <w:spacing w:val="7"/>
                      <w:sz w:val="20"/>
                      <w:szCs w:val="20"/>
                    </w:rPr>
                    <w:t xml:space="preserve">200m </w:t>
                  </w:r>
                  <w:r>
                    <w:rPr>
                      <w:spacing w:val="7"/>
                      <w:sz w:val="20"/>
                      <w:szCs w:val="20"/>
                    </w:rPr>
                    <w:t>范围内的区域</w:t>
                  </w:r>
                </w:p>
              </w:tc>
            </w:tr>
            <w:tr w14:paraId="6548BE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4" w:hRule="atLeast"/>
              </w:trPr>
              <w:tc>
                <w:tcPr>
                  <w:tcW w:w="2014" w:type="dxa"/>
                  <w:vMerge w:val="continue"/>
                  <w:tcBorders>
                    <w:top w:val="nil"/>
                  </w:tcBorders>
                  <w:vAlign w:val="top"/>
                </w:tcPr>
                <w:p w14:paraId="416E9636">
                  <w:pPr>
                    <w:rPr>
                      <w:rFonts w:ascii="Arial"/>
                      <w:sz w:val="21"/>
                    </w:rPr>
                  </w:pPr>
                </w:p>
              </w:tc>
              <w:tc>
                <w:tcPr>
                  <w:tcW w:w="1679" w:type="dxa"/>
                  <w:vAlign w:val="top"/>
                </w:tcPr>
                <w:p w14:paraId="21ACC05A">
                  <w:pPr>
                    <w:pStyle w:val="9"/>
                    <w:spacing w:before="50" w:line="228" w:lineRule="auto"/>
                    <w:ind w:left="425"/>
                    <w:rPr>
                      <w:sz w:val="20"/>
                      <w:szCs w:val="20"/>
                    </w:rPr>
                  </w:pPr>
                  <w:r>
                    <w:rPr>
                      <w:spacing w:val="6"/>
                      <w:sz w:val="20"/>
                      <w:szCs w:val="20"/>
                    </w:rPr>
                    <w:t>生态环境</w:t>
                  </w:r>
                </w:p>
              </w:tc>
              <w:tc>
                <w:tcPr>
                  <w:tcW w:w="4402" w:type="dxa"/>
                  <w:vAlign w:val="top"/>
                </w:tcPr>
                <w:p w14:paraId="121E876B">
                  <w:pPr>
                    <w:pStyle w:val="9"/>
                    <w:spacing w:before="49" w:line="228" w:lineRule="auto"/>
                    <w:ind w:left="970"/>
                    <w:rPr>
                      <w:sz w:val="20"/>
                      <w:szCs w:val="20"/>
                    </w:rPr>
                  </w:pPr>
                  <w:r>
                    <w:rPr>
                      <w:spacing w:val="6"/>
                      <w:sz w:val="20"/>
                      <w:szCs w:val="20"/>
                    </w:rPr>
                    <w:t>站界外</w:t>
                  </w:r>
                  <w:r>
                    <w:rPr>
                      <w:spacing w:val="-30"/>
                      <w:sz w:val="20"/>
                      <w:szCs w:val="20"/>
                    </w:rPr>
                    <w:t xml:space="preserve"> </w:t>
                  </w:r>
                  <w:r>
                    <w:rPr>
                      <w:rFonts w:ascii="Times New Roman" w:hAnsi="Times New Roman" w:eastAsia="Times New Roman" w:cs="Times New Roman"/>
                      <w:spacing w:val="6"/>
                      <w:sz w:val="20"/>
                      <w:szCs w:val="20"/>
                    </w:rPr>
                    <w:t xml:space="preserve">500m </w:t>
                  </w:r>
                  <w:r>
                    <w:rPr>
                      <w:spacing w:val="6"/>
                      <w:sz w:val="20"/>
                      <w:szCs w:val="20"/>
                    </w:rPr>
                    <w:t>范围内的区域</w:t>
                  </w:r>
                </w:p>
              </w:tc>
            </w:tr>
          </w:tbl>
          <w:p w14:paraId="22A949EB">
            <w:pPr>
              <w:pStyle w:val="9"/>
              <w:spacing w:before="162" w:line="220" w:lineRule="auto"/>
              <w:ind w:left="587"/>
              <w:outlineLvl w:val="1"/>
            </w:pPr>
            <w:r>
              <w:rPr>
                <w:b/>
                <w:bCs/>
                <w:spacing w:val="-4"/>
              </w:rPr>
              <w:t>三、保护目标</w:t>
            </w:r>
          </w:p>
          <w:p w14:paraId="146F1DA4">
            <w:pPr>
              <w:pStyle w:val="9"/>
              <w:spacing w:before="175" w:line="220" w:lineRule="auto"/>
              <w:ind w:left="606"/>
            </w:pPr>
            <w:r>
              <w:rPr>
                <w:rFonts w:ascii="Times New Roman" w:hAnsi="Times New Roman" w:eastAsia="Times New Roman" w:cs="Times New Roman"/>
                <w:spacing w:val="-5"/>
              </w:rPr>
              <w:t>1</w:t>
            </w:r>
            <w:r>
              <w:rPr>
                <w:rFonts w:ascii="Times New Roman" w:hAnsi="Times New Roman" w:eastAsia="Times New Roman" w:cs="Times New Roman"/>
                <w:spacing w:val="-34"/>
              </w:rPr>
              <w:t xml:space="preserve"> </w:t>
            </w:r>
            <w:r>
              <w:rPr>
                <w:spacing w:val="-5"/>
              </w:rPr>
              <w:t>、噪声、电磁保护目标</w:t>
            </w:r>
          </w:p>
          <w:p w14:paraId="4AFF24D4">
            <w:pPr>
              <w:pStyle w:val="9"/>
              <w:spacing w:before="174" w:line="354" w:lineRule="auto"/>
              <w:ind w:left="107" w:right="84" w:firstLine="491"/>
            </w:pPr>
            <w:r>
              <w:rPr>
                <w:spacing w:val="-3"/>
              </w:rPr>
              <w:t>噪声：本次工程噪声环境敏感目标为</w:t>
            </w:r>
            <w:r>
              <w:rPr>
                <w:spacing w:val="-53"/>
              </w:rPr>
              <w:t xml:space="preserve"> </w:t>
            </w:r>
            <w:r>
              <w:rPr>
                <w:rFonts w:ascii="Times New Roman" w:hAnsi="Times New Roman" w:eastAsia="Times New Roman" w:cs="Times New Roman"/>
                <w:spacing w:val="-3"/>
              </w:rPr>
              <w:t xml:space="preserve">220kV </w:t>
            </w:r>
            <w:r>
              <w:rPr>
                <w:spacing w:val="-3"/>
              </w:rPr>
              <w:t>升压站场界外</w:t>
            </w:r>
            <w:r>
              <w:rPr>
                <w:spacing w:val="-55"/>
              </w:rPr>
              <w:t xml:space="preserve"> </w:t>
            </w:r>
            <w:r>
              <w:rPr>
                <w:rFonts w:ascii="Times New Roman" w:hAnsi="Times New Roman" w:eastAsia="Times New Roman" w:cs="Times New Roman"/>
                <w:spacing w:val="-3"/>
              </w:rPr>
              <w:t>200m</w:t>
            </w:r>
            <w:r>
              <w:rPr>
                <w:rFonts w:ascii="Times New Roman" w:hAnsi="Times New Roman" w:eastAsia="Times New Roman" w:cs="Times New Roman"/>
                <w:spacing w:val="16"/>
                <w:w w:val="101"/>
              </w:rPr>
              <w:t xml:space="preserve"> </w:t>
            </w:r>
            <w:r>
              <w:rPr>
                <w:spacing w:val="-3"/>
              </w:rPr>
              <w:t>范围内的</w:t>
            </w:r>
            <w:r>
              <w:rPr>
                <w:spacing w:val="-2"/>
              </w:rPr>
              <w:t>依据法律、法规、标准政策等确定的需要保持安静的建筑物及建筑物集中区；</w:t>
            </w:r>
            <w:r>
              <w:t>根据现场调查，本项目</w:t>
            </w:r>
            <w:r>
              <w:rPr>
                <w:rFonts w:ascii="Times New Roman" w:hAnsi="Times New Roman" w:eastAsia="Times New Roman" w:cs="Times New Roman"/>
              </w:rPr>
              <w:t xml:space="preserve">220kV </w:t>
            </w:r>
            <w:r>
              <w:t>升压站场界外</w:t>
            </w:r>
            <w:r>
              <w:rPr>
                <w:spacing w:val="-51"/>
              </w:rPr>
              <w:t xml:space="preserve"> </w:t>
            </w:r>
            <w:r>
              <w:rPr>
                <w:rFonts w:ascii="Times New Roman" w:hAnsi="Times New Roman" w:eastAsia="Times New Roman" w:cs="Times New Roman"/>
              </w:rPr>
              <w:t xml:space="preserve">200m </w:t>
            </w:r>
            <w:r>
              <w:t>范围内无声环境保护目标。</w:t>
            </w:r>
          </w:p>
          <w:p w14:paraId="5D03AFE8">
            <w:pPr>
              <w:pStyle w:val="9"/>
              <w:spacing w:line="355" w:lineRule="auto"/>
              <w:ind w:left="108" w:right="102" w:firstLine="507"/>
            </w:pPr>
            <w:r>
              <w:t>电磁：电磁环境保护目标为</w:t>
            </w:r>
            <w:r>
              <w:rPr>
                <w:spacing w:val="-50"/>
              </w:rPr>
              <w:t xml:space="preserve"> </w:t>
            </w:r>
            <w:r>
              <w:rPr>
                <w:rFonts w:ascii="Times New Roman" w:hAnsi="Times New Roman" w:eastAsia="Times New Roman" w:cs="Times New Roman"/>
              </w:rPr>
              <w:t xml:space="preserve">220kV </w:t>
            </w:r>
            <w:r>
              <w:t>升压站场界外</w:t>
            </w:r>
            <w:r>
              <w:rPr>
                <w:spacing w:val="-54"/>
              </w:rPr>
              <w:t xml:space="preserve"> </w:t>
            </w:r>
            <w:r>
              <w:rPr>
                <w:rFonts w:ascii="Times New Roman" w:hAnsi="Times New Roman" w:eastAsia="Times New Roman" w:cs="Times New Roman"/>
                <w:spacing w:val="-1"/>
              </w:rPr>
              <w:t>40m</w:t>
            </w:r>
            <w:r>
              <w:rPr>
                <w:rFonts w:ascii="Times New Roman" w:hAnsi="Times New Roman" w:eastAsia="Times New Roman" w:cs="Times New Roman"/>
                <w:spacing w:val="18"/>
                <w:w w:val="101"/>
              </w:rPr>
              <w:t xml:space="preserve"> </w:t>
            </w:r>
            <w:r>
              <w:rPr>
                <w:spacing w:val="-1"/>
              </w:rPr>
              <w:t>范围内的住宅、学</w:t>
            </w:r>
            <w:r>
              <w:rPr>
                <w:spacing w:val="-2"/>
              </w:rPr>
              <w:t>校、医院、办公楼、工厂等有公众居住、工作或学习的建筑物等电磁环境保护</w:t>
            </w:r>
            <w:r>
              <w:t>目标。根据现场调查，本工程</w:t>
            </w:r>
            <w:r>
              <w:rPr>
                <w:spacing w:val="-36"/>
              </w:rPr>
              <w:t xml:space="preserve"> </w:t>
            </w:r>
            <w:r>
              <w:rPr>
                <w:rFonts w:ascii="Times New Roman" w:hAnsi="Times New Roman" w:eastAsia="Times New Roman" w:cs="Times New Roman"/>
              </w:rPr>
              <w:t xml:space="preserve">220kV </w:t>
            </w:r>
            <w:r>
              <w:t>升压站场界外</w:t>
            </w:r>
            <w:r>
              <w:rPr>
                <w:spacing w:val="-54"/>
              </w:rPr>
              <w:t xml:space="preserve"> </w:t>
            </w:r>
            <w:r>
              <w:rPr>
                <w:rFonts w:ascii="Times New Roman" w:hAnsi="Times New Roman" w:eastAsia="Times New Roman" w:cs="Times New Roman"/>
              </w:rPr>
              <w:t>40m</w:t>
            </w:r>
            <w:r>
              <w:rPr>
                <w:rFonts w:ascii="Times New Roman" w:hAnsi="Times New Roman" w:eastAsia="Times New Roman" w:cs="Times New Roman"/>
                <w:spacing w:val="18"/>
                <w:w w:val="101"/>
              </w:rPr>
              <w:t xml:space="preserve"> </w:t>
            </w:r>
            <w:r>
              <w:t>范围内无电磁环境保</w:t>
            </w:r>
            <w:r>
              <w:rPr>
                <w:spacing w:val="-3"/>
              </w:rPr>
              <w:t>护目标。</w:t>
            </w:r>
          </w:p>
          <w:p w14:paraId="177CA996">
            <w:pPr>
              <w:pStyle w:val="9"/>
              <w:spacing w:before="2" w:line="219" w:lineRule="auto"/>
              <w:ind w:left="590"/>
            </w:pPr>
            <w:r>
              <w:rPr>
                <w:spacing w:val="-2"/>
              </w:rPr>
              <w:t>2、生态类环境保护目标</w:t>
            </w:r>
          </w:p>
          <w:p w14:paraId="76AC0EC2">
            <w:pPr>
              <w:pStyle w:val="9"/>
              <w:spacing w:before="182" w:line="362" w:lineRule="auto"/>
              <w:ind w:left="107" w:right="22" w:firstLine="480"/>
            </w:pPr>
            <w:r>
              <w:rPr>
                <w:spacing w:val="-7"/>
              </w:rPr>
              <w:t>本项目评价范围内不涉及国家公园、自然保护区、自然公园等自然保护地、</w:t>
            </w:r>
            <w:r>
              <w:t>世界自然遗产、生态保护红线；不涉及重要物种的天然集中分布区、栖息地，</w:t>
            </w:r>
            <w:r>
              <w:rPr>
                <w:spacing w:val="-2"/>
              </w:rPr>
              <w:t>不涉及重要水生生物的产卵场、索饵场、越冬场和洄游通道，迁徙鸟类的重要</w:t>
            </w:r>
            <w:r>
              <w:rPr>
                <w:spacing w:val="-5"/>
              </w:rPr>
              <w:t>繁殖地、停歇地、越冬地以及野生动物迁徙通道等</w:t>
            </w:r>
            <w:r>
              <w:rPr>
                <w:spacing w:val="-6"/>
              </w:rPr>
              <w:t>《环境影响评价技术导则 生</w:t>
            </w:r>
            <w:r>
              <w:rPr>
                <w:spacing w:val="-1"/>
              </w:rPr>
              <w:t>态影响》（HJ19-2022）中的生态敏感区。</w:t>
            </w:r>
          </w:p>
          <w:p w14:paraId="1F8879FD">
            <w:pPr>
              <w:pStyle w:val="9"/>
              <w:spacing w:before="1" w:line="358" w:lineRule="auto"/>
              <w:ind w:left="109" w:right="22" w:firstLine="479"/>
            </w:pPr>
            <w:r>
              <w:rPr>
                <w:spacing w:val="-7"/>
              </w:rPr>
              <w:t>周边地表植被以农用地为主。本项目评价范围内不涉及基本草原、公益林、</w:t>
            </w:r>
            <w:r>
              <w:rPr>
                <w:spacing w:val="-1"/>
              </w:rPr>
              <w:t>永久基本农田以及国家和内蒙古自治区重点保护野生动植物。</w:t>
            </w:r>
          </w:p>
          <w:p w14:paraId="6E7EED9B">
            <w:pPr>
              <w:pStyle w:val="9"/>
              <w:spacing w:before="1" w:line="214" w:lineRule="auto"/>
              <w:ind w:left="1741"/>
              <w:outlineLvl w:val="2"/>
            </w:pPr>
            <w:r>
              <w:rPr>
                <w:b/>
                <w:bCs/>
                <w:spacing w:val="-2"/>
              </w:rPr>
              <w:t>表</w:t>
            </w:r>
            <w:r>
              <w:rPr>
                <w:spacing w:val="-41"/>
              </w:rPr>
              <w:t xml:space="preserve"> </w:t>
            </w:r>
            <w:r>
              <w:rPr>
                <w:rFonts w:ascii="Times New Roman" w:hAnsi="Times New Roman" w:eastAsia="Times New Roman" w:cs="Times New Roman"/>
                <w:b/>
                <w:bCs/>
                <w:spacing w:val="-2"/>
              </w:rPr>
              <w:t xml:space="preserve">3-17        </w:t>
            </w:r>
            <w:r>
              <w:rPr>
                <w:b/>
                <w:bCs/>
                <w:spacing w:val="-2"/>
              </w:rPr>
              <w:t>生态环境评价范围的环境保护目标</w:t>
            </w:r>
          </w:p>
        </w:tc>
      </w:tr>
      <w:tr w14:paraId="630D10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751" w:type="dxa"/>
            <w:vMerge w:val="continue"/>
            <w:tcBorders>
              <w:top w:val="nil"/>
              <w:left w:val="single" w:color="000000" w:sz="6" w:space="0"/>
              <w:bottom w:val="nil"/>
            </w:tcBorders>
            <w:vAlign w:val="top"/>
          </w:tcPr>
          <w:p w14:paraId="6FF50792">
            <w:pPr>
              <w:rPr>
                <w:rFonts w:ascii="Arial"/>
                <w:sz w:val="21"/>
              </w:rPr>
            </w:pPr>
          </w:p>
        </w:tc>
        <w:tc>
          <w:tcPr>
            <w:tcW w:w="118" w:type="dxa"/>
            <w:tcBorders>
              <w:top w:val="nil"/>
              <w:bottom w:val="nil"/>
            </w:tcBorders>
            <w:vAlign w:val="top"/>
          </w:tcPr>
          <w:p w14:paraId="03842D86">
            <w:pPr>
              <w:rPr>
                <w:rFonts w:ascii="Arial"/>
                <w:sz w:val="21"/>
              </w:rPr>
            </w:pPr>
          </w:p>
        </w:tc>
        <w:tc>
          <w:tcPr>
            <w:tcW w:w="714" w:type="dxa"/>
            <w:vAlign w:val="top"/>
          </w:tcPr>
          <w:p w14:paraId="08469AF5">
            <w:pPr>
              <w:pStyle w:val="9"/>
              <w:spacing w:before="44" w:line="228" w:lineRule="auto"/>
              <w:ind w:left="146"/>
              <w:rPr>
                <w:sz w:val="20"/>
                <w:szCs w:val="20"/>
              </w:rPr>
            </w:pPr>
            <w:r>
              <w:rPr>
                <w:spacing w:val="4"/>
                <w:sz w:val="20"/>
                <w:szCs w:val="20"/>
              </w:rPr>
              <w:t>环境</w:t>
            </w:r>
          </w:p>
          <w:p w14:paraId="46375704">
            <w:pPr>
              <w:pStyle w:val="9"/>
              <w:spacing w:before="26" w:line="204" w:lineRule="auto"/>
              <w:ind w:left="147"/>
              <w:rPr>
                <w:sz w:val="20"/>
                <w:szCs w:val="20"/>
              </w:rPr>
            </w:pPr>
            <w:r>
              <w:rPr>
                <w:spacing w:val="4"/>
                <w:sz w:val="20"/>
                <w:szCs w:val="20"/>
              </w:rPr>
              <w:t>要素</w:t>
            </w:r>
          </w:p>
        </w:tc>
        <w:tc>
          <w:tcPr>
            <w:tcW w:w="977" w:type="dxa"/>
            <w:vAlign w:val="top"/>
          </w:tcPr>
          <w:p w14:paraId="73965ECA">
            <w:pPr>
              <w:pStyle w:val="9"/>
              <w:spacing w:before="44" w:line="228" w:lineRule="auto"/>
              <w:ind w:left="392" w:right="176" w:hanging="217"/>
              <w:rPr>
                <w:sz w:val="20"/>
                <w:szCs w:val="20"/>
              </w:rPr>
            </w:pPr>
            <w:r>
              <w:rPr>
                <w:spacing w:val="6"/>
                <w:sz w:val="20"/>
                <w:szCs w:val="20"/>
              </w:rPr>
              <w:t>保护对</w:t>
            </w:r>
            <w:r>
              <w:rPr>
                <w:sz w:val="20"/>
                <w:szCs w:val="20"/>
              </w:rPr>
              <w:t>象</w:t>
            </w:r>
          </w:p>
        </w:tc>
        <w:tc>
          <w:tcPr>
            <w:tcW w:w="4325" w:type="dxa"/>
            <w:vAlign w:val="top"/>
          </w:tcPr>
          <w:p w14:paraId="3FA9257E">
            <w:pPr>
              <w:pStyle w:val="9"/>
              <w:spacing w:before="181" w:line="228" w:lineRule="auto"/>
              <w:ind w:left="1749"/>
              <w:rPr>
                <w:sz w:val="20"/>
                <w:szCs w:val="20"/>
              </w:rPr>
            </w:pPr>
            <w:r>
              <w:rPr>
                <w:spacing w:val="7"/>
                <w:sz w:val="20"/>
                <w:szCs w:val="20"/>
              </w:rPr>
              <w:t>保护目标</w:t>
            </w:r>
          </w:p>
        </w:tc>
        <w:tc>
          <w:tcPr>
            <w:tcW w:w="2062" w:type="dxa"/>
            <w:vAlign w:val="top"/>
          </w:tcPr>
          <w:p w14:paraId="1FFD4D20">
            <w:pPr>
              <w:pStyle w:val="9"/>
              <w:spacing w:before="181" w:line="228" w:lineRule="auto"/>
              <w:ind w:left="517"/>
              <w:rPr>
                <w:sz w:val="20"/>
                <w:szCs w:val="20"/>
              </w:rPr>
            </w:pPr>
            <w:r>
              <w:rPr>
                <w:spacing w:val="8"/>
                <w:sz w:val="20"/>
                <w:szCs w:val="20"/>
              </w:rPr>
              <w:t>环境功能区</w:t>
            </w:r>
          </w:p>
        </w:tc>
        <w:tc>
          <w:tcPr>
            <w:tcW w:w="117" w:type="dxa"/>
            <w:tcBorders>
              <w:top w:val="nil"/>
              <w:bottom w:val="nil"/>
              <w:right w:val="single" w:color="000000" w:sz="6" w:space="0"/>
            </w:tcBorders>
            <w:vAlign w:val="top"/>
          </w:tcPr>
          <w:p w14:paraId="6CC15BD3">
            <w:pPr>
              <w:rPr>
                <w:rFonts w:ascii="Arial"/>
                <w:sz w:val="21"/>
              </w:rPr>
            </w:pPr>
          </w:p>
        </w:tc>
      </w:tr>
      <w:tr w14:paraId="5210A2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751" w:type="dxa"/>
            <w:vMerge w:val="continue"/>
            <w:tcBorders>
              <w:top w:val="nil"/>
              <w:left w:val="single" w:color="000000" w:sz="6" w:space="0"/>
              <w:bottom w:val="nil"/>
            </w:tcBorders>
            <w:vAlign w:val="top"/>
          </w:tcPr>
          <w:p w14:paraId="5C165F8B">
            <w:pPr>
              <w:rPr>
                <w:rFonts w:ascii="Arial"/>
                <w:sz w:val="21"/>
              </w:rPr>
            </w:pPr>
          </w:p>
        </w:tc>
        <w:tc>
          <w:tcPr>
            <w:tcW w:w="118" w:type="dxa"/>
            <w:tcBorders>
              <w:top w:val="nil"/>
              <w:bottom w:val="nil"/>
            </w:tcBorders>
            <w:vAlign w:val="top"/>
          </w:tcPr>
          <w:p w14:paraId="3B92A671">
            <w:pPr>
              <w:rPr>
                <w:rFonts w:ascii="Arial"/>
                <w:sz w:val="21"/>
              </w:rPr>
            </w:pPr>
          </w:p>
        </w:tc>
        <w:tc>
          <w:tcPr>
            <w:tcW w:w="714" w:type="dxa"/>
            <w:vMerge w:val="restart"/>
            <w:tcBorders>
              <w:bottom w:val="nil"/>
            </w:tcBorders>
            <w:vAlign w:val="top"/>
          </w:tcPr>
          <w:p w14:paraId="3F7C8E71">
            <w:pPr>
              <w:pStyle w:val="9"/>
              <w:spacing w:before="186" w:line="252" w:lineRule="auto"/>
              <w:ind w:left="146" w:right="152" w:firstLine="1"/>
              <w:rPr>
                <w:sz w:val="20"/>
                <w:szCs w:val="20"/>
              </w:rPr>
            </w:pPr>
            <w:r>
              <w:rPr>
                <w:spacing w:val="3"/>
                <w:sz w:val="20"/>
                <w:szCs w:val="20"/>
              </w:rPr>
              <w:t>生态</w:t>
            </w:r>
            <w:r>
              <w:rPr>
                <w:spacing w:val="4"/>
                <w:sz w:val="20"/>
                <w:szCs w:val="20"/>
              </w:rPr>
              <w:t>环境</w:t>
            </w:r>
          </w:p>
        </w:tc>
        <w:tc>
          <w:tcPr>
            <w:tcW w:w="977" w:type="dxa"/>
            <w:vAlign w:val="top"/>
          </w:tcPr>
          <w:p w14:paraId="5AE2D834">
            <w:pPr>
              <w:pStyle w:val="9"/>
              <w:spacing w:before="178" w:line="228" w:lineRule="auto"/>
              <w:ind w:left="280"/>
              <w:rPr>
                <w:sz w:val="20"/>
                <w:szCs w:val="20"/>
              </w:rPr>
            </w:pPr>
            <w:r>
              <w:rPr>
                <w:spacing w:val="4"/>
                <w:sz w:val="20"/>
                <w:szCs w:val="20"/>
              </w:rPr>
              <w:t>植物</w:t>
            </w:r>
          </w:p>
        </w:tc>
        <w:tc>
          <w:tcPr>
            <w:tcW w:w="4325" w:type="dxa"/>
            <w:vAlign w:val="top"/>
          </w:tcPr>
          <w:p w14:paraId="2DA4D7C6">
            <w:pPr>
              <w:pStyle w:val="9"/>
              <w:spacing w:before="45" w:line="214" w:lineRule="auto"/>
              <w:ind w:left="120" w:right="102" w:firstLine="410"/>
              <w:rPr>
                <w:sz w:val="20"/>
                <w:szCs w:val="20"/>
              </w:rPr>
            </w:pPr>
            <w:r>
              <w:rPr>
                <w:spacing w:val="16"/>
                <w:sz w:val="20"/>
                <w:szCs w:val="20"/>
              </w:rPr>
              <w:t>本项目评价区内不涉及内蒙古自治区重</w:t>
            </w:r>
            <w:r>
              <w:rPr>
                <w:spacing w:val="7"/>
                <w:sz w:val="20"/>
                <w:szCs w:val="20"/>
              </w:rPr>
              <w:t>点保护野生植物</w:t>
            </w:r>
          </w:p>
        </w:tc>
        <w:tc>
          <w:tcPr>
            <w:tcW w:w="2062" w:type="dxa"/>
            <w:vMerge w:val="restart"/>
            <w:tcBorders>
              <w:bottom w:val="nil"/>
            </w:tcBorders>
            <w:vAlign w:val="top"/>
          </w:tcPr>
          <w:p w14:paraId="7F355820">
            <w:pPr>
              <w:pStyle w:val="9"/>
              <w:spacing w:before="50" w:line="244" w:lineRule="auto"/>
              <w:ind w:left="117" w:right="100" w:firstLine="422"/>
              <w:jc w:val="both"/>
              <w:rPr>
                <w:sz w:val="20"/>
                <w:szCs w:val="20"/>
              </w:rPr>
            </w:pPr>
            <w:r>
              <w:rPr>
                <w:spacing w:val="36"/>
                <w:sz w:val="20"/>
                <w:szCs w:val="20"/>
              </w:rPr>
              <w:t>维持区域生态</w:t>
            </w:r>
            <w:r>
              <w:rPr>
                <w:spacing w:val="4"/>
                <w:sz w:val="20"/>
                <w:szCs w:val="20"/>
              </w:rPr>
              <w:t>系统稳定性、完整性</w:t>
            </w:r>
            <w:r>
              <w:rPr>
                <w:spacing w:val="6"/>
                <w:sz w:val="20"/>
                <w:szCs w:val="20"/>
              </w:rPr>
              <w:t>和生物多样性。</w:t>
            </w:r>
          </w:p>
        </w:tc>
        <w:tc>
          <w:tcPr>
            <w:tcW w:w="117" w:type="dxa"/>
            <w:tcBorders>
              <w:top w:val="nil"/>
              <w:bottom w:val="nil"/>
              <w:right w:val="single" w:color="000000" w:sz="6" w:space="0"/>
            </w:tcBorders>
            <w:vAlign w:val="top"/>
          </w:tcPr>
          <w:p w14:paraId="68BF6015">
            <w:pPr>
              <w:rPr>
                <w:rFonts w:ascii="Arial"/>
                <w:sz w:val="21"/>
              </w:rPr>
            </w:pPr>
          </w:p>
        </w:tc>
      </w:tr>
      <w:tr w14:paraId="117ECE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atLeast"/>
        </w:trPr>
        <w:tc>
          <w:tcPr>
            <w:tcW w:w="751" w:type="dxa"/>
            <w:vMerge w:val="continue"/>
            <w:tcBorders>
              <w:top w:val="nil"/>
              <w:left w:val="single" w:color="000000" w:sz="6" w:space="0"/>
              <w:bottom w:val="single" w:color="000000" w:sz="6" w:space="0"/>
            </w:tcBorders>
            <w:vAlign w:val="top"/>
          </w:tcPr>
          <w:p w14:paraId="6FEB4DCD">
            <w:pPr>
              <w:rPr>
                <w:rFonts w:ascii="Arial"/>
                <w:sz w:val="21"/>
              </w:rPr>
            </w:pPr>
          </w:p>
        </w:tc>
        <w:tc>
          <w:tcPr>
            <w:tcW w:w="118" w:type="dxa"/>
            <w:tcBorders>
              <w:top w:val="nil"/>
              <w:bottom w:val="single" w:color="000000" w:sz="6" w:space="0"/>
            </w:tcBorders>
            <w:vAlign w:val="top"/>
          </w:tcPr>
          <w:p w14:paraId="211F32F8">
            <w:pPr>
              <w:rPr>
                <w:rFonts w:ascii="Arial"/>
                <w:sz w:val="21"/>
              </w:rPr>
            </w:pPr>
          </w:p>
        </w:tc>
        <w:tc>
          <w:tcPr>
            <w:tcW w:w="714" w:type="dxa"/>
            <w:vMerge w:val="continue"/>
            <w:tcBorders>
              <w:top w:val="nil"/>
              <w:bottom w:val="single" w:color="000000" w:sz="6" w:space="0"/>
            </w:tcBorders>
            <w:vAlign w:val="top"/>
          </w:tcPr>
          <w:p w14:paraId="4E79CEBE">
            <w:pPr>
              <w:rPr>
                <w:rFonts w:ascii="Arial"/>
                <w:sz w:val="21"/>
              </w:rPr>
            </w:pPr>
          </w:p>
        </w:tc>
        <w:tc>
          <w:tcPr>
            <w:tcW w:w="977" w:type="dxa"/>
            <w:tcBorders>
              <w:bottom w:val="single" w:color="000000" w:sz="6" w:space="0"/>
            </w:tcBorders>
            <w:vAlign w:val="top"/>
          </w:tcPr>
          <w:p w14:paraId="51F6228A">
            <w:pPr>
              <w:pStyle w:val="9"/>
              <w:spacing w:before="75" w:line="226" w:lineRule="auto"/>
              <w:ind w:left="280"/>
              <w:rPr>
                <w:sz w:val="20"/>
                <w:szCs w:val="20"/>
              </w:rPr>
            </w:pPr>
            <w:r>
              <w:rPr>
                <w:spacing w:val="4"/>
                <w:sz w:val="20"/>
                <w:szCs w:val="20"/>
              </w:rPr>
              <w:t>动物</w:t>
            </w:r>
          </w:p>
        </w:tc>
        <w:tc>
          <w:tcPr>
            <w:tcW w:w="4325" w:type="dxa"/>
            <w:tcBorders>
              <w:bottom w:val="single" w:color="000000" w:sz="6" w:space="0"/>
            </w:tcBorders>
            <w:vAlign w:val="top"/>
          </w:tcPr>
          <w:p w14:paraId="04C5A13A">
            <w:pPr>
              <w:pStyle w:val="9"/>
              <w:spacing w:before="75" w:line="226" w:lineRule="auto"/>
              <w:ind w:left="569"/>
              <w:rPr>
                <w:sz w:val="20"/>
                <w:szCs w:val="20"/>
              </w:rPr>
            </w:pPr>
            <w:r>
              <w:rPr>
                <w:spacing w:val="2"/>
                <w:sz w:val="20"/>
                <w:szCs w:val="20"/>
              </w:rPr>
              <w:t>目前该区域的野生动物组成比较简单，种</w:t>
            </w:r>
          </w:p>
        </w:tc>
        <w:tc>
          <w:tcPr>
            <w:tcW w:w="2062" w:type="dxa"/>
            <w:vMerge w:val="continue"/>
            <w:tcBorders>
              <w:top w:val="nil"/>
              <w:bottom w:val="single" w:color="000000" w:sz="6" w:space="0"/>
            </w:tcBorders>
            <w:vAlign w:val="top"/>
          </w:tcPr>
          <w:p w14:paraId="6BC2F6A5">
            <w:pPr>
              <w:rPr>
                <w:rFonts w:ascii="Arial"/>
                <w:sz w:val="21"/>
              </w:rPr>
            </w:pPr>
          </w:p>
        </w:tc>
        <w:tc>
          <w:tcPr>
            <w:tcW w:w="117" w:type="dxa"/>
            <w:tcBorders>
              <w:top w:val="nil"/>
              <w:bottom w:val="single" w:color="000000" w:sz="6" w:space="0"/>
              <w:right w:val="single" w:color="000000" w:sz="6" w:space="0"/>
            </w:tcBorders>
            <w:vAlign w:val="top"/>
          </w:tcPr>
          <w:p w14:paraId="68890950">
            <w:pPr>
              <w:rPr>
                <w:rFonts w:ascii="Arial"/>
                <w:sz w:val="21"/>
              </w:rPr>
            </w:pPr>
          </w:p>
        </w:tc>
      </w:tr>
    </w:tbl>
    <w:p w14:paraId="27658301">
      <w:pPr>
        <w:pStyle w:val="3"/>
      </w:pPr>
    </w:p>
    <w:p w14:paraId="204BCE01">
      <w:pPr>
        <w:sectPr>
          <w:footerReference r:id="rId53" w:type="default"/>
          <w:pgSz w:w="11906" w:h="16838"/>
          <w:pgMar w:top="1416" w:right="1413" w:bottom="1295" w:left="1413" w:header="0" w:footer="1133" w:gutter="0"/>
          <w:cols w:space="720" w:num="1"/>
        </w:sectPr>
      </w:pPr>
    </w:p>
    <w:tbl>
      <w:tblPr>
        <w:tblStyle w:val="8"/>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51"/>
        <w:gridCol w:w="118"/>
        <w:gridCol w:w="714"/>
        <w:gridCol w:w="977"/>
        <w:gridCol w:w="4325"/>
        <w:gridCol w:w="2062"/>
        <w:gridCol w:w="117"/>
      </w:tblGrid>
      <w:tr w14:paraId="0BA0D7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0" w:hRule="atLeast"/>
        </w:trPr>
        <w:tc>
          <w:tcPr>
            <w:tcW w:w="751" w:type="dxa"/>
            <w:vMerge w:val="restart"/>
            <w:tcBorders>
              <w:top w:val="single" w:color="000000" w:sz="6" w:space="0"/>
              <w:left w:val="single" w:color="000000" w:sz="6" w:space="0"/>
              <w:bottom w:val="nil"/>
            </w:tcBorders>
            <w:vAlign w:val="top"/>
          </w:tcPr>
          <w:p w14:paraId="469B588A">
            <w:pPr>
              <w:rPr>
                <w:rFonts w:ascii="Arial"/>
                <w:sz w:val="21"/>
              </w:rPr>
            </w:pPr>
          </w:p>
        </w:tc>
        <w:tc>
          <w:tcPr>
            <w:tcW w:w="118" w:type="dxa"/>
            <w:tcBorders>
              <w:top w:val="single" w:color="000000" w:sz="6" w:space="0"/>
              <w:bottom w:val="nil"/>
            </w:tcBorders>
            <w:vAlign w:val="top"/>
          </w:tcPr>
          <w:p w14:paraId="18566694">
            <w:pPr>
              <w:rPr>
                <w:rFonts w:ascii="Arial"/>
                <w:sz w:val="21"/>
              </w:rPr>
            </w:pPr>
          </w:p>
        </w:tc>
        <w:tc>
          <w:tcPr>
            <w:tcW w:w="714" w:type="dxa"/>
            <w:vMerge w:val="restart"/>
            <w:tcBorders>
              <w:bottom w:val="nil"/>
            </w:tcBorders>
            <w:vAlign w:val="top"/>
          </w:tcPr>
          <w:p w14:paraId="16B7B13B">
            <w:pPr>
              <w:rPr>
                <w:rFonts w:ascii="Arial"/>
                <w:sz w:val="21"/>
              </w:rPr>
            </w:pPr>
          </w:p>
        </w:tc>
        <w:tc>
          <w:tcPr>
            <w:tcW w:w="977" w:type="dxa"/>
            <w:vAlign w:val="top"/>
          </w:tcPr>
          <w:p w14:paraId="731F2254">
            <w:pPr>
              <w:rPr>
                <w:rFonts w:ascii="Arial"/>
                <w:sz w:val="21"/>
              </w:rPr>
            </w:pPr>
          </w:p>
        </w:tc>
        <w:tc>
          <w:tcPr>
            <w:tcW w:w="4325" w:type="dxa"/>
            <w:vAlign w:val="top"/>
          </w:tcPr>
          <w:p w14:paraId="1AE67357">
            <w:pPr>
              <w:pStyle w:val="9"/>
              <w:spacing w:before="33" w:line="243" w:lineRule="auto"/>
              <w:ind w:left="108" w:right="102"/>
              <w:jc w:val="both"/>
              <w:rPr>
                <w:sz w:val="20"/>
                <w:szCs w:val="20"/>
              </w:rPr>
            </w:pPr>
            <w:r>
              <w:rPr>
                <w:spacing w:val="5"/>
                <w:sz w:val="20"/>
                <w:szCs w:val="20"/>
              </w:rPr>
              <w:t>类较少。根据现场调查及资料记载，野生动物以鸟类，啮齿类为主，无大型野生哺乳动物维持区域生态系统稳定性、完整性。对比《国家重点保护野生动物名录》，本项目评价区内不</w:t>
            </w:r>
            <w:r>
              <w:rPr>
                <w:spacing w:val="7"/>
                <w:sz w:val="20"/>
                <w:szCs w:val="20"/>
              </w:rPr>
              <w:t>存在国家保护动物。</w:t>
            </w:r>
          </w:p>
        </w:tc>
        <w:tc>
          <w:tcPr>
            <w:tcW w:w="2062" w:type="dxa"/>
            <w:vAlign w:val="top"/>
          </w:tcPr>
          <w:p w14:paraId="43DB86B6">
            <w:pPr>
              <w:rPr>
                <w:rFonts w:ascii="Arial"/>
                <w:sz w:val="21"/>
              </w:rPr>
            </w:pPr>
          </w:p>
        </w:tc>
        <w:tc>
          <w:tcPr>
            <w:tcW w:w="117" w:type="dxa"/>
            <w:tcBorders>
              <w:top w:val="single" w:color="000000" w:sz="6" w:space="0"/>
              <w:bottom w:val="nil"/>
              <w:right w:val="single" w:color="000000" w:sz="6" w:space="0"/>
            </w:tcBorders>
            <w:vAlign w:val="top"/>
          </w:tcPr>
          <w:p w14:paraId="4D17A5D0">
            <w:pPr>
              <w:rPr>
                <w:rFonts w:ascii="Arial"/>
                <w:sz w:val="21"/>
              </w:rPr>
            </w:pPr>
          </w:p>
        </w:tc>
      </w:tr>
      <w:tr w14:paraId="4E6D5C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trPr>
        <w:tc>
          <w:tcPr>
            <w:tcW w:w="751" w:type="dxa"/>
            <w:vMerge w:val="continue"/>
            <w:tcBorders>
              <w:top w:val="nil"/>
              <w:left w:val="single" w:color="000000" w:sz="6" w:space="0"/>
              <w:bottom w:val="nil"/>
            </w:tcBorders>
            <w:vAlign w:val="top"/>
          </w:tcPr>
          <w:p w14:paraId="18900FF8">
            <w:pPr>
              <w:rPr>
                <w:rFonts w:ascii="Arial"/>
                <w:sz w:val="21"/>
              </w:rPr>
            </w:pPr>
          </w:p>
        </w:tc>
        <w:tc>
          <w:tcPr>
            <w:tcW w:w="118" w:type="dxa"/>
            <w:tcBorders>
              <w:top w:val="nil"/>
              <w:bottom w:val="nil"/>
            </w:tcBorders>
            <w:vAlign w:val="top"/>
          </w:tcPr>
          <w:p w14:paraId="6A2CEEDF">
            <w:pPr>
              <w:rPr>
                <w:rFonts w:ascii="Arial"/>
                <w:sz w:val="21"/>
              </w:rPr>
            </w:pPr>
          </w:p>
        </w:tc>
        <w:tc>
          <w:tcPr>
            <w:tcW w:w="714" w:type="dxa"/>
            <w:vMerge w:val="continue"/>
            <w:tcBorders>
              <w:top w:val="nil"/>
              <w:bottom w:val="nil"/>
            </w:tcBorders>
            <w:vAlign w:val="top"/>
          </w:tcPr>
          <w:p w14:paraId="1EFFDCB7">
            <w:pPr>
              <w:rPr>
                <w:rFonts w:ascii="Arial"/>
                <w:sz w:val="21"/>
              </w:rPr>
            </w:pPr>
          </w:p>
        </w:tc>
        <w:tc>
          <w:tcPr>
            <w:tcW w:w="977" w:type="dxa"/>
            <w:vAlign w:val="top"/>
          </w:tcPr>
          <w:p w14:paraId="47037E1A">
            <w:pPr>
              <w:pStyle w:val="9"/>
              <w:spacing w:before="285" w:line="228" w:lineRule="auto"/>
              <w:ind w:left="181"/>
              <w:rPr>
                <w:sz w:val="20"/>
                <w:szCs w:val="20"/>
              </w:rPr>
            </w:pPr>
            <w:r>
              <w:rPr>
                <w:spacing w:val="4"/>
                <w:sz w:val="20"/>
                <w:szCs w:val="20"/>
              </w:rPr>
              <w:t>公益林</w:t>
            </w:r>
          </w:p>
        </w:tc>
        <w:tc>
          <w:tcPr>
            <w:tcW w:w="4325" w:type="dxa"/>
            <w:vAlign w:val="top"/>
          </w:tcPr>
          <w:p w14:paraId="631A6CDC">
            <w:pPr>
              <w:pStyle w:val="9"/>
              <w:spacing w:before="286" w:line="226" w:lineRule="auto"/>
              <w:ind w:left="530"/>
              <w:rPr>
                <w:sz w:val="20"/>
                <w:szCs w:val="20"/>
              </w:rPr>
            </w:pPr>
            <w:r>
              <w:rPr>
                <w:spacing w:val="9"/>
                <w:sz w:val="20"/>
                <w:szCs w:val="20"/>
              </w:rPr>
              <w:t>本项目评价范围内不存在公益林</w:t>
            </w:r>
          </w:p>
        </w:tc>
        <w:tc>
          <w:tcPr>
            <w:tcW w:w="2062" w:type="dxa"/>
            <w:vMerge w:val="restart"/>
            <w:tcBorders>
              <w:bottom w:val="nil"/>
            </w:tcBorders>
            <w:vAlign w:val="top"/>
          </w:tcPr>
          <w:p w14:paraId="43113386">
            <w:pPr>
              <w:pStyle w:val="9"/>
              <w:spacing w:before="221" w:line="253" w:lineRule="auto"/>
              <w:ind w:left="117" w:right="100" w:firstLine="422"/>
              <w:jc w:val="both"/>
              <w:rPr>
                <w:sz w:val="20"/>
                <w:szCs w:val="20"/>
              </w:rPr>
            </w:pPr>
            <w:r>
              <w:rPr>
                <w:spacing w:val="36"/>
                <w:sz w:val="20"/>
                <w:szCs w:val="20"/>
              </w:rPr>
              <w:t>维持区域生态</w:t>
            </w:r>
            <w:r>
              <w:rPr>
                <w:spacing w:val="4"/>
                <w:sz w:val="20"/>
                <w:szCs w:val="20"/>
              </w:rPr>
              <w:t>系统的完整性、稳定性和生物多样性，防</w:t>
            </w:r>
            <w:r>
              <w:rPr>
                <w:spacing w:val="8"/>
                <w:sz w:val="20"/>
                <w:szCs w:val="20"/>
              </w:rPr>
              <w:t>止产生水土流失</w:t>
            </w:r>
          </w:p>
        </w:tc>
        <w:tc>
          <w:tcPr>
            <w:tcW w:w="117" w:type="dxa"/>
            <w:tcBorders>
              <w:top w:val="nil"/>
              <w:bottom w:val="nil"/>
              <w:right w:val="single" w:color="000000" w:sz="6" w:space="0"/>
            </w:tcBorders>
            <w:vAlign w:val="top"/>
          </w:tcPr>
          <w:p w14:paraId="4D0B6275">
            <w:pPr>
              <w:rPr>
                <w:rFonts w:ascii="Arial"/>
                <w:sz w:val="21"/>
              </w:rPr>
            </w:pPr>
          </w:p>
        </w:tc>
      </w:tr>
      <w:tr w14:paraId="0B632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trPr>
        <w:tc>
          <w:tcPr>
            <w:tcW w:w="751" w:type="dxa"/>
            <w:vMerge w:val="continue"/>
            <w:tcBorders>
              <w:top w:val="nil"/>
              <w:left w:val="single" w:color="000000" w:sz="6" w:space="0"/>
              <w:bottom w:val="nil"/>
            </w:tcBorders>
            <w:vAlign w:val="top"/>
          </w:tcPr>
          <w:p w14:paraId="20C047D0">
            <w:pPr>
              <w:rPr>
                <w:rFonts w:ascii="Arial"/>
                <w:sz w:val="21"/>
              </w:rPr>
            </w:pPr>
          </w:p>
        </w:tc>
        <w:tc>
          <w:tcPr>
            <w:tcW w:w="118" w:type="dxa"/>
            <w:tcBorders>
              <w:top w:val="nil"/>
              <w:bottom w:val="nil"/>
            </w:tcBorders>
            <w:vAlign w:val="top"/>
          </w:tcPr>
          <w:p w14:paraId="1D077AE0">
            <w:pPr>
              <w:rPr>
                <w:rFonts w:ascii="Arial"/>
                <w:sz w:val="21"/>
              </w:rPr>
            </w:pPr>
          </w:p>
        </w:tc>
        <w:tc>
          <w:tcPr>
            <w:tcW w:w="714" w:type="dxa"/>
            <w:vMerge w:val="continue"/>
            <w:tcBorders>
              <w:top w:val="nil"/>
              <w:bottom w:val="nil"/>
            </w:tcBorders>
            <w:vAlign w:val="top"/>
          </w:tcPr>
          <w:p w14:paraId="5D02987B">
            <w:pPr>
              <w:rPr>
                <w:rFonts w:ascii="Arial"/>
                <w:sz w:val="21"/>
              </w:rPr>
            </w:pPr>
          </w:p>
        </w:tc>
        <w:tc>
          <w:tcPr>
            <w:tcW w:w="977" w:type="dxa"/>
            <w:vAlign w:val="top"/>
          </w:tcPr>
          <w:p w14:paraId="6E19A58E">
            <w:pPr>
              <w:pStyle w:val="9"/>
              <w:spacing w:before="119" w:line="256" w:lineRule="auto"/>
              <w:ind w:left="390" w:right="176" w:hanging="216"/>
              <w:rPr>
                <w:sz w:val="20"/>
                <w:szCs w:val="20"/>
              </w:rPr>
            </w:pPr>
            <w:r>
              <w:rPr>
                <w:spacing w:val="6"/>
                <w:sz w:val="20"/>
                <w:szCs w:val="20"/>
              </w:rPr>
              <w:t>基本草</w:t>
            </w:r>
            <w:r>
              <w:rPr>
                <w:sz w:val="20"/>
                <w:szCs w:val="20"/>
              </w:rPr>
              <w:t>原</w:t>
            </w:r>
          </w:p>
        </w:tc>
        <w:tc>
          <w:tcPr>
            <w:tcW w:w="4325" w:type="dxa"/>
            <w:vAlign w:val="top"/>
          </w:tcPr>
          <w:p w14:paraId="0834E58A">
            <w:pPr>
              <w:pStyle w:val="9"/>
              <w:spacing w:before="256" w:line="226" w:lineRule="auto"/>
              <w:ind w:left="530"/>
              <w:rPr>
                <w:sz w:val="20"/>
                <w:szCs w:val="20"/>
              </w:rPr>
            </w:pPr>
            <w:r>
              <w:rPr>
                <w:spacing w:val="8"/>
                <w:sz w:val="20"/>
                <w:szCs w:val="20"/>
              </w:rPr>
              <w:t>本项目评价范围内无基本草原。</w:t>
            </w:r>
          </w:p>
        </w:tc>
        <w:tc>
          <w:tcPr>
            <w:tcW w:w="2062" w:type="dxa"/>
            <w:vMerge w:val="continue"/>
            <w:tcBorders>
              <w:top w:val="nil"/>
            </w:tcBorders>
            <w:vAlign w:val="top"/>
          </w:tcPr>
          <w:p w14:paraId="71A40382">
            <w:pPr>
              <w:rPr>
                <w:rFonts w:ascii="Arial"/>
                <w:sz w:val="21"/>
              </w:rPr>
            </w:pPr>
          </w:p>
        </w:tc>
        <w:tc>
          <w:tcPr>
            <w:tcW w:w="117" w:type="dxa"/>
            <w:tcBorders>
              <w:top w:val="nil"/>
              <w:bottom w:val="nil"/>
              <w:right w:val="single" w:color="000000" w:sz="6" w:space="0"/>
            </w:tcBorders>
            <w:vAlign w:val="top"/>
          </w:tcPr>
          <w:p w14:paraId="228A114F">
            <w:pPr>
              <w:rPr>
                <w:rFonts w:ascii="Arial"/>
                <w:sz w:val="21"/>
              </w:rPr>
            </w:pPr>
          </w:p>
        </w:tc>
      </w:tr>
      <w:tr w14:paraId="660B04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2" w:hRule="atLeast"/>
        </w:trPr>
        <w:tc>
          <w:tcPr>
            <w:tcW w:w="751" w:type="dxa"/>
            <w:vMerge w:val="continue"/>
            <w:tcBorders>
              <w:top w:val="nil"/>
              <w:left w:val="single" w:color="000000" w:sz="6" w:space="0"/>
            </w:tcBorders>
            <w:vAlign w:val="top"/>
          </w:tcPr>
          <w:p w14:paraId="6296EA63">
            <w:pPr>
              <w:rPr>
                <w:rFonts w:ascii="Arial"/>
                <w:sz w:val="21"/>
              </w:rPr>
            </w:pPr>
          </w:p>
        </w:tc>
        <w:tc>
          <w:tcPr>
            <w:tcW w:w="118" w:type="dxa"/>
            <w:tcBorders>
              <w:top w:val="nil"/>
            </w:tcBorders>
            <w:vAlign w:val="top"/>
          </w:tcPr>
          <w:p w14:paraId="2446C0C1">
            <w:pPr>
              <w:rPr>
                <w:rFonts w:ascii="Arial"/>
                <w:sz w:val="21"/>
              </w:rPr>
            </w:pPr>
          </w:p>
        </w:tc>
        <w:tc>
          <w:tcPr>
            <w:tcW w:w="714" w:type="dxa"/>
            <w:vMerge w:val="continue"/>
            <w:tcBorders>
              <w:top w:val="nil"/>
            </w:tcBorders>
            <w:vAlign w:val="top"/>
          </w:tcPr>
          <w:p w14:paraId="2843466E">
            <w:pPr>
              <w:rPr>
                <w:rFonts w:ascii="Arial"/>
                <w:sz w:val="21"/>
              </w:rPr>
            </w:pPr>
          </w:p>
        </w:tc>
        <w:tc>
          <w:tcPr>
            <w:tcW w:w="977" w:type="dxa"/>
            <w:vAlign w:val="top"/>
          </w:tcPr>
          <w:p w14:paraId="46FC2E69">
            <w:pPr>
              <w:spacing w:line="261" w:lineRule="auto"/>
              <w:rPr>
                <w:rFonts w:ascii="Arial"/>
                <w:sz w:val="21"/>
              </w:rPr>
            </w:pPr>
          </w:p>
          <w:p w14:paraId="2A270911">
            <w:pPr>
              <w:spacing w:line="262" w:lineRule="auto"/>
              <w:rPr>
                <w:rFonts w:ascii="Arial"/>
                <w:sz w:val="21"/>
              </w:rPr>
            </w:pPr>
          </w:p>
          <w:p w14:paraId="61449D63">
            <w:pPr>
              <w:pStyle w:val="9"/>
              <w:spacing w:before="65" w:line="257" w:lineRule="auto"/>
              <w:ind w:left="410" w:right="176" w:hanging="236"/>
              <w:rPr>
                <w:sz w:val="20"/>
                <w:szCs w:val="20"/>
              </w:rPr>
            </w:pPr>
            <w:r>
              <w:rPr>
                <w:spacing w:val="6"/>
                <w:sz w:val="20"/>
                <w:szCs w:val="20"/>
              </w:rPr>
              <w:t>基本农</w:t>
            </w:r>
            <w:r>
              <w:rPr>
                <w:sz w:val="20"/>
                <w:szCs w:val="20"/>
              </w:rPr>
              <w:t>田</w:t>
            </w:r>
          </w:p>
        </w:tc>
        <w:tc>
          <w:tcPr>
            <w:tcW w:w="4325" w:type="dxa"/>
            <w:vAlign w:val="top"/>
          </w:tcPr>
          <w:p w14:paraId="7EE64634">
            <w:pPr>
              <w:spacing w:line="329" w:lineRule="auto"/>
              <w:rPr>
                <w:rFonts w:ascii="Arial"/>
                <w:sz w:val="21"/>
              </w:rPr>
            </w:pPr>
          </w:p>
          <w:p w14:paraId="35CA46A1">
            <w:pPr>
              <w:spacing w:line="329" w:lineRule="auto"/>
              <w:rPr>
                <w:rFonts w:ascii="Arial"/>
                <w:sz w:val="21"/>
              </w:rPr>
            </w:pPr>
          </w:p>
          <w:p w14:paraId="74A11300">
            <w:pPr>
              <w:pStyle w:val="9"/>
              <w:spacing w:before="66" w:line="226" w:lineRule="auto"/>
              <w:ind w:left="530"/>
              <w:rPr>
                <w:sz w:val="20"/>
                <w:szCs w:val="20"/>
              </w:rPr>
            </w:pPr>
            <w:r>
              <w:rPr>
                <w:spacing w:val="9"/>
                <w:sz w:val="20"/>
                <w:szCs w:val="20"/>
              </w:rPr>
              <w:t>本项目评价范围内不存在基本农田</w:t>
            </w:r>
          </w:p>
        </w:tc>
        <w:tc>
          <w:tcPr>
            <w:tcW w:w="2062" w:type="dxa"/>
            <w:vAlign w:val="top"/>
          </w:tcPr>
          <w:p w14:paraId="3F75C456">
            <w:pPr>
              <w:pStyle w:val="9"/>
              <w:spacing w:before="49" w:line="245" w:lineRule="auto"/>
              <w:ind w:left="116" w:right="100" w:firstLine="420"/>
              <w:jc w:val="both"/>
              <w:rPr>
                <w:sz w:val="20"/>
                <w:szCs w:val="20"/>
              </w:rPr>
            </w:pPr>
            <w:r>
              <w:rPr>
                <w:spacing w:val="-7"/>
                <w:sz w:val="20"/>
                <w:szCs w:val="20"/>
              </w:rPr>
              <w:t>保</w:t>
            </w:r>
            <w:r>
              <w:rPr>
                <w:spacing w:val="-54"/>
                <w:sz w:val="20"/>
                <w:szCs w:val="20"/>
              </w:rPr>
              <w:t xml:space="preserve"> </w:t>
            </w:r>
            <w:r>
              <w:rPr>
                <w:spacing w:val="-7"/>
                <w:sz w:val="20"/>
                <w:szCs w:val="20"/>
              </w:rPr>
              <w:t>证</w:t>
            </w:r>
            <w:r>
              <w:rPr>
                <w:spacing w:val="-55"/>
                <w:sz w:val="20"/>
                <w:szCs w:val="20"/>
              </w:rPr>
              <w:t xml:space="preserve"> </w:t>
            </w:r>
            <w:r>
              <w:rPr>
                <w:spacing w:val="-7"/>
                <w:sz w:val="20"/>
                <w:szCs w:val="20"/>
              </w:rPr>
              <w:t>项</w:t>
            </w:r>
            <w:r>
              <w:rPr>
                <w:spacing w:val="-16"/>
                <w:sz w:val="20"/>
                <w:szCs w:val="20"/>
              </w:rPr>
              <w:t xml:space="preserve"> </w:t>
            </w:r>
            <w:r>
              <w:rPr>
                <w:spacing w:val="-7"/>
                <w:sz w:val="20"/>
                <w:szCs w:val="20"/>
              </w:rPr>
              <w:t>目</w:t>
            </w:r>
            <w:r>
              <w:rPr>
                <w:spacing w:val="-58"/>
                <w:sz w:val="20"/>
                <w:szCs w:val="20"/>
              </w:rPr>
              <w:t xml:space="preserve"> </w:t>
            </w:r>
            <w:r>
              <w:rPr>
                <w:spacing w:val="-7"/>
                <w:sz w:val="20"/>
                <w:szCs w:val="20"/>
              </w:rPr>
              <w:t>所</w:t>
            </w:r>
            <w:r>
              <w:rPr>
                <w:spacing w:val="-57"/>
                <w:sz w:val="20"/>
                <w:szCs w:val="20"/>
              </w:rPr>
              <w:t xml:space="preserve"> </w:t>
            </w:r>
            <w:r>
              <w:rPr>
                <w:spacing w:val="-7"/>
                <w:sz w:val="20"/>
                <w:szCs w:val="20"/>
              </w:rPr>
              <w:t>在</w:t>
            </w:r>
            <w:r>
              <w:rPr>
                <w:spacing w:val="29"/>
                <w:sz w:val="20"/>
                <w:szCs w:val="20"/>
              </w:rPr>
              <w:t>区域的基本农田数</w:t>
            </w:r>
            <w:r>
              <w:rPr>
                <w:spacing w:val="4"/>
                <w:sz w:val="20"/>
                <w:szCs w:val="20"/>
              </w:rPr>
              <w:t>量不会减少，保证土壤肥力不会下降，农</w:t>
            </w:r>
            <w:r>
              <w:rPr>
                <w:spacing w:val="16"/>
                <w:sz w:val="20"/>
                <w:szCs w:val="20"/>
              </w:rPr>
              <w:t>田</w:t>
            </w:r>
            <w:r>
              <w:rPr>
                <w:spacing w:val="-39"/>
                <w:sz w:val="20"/>
                <w:szCs w:val="20"/>
              </w:rPr>
              <w:t xml:space="preserve"> </w:t>
            </w:r>
            <w:r>
              <w:rPr>
                <w:spacing w:val="16"/>
                <w:sz w:val="20"/>
                <w:szCs w:val="20"/>
              </w:rPr>
              <w:t>内</w:t>
            </w:r>
            <w:r>
              <w:rPr>
                <w:spacing w:val="-51"/>
                <w:sz w:val="20"/>
                <w:szCs w:val="20"/>
              </w:rPr>
              <w:t xml:space="preserve"> </w:t>
            </w:r>
            <w:r>
              <w:rPr>
                <w:spacing w:val="16"/>
                <w:sz w:val="20"/>
                <w:szCs w:val="20"/>
              </w:rPr>
              <w:t>的农作物不会</w:t>
            </w:r>
            <w:r>
              <w:rPr>
                <w:spacing w:val="8"/>
                <w:sz w:val="20"/>
                <w:szCs w:val="20"/>
              </w:rPr>
              <w:t>因施工而产量下降</w:t>
            </w:r>
          </w:p>
        </w:tc>
        <w:tc>
          <w:tcPr>
            <w:tcW w:w="117" w:type="dxa"/>
            <w:tcBorders>
              <w:top w:val="nil"/>
              <w:right w:val="single" w:color="000000" w:sz="6" w:space="0"/>
            </w:tcBorders>
            <w:vAlign w:val="top"/>
          </w:tcPr>
          <w:p w14:paraId="727932B0">
            <w:pPr>
              <w:rPr>
                <w:rFonts w:ascii="Arial"/>
                <w:sz w:val="21"/>
              </w:rPr>
            </w:pPr>
          </w:p>
        </w:tc>
      </w:tr>
      <w:tr w14:paraId="71F064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68" w:hRule="atLeast"/>
        </w:trPr>
        <w:tc>
          <w:tcPr>
            <w:tcW w:w="751" w:type="dxa"/>
            <w:tcBorders>
              <w:left w:val="single" w:color="000000" w:sz="6" w:space="0"/>
              <w:bottom w:val="single" w:color="000000" w:sz="6" w:space="0"/>
            </w:tcBorders>
            <w:vAlign w:val="top"/>
          </w:tcPr>
          <w:p w14:paraId="556B2735">
            <w:pPr>
              <w:spacing w:line="253" w:lineRule="auto"/>
              <w:rPr>
                <w:rFonts w:ascii="Arial"/>
                <w:sz w:val="21"/>
              </w:rPr>
            </w:pPr>
          </w:p>
          <w:p w14:paraId="117F8AA1">
            <w:pPr>
              <w:spacing w:line="253" w:lineRule="auto"/>
              <w:rPr>
                <w:rFonts w:ascii="Arial"/>
                <w:sz w:val="21"/>
              </w:rPr>
            </w:pPr>
          </w:p>
          <w:p w14:paraId="52BA082A">
            <w:pPr>
              <w:spacing w:line="253" w:lineRule="auto"/>
              <w:rPr>
                <w:rFonts w:ascii="Arial"/>
                <w:sz w:val="21"/>
              </w:rPr>
            </w:pPr>
          </w:p>
          <w:p w14:paraId="46CA28B9">
            <w:pPr>
              <w:spacing w:line="253" w:lineRule="auto"/>
              <w:rPr>
                <w:rFonts w:ascii="Arial"/>
                <w:sz w:val="21"/>
              </w:rPr>
            </w:pPr>
          </w:p>
          <w:p w14:paraId="41FCBD2E">
            <w:pPr>
              <w:spacing w:line="253" w:lineRule="auto"/>
              <w:rPr>
                <w:rFonts w:ascii="Arial"/>
                <w:sz w:val="21"/>
              </w:rPr>
            </w:pPr>
          </w:p>
          <w:p w14:paraId="505F1F2F">
            <w:pPr>
              <w:spacing w:line="253" w:lineRule="auto"/>
              <w:rPr>
                <w:rFonts w:ascii="Arial"/>
                <w:sz w:val="21"/>
              </w:rPr>
            </w:pPr>
          </w:p>
          <w:p w14:paraId="47A8A16F">
            <w:pPr>
              <w:spacing w:line="253" w:lineRule="auto"/>
              <w:rPr>
                <w:rFonts w:ascii="Arial"/>
                <w:sz w:val="21"/>
              </w:rPr>
            </w:pPr>
          </w:p>
          <w:p w14:paraId="740D6786">
            <w:pPr>
              <w:spacing w:line="253" w:lineRule="auto"/>
              <w:rPr>
                <w:rFonts w:ascii="Arial"/>
                <w:sz w:val="21"/>
              </w:rPr>
            </w:pPr>
          </w:p>
          <w:p w14:paraId="23B9721F">
            <w:pPr>
              <w:spacing w:line="253" w:lineRule="auto"/>
              <w:rPr>
                <w:rFonts w:ascii="Arial"/>
                <w:sz w:val="21"/>
              </w:rPr>
            </w:pPr>
          </w:p>
          <w:p w14:paraId="1C2AE189">
            <w:pPr>
              <w:spacing w:line="253" w:lineRule="auto"/>
              <w:rPr>
                <w:rFonts w:ascii="Arial"/>
                <w:sz w:val="21"/>
              </w:rPr>
            </w:pPr>
          </w:p>
          <w:p w14:paraId="5EA4D393">
            <w:pPr>
              <w:spacing w:line="253" w:lineRule="auto"/>
              <w:rPr>
                <w:rFonts w:ascii="Arial"/>
                <w:sz w:val="21"/>
              </w:rPr>
            </w:pPr>
          </w:p>
          <w:p w14:paraId="2EFF0970">
            <w:pPr>
              <w:spacing w:line="254" w:lineRule="auto"/>
              <w:rPr>
                <w:rFonts w:ascii="Arial"/>
                <w:sz w:val="21"/>
              </w:rPr>
            </w:pPr>
          </w:p>
          <w:p w14:paraId="0A89A0D5">
            <w:pPr>
              <w:spacing w:line="254" w:lineRule="auto"/>
              <w:rPr>
                <w:rFonts w:ascii="Arial"/>
                <w:sz w:val="21"/>
              </w:rPr>
            </w:pPr>
          </w:p>
          <w:p w14:paraId="4279C35C">
            <w:pPr>
              <w:spacing w:line="254" w:lineRule="auto"/>
              <w:rPr>
                <w:rFonts w:ascii="Arial"/>
                <w:sz w:val="21"/>
              </w:rPr>
            </w:pPr>
          </w:p>
          <w:p w14:paraId="5B97389A">
            <w:pPr>
              <w:spacing w:line="254" w:lineRule="auto"/>
              <w:rPr>
                <w:rFonts w:ascii="Arial"/>
                <w:sz w:val="21"/>
              </w:rPr>
            </w:pPr>
          </w:p>
          <w:p w14:paraId="7D0775C4">
            <w:pPr>
              <w:spacing w:line="254" w:lineRule="auto"/>
              <w:rPr>
                <w:rFonts w:ascii="Arial"/>
                <w:sz w:val="21"/>
              </w:rPr>
            </w:pPr>
          </w:p>
          <w:p w14:paraId="4197A4F9">
            <w:pPr>
              <w:spacing w:line="254" w:lineRule="auto"/>
              <w:rPr>
                <w:rFonts w:ascii="Arial"/>
                <w:sz w:val="21"/>
              </w:rPr>
            </w:pPr>
          </w:p>
          <w:p w14:paraId="74440A1A">
            <w:pPr>
              <w:pStyle w:val="9"/>
              <w:spacing w:before="65" w:line="226" w:lineRule="auto"/>
              <w:ind w:left="162"/>
              <w:outlineLvl w:val="2"/>
              <w:rPr>
                <w:sz w:val="20"/>
                <w:szCs w:val="20"/>
              </w:rPr>
            </w:pPr>
            <w:r>
              <w:rPr>
                <w:spacing w:val="5"/>
                <w:sz w:val="20"/>
                <w:szCs w:val="20"/>
              </w:rPr>
              <w:t>评价</w:t>
            </w:r>
          </w:p>
          <w:p w14:paraId="5244F3FB">
            <w:pPr>
              <w:pStyle w:val="9"/>
              <w:spacing w:before="26" w:line="228" w:lineRule="auto"/>
              <w:ind w:left="164"/>
              <w:outlineLvl w:val="2"/>
              <w:rPr>
                <w:sz w:val="20"/>
                <w:szCs w:val="20"/>
              </w:rPr>
            </w:pPr>
            <w:r>
              <w:rPr>
                <w:spacing w:val="4"/>
                <w:sz w:val="20"/>
                <w:szCs w:val="20"/>
              </w:rPr>
              <w:t>标准</w:t>
            </w:r>
          </w:p>
        </w:tc>
        <w:tc>
          <w:tcPr>
            <w:tcW w:w="8313" w:type="dxa"/>
            <w:gridSpan w:val="6"/>
            <w:tcBorders>
              <w:bottom w:val="single" w:color="000000" w:sz="6" w:space="0"/>
              <w:right w:val="single" w:color="000000" w:sz="6" w:space="0"/>
            </w:tcBorders>
            <w:vAlign w:val="top"/>
          </w:tcPr>
          <w:p w14:paraId="0852A959">
            <w:pPr>
              <w:pStyle w:val="9"/>
              <w:spacing w:before="186" w:line="220" w:lineRule="auto"/>
              <w:ind w:left="111"/>
              <w:outlineLvl w:val="1"/>
            </w:pPr>
            <w:r>
              <w:rPr>
                <w:b/>
                <w:bCs/>
                <w:spacing w:val="-3"/>
              </w:rPr>
              <w:t>一、工频电场、工频磁场</w:t>
            </w:r>
          </w:p>
          <w:p w14:paraId="3599555C">
            <w:pPr>
              <w:pStyle w:val="9"/>
              <w:spacing w:before="180" w:line="359" w:lineRule="auto"/>
              <w:ind w:left="106" w:right="102" w:firstLine="480"/>
              <w:jc w:val="both"/>
            </w:pPr>
            <w:r>
              <w:rPr>
                <w:spacing w:val="-1"/>
              </w:rPr>
              <w:t>根据《电磁环境控制限值》（</w:t>
            </w:r>
            <w:r>
              <w:rPr>
                <w:rFonts w:ascii="Times New Roman" w:hAnsi="Times New Roman" w:eastAsia="Times New Roman" w:cs="Times New Roman"/>
                <w:spacing w:val="-1"/>
              </w:rPr>
              <w:t>GB</w:t>
            </w:r>
            <w:r>
              <w:rPr>
                <w:rFonts w:ascii="Times New Roman" w:hAnsi="Times New Roman" w:eastAsia="Times New Roman" w:cs="Times New Roman"/>
                <w:spacing w:val="24"/>
              </w:rPr>
              <w:t xml:space="preserve"> </w:t>
            </w:r>
            <w:r>
              <w:rPr>
                <w:rFonts w:ascii="Times New Roman" w:hAnsi="Times New Roman" w:eastAsia="Times New Roman" w:cs="Times New Roman"/>
                <w:spacing w:val="-1"/>
              </w:rPr>
              <w:t>8702-2014</w:t>
            </w:r>
            <w:r>
              <w:rPr>
                <w:spacing w:val="-1"/>
              </w:rPr>
              <w:t>）的规定</w:t>
            </w:r>
            <w:r>
              <w:rPr>
                <w:spacing w:val="-49"/>
              </w:rPr>
              <w:t xml:space="preserve"> </w:t>
            </w:r>
            <w:r>
              <w:rPr>
                <w:rFonts w:ascii="Times New Roman" w:hAnsi="Times New Roman" w:eastAsia="Times New Roman" w:cs="Times New Roman"/>
                <w:spacing w:val="-1"/>
              </w:rPr>
              <w:t>50Hz</w:t>
            </w:r>
            <w:r>
              <w:rPr>
                <w:rFonts w:ascii="Times New Roman" w:hAnsi="Times New Roman" w:eastAsia="Times New Roman" w:cs="Times New Roman"/>
                <w:spacing w:val="19"/>
              </w:rPr>
              <w:t xml:space="preserve"> </w:t>
            </w:r>
            <w:r>
              <w:rPr>
                <w:spacing w:val="-1"/>
              </w:rPr>
              <w:t>公众曝露控制限值以</w:t>
            </w:r>
            <w:r>
              <w:rPr>
                <w:spacing w:val="-56"/>
              </w:rPr>
              <w:t xml:space="preserve"> </w:t>
            </w:r>
            <w:r>
              <w:rPr>
                <w:rFonts w:ascii="Times New Roman" w:hAnsi="Times New Roman" w:eastAsia="Times New Roman" w:cs="Times New Roman"/>
                <w:spacing w:val="-1"/>
              </w:rPr>
              <w:t>4000V/m</w:t>
            </w:r>
            <w:r>
              <w:rPr>
                <w:spacing w:val="-1"/>
              </w:rPr>
              <w:t>作为居民区工频电场评价标准，</w:t>
            </w:r>
            <w:r>
              <w:rPr>
                <w:rFonts w:ascii="Times New Roman" w:hAnsi="Times New Roman" w:eastAsia="Times New Roman" w:cs="Times New Roman"/>
                <w:spacing w:val="-1"/>
              </w:rPr>
              <w:t>100</w:t>
            </w:r>
            <w:r>
              <w:rPr>
                <w:rFonts w:ascii="Times New Roman" w:hAnsi="Times New Roman" w:eastAsia="Times New Roman" w:cs="Times New Roman"/>
                <w:spacing w:val="-2"/>
              </w:rPr>
              <w:t xml:space="preserve">μT </w:t>
            </w:r>
            <w:r>
              <w:rPr>
                <w:spacing w:val="-2"/>
              </w:rPr>
              <w:t>作为工频磁感应强度的评价标准。</w:t>
            </w:r>
          </w:p>
          <w:p w14:paraId="19504779">
            <w:pPr>
              <w:pStyle w:val="9"/>
              <w:spacing w:before="36" w:line="212" w:lineRule="auto"/>
              <w:ind w:left="2523"/>
              <w:outlineLvl w:val="2"/>
            </w:pPr>
            <w:r>
              <w:rPr>
                <w:b/>
                <w:bCs/>
                <w:spacing w:val="-2"/>
              </w:rPr>
              <w:t>表</w:t>
            </w:r>
            <w:r>
              <w:rPr>
                <w:spacing w:val="-57"/>
              </w:rPr>
              <w:t xml:space="preserve"> </w:t>
            </w:r>
            <w:r>
              <w:rPr>
                <w:rFonts w:ascii="Times New Roman" w:hAnsi="Times New Roman" w:eastAsia="Times New Roman" w:cs="Times New Roman"/>
                <w:b/>
                <w:bCs/>
                <w:spacing w:val="-2"/>
              </w:rPr>
              <w:t xml:space="preserve">3-18  </w:t>
            </w:r>
            <w:r>
              <w:rPr>
                <w:b/>
                <w:bCs/>
                <w:spacing w:val="-2"/>
              </w:rPr>
              <w:t>《电磁环境控制限值》</w:t>
            </w:r>
          </w:p>
          <w:tbl>
            <w:tblPr>
              <w:tblStyle w:val="8"/>
              <w:tblW w:w="8092" w:type="dxa"/>
              <w:tblInd w:w="10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8"/>
              <w:gridCol w:w="4637"/>
              <w:gridCol w:w="2527"/>
            </w:tblGrid>
            <w:tr w14:paraId="3FE7A0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928" w:type="dxa"/>
                  <w:vAlign w:val="top"/>
                </w:tcPr>
                <w:p w14:paraId="6F0CFCDF">
                  <w:pPr>
                    <w:pStyle w:val="9"/>
                    <w:spacing w:before="80" w:line="228" w:lineRule="auto"/>
                    <w:ind w:left="263"/>
                    <w:outlineLvl w:val="2"/>
                    <w:rPr>
                      <w:sz w:val="20"/>
                      <w:szCs w:val="20"/>
                    </w:rPr>
                  </w:pPr>
                  <w:r>
                    <w:rPr>
                      <w:spacing w:val="3"/>
                      <w:sz w:val="20"/>
                      <w:szCs w:val="20"/>
                    </w:rPr>
                    <w:t>项目</w:t>
                  </w:r>
                </w:p>
              </w:tc>
              <w:tc>
                <w:tcPr>
                  <w:tcW w:w="4637" w:type="dxa"/>
                  <w:vAlign w:val="top"/>
                </w:tcPr>
                <w:p w14:paraId="7E6080B2">
                  <w:pPr>
                    <w:pStyle w:val="9"/>
                    <w:spacing w:before="80" w:line="226" w:lineRule="auto"/>
                    <w:ind w:left="1903"/>
                    <w:outlineLvl w:val="2"/>
                    <w:rPr>
                      <w:sz w:val="20"/>
                      <w:szCs w:val="20"/>
                    </w:rPr>
                  </w:pPr>
                  <w:r>
                    <w:rPr>
                      <w:spacing w:val="7"/>
                      <w:sz w:val="20"/>
                      <w:szCs w:val="20"/>
                    </w:rPr>
                    <w:t>评价标准</w:t>
                  </w:r>
                </w:p>
              </w:tc>
              <w:tc>
                <w:tcPr>
                  <w:tcW w:w="2527" w:type="dxa"/>
                  <w:vAlign w:val="top"/>
                </w:tcPr>
                <w:p w14:paraId="756ADA1E">
                  <w:pPr>
                    <w:pStyle w:val="9"/>
                    <w:spacing w:before="79" w:line="228" w:lineRule="auto"/>
                    <w:ind w:left="849"/>
                    <w:outlineLvl w:val="2"/>
                    <w:rPr>
                      <w:sz w:val="20"/>
                      <w:szCs w:val="20"/>
                    </w:rPr>
                  </w:pPr>
                  <w:r>
                    <w:rPr>
                      <w:spacing w:val="7"/>
                      <w:sz w:val="20"/>
                      <w:szCs w:val="20"/>
                    </w:rPr>
                    <w:t>标准来源</w:t>
                  </w:r>
                </w:p>
              </w:tc>
            </w:tr>
            <w:tr w14:paraId="71EA75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928" w:type="dxa"/>
                  <w:vAlign w:val="top"/>
                </w:tcPr>
                <w:p w14:paraId="2E856765">
                  <w:pPr>
                    <w:pStyle w:val="9"/>
                    <w:spacing w:before="33" w:line="233" w:lineRule="auto"/>
                    <w:ind w:left="264" w:right="147" w:hanging="108"/>
                    <w:outlineLvl w:val="2"/>
                    <w:rPr>
                      <w:sz w:val="20"/>
                      <w:szCs w:val="20"/>
                    </w:rPr>
                  </w:pPr>
                  <w:r>
                    <w:rPr>
                      <w:spacing w:val="6"/>
                      <w:sz w:val="20"/>
                      <w:szCs w:val="20"/>
                    </w:rPr>
                    <w:t>工频场</w:t>
                  </w:r>
                  <w:r>
                    <w:rPr>
                      <w:spacing w:val="2"/>
                      <w:sz w:val="20"/>
                      <w:szCs w:val="20"/>
                    </w:rPr>
                    <w:t>强度</w:t>
                  </w:r>
                </w:p>
              </w:tc>
              <w:tc>
                <w:tcPr>
                  <w:tcW w:w="4637" w:type="dxa"/>
                  <w:vAlign w:val="top"/>
                </w:tcPr>
                <w:p w14:paraId="1D065F63">
                  <w:pPr>
                    <w:pStyle w:val="9"/>
                    <w:spacing w:before="167" w:line="228" w:lineRule="auto"/>
                    <w:ind w:left="1066"/>
                    <w:outlineLvl w:val="2"/>
                    <w:rPr>
                      <w:rFonts w:ascii="Times New Roman" w:hAnsi="Times New Roman" w:eastAsia="Times New Roman" w:cs="Times New Roman"/>
                      <w:sz w:val="20"/>
                      <w:szCs w:val="20"/>
                    </w:rPr>
                  </w:pPr>
                  <w:r>
                    <w:rPr>
                      <w:spacing w:val="6"/>
                      <w:sz w:val="20"/>
                      <w:szCs w:val="20"/>
                    </w:rPr>
                    <w:t>公众曝露控制限值</w:t>
                  </w:r>
                  <w:r>
                    <w:rPr>
                      <w:spacing w:val="-38"/>
                      <w:sz w:val="20"/>
                      <w:szCs w:val="20"/>
                    </w:rPr>
                    <w:t xml:space="preserve"> </w:t>
                  </w:r>
                  <w:r>
                    <w:rPr>
                      <w:rFonts w:ascii="Times New Roman" w:hAnsi="Times New Roman" w:eastAsia="Times New Roman" w:cs="Times New Roman"/>
                      <w:spacing w:val="6"/>
                      <w:sz w:val="20"/>
                      <w:szCs w:val="20"/>
                    </w:rPr>
                    <w:t>4000V/m</w:t>
                  </w:r>
                </w:p>
              </w:tc>
              <w:tc>
                <w:tcPr>
                  <w:tcW w:w="2527" w:type="dxa"/>
                  <w:vMerge w:val="restart"/>
                  <w:tcBorders>
                    <w:bottom w:val="nil"/>
                  </w:tcBorders>
                  <w:vAlign w:val="top"/>
                </w:tcPr>
                <w:p w14:paraId="3E64532D">
                  <w:pPr>
                    <w:spacing w:line="378" w:lineRule="auto"/>
                    <w:rPr>
                      <w:rFonts w:ascii="Arial"/>
                      <w:sz w:val="21"/>
                    </w:rPr>
                  </w:pPr>
                </w:p>
                <w:p w14:paraId="36705FB4">
                  <w:pPr>
                    <w:pStyle w:val="9"/>
                    <w:spacing w:before="65" w:line="258" w:lineRule="auto"/>
                    <w:ind w:left="467" w:right="225" w:hanging="242"/>
                    <w:outlineLvl w:val="2"/>
                    <w:rPr>
                      <w:sz w:val="20"/>
                      <w:szCs w:val="20"/>
                    </w:rPr>
                  </w:pPr>
                  <w:r>
                    <w:rPr>
                      <w:spacing w:val="7"/>
                      <w:sz w:val="20"/>
                      <w:szCs w:val="20"/>
                    </w:rPr>
                    <w:t>《电磁环境控制限值》</w:t>
                  </w:r>
                  <w:r>
                    <w:rPr>
                      <w:sz w:val="20"/>
                      <w:szCs w:val="20"/>
                    </w:rPr>
                    <w:t xml:space="preserve"> </w:t>
                  </w:r>
                  <w:r>
                    <w:rPr>
                      <w:spacing w:val="4"/>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4"/>
                      <w:sz w:val="20"/>
                      <w:szCs w:val="20"/>
                    </w:rPr>
                    <w:t>8702-2014</w:t>
                  </w:r>
                  <w:r>
                    <w:rPr>
                      <w:spacing w:val="4"/>
                      <w:sz w:val="20"/>
                      <w:szCs w:val="20"/>
                    </w:rPr>
                    <w:t>）</w:t>
                  </w:r>
                </w:p>
              </w:tc>
            </w:tr>
            <w:tr w14:paraId="3F20CD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928" w:type="dxa"/>
                  <w:vAlign w:val="top"/>
                </w:tcPr>
                <w:p w14:paraId="783C2DF5">
                  <w:pPr>
                    <w:pStyle w:val="9"/>
                    <w:tabs>
                      <w:tab w:val="left" w:pos="364"/>
                    </w:tabs>
                    <w:spacing w:before="34"/>
                    <w:ind w:left="155" w:right="147" w:firstLine="1"/>
                    <w:outlineLvl w:val="2"/>
                    <w:rPr>
                      <w:sz w:val="20"/>
                      <w:szCs w:val="20"/>
                    </w:rPr>
                  </w:pPr>
                  <w:r>
                    <w:rPr>
                      <w:spacing w:val="6"/>
                      <w:sz w:val="20"/>
                      <w:szCs w:val="20"/>
                    </w:rPr>
                    <w:t>工频磁感应强</w:t>
                  </w:r>
                  <w:r>
                    <w:rPr>
                      <w:sz w:val="20"/>
                      <w:szCs w:val="20"/>
                    </w:rPr>
                    <w:tab/>
                  </w:r>
                  <w:r>
                    <w:rPr>
                      <w:spacing w:val="2"/>
                      <w:sz w:val="20"/>
                      <w:szCs w:val="20"/>
                    </w:rPr>
                    <w:t>度</w:t>
                  </w:r>
                </w:p>
              </w:tc>
              <w:tc>
                <w:tcPr>
                  <w:tcW w:w="4637" w:type="dxa"/>
                  <w:vAlign w:val="top"/>
                </w:tcPr>
                <w:p w14:paraId="6C087708">
                  <w:pPr>
                    <w:pStyle w:val="9"/>
                    <w:spacing w:before="306" w:line="221" w:lineRule="auto"/>
                    <w:ind w:left="1186"/>
                    <w:outlineLvl w:val="2"/>
                    <w:rPr>
                      <w:rFonts w:ascii="Times New Roman" w:hAnsi="Times New Roman" w:eastAsia="Times New Roman" w:cs="Times New Roman"/>
                      <w:sz w:val="20"/>
                      <w:szCs w:val="20"/>
                    </w:rPr>
                  </w:pPr>
                  <w:r>
                    <w:rPr>
                      <w:spacing w:val="4"/>
                      <w:sz w:val="20"/>
                      <w:szCs w:val="20"/>
                    </w:rPr>
                    <w:t>公众曝露控制限值</w:t>
                  </w:r>
                  <w:r>
                    <w:rPr>
                      <w:spacing w:val="-10"/>
                      <w:sz w:val="20"/>
                      <w:szCs w:val="20"/>
                    </w:rPr>
                    <w:t xml:space="preserve"> </w:t>
                  </w:r>
                  <w:r>
                    <w:rPr>
                      <w:rFonts w:ascii="Times New Roman" w:hAnsi="Times New Roman" w:eastAsia="Times New Roman" w:cs="Times New Roman"/>
                      <w:spacing w:val="4"/>
                      <w:sz w:val="20"/>
                      <w:szCs w:val="20"/>
                    </w:rPr>
                    <w:t>100μT</w:t>
                  </w:r>
                </w:p>
              </w:tc>
              <w:tc>
                <w:tcPr>
                  <w:tcW w:w="2527" w:type="dxa"/>
                  <w:vMerge w:val="continue"/>
                  <w:tcBorders>
                    <w:top w:val="nil"/>
                  </w:tcBorders>
                  <w:vAlign w:val="top"/>
                </w:tcPr>
                <w:p w14:paraId="5A2FD26A">
                  <w:pPr>
                    <w:rPr>
                      <w:rFonts w:ascii="Arial"/>
                      <w:sz w:val="21"/>
                    </w:rPr>
                  </w:pPr>
                </w:p>
              </w:tc>
            </w:tr>
          </w:tbl>
          <w:p w14:paraId="02B89145">
            <w:pPr>
              <w:pStyle w:val="9"/>
              <w:spacing w:before="169" w:line="220" w:lineRule="auto"/>
              <w:ind w:left="111"/>
              <w:outlineLvl w:val="1"/>
            </w:pPr>
            <w:r>
              <w:rPr>
                <w:b/>
                <w:bCs/>
                <w:spacing w:val="-4"/>
              </w:rPr>
              <w:t>二、声环境质量标准</w:t>
            </w:r>
          </w:p>
          <w:p w14:paraId="2D028374">
            <w:pPr>
              <w:pStyle w:val="9"/>
              <w:spacing w:before="209" w:line="212" w:lineRule="auto"/>
              <w:ind w:left="1047"/>
              <w:outlineLvl w:val="2"/>
            </w:pPr>
            <w:r>
              <w:rPr>
                <w:b/>
                <w:bCs/>
                <w:spacing w:val="-1"/>
              </w:rPr>
              <w:t>表</w:t>
            </w:r>
            <w:r>
              <w:rPr>
                <w:spacing w:val="-56"/>
              </w:rPr>
              <w:t xml:space="preserve"> </w:t>
            </w:r>
            <w:r>
              <w:rPr>
                <w:rFonts w:ascii="Times New Roman" w:hAnsi="Times New Roman" w:eastAsia="Times New Roman" w:cs="Times New Roman"/>
                <w:b/>
                <w:bCs/>
                <w:spacing w:val="-1"/>
              </w:rPr>
              <w:t xml:space="preserve">3-19    </w:t>
            </w:r>
            <w:r>
              <w:rPr>
                <w:b/>
                <w:bCs/>
                <w:spacing w:val="-1"/>
              </w:rPr>
              <w:t>《声环境质量标准》（</w:t>
            </w:r>
            <w:r>
              <w:rPr>
                <w:rFonts w:ascii="Times New Roman" w:hAnsi="Times New Roman" w:eastAsia="Times New Roman" w:cs="Times New Roman"/>
                <w:b/>
                <w:bCs/>
                <w:spacing w:val="-1"/>
              </w:rPr>
              <w:t>GB3096-</w:t>
            </w:r>
            <w:r>
              <w:rPr>
                <w:rFonts w:ascii="Times New Roman" w:hAnsi="Times New Roman" w:eastAsia="Times New Roman" w:cs="Times New Roman"/>
                <w:b/>
                <w:bCs/>
                <w:spacing w:val="-2"/>
              </w:rPr>
              <w:t>2008</w:t>
            </w:r>
            <w:r>
              <w:rPr>
                <w:b/>
                <w:bCs/>
                <w:spacing w:val="-2"/>
              </w:rPr>
              <w:t>）中</w:t>
            </w:r>
            <w:r>
              <w:rPr>
                <w:spacing w:val="-52"/>
              </w:rPr>
              <w:t xml:space="preserve"> </w:t>
            </w:r>
            <w:r>
              <w:rPr>
                <w:rFonts w:ascii="Times New Roman" w:hAnsi="Times New Roman" w:eastAsia="Times New Roman" w:cs="Times New Roman"/>
                <w:b/>
                <w:bCs/>
                <w:spacing w:val="-2"/>
              </w:rPr>
              <w:t xml:space="preserve">2 </w:t>
            </w:r>
            <w:r>
              <w:rPr>
                <w:b/>
                <w:bCs/>
                <w:spacing w:val="-2"/>
              </w:rPr>
              <w:t>类标准</w:t>
            </w:r>
          </w:p>
          <w:tbl>
            <w:tblPr>
              <w:tblStyle w:val="8"/>
              <w:tblW w:w="8091" w:type="dxa"/>
              <w:tblInd w:w="10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92"/>
              <w:gridCol w:w="2689"/>
              <w:gridCol w:w="1422"/>
              <w:gridCol w:w="1288"/>
            </w:tblGrid>
            <w:tr w14:paraId="7E9C05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692" w:type="dxa"/>
                  <w:vAlign w:val="top"/>
                </w:tcPr>
                <w:p w14:paraId="60A06068">
                  <w:pPr>
                    <w:pStyle w:val="9"/>
                    <w:spacing w:before="57" w:line="228" w:lineRule="auto"/>
                    <w:ind w:left="1145"/>
                    <w:outlineLvl w:val="2"/>
                    <w:rPr>
                      <w:sz w:val="20"/>
                      <w:szCs w:val="20"/>
                    </w:rPr>
                  </w:pPr>
                  <w:r>
                    <w:rPr>
                      <w:spacing w:val="3"/>
                      <w:sz w:val="20"/>
                      <w:szCs w:val="20"/>
                    </w:rPr>
                    <w:t>项目</w:t>
                  </w:r>
                </w:p>
              </w:tc>
              <w:tc>
                <w:tcPr>
                  <w:tcW w:w="2689" w:type="dxa"/>
                  <w:vAlign w:val="top"/>
                </w:tcPr>
                <w:p w14:paraId="1E1564B0">
                  <w:pPr>
                    <w:pStyle w:val="9"/>
                    <w:spacing w:before="57" w:line="228" w:lineRule="auto"/>
                    <w:ind w:left="1140"/>
                    <w:outlineLvl w:val="2"/>
                    <w:rPr>
                      <w:sz w:val="20"/>
                      <w:szCs w:val="20"/>
                    </w:rPr>
                  </w:pPr>
                  <w:r>
                    <w:rPr>
                      <w:spacing w:val="4"/>
                      <w:sz w:val="20"/>
                      <w:szCs w:val="20"/>
                    </w:rPr>
                    <w:t>类别</w:t>
                  </w:r>
                </w:p>
              </w:tc>
              <w:tc>
                <w:tcPr>
                  <w:tcW w:w="1422" w:type="dxa"/>
                  <w:vAlign w:val="top"/>
                </w:tcPr>
                <w:p w14:paraId="4620801E">
                  <w:pPr>
                    <w:pStyle w:val="9"/>
                    <w:spacing w:before="56" w:line="231" w:lineRule="auto"/>
                    <w:ind w:left="507"/>
                    <w:outlineLvl w:val="2"/>
                    <w:rPr>
                      <w:sz w:val="20"/>
                      <w:szCs w:val="20"/>
                    </w:rPr>
                  </w:pPr>
                  <w:r>
                    <w:rPr>
                      <w:spacing w:val="5"/>
                      <w:sz w:val="20"/>
                      <w:szCs w:val="20"/>
                    </w:rPr>
                    <w:t>昼间</w:t>
                  </w:r>
                </w:p>
              </w:tc>
              <w:tc>
                <w:tcPr>
                  <w:tcW w:w="1288" w:type="dxa"/>
                  <w:vAlign w:val="top"/>
                </w:tcPr>
                <w:p w14:paraId="48075891">
                  <w:pPr>
                    <w:pStyle w:val="9"/>
                    <w:spacing w:before="57" w:line="228" w:lineRule="auto"/>
                    <w:ind w:left="443"/>
                    <w:outlineLvl w:val="2"/>
                    <w:rPr>
                      <w:sz w:val="20"/>
                      <w:szCs w:val="20"/>
                    </w:rPr>
                  </w:pPr>
                  <w:r>
                    <w:rPr>
                      <w:spacing w:val="3"/>
                      <w:sz w:val="20"/>
                      <w:szCs w:val="20"/>
                    </w:rPr>
                    <w:t>夜间</w:t>
                  </w:r>
                </w:p>
              </w:tc>
            </w:tr>
            <w:tr w14:paraId="35C21E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 w:hRule="atLeast"/>
              </w:trPr>
              <w:tc>
                <w:tcPr>
                  <w:tcW w:w="2692" w:type="dxa"/>
                  <w:vAlign w:val="top"/>
                </w:tcPr>
                <w:p w14:paraId="3BC427C8">
                  <w:pPr>
                    <w:pStyle w:val="9"/>
                    <w:spacing w:before="59" w:line="228" w:lineRule="auto"/>
                    <w:ind w:left="829"/>
                    <w:outlineLvl w:val="2"/>
                    <w:rPr>
                      <w:sz w:val="20"/>
                      <w:szCs w:val="20"/>
                    </w:rPr>
                  </w:pPr>
                  <w:r>
                    <w:rPr>
                      <w:spacing w:val="7"/>
                      <w:sz w:val="20"/>
                      <w:szCs w:val="20"/>
                    </w:rPr>
                    <w:t>升压站厂界</w:t>
                  </w:r>
                </w:p>
              </w:tc>
              <w:tc>
                <w:tcPr>
                  <w:tcW w:w="2689" w:type="dxa"/>
                  <w:vAlign w:val="top"/>
                </w:tcPr>
                <w:p w14:paraId="78E36549">
                  <w:pPr>
                    <w:pStyle w:val="9"/>
                    <w:spacing w:before="59" w:line="221" w:lineRule="auto"/>
                    <w:ind w:left="119"/>
                    <w:outlineLvl w:val="2"/>
                    <w:rPr>
                      <w:sz w:val="20"/>
                      <w:szCs w:val="20"/>
                    </w:rPr>
                  </w:pPr>
                  <w:r>
                    <w:rPr>
                      <w:rFonts w:ascii="Times New Roman" w:hAnsi="Times New Roman" w:eastAsia="Times New Roman" w:cs="Times New Roman"/>
                      <w:spacing w:val="8"/>
                      <w:sz w:val="20"/>
                      <w:szCs w:val="20"/>
                    </w:rPr>
                    <w:t xml:space="preserve">2 </w:t>
                  </w:r>
                  <w:r>
                    <w:rPr>
                      <w:spacing w:val="8"/>
                      <w:sz w:val="20"/>
                      <w:szCs w:val="20"/>
                    </w:rPr>
                    <w:t>类等效声级</w:t>
                  </w:r>
                  <w:r>
                    <w:rPr>
                      <w:spacing w:val="-39"/>
                      <w:sz w:val="20"/>
                      <w:szCs w:val="20"/>
                    </w:rPr>
                    <w:t xml:space="preserve"> </w:t>
                  </w:r>
                  <w:r>
                    <w:rPr>
                      <w:rFonts w:ascii="Times New Roman" w:hAnsi="Times New Roman" w:eastAsia="Times New Roman" w:cs="Times New Roman"/>
                      <w:sz w:val="20"/>
                      <w:szCs w:val="20"/>
                    </w:rPr>
                    <w:t>Leq</w:t>
                  </w:r>
                  <w:r>
                    <w:rPr>
                      <w:rFonts w:ascii="Times New Roman" w:hAnsi="Times New Roman" w:eastAsia="Times New Roman" w:cs="Times New Roman"/>
                      <w:spacing w:val="8"/>
                      <w:sz w:val="20"/>
                      <w:szCs w:val="20"/>
                    </w:rPr>
                    <w:t xml:space="preserve"> </w:t>
                  </w:r>
                  <w:r>
                    <w:rPr>
                      <w:rFonts w:ascii="Times New Roman" w:hAnsi="Times New Roman" w:eastAsia="Times New Roman" w:cs="Times New Roman"/>
                      <w:sz w:val="20"/>
                      <w:szCs w:val="20"/>
                    </w:rPr>
                    <w:t>dB</w:t>
                  </w:r>
                  <w:r>
                    <w:rPr>
                      <w:spacing w:val="8"/>
                      <w:sz w:val="20"/>
                      <w:szCs w:val="20"/>
                    </w:rPr>
                    <w:t>（</w:t>
                  </w:r>
                  <w:r>
                    <w:rPr>
                      <w:rFonts w:ascii="Times New Roman" w:hAnsi="Times New Roman" w:eastAsia="Times New Roman" w:cs="Times New Roman"/>
                      <w:spacing w:val="8"/>
                      <w:sz w:val="20"/>
                      <w:szCs w:val="20"/>
                    </w:rPr>
                    <w:t>A</w:t>
                  </w:r>
                  <w:r>
                    <w:rPr>
                      <w:spacing w:val="8"/>
                      <w:sz w:val="20"/>
                      <w:szCs w:val="20"/>
                    </w:rPr>
                    <w:t>）</w:t>
                  </w:r>
                </w:p>
              </w:tc>
              <w:tc>
                <w:tcPr>
                  <w:tcW w:w="1422" w:type="dxa"/>
                  <w:vAlign w:val="top"/>
                </w:tcPr>
                <w:p w14:paraId="1834A7CE">
                  <w:pPr>
                    <w:spacing w:before="95" w:line="195" w:lineRule="auto"/>
                    <w:ind w:left="614"/>
                    <w:outlineLvl w:val="2"/>
                    <w:rPr>
                      <w:rFonts w:ascii="Times New Roman" w:hAnsi="Times New Roman" w:eastAsia="Times New Roman" w:cs="Times New Roman"/>
                      <w:sz w:val="20"/>
                      <w:szCs w:val="20"/>
                    </w:rPr>
                  </w:pPr>
                  <w:r>
                    <w:rPr>
                      <w:rFonts w:ascii="Times New Roman" w:hAnsi="Times New Roman" w:eastAsia="Times New Roman" w:cs="Times New Roman"/>
                      <w:sz w:val="20"/>
                      <w:szCs w:val="20"/>
                    </w:rPr>
                    <w:t>60</w:t>
                  </w:r>
                </w:p>
              </w:tc>
              <w:tc>
                <w:tcPr>
                  <w:tcW w:w="1288" w:type="dxa"/>
                  <w:vAlign w:val="top"/>
                </w:tcPr>
                <w:p w14:paraId="4C1FA57B">
                  <w:pPr>
                    <w:spacing w:before="95" w:line="195" w:lineRule="auto"/>
                    <w:ind w:left="547"/>
                    <w:outlineLvl w:val="2"/>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r>
          </w:tbl>
          <w:p w14:paraId="737239E5">
            <w:pPr>
              <w:pStyle w:val="9"/>
              <w:spacing w:before="170" w:line="220" w:lineRule="auto"/>
              <w:ind w:left="107"/>
              <w:outlineLvl w:val="1"/>
            </w:pPr>
            <w:r>
              <w:rPr>
                <w:b/>
                <w:bCs/>
                <w:spacing w:val="-3"/>
              </w:rPr>
              <w:t>三、运营期噪声排放标准</w:t>
            </w:r>
          </w:p>
          <w:p w14:paraId="5D5D91AF">
            <w:pPr>
              <w:pStyle w:val="9"/>
              <w:spacing w:before="184" w:line="364" w:lineRule="auto"/>
              <w:ind w:left="119" w:right="119" w:firstLine="470"/>
            </w:pPr>
            <w:r>
              <w:rPr>
                <w:spacing w:val="5"/>
              </w:rPr>
              <w:t>升压站厂界环境噪声排放标准执行《工业企业厂界环境噪声排放标</w:t>
            </w:r>
            <w:r>
              <w:rPr>
                <w:spacing w:val="4"/>
              </w:rPr>
              <w:t>准》</w:t>
            </w:r>
            <w:r>
              <w:t xml:space="preserve"> </w:t>
            </w:r>
            <w:r>
              <w:rPr>
                <w:spacing w:val="-1"/>
              </w:rPr>
              <w:t>（</w:t>
            </w:r>
            <w:r>
              <w:rPr>
                <w:rFonts w:ascii="Times New Roman" w:hAnsi="Times New Roman" w:eastAsia="Times New Roman" w:cs="Times New Roman"/>
                <w:spacing w:val="-1"/>
              </w:rPr>
              <w:t>GB12348-2008</w:t>
            </w:r>
            <w:r>
              <w:rPr>
                <w:spacing w:val="-1"/>
              </w:rPr>
              <w:t>）</w:t>
            </w:r>
            <w:r>
              <w:rPr>
                <w:rFonts w:ascii="Times New Roman" w:hAnsi="Times New Roman" w:eastAsia="Times New Roman" w:cs="Times New Roman"/>
                <w:spacing w:val="-1"/>
              </w:rPr>
              <w:t xml:space="preserve">2 </w:t>
            </w:r>
            <w:r>
              <w:rPr>
                <w:spacing w:val="-1"/>
              </w:rPr>
              <w:t>类标准限值。</w:t>
            </w:r>
          </w:p>
          <w:p w14:paraId="6FD7414A">
            <w:pPr>
              <w:pStyle w:val="9"/>
              <w:spacing w:before="17" w:line="213" w:lineRule="auto"/>
              <w:ind w:left="293"/>
              <w:outlineLvl w:val="2"/>
            </w:pPr>
            <w:r>
              <w:rPr>
                <w:b/>
                <w:bCs/>
                <w:spacing w:val="-1"/>
              </w:rPr>
              <w:t>表</w:t>
            </w:r>
            <w:r>
              <w:rPr>
                <w:spacing w:val="-56"/>
              </w:rPr>
              <w:t xml:space="preserve"> </w:t>
            </w:r>
            <w:r>
              <w:rPr>
                <w:rFonts w:ascii="Times New Roman" w:hAnsi="Times New Roman" w:eastAsia="Times New Roman" w:cs="Times New Roman"/>
                <w:b/>
                <w:bCs/>
                <w:spacing w:val="-1"/>
              </w:rPr>
              <w:t xml:space="preserve">3-20    </w:t>
            </w:r>
            <w:r>
              <w:rPr>
                <w:b/>
                <w:bCs/>
                <w:spacing w:val="-1"/>
              </w:rPr>
              <w:t>《工业企业厂界环境噪声排放标准》（</w:t>
            </w:r>
            <w:r>
              <w:rPr>
                <w:rFonts w:ascii="Times New Roman" w:hAnsi="Times New Roman" w:eastAsia="Times New Roman" w:cs="Times New Roman"/>
                <w:b/>
                <w:bCs/>
                <w:spacing w:val="-1"/>
              </w:rPr>
              <w:t>GB12348-2008</w:t>
            </w:r>
            <w:r>
              <w:rPr>
                <w:b/>
                <w:bCs/>
                <w:spacing w:val="-1"/>
              </w:rPr>
              <w:t>）</w:t>
            </w:r>
            <w:r>
              <w:rPr>
                <w:rFonts w:ascii="Times New Roman" w:hAnsi="Times New Roman" w:eastAsia="Times New Roman" w:cs="Times New Roman"/>
                <w:b/>
                <w:bCs/>
                <w:spacing w:val="-1"/>
              </w:rPr>
              <w:t>1</w:t>
            </w:r>
            <w:r>
              <w:rPr>
                <w:rFonts w:ascii="Times New Roman" w:hAnsi="Times New Roman" w:eastAsia="Times New Roman" w:cs="Times New Roman"/>
                <w:b/>
                <w:bCs/>
                <w:spacing w:val="-2"/>
              </w:rPr>
              <w:t xml:space="preserve"> </w:t>
            </w:r>
            <w:r>
              <w:rPr>
                <w:b/>
                <w:bCs/>
                <w:spacing w:val="-2"/>
              </w:rPr>
              <w:t>类标准</w:t>
            </w:r>
          </w:p>
          <w:tbl>
            <w:tblPr>
              <w:tblStyle w:val="8"/>
              <w:tblW w:w="8091" w:type="dxa"/>
              <w:tblInd w:w="10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170"/>
              <w:gridCol w:w="2457"/>
              <w:gridCol w:w="2464"/>
            </w:tblGrid>
            <w:tr w14:paraId="1B8CDD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3170" w:type="dxa"/>
                  <w:vAlign w:val="top"/>
                </w:tcPr>
                <w:p w14:paraId="07FF98DC">
                  <w:pPr>
                    <w:pStyle w:val="9"/>
                    <w:spacing w:before="67" w:line="228" w:lineRule="auto"/>
                    <w:ind w:left="1379"/>
                    <w:outlineLvl w:val="2"/>
                    <w:rPr>
                      <w:sz w:val="20"/>
                      <w:szCs w:val="20"/>
                    </w:rPr>
                  </w:pPr>
                  <w:r>
                    <w:rPr>
                      <w:spacing w:val="4"/>
                      <w:sz w:val="20"/>
                      <w:szCs w:val="20"/>
                    </w:rPr>
                    <w:t>类别</w:t>
                  </w:r>
                </w:p>
              </w:tc>
              <w:tc>
                <w:tcPr>
                  <w:tcW w:w="2457" w:type="dxa"/>
                  <w:vAlign w:val="top"/>
                </w:tcPr>
                <w:p w14:paraId="36FB2302">
                  <w:pPr>
                    <w:pStyle w:val="9"/>
                    <w:spacing w:before="67" w:line="231" w:lineRule="auto"/>
                    <w:ind w:left="1024"/>
                    <w:outlineLvl w:val="2"/>
                    <w:rPr>
                      <w:sz w:val="20"/>
                      <w:szCs w:val="20"/>
                    </w:rPr>
                  </w:pPr>
                  <w:r>
                    <w:rPr>
                      <w:spacing w:val="5"/>
                      <w:sz w:val="20"/>
                      <w:szCs w:val="20"/>
                    </w:rPr>
                    <w:t>昼间</w:t>
                  </w:r>
                </w:p>
              </w:tc>
              <w:tc>
                <w:tcPr>
                  <w:tcW w:w="2464" w:type="dxa"/>
                  <w:vAlign w:val="top"/>
                </w:tcPr>
                <w:p w14:paraId="0B4C3C16">
                  <w:pPr>
                    <w:pStyle w:val="9"/>
                    <w:spacing w:before="67" w:line="228" w:lineRule="auto"/>
                    <w:ind w:left="1031"/>
                    <w:outlineLvl w:val="2"/>
                    <w:rPr>
                      <w:sz w:val="20"/>
                      <w:szCs w:val="20"/>
                    </w:rPr>
                  </w:pPr>
                  <w:r>
                    <w:rPr>
                      <w:spacing w:val="3"/>
                      <w:sz w:val="20"/>
                      <w:szCs w:val="20"/>
                    </w:rPr>
                    <w:t>夜间</w:t>
                  </w:r>
                </w:p>
              </w:tc>
            </w:tr>
            <w:tr w14:paraId="62F703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3170" w:type="dxa"/>
                  <w:vAlign w:val="top"/>
                </w:tcPr>
                <w:p w14:paraId="42C0C84E">
                  <w:pPr>
                    <w:pStyle w:val="9"/>
                    <w:spacing w:before="66" w:line="221" w:lineRule="auto"/>
                    <w:ind w:left="456"/>
                    <w:outlineLvl w:val="2"/>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 xml:space="preserve">2 </w:t>
                  </w:r>
                  <w:r>
                    <w:rPr>
                      <w:spacing w:val="7"/>
                      <w:sz w:val="20"/>
                      <w:szCs w:val="20"/>
                    </w:rPr>
                    <w:t>类等效声级</w:t>
                  </w:r>
                  <w:r>
                    <w:rPr>
                      <w:spacing w:val="-34"/>
                      <w:sz w:val="20"/>
                      <w:szCs w:val="20"/>
                    </w:rPr>
                    <w:t xml:space="preserve"> </w:t>
                  </w:r>
                  <w:r>
                    <w:rPr>
                      <w:rFonts w:ascii="Times New Roman" w:hAnsi="Times New Roman" w:eastAsia="Times New Roman" w:cs="Times New Roman"/>
                      <w:sz w:val="20"/>
                      <w:szCs w:val="20"/>
                    </w:rPr>
                    <w:t>Leq</w:t>
                  </w:r>
                  <w:r>
                    <w:rPr>
                      <w:rFonts w:ascii="Times New Roman" w:hAnsi="Times New Roman" w:eastAsia="Times New Roman" w:cs="Times New Roman"/>
                      <w:spacing w:val="7"/>
                      <w:sz w:val="20"/>
                      <w:szCs w:val="20"/>
                    </w:rPr>
                    <w:t>[</w:t>
                  </w:r>
                  <w:r>
                    <w:rPr>
                      <w:rFonts w:ascii="Times New Roman" w:hAnsi="Times New Roman" w:eastAsia="Times New Roman" w:cs="Times New Roman"/>
                      <w:sz w:val="20"/>
                      <w:szCs w:val="20"/>
                    </w:rPr>
                    <w:t>dB</w:t>
                  </w:r>
                  <w:r>
                    <w:rPr>
                      <w:rFonts w:ascii="Times New Roman" w:hAnsi="Times New Roman" w:eastAsia="Times New Roman" w:cs="Times New Roman"/>
                      <w:spacing w:val="7"/>
                      <w:sz w:val="20"/>
                      <w:szCs w:val="20"/>
                    </w:rPr>
                    <w:t>(A)]</w:t>
                  </w:r>
                </w:p>
              </w:tc>
              <w:tc>
                <w:tcPr>
                  <w:tcW w:w="2457" w:type="dxa"/>
                  <w:vAlign w:val="top"/>
                </w:tcPr>
                <w:p w14:paraId="43F8542A">
                  <w:pPr>
                    <w:spacing w:before="102" w:line="195" w:lineRule="auto"/>
                    <w:ind w:left="1128"/>
                    <w:outlineLvl w:val="2"/>
                    <w:rPr>
                      <w:rFonts w:ascii="Times New Roman" w:hAnsi="Times New Roman" w:eastAsia="Times New Roman" w:cs="Times New Roman"/>
                      <w:sz w:val="20"/>
                      <w:szCs w:val="20"/>
                    </w:rPr>
                  </w:pPr>
                  <w:r>
                    <w:rPr>
                      <w:rFonts w:ascii="Times New Roman" w:hAnsi="Times New Roman" w:eastAsia="Times New Roman" w:cs="Times New Roman"/>
                      <w:sz w:val="20"/>
                      <w:szCs w:val="20"/>
                    </w:rPr>
                    <w:t>60</w:t>
                  </w:r>
                </w:p>
              </w:tc>
              <w:tc>
                <w:tcPr>
                  <w:tcW w:w="2464" w:type="dxa"/>
                  <w:vAlign w:val="top"/>
                </w:tcPr>
                <w:p w14:paraId="615B247D">
                  <w:pPr>
                    <w:spacing w:before="102" w:line="195" w:lineRule="auto"/>
                    <w:ind w:left="1133"/>
                    <w:outlineLvl w:val="2"/>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r>
          </w:tbl>
          <w:p w14:paraId="331FD7E3">
            <w:pPr>
              <w:pStyle w:val="9"/>
              <w:spacing w:before="170" w:line="220" w:lineRule="auto"/>
              <w:ind w:left="130"/>
              <w:outlineLvl w:val="1"/>
            </w:pPr>
            <w:r>
              <w:rPr>
                <w:b/>
                <w:bCs/>
                <w:spacing w:val="-5"/>
              </w:rPr>
              <w:t>四、施工期噪声排放标准</w:t>
            </w:r>
          </w:p>
          <w:p w14:paraId="094A30A1">
            <w:pPr>
              <w:pStyle w:val="9"/>
              <w:spacing w:before="184" w:line="219" w:lineRule="auto"/>
              <w:ind w:left="586"/>
            </w:pPr>
            <w:r>
              <w:t>施工期噪声排放执行《建筑施工噪声排放标准》（</w:t>
            </w:r>
            <w:r>
              <w:rPr>
                <w:rFonts w:ascii="Times New Roman" w:hAnsi="Times New Roman" w:eastAsia="Times New Roman" w:cs="Times New Roman"/>
              </w:rPr>
              <w:t>GB12</w:t>
            </w:r>
            <w:r>
              <w:rPr>
                <w:rFonts w:ascii="Times New Roman" w:hAnsi="Times New Roman" w:eastAsia="Times New Roman" w:cs="Times New Roman"/>
                <w:spacing w:val="-1"/>
              </w:rPr>
              <w:t>523-2025</w:t>
            </w:r>
            <w:r>
              <w:rPr>
                <w:spacing w:val="-1"/>
              </w:rPr>
              <w:t>）。</w:t>
            </w:r>
          </w:p>
        </w:tc>
      </w:tr>
    </w:tbl>
    <w:p w14:paraId="2D988BA0">
      <w:pPr>
        <w:pStyle w:val="3"/>
      </w:pPr>
    </w:p>
    <w:p w14:paraId="5035AAA8">
      <w:pPr>
        <w:sectPr>
          <w:footerReference r:id="rId54" w:type="default"/>
          <w:pgSz w:w="11906" w:h="16838"/>
          <w:pgMar w:top="1416" w:right="1413" w:bottom="1295" w:left="1413" w:header="0" w:footer="1133" w:gutter="0"/>
          <w:cols w:space="720" w:num="1"/>
        </w:sectPr>
      </w:pPr>
    </w:p>
    <w:tbl>
      <w:tblPr>
        <w:tblStyle w:val="8"/>
        <w:tblW w:w="90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51"/>
        <w:gridCol w:w="8313"/>
      </w:tblGrid>
      <w:tr w14:paraId="75E7E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08" w:hRule="atLeast"/>
        </w:trPr>
        <w:tc>
          <w:tcPr>
            <w:tcW w:w="751" w:type="dxa"/>
            <w:tcBorders>
              <w:bottom w:val="single" w:color="000000" w:sz="2" w:space="0"/>
              <w:right w:val="single" w:color="000000" w:sz="2" w:space="0"/>
            </w:tcBorders>
            <w:vAlign w:val="top"/>
          </w:tcPr>
          <w:p w14:paraId="4BB0561F">
            <w:pPr>
              <w:rPr>
                <w:rFonts w:ascii="Arial"/>
                <w:sz w:val="21"/>
              </w:rPr>
            </w:pPr>
          </w:p>
        </w:tc>
        <w:tc>
          <w:tcPr>
            <w:tcW w:w="8313" w:type="dxa"/>
            <w:tcBorders>
              <w:left w:val="single" w:color="000000" w:sz="2" w:space="0"/>
              <w:bottom w:val="single" w:color="000000" w:sz="2" w:space="0"/>
            </w:tcBorders>
            <w:vAlign w:val="top"/>
          </w:tcPr>
          <w:p w14:paraId="06E0FA60">
            <w:pPr>
              <w:pStyle w:val="9"/>
              <w:spacing w:before="189" w:line="212" w:lineRule="auto"/>
              <w:ind w:left="1306"/>
              <w:outlineLvl w:val="2"/>
              <w:rPr>
                <w:rFonts w:ascii="Times New Roman" w:hAnsi="Times New Roman" w:eastAsia="Times New Roman" w:cs="Times New Roman"/>
              </w:rPr>
            </w:pPr>
            <w:r>
              <w:rPr>
                <w:b/>
                <w:bCs/>
                <w:spacing w:val="-1"/>
              </w:rPr>
              <w:t>表</w:t>
            </w:r>
            <w:r>
              <w:rPr>
                <w:spacing w:val="-56"/>
              </w:rPr>
              <w:t xml:space="preserve"> </w:t>
            </w:r>
            <w:r>
              <w:rPr>
                <w:rFonts w:ascii="Times New Roman" w:hAnsi="Times New Roman" w:eastAsia="Times New Roman" w:cs="Times New Roman"/>
                <w:b/>
                <w:bCs/>
                <w:spacing w:val="-1"/>
              </w:rPr>
              <w:t xml:space="preserve">3-21    </w:t>
            </w:r>
            <w:r>
              <w:rPr>
                <w:b/>
                <w:bCs/>
                <w:spacing w:val="-1"/>
              </w:rPr>
              <w:t>建筑施工噪声排放标准限值</w:t>
            </w:r>
            <w:r>
              <w:rPr>
                <w:spacing w:val="-1"/>
              </w:rPr>
              <w:t xml:space="preserve">    </w:t>
            </w:r>
            <w:r>
              <w:rPr>
                <w:b/>
                <w:bCs/>
                <w:spacing w:val="-1"/>
              </w:rPr>
              <w:t>单</w:t>
            </w:r>
            <w:r>
              <w:rPr>
                <w:b/>
                <w:bCs/>
                <w:spacing w:val="-2"/>
              </w:rPr>
              <w:t>位：</w:t>
            </w:r>
            <w:r>
              <w:rPr>
                <w:rFonts w:ascii="Times New Roman" w:hAnsi="Times New Roman" w:eastAsia="Times New Roman" w:cs="Times New Roman"/>
                <w:b/>
                <w:bCs/>
                <w:spacing w:val="-2"/>
              </w:rPr>
              <w:t>dB(A)</w:t>
            </w:r>
          </w:p>
          <w:tbl>
            <w:tblPr>
              <w:tblStyle w:val="8"/>
              <w:tblW w:w="8103" w:type="dxa"/>
              <w:tblInd w:w="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50"/>
              <w:gridCol w:w="3753"/>
            </w:tblGrid>
            <w:tr w14:paraId="7CFFE4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7" w:hRule="atLeast"/>
              </w:trPr>
              <w:tc>
                <w:tcPr>
                  <w:tcW w:w="4350" w:type="dxa"/>
                  <w:vAlign w:val="top"/>
                </w:tcPr>
                <w:p w14:paraId="0AE140D9">
                  <w:pPr>
                    <w:pStyle w:val="9"/>
                    <w:spacing w:before="69" w:line="231" w:lineRule="auto"/>
                    <w:ind w:left="1970"/>
                    <w:outlineLvl w:val="2"/>
                    <w:rPr>
                      <w:sz w:val="20"/>
                      <w:szCs w:val="20"/>
                    </w:rPr>
                  </w:pPr>
                  <w:r>
                    <w:rPr>
                      <w:spacing w:val="5"/>
                      <w:sz w:val="20"/>
                      <w:szCs w:val="20"/>
                    </w:rPr>
                    <w:t>昼间</w:t>
                  </w:r>
                </w:p>
              </w:tc>
              <w:tc>
                <w:tcPr>
                  <w:tcW w:w="3753" w:type="dxa"/>
                  <w:vAlign w:val="top"/>
                </w:tcPr>
                <w:p w14:paraId="56CE7931">
                  <w:pPr>
                    <w:pStyle w:val="9"/>
                    <w:spacing w:before="69" w:line="228" w:lineRule="auto"/>
                    <w:ind w:left="1673"/>
                    <w:outlineLvl w:val="2"/>
                    <w:rPr>
                      <w:sz w:val="20"/>
                      <w:szCs w:val="20"/>
                    </w:rPr>
                  </w:pPr>
                  <w:r>
                    <w:rPr>
                      <w:spacing w:val="3"/>
                      <w:sz w:val="20"/>
                      <w:szCs w:val="20"/>
                    </w:rPr>
                    <w:t>夜间</w:t>
                  </w:r>
                </w:p>
              </w:tc>
            </w:tr>
            <w:tr w14:paraId="24688F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4350" w:type="dxa"/>
                  <w:vAlign w:val="top"/>
                </w:tcPr>
                <w:p w14:paraId="5F537CD7">
                  <w:pPr>
                    <w:spacing w:before="104" w:line="195" w:lineRule="auto"/>
                    <w:ind w:left="2076"/>
                    <w:outlineLvl w:val="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70</w:t>
                  </w:r>
                </w:p>
              </w:tc>
              <w:tc>
                <w:tcPr>
                  <w:tcW w:w="3753" w:type="dxa"/>
                  <w:vAlign w:val="top"/>
                </w:tcPr>
                <w:p w14:paraId="13DBD354">
                  <w:pPr>
                    <w:spacing w:before="107" w:line="192" w:lineRule="auto"/>
                    <w:ind w:left="1777"/>
                    <w:outlineLvl w:val="2"/>
                    <w:rPr>
                      <w:rFonts w:ascii="Times New Roman" w:hAnsi="Times New Roman" w:eastAsia="Times New Roman" w:cs="Times New Roman"/>
                      <w:sz w:val="20"/>
                      <w:szCs w:val="20"/>
                    </w:rPr>
                  </w:pPr>
                  <w:r>
                    <w:rPr>
                      <w:rFonts w:ascii="Times New Roman" w:hAnsi="Times New Roman" w:eastAsia="Times New Roman" w:cs="Times New Roman"/>
                      <w:sz w:val="20"/>
                      <w:szCs w:val="20"/>
                    </w:rPr>
                    <w:t>55</w:t>
                  </w:r>
                </w:p>
              </w:tc>
            </w:tr>
          </w:tbl>
          <w:p w14:paraId="596E81E3">
            <w:pPr>
              <w:pStyle w:val="9"/>
              <w:spacing w:before="171" w:line="220" w:lineRule="auto"/>
              <w:ind w:left="111"/>
              <w:outlineLvl w:val="1"/>
            </w:pPr>
            <w:r>
              <w:rPr>
                <w:b/>
                <w:bCs/>
                <w:spacing w:val="-3"/>
              </w:rPr>
              <w:t>五、工频电场、工频磁场</w:t>
            </w:r>
          </w:p>
          <w:p w14:paraId="3FECC7D3">
            <w:pPr>
              <w:pStyle w:val="9"/>
              <w:spacing w:before="184" w:line="364" w:lineRule="auto"/>
              <w:ind w:left="124" w:right="104" w:firstLine="466"/>
            </w:pPr>
            <w:r>
              <w:rPr>
                <w:spacing w:val="-1"/>
              </w:rPr>
              <w:t>工频电场、工频磁场执行《电磁环境控制限值》（</w:t>
            </w:r>
            <w:r>
              <w:rPr>
                <w:rFonts w:ascii="Times New Roman" w:hAnsi="Times New Roman" w:eastAsia="Times New Roman" w:cs="Times New Roman"/>
                <w:spacing w:val="-1"/>
              </w:rPr>
              <w:t>GB8702-2014</w:t>
            </w:r>
            <w:r>
              <w:rPr>
                <w:spacing w:val="14"/>
              </w:rPr>
              <w:t>），</w:t>
            </w:r>
            <w:r>
              <w:rPr>
                <w:spacing w:val="-1"/>
              </w:rPr>
              <w:t>具体</w:t>
            </w:r>
            <w:r>
              <w:rPr>
                <w:spacing w:val="-5"/>
              </w:rPr>
              <w:t>限值见表</w:t>
            </w:r>
            <w:r>
              <w:rPr>
                <w:spacing w:val="-43"/>
              </w:rPr>
              <w:t xml:space="preserve"> </w:t>
            </w:r>
            <w:r>
              <w:rPr>
                <w:rFonts w:ascii="Times New Roman" w:hAnsi="Times New Roman" w:eastAsia="Times New Roman" w:cs="Times New Roman"/>
                <w:spacing w:val="-5"/>
              </w:rPr>
              <w:t>3-22</w:t>
            </w:r>
            <w:r>
              <w:rPr>
                <w:spacing w:val="-5"/>
              </w:rPr>
              <w:t>。</w:t>
            </w:r>
          </w:p>
          <w:p w14:paraId="5BFEE9B1">
            <w:pPr>
              <w:pStyle w:val="9"/>
              <w:spacing w:before="16" w:line="212" w:lineRule="auto"/>
              <w:ind w:left="2463"/>
              <w:outlineLvl w:val="2"/>
            </w:pPr>
            <w:r>
              <w:rPr>
                <w:b/>
                <w:bCs/>
                <w:spacing w:val="-5"/>
              </w:rPr>
              <w:t>表</w:t>
            </w:r>
            <w:r>
              <w:rPr>
                <w:spacing w:val="-51"/>
              </w:rPr>
              <w:t xml:space="preserve"> </w:t>
            </w:r>
            <w:r>
              <w:rPr>
                <w:rFonts w:ascii="Times New Roman" w:hAnsi="Times New Roman" w:eastAsia="Times New Roman" w:cs="Times New Roman"/>
                <w:b/>
                <w:bCs/>
                <w:spacing w:val="-5"/>
              </w:rPr>
              <w:t>3-22</w:t>
            </w:r>
            <w:r>
              <w:rPr>
                <w:rFonts w:ascii="Times New Roman" w:hAnsi="Times New Roman" w:eastAsia="Times New Roman" w:cs="Times New Roman"/>
                <w:b/>
                <w:bCs/>
                <w:spacing w:val="9"/>
              </w:rPr>
              <w:t xml:space="preserve">    </w:t>
            </w:r>
            <w:r>
              <w:rPr>
                <w:b/>
                <w:bCs/>
                <w:spacing w:val="-5"/>
              </w:rPr>
              <w:t>电磁公众暴露控制限值</w:t>
            </w:r>
          </w:p>
          <w:tbl>
            <w:tblPr>
              <w:tblStyle w:val="8"/>
              <w:tblW w:w="7941" w:type="dxa"/>
              <w:tblInd w:w="17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48"/>
              <w:gridCol w:w="2643"/>
              <w:gridCol w:w="2650"/>
            </w:tblGrid>
            <w:tr w14:paraId="535847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2648" w:type="dxa"/>
                  <w:vAlign w:val="top"/>
                </w:tcPr>
                <w:p w14:paraId="42E5BFC0">
                  <w:pPr>
                    <w:pStyle w:val="9"/>
                    <w:spacing w:before="36" w:line="216" w:lineRule="auto"/>
                    <w:ind w:left="909"/>
                    <w:rPr>
                      <w:sz w:val="20"/>
                      <w:szCs w:val="20"/>
                    </w:rPr>
                  </w:pPr>
                  <w:r>
                    <w:rPr>
                      <w:spacing w:val="7"/>
                      <w:sz w:val="20"/>
                      <w:szCs w:val="20"/>
                    </w:rPr>
                    <w:t>频率范围</w:t>
                  </w:r>
                </w:p>
              </w:tc>
              <w:tc>
                <w:tcPr>
                  <w:tcW w:w="2643" w:type="dxa"/>
                  <w:vAlign w:val="top"/>
                </w:tcPr>
                <w:p w14:paraId="420A11E9">
                  <w:pPr>
                    <w:pStyle w:val="9"/>
                    <w:spacing w:before="36" w:line="216" w:lineRule="auto"/>
                    <w:ind w:left="536"/>
                    <w:rPr>
                      <w:sz w:val="20"/>
                      <w:szCs w:val="20"/>
                    </w:rPr>
                  </w:pPr>
                  <w:r>
                    <w:rPr>
                      <w:spacing w:val="3"/>
                      <w:sz w:val="20"/>
                      <w:szCs w:val="20"/>
                    </w:rPr>
                    <w:t>电场强度（</w:t>
                  </w:r>
                  <w:r>
                    <w:rPr>
                      <w:rFonts w:ascii="Times New Roman" w:hAnsi="Times New Roman" w:eastAsia="Times New Roman" w:cs="Times New Roman"/>
                      <w:spacing w:val="3"/>
                      <w:sz w:val="20"/>
                      <w:szCs w:val="20"/>
                    </w:rPr>
                    <w:t>V/m</w:t>
                  </w:r>
                  <w:r>
                    <w:rPr>
                      <w:spacing w:val="3"/>
                      <w:sz w:val="20"/>
                      <w:szCs w:val="20"/>
                    </w:rPr>
                    <w:t>）</w:t>
                  </w:r>
                </w:p>
              </w:tc>
              <w:tc>
                <w:tcPr>
                  <w:tcW w:w="2650" w:type="dxa"/>
                  <w:vAlign w:val="top"/>
                </w:tcPr>
                <w:p w14:paraId="273AEB8A">
                  <w:pPr>
                    <w:pStyle w:val="9"/>
                    <w:spacing w:before="36" w:line="216" w:lineRule="auto"/>
                    <w:ind w:left="470"/>
                    <w:rPr>
                      <w:sz w:val="20"/>
                      <w:szCs w:val="20"/>
                    </w:rPr>
                  </w:pPr>
                  <w:r>
                    <w:rPr>
                      <w:spacing w:val="4"/>
                      <w:sz w:val="20"/>
                      <w:szCs w:val="20"/>
                    </w:rPr>
                    <w:t>磁感应强度</w:t>
                  </w:r>
                  <w:r>
                    <w:rPr>
                      <w:spacing w:val="24"/>
                      <w:sz w:val="20"/>
                      <w:szCs w:val="20"/>
                    </w:rPr>
                    <w:t xml:space="preserve"> </w:t>
                  </w:r>
                  <w:r>
                    <w:rPr>
                      <w:spacing w:val="4"/>
                      <w:sz w:val="20"/>
                      <w:szCs w:val="20"/>
                    </w:rPr>
                    <w:t>(</w:t>
                  </w:r>
                  <w:r>
                    <w:rPr>
                      <w:rFonts w:ascii="Times New Roman" w:hAnsi="Times New Roman" w:eastAsia="Times New Roman" w:cs="Times New Roman"/>
                      <w:spacing w:val="4"/>
                      <w:sz w:val="20"/>
                      <w:szCs w:val="20"/>
                    </w:rPr>
                    <w:t>µT</w:t>
                  </w:r>
                  <w:r>
                    <w:rPr>
                      <w:spacing w:val="4"/>
                      <w:sz w:val="20"/>
                      <w:szCs w:val="20"/>
                    </w:rPr>
                    <w:t>）</w:t>
                  </w:r>
                </w:p>
              </w:tc>
            </w:tr>
            <w:tr w14:paraId="284B13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 w:hRule="atLeast"/>
              </w:trPr>
              <w:tc>
                <w:tcPr>
                  <w:tcW w:w="2648" w:type="dxa"/>
                  <w:vAlign w:val="top"/>
                </w:tcPr>
                <w:p w14:paraId="19060811">
                  <w:pPr>
                    <w:spacing w:before="50" w:line="194" w:lineRule="auto"/>
                    <w:ind w:left="555"/>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0.025</w:t>
                  </w:r>
                  <w:r>
                    <w:rPr>
                      <w:rFonts w:ascii="Times New Roman" w:hAnsi="Times New Roman" w:eastAsia="Times New Roman" w:cs="Times New Roman"/>
                      <w:sz w:val="20"/>
                      <w:szCs w:val="20"/>
                    </w:rPr>
                    <w:t>kHz</w:t>
                  </w:r>
                  <w:r>
                    <w:rPr>
                      <w:rFonts w:ascii="Times New Roman" w:hAnsi="Times New Roman" w:eastAsia="Times New Roman" w:cs="Times New Roman"/>
                      <w:spacing w:val="7"/>
                      <w:sz w:val="20"/>
                      <w:szCs w:val="20"/>
                    </w:rPr>
                    <w:t>~1.2</w:t>
                  </w:r>
                  <w:r>
                    <w:rPr>
                      <w:rFonts w:ascii="Times New Roman" w:hAnsi="Times New Roman" w:eastAsia="Times New Roman" w:cs="Times New Roman"/>
                      <w:sz w:val="20"/>
                      <w:szCs w:val="20"/>
                    </w:rPr>
                    <w:t>kHz</w:t>
                  </w:r>
                </w:p>
              </w:tc>
              <w:tc>
                <w:tcPr>
                  <w:tcW w:w="2643" w:type="dxa"/>
                  <w:vAlign w:val="top"/>
                </w:tcPr>
                <w:p w14:paraId="7153DCA9">
                  <w:pPr>
                    <w:spacing w:before="50" w:line="194" w:lineRule="auto"/>
                    <w:ind w:left="1100"/>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200/f</w:t>
                  </w:r>
                </w:p>
              </w:tc>
              <w:tc>
                <w:tcPr>
                  <w:tcW w:w="2650" w:type="dxa"/>
                  <w:vAlign w:val="top"/>
                </w:tcPr>
                <w:p w14:paraId="26D4EBAB">
                  <w:pPr>
                    <w:spacing w:before="50" w:line="194" w:lineRule="auto"/>
                    <w:ind w:left="1216"/>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5/f</w:t>
                  </w:r>
                </w:p>
              </w:tc>
            </w:tr>
            <w:tr w14:paraId="079D9A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2648" w:type="dxa"/>
                  <w:vAlign w:val="top"/>
                </w:tcPr>
                <w:p w14:paraId="7531229C">
                  <w:pPr>
                    <w:pStyle w:val="9"/>
                    <w:spacing w:before="33" w:line="215" w:lineRule="auto"/>
                    <w:ind w:left="393"/>
                    <w:rPr>
                      <w:rFonts w:ascii="Times New Roman" w:hAnsi="Times New Roman" w:eastAsia="Times New Roman" w:cs="Times New Roman"/>
                      <w:sz w:val="20"/>
                      <w:szCs w:val="20"/>
                    </w:rPr>
                  </w:pPr>
                  <w:r>
                    <w:rPr>
                      <w:spacing w:val="7"/>
                      <w:sz w:val="20"/>
                      <w:szCs w:val="20"/>
                    </w:rPr>
                    <w:t xml:space="preserve">本工程频率 </w:t>
                  </w:r>
                  <w:r>
                    <w:rPr>
                      <w:rFonts w:ascii="Times New Roman" w:hAnsi="Times New Roman" w:eastAsia="Times New Roman" w:cs="Times New Roman"/>
                      <w:spacing w:val="7"/>
                      <w:sz w:val="20"/>
                      <w:szCs w:val="20"/>
                    </w:rPr>
                    <w:t>0.05</w:t>
                  </w:r>
                  <w:r>
                    <w:rPr>
                      <w:rFonts w:ascii="Times New Roman" w:hAnsi="Times New Roman" w:eastAsia="Times New Roman" w:cs="Times New Roman"/>
                      <w:sz w:val="20"/>
                      <w:szCs w:val="20"/>
                    </w:rPr>
                    <w:t>kHz</w:t>
                  </w:r>
                </w:p>
              </w:tc>
              <w:tc>
                <w:tcPr>
                  <w:tcW w:w="2643" w:type="dxa"/>
                  <w:vAlign w:val="top"/>
                </w:tcPr>
                <w:p w14:paraId="7849DB58">
                  <w:pPr>
                    <w:spacing w:before="68" w:line="195" w:lineRule="auto"/>
                    <w:ind w:left="1111"/>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4000</w:t>
                  </w:r>
                </w:p>
              </w:tc>
              <w:tc>
                <w:tcPr>
                  <w:tcW w:w="2650" w:type="dxa"/>
                  <w:vAlign w:val="top"/>
                </w:tcPr>
                <w:p w14:paraId="2A3E56DD">
                  <w:pPr>
                    <w:spacing w:before="68" w:line="195" w:lineRule="auto"/>
                    <w:ind w:left="119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100</w:t>
                  </w:r>
                </w:p>
              </w:tc>
            </w:tr>
            <w:tr w14:paraId="429678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 w:hRule="atLeast"/>
              </w:trPr>
              <w:tc>
                <w:tcPr>
                  <w:tcW w:w="7941" w:type="dxa"/>
                  <w:gridSpan w:val="3"/>
                  <w:vAlign w:val="top"/>
                </w:tcPr>
                <w:p w14:paraId="6F9842CF">
                  <w:pPr>
                    <w:pStyle w:val="9"/>
                    <w:spacing w:before="33" w:line="235" w:lineRule="auto"/>
                    <w:ind w:left="123" w:right="38"/>
                    <w:rPr>
                      <w:sz w:val="20"/>
                      <w:szCs w:val="20"/>
                    </w:rPr>
                  </w:pPr>
                  <w:r>
                    <w:rPr>
                      <w:spacing w:val="7"/>
                      <w:sz w:val="20"/>
                      <w:szCs w:val="20"/>
                    </w:rPr>
                    <w:t xml:space="preserve">注：我国输变电工程的工作频率为 </w:t>
                  </w:r>
                  <w:r>
                    <w:rPr>
                      <w:rFonts w:ascii="Times New Roman" w:hAnsi="Times New Roman" w:eastAsia="Times New Roman" w:cs="Times New Roman"/>
                      <w:spacing w:val="7"/>
                      <w:sz w:val="20"/>
                      <w:szCs w:val="20"/>
                    </w:rPr>
                    <w:t>0.05</w:t>
                  </w:r>
                  <w:r>
                    <w:rPr>
                      <w:rFonts w:ascii="Times New Roman" w:hAnsi="Times New Roman" w:eastAsia="Times New Roman" w:cs="Times New Roman"/>
                      <w:sz w:val="20"/>
                      <w:szCs w:val="20"/>
                    </w:rPr>
                    <w:t>kHz</w:t>
                  </w:r>
                  <w:r>
                    <w:rPr>
                      <w:rFonts w:ascii="Times New Roman" w:hAnsi="Times New Roman" w:eastAsia="Times New Roman" w:cs="Times New Roman"/>
                      <w:spacing w:val="-15"/>
                      <w:sz w:val="20"/>
                      <w:szCs w:val="20"/>
                    </w:rPr>
                    <w:t xml:space="preserve"> </w:t>
                  </w:r>
                  <w:r>
                    <w:rPr>
                      <w:spacing w:val="7"/>
                      <w:sz w:val="20"/>
                      <w:szCs w:val="20"/>
                    </w:rPr>
                    <w:t xml:space="preserve">。因此，工频电场强度执行 </w:t>
                  </w:r>
                  <w:r>
                    <w:rPr>
                      <w:rFonts w:ascii="Times New Roman" w:hAnsi="Times New Roman" w:eastAsia="Times New Roman" w:cs="Times New Roman"/>
                      <w:spacing w:val="7"/>
                      <w:sz w:val="20"/>
                      <w:szCs w:val="20"/>
                    </w:rPr>
                    <w:t>4000V/m</w:t>
                  </w:r>
                  <w:r>
                    <w:rPr>
                      <w:rFonts w:ascii="Times New Roman" w:hAnsi="Times New Roman" w:eastAsia="Times New Roman" w:cs="Times New Roman"/>
                      <w:spacing w:val="15"/>
                      <w:w w:val="101"/>
                      <w:sz w:val="20"/>
                      <w:szCs w:val="20"/>
                    </w:rPr>
                    <w:t xml:space="preserve">  </w:t>
                  </w:r>
                  <w:r>
                    <w:rPr>
                      <w:spacing w:val="7"/>
                      <w:sz w:val="20"/>
                      <w:szCs w:val="20"/>
                    </w:rPr>
                    <w:t>的</w:t>
                  </w:r>
                  <w:r>
                    <w:rPr>
                      <w:spacing w:val="5"/>
                      <w:sz w:val="20"/>
                      <w:szCs w:val="20"/>
                    </w:rPr>
                    <w:t>公众曝露控制限值的要求，工频磁感应强度执行</w:t>
                  </w:r>
                  <w:r>
                    <w:rPr>
                      <w:spacing w:val="31"/>
                      <w:sz w:val="20"/>
                      <w:szCs w:val="20"/>
                    </w:rPr>
                    <w:t xml:space="preserve"> </w:t>
                  </w:r>
                  <w:r>
                    <w:rPr>
                      <w:rFonts w:ascii="Times New Roman" w:hAnsi="Times New Roman" w:eastAsia="Times New Roman" w:cs="Times New Roman"/>
                      <w:spacing w:val="5"/>
                      <w:sz w:val="20"/>
                      <w:szCs w:val="20"/>
                    </w:rPr>
                    <w:t xml:space="preserve">100µT  </w:t>
                  </w:r>
                  <w:r>
                    <w:rPr>
                      <w:spacing w:val="5"/>
                      <w:sz w:val="20"/>
                      <w:szCs w:val="20"/>
                    </w:rPr>
                    <w:t>的公众曝露控制限值的要求。</w:t>
                  </w:r>
                </w:p>
              </w:tc>
            </w:tr>
          </w:tbl>
          <w:p w14:paraId="4393FB13">
            <w:pPr>
              <w:pStyle w:val="9"/>
              <w:spacing w:before="169" w:line="220" w:lineRule="auto"/>
              <w:ind w:left="109"/>
              <w:outlineLvl w:val="1"/>
            </w:pPr>
            <w:r>
              <w:rPr>
                <w:b/>
                <w:bCs/>
                <w:spacing w:val="-3"/>
              </w:rPr>
              <w:t>六、固体废物排放标准</w:t>
            </w:r>
          </w:p>
          <w:p w14:paraId="1007913D">
            <w:pPr>
              <w:pStyle w:val="9"/>
              <w:spacing w:before="186" w:line="313" w:lineRule="auto"/>
              <w:ind w:left="108" w:firstLine="479"/>
              <w:jc w:val="both"/>
            </w:pPr>
            <w:r>
              <w:rPr>
                <w:spacing w:val="-2"/>
              </w:rPr>
              <w:t>本项目产生的一般固体废物执行《一般工业固体废物</w:t>
            </w:r>
            <w:r>
              <w:rPr>
                <w:spacing w:val="-3"/>
              </w:rPr>
              <w:t>贮存和填埋污染控制</w:t>
            </w:r>
            <w:r>
              <w:rPr>
                <w:spacing w:val="-6"/>
              </w:rPr>
              <w:t>标准》（</w:t>
            </w:r>
            <w:r>
              <w:rPr>
                <w:rFonts w:ascii="Times New Roman" w:hAnsi="Times New Roman" w:eastAsia="Times New Roman" w:cs="Times New Roman"/>
                <w:spacing w:val="-6"/>
              </w:rPr>
              <w:t>GB18599-2020</w:t>
            </w:r>
            <w:r>
              <w:rPr>
                <w:spacing w:val="-6"/>
              </w:rPr>
              <w:t>）的要求。危险废物执</w:t>
            </w:r>
            <w:r>
              <w:rPr>
                <w:spacing w:val="-7"/>
              </w:rPr>
              <w:t>行《危险废物贮存污染控制标准》</w:t>
            </w:r>
            <w:r>
              <w:t xml:space="preserve"> </w:t>
            </w:r>
            <w:r>
              <w:rPr>
                <w:spacing w:val="-1"/>
              </w:rPr>
              <w:t>（</w:t>
            </w:r>
            <w:r>
              <w:rPr>
                <w:rFonts w:ascii="Times New Roman" w:hAnsi="Times New Roman" w:eastAsia="Times New Roman" w:cs="Times New Roman"/>
                <w:spacing w:val="-1"/>
              </w:rPr>
              <w:t>GB18597-2023</w:t>
            </w:r>
            <w:r>
              <w:rPr>
                <w:spacing w:val="-1"/>
              </w:rPr>
              <w:t>）的要求。</w:t>
            </w:r>
          </w:p>
        </w:tc>
      </w:tr>
      <w:tr w14:paraId="1FAA5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0" w:hRule="atLeast"/>
        </w:trPr>
        <w:tc>
          <w:tcPr>
            <w:tcW w:w="751" w:type="dxa"/>
            <w:tcBorders>
              <w:top w:val="single" w:color="000000" w:sz="2" w:space="0"/>
              <w:right w:val="single" w:color="000000" w:sz="2" w:space="0"/>
            </w:tcBorders>
            <w:vAlign w:val="top"/>
          </w:tcPr>
          <w:p w14:paraId="2EEFBBBF">
            <w:pPr>
              <w:spacing w:line="421" w:lineRule="auto"/>
              <w:rPr>
                <w:rFonts w:ascii="Arial"/>
                <w:sz w:val="21"/>
              </w:rPr>
            </w:pPr>
          </w:p>
          <w:p w14:paraId="30D8B240">
            <w:pPr>
              <w:pStyle w:val="9"/>
              <w:spacing w:before="65" w:line="228" w:lineRule="auto"/>
              <w:ind w:left="164"/>
              <w:outlineLvl w:val="2"/>
              <w:rPr>
                <w:sz w:val="20"/>
                <w:szCs w:val="20"/>
              </w:rPr>
            </w:pPr>
            <w:r>
              <w:rPr>
                <w:spacing w:val="4"/>
                <w:sz w:val="20"/>
                <w:szCs w:val="20"/>
              </w:rPr>
              <w:t>其他</w:t>
            </w:r>
          </w:p>
        </w:tc>
        <w:tc>
          <w:tcPr>
            <w:tcW w:w="8313" w:type="dxa"/>
            <w:tcBorders>
              <w:top w:val="single" w:color="000000" w:sz="2" w:space="0"/>
              <w:left w:val="single" w:color="000000" w:sz="2" w:space="0"/>
            </w:tcBorders>
            <w:vAlign w:val="top"/>
          </w:tcPr>
          <w:p w14:paraId="59492B17">
            <w:pPr>
              <w:spacing w:line="448" w:lineRule="auto"/>
              <w:rPr>
                <w:rFonts w:ascii="Arial"/>
                <w:sz w:val="21"/>
              </w:rPr>
            </w:pPr>
          </w:p>
          <w:p w14:paraId="44BD001D">
            <w:pPr>
              <w:pStyle w:val="9"/>
              <w:spacing w:before="78" w:line="220" w:lineRule="auto"/>
              <w:ind w:left="4280"/>
            </w:pPr>
            <w:r>
              <w:t>无</w:t>
            </w:r>
          </w:p>
        </w:tc>
      </w:tr>
    </w:tbl>
    <w:p w14:paraId="580AC0F8">
      <w:pPr>
        <w:pStyle w:val="3"/>
      </w:pPr>
    </w:p>
    <w:p w14:paraId="4DFC0B1B">
      <w:pPr>
        <w:sectPr>
          <w:footerReference r:id="rId55" w:type="default"/>
          <w:pgSz w:w="11906" w:h="16838"/>
          <w:pgMar w:top="1416" w:right="1413" w:bottom="1295" w:left="1413" w:header="0" w:footer="1133" w:gutter="0"/>
          <w:cols w:space="720" w:num="1"/>
        </w:sectPr>
      </w:pPr>
    </w:p>
    <w:p w14:paraId="41700A2F">
      <w:pPr>
        <w:spacing w:before="104" w:line="216" w:lineRule="auto"/>
        <w:ind w:left="3326"/>
        <w:outlineLvl w:val="0"/>
        <w:rPr>
          <w:rFonts w:ascii="黑体" w:hAnsi="黑体" w:eastAsia="黑体" w:cs="黑体"/>
          <w:sz w:val="30"/>
          <w:szCs w:val="30"/>
        </w:rPr>
      </w:pPr>
      <w:r>
        <w:rPr>
          <w:rFonts w:ascii="黑体" w:hAnsi="黑体" w:eastAsia="黑体" w:cs="黑体"/>
          <w:b/>
          <w:bCs/>
          <w:spacing w:val="-6"/>
          <w:sz w:val="30"/>
          <w:szCs w:val="30"/>
        </w:rPr>
        <w:t>四、生态环境影响分析</w:t>
      </w:r>
    </w:p>
    <w:tbl>
      <w:tblPr>
        <w:tblStyle w:val="8"/>
        <w:tblW w:w="958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99"/>
        <w:gridCol w:w="8990"/>
      </w:tblGrid>
      <w:tr w14:paraId="4103A8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286" w:hRule="atLeast"/>
        </w:trPr>
        <w:tc>
          <w:tcPr>
            <w:tcW w:w="599" w:type="dxa"/>
            <w:tcBorders>
              <w:right w:val="single" w:color="000000" w:sz="2" w:space="0"/>
            </w:tcBorders>
            <w:vAlign w:val="top"/>
          </w:tcPr>
          <w:p w14:paraId="1AE06454">
            <w:pPr>
              <w:spacing w:line="250" w:lineRule="auto"/>
              <w:rPr>
                <w:rFonts w:ascii="Arial"/>
                <w:sz w:val="21"/>
              </w:rPr>
            </w:pPr>
          </w:p>
          <w:p w14:paraId="208402DD">
            <w:pPr>
              <w:spacing w:line="250" w:lineRule="auto"/>
              <w:rPr>
                <w:rFonts w:ascii="Arial"/>
                <w:sz w:val="21"/>
              </w:rPr>
            </w:pPr>
          </w:p>
          <w:p w14:paraId="41AAFC0A">
            <w:pPr>
              <w:spacing w:line="250" w:lineRule="auto"/>
              <w:rPr>
                <w:rFonts w:ascii="Arial"/>
                <w:sz w:val="21"/>
              </w:rPr>
            </w:pPr>
          </w:p>
          <w:p w14:paraId="2A8D0C15">
            <w:pPr>
              <w:spacing w:line="250" w:lineRule="auto"/>
              <w:rPr>
                <w:rFonts w:ascii="Arial"/>
                <w:sz w:val="21"/>
              </w:rPr>
            </w:pPr>
          </w:p>
          <w:p w14:paraId="6EC07845">
            <w:pPr>
              <w:spacing w:line="250" w:lineRule="auto"/>
              <w:rPr>
                <w:rFonts w:ascii="Arial"/>
                <w:sz w:val="21"/>
              </w:rPr>
            </w:pPr>
          </w:p>
          <w:p w14:paraId="2D82BB70">
            <w:pPr>
              <w:spacing w:line="250" w:lineRule="auto"/>
              <w:rPr>
                <w:rFonts w:ascii="Arial"/>
                <w:sz w:val="21"/>
              </w:rPr>
            </w:pPr>
          </w:p>
          <w:p w14:paraId="6B0952F1">
            <w:pPr>
              <w:spacing w:line="250" w:lineRule="auto"/>
              <w:rPr>
                <w:rFonts w:ascii="Arial"/>
                <w:sz w:val="21"/>
              </w:rPr>
            </w:pPr>
          </w:p>
          <w:p w14:paraId="3EB31A79">
            <w:pPr>
              <w:spacing w:line="250" w:lineRule="auto"/>
              <w:rPr>
                <w:rFonts w:ascii="Arial"/>
                <w:sz w:val="21"/>
              </w:rPr>
            </w:pPr>
          </w:p>
          <w:p w14:paraId="7C9DD152">
            <w:pPr>
              <w:spacing w:line="250" w:lineRule="auto"/>
              <w:rPr>
                <w:rFonts w:ascii="Arial"/>
                <w:sz w:val="21"/>
              </w:rPr>
            </w:pPr>
          </w:p>
          <w:p w14:paraId="716CDE3D">
            <w:pPr>
              <w:spacing w:line="250" w:lineRule="auto"/>
              <w:rPr>
                <w:rFonts w:ascii="Arial"/>
                <w:sz w:val="21"/>
              </w:rPr>
            </w:pPr>
          </w:p>
          <w:p w14:paraId="7535D4CE">
            <w:pPr>
              <w:spacing w:line="250" w:lineRule="auto"/>
              <w:rPr>
                <w:rFonts w:ascii="Arial"/>
                <w:sz w:val="21"/>
              </w:rPr>
            </w:pPr>
          </w:p>
          <w:p w14:paraId="5E53B603">
            <w:pPr>
              <w:spacing w:line="250" w:lineRule="auto"/>
              <w:rPr>
                <w:rFonts w:ascii="Arial"/>
                <w:sz w:val="21"/>
              </w:rPr>
            </w:pPr>
          </w:p>
          <w:p w14:paraId="1C16E48F">
            <w:pPr>
              <w:spacing w:line="250" w:lineRule="auto"/>
              <w:rPr>
                <w:rFonts w:ascii="Arial"/>
                <w:sz w:val="21"/>
              </w:rPr>
            </w:pPr>
          </w:p>
          <w:p w14:paraId="6E074FDB">
            <w:pPr>
              <w:spacing w:line="250" w:lineRule="auto"/>
              <w:rPr>
                <w:rFonts w:ascii="Arial"/>
                <w:sz w:val="21"/>
              </w:rPr>
            </w:pPr>
          </w:p>
          <w:p w14:paraId="04AC326C">
            <w:pPr>
              <w:spacing w:line="250" w:lineRule="auto"/>
              <w:rPr>
                <w:rFonts w:ascii="Arial"/>
                <w:sz w:val="21"/>
              </w:rPr>
            </w:pPr>
          </w:p>
          <w:p w14:paraId="7A15F548">
            <w:pPr>
              <w:spacing w:line="250" w:lineRule="auto"/>
              <w:rPr>
                <w:rFonts w:ascii="Arial"/>
                <w:sz w:val="21"/>
              </w:rPr>
            </w:pPr>
          </w:p>
          <w:p w14:paraId="3C1EC515">
            <w:pPr>
              <w:spacing w:line="250" w:lineRule="auto"/>
              <w:rPr>
                <w:rFonts w:ascii="Arial"/>
                <w:sz w:val="21"/>
              </w:rPr>
            </w:pPr>
          </w:p>
          <w:p w14:paraId="1CD09247">
            <w:pPr>
              <w:spacing w:line="251" w:lineRule="auto"/>
              <w:rPr>
                <w:rFonts w:ascii="Arial"/>
                <w:sz w:val="21"/>
              </w:rPr>
            </w:pPr>
          </w:p>
          <w:p w14:paraId="5D5B9BC8">
            <w:pPr>
              <w:spacing w:line="251" w:lineRule="auto"/>
              <w:rPr>
                <w:rFonts w:ascii="Arial"/>
                <w:sz w:val="21"/>
              </w:rPr>
            </w:pPr>
          </w:p>
          <w:p w14:paraId="5519F598">
            <w:pPr>
              <w:spacing w:line="251" w:lineRule="auto"/>
              <w:rPr>
                <w:rFonts w:ascii="Arial"/>
                <w:sz w:val="21"/>
              </w:rPr>
            </w:pPr>
          </w:p>
          <w:p w14:paraId="1CFC3AE8">
            <w:pPr>
              <w:spacing w:line="251" w:lineRule="auto"/>
              <w:rPr>
                <w:rFonts w:ascii="Arial"/>
                <w:sz w:val="21"/>
              </w:rPr>
            </w:pPr>
          </w:p>
          <w:p w14:paraId="44DEE72A">
            <w:pPr>
              <w:spacing w:line="251" w:lineRule="auto"/>
              <w:rPr>
                <w:rFonts w:ascii="Arial"/>
                <w:sz w:val="21"/>
              </w:rPr>
            </w:pPr>
          </w:p>
          <w:p w14:paraId="07CBF687">
            <w:pPr>
              <w:spacing w:line="251" w:lineRule="auto"/>
              <w:rPr>
                <w:rFonts w:ascii="Arial"/>
                <w:sz w:val="21"/>
              </w:rPr>
            </w:pPr>
          </w:p>
          <w:p w14:paraId="7046BD8C">
            <w:pPr>
              <w:pStyle w:val="9"/>
              <w:spacing w:before="65" w:line="252" w:lineRule="auto"/>
              <w:ind w:left="87" w:right="91"/>
              <w:outlineLvl w:val="1"/>
              <w:rPr>
                <w:sz w:val="20"/>
                <w:szCs w:val="20"/>
              </w:rPr>
            </w:pPr>
            <w:r>
              <w:rPr>
                <w:spacing w:val="5"/>
                <w:sz w:val="20"/>
                <w:szCs w:val="20"/>
              </w:rPr>
              <w:t>施工</w:t>
            </w:r>
            <w:r>
              <w:rPr>
                <w:spacing w:val="4"/>
                <w:sz w:val="20"/>
                <w:szCs w:val="20"/>
              </w:rPr>
              <w:t>期生态环境影响分</w:t>
            </w:r>
            <w:r>
              <w:rPr>
                <w:spacing w:val="34"/>
                <w:w w:val="135"/>
                <w:sz w:val="20"/>
                <w:szCs w:val="20"/>
              </w:rPr>
              <w:t>析</w:t>
            </w:r>
          </w:p>
        </w:tc>
        <w:tc>
          <w:tcPr>
            <w:tcW w:w="8990" w:type="dxa"/>
            <w:tcBorders>
              <w:left w:val="single" w:color="000000" w:sz="2" w:space="0"/>
            </w:tcBorders>
            <w:vAlign w:val="top"/>
          </w:tcPr>
          <w:p w14:paraId="2BFCE110">
            <w:pPr>
              <w:pStyle w:val="9"/>
              <w:spacing w:before="167" w:line="219" w:lineRule="auto"/>
              <w:ind w:left="106"/>
              <w:outlineLvl w:val="1"/>
            </w:pPr>
            <w:r>
              <w:rPr>
                <w:b/>
                <w:bCs/>
                <w:spacing w:val="-3"/>
              </w:rPr>
              <w:t>施工期环境影响简要分析：</w:t>
            </w:r>
          </w:p>
          <w:p w14:paraId="05CFEAAE">
            <w:pPr>
              <w:pStyle w:val="9"/>
              <w:spacing w:before="175" w:line="354" w:lineRule="auto"/>
              <w:ind w:left="107" w:right="102" w:firstLine="525"/>
            </w:pPr>
            <w:r>
              <w:rPr>
                <w:spacing w:val="-5"/>
              </w:rPr>
              <w:t>目前，本项目升压站已建成，施工期已结束，本次环评对施工期环境影响进行回</w:t>
            </w:r>
            <w:r>
              <w:rPr>
                <w:spacing w:val="-2"/>
              </w:rPr>
              <w:t>顾性分析。</w:t>
            </w:r>
          </w:p>
          <w:p w14:paraId="5BB256AE">
            <w:pPr>
              <w:pStyle w:val="9"/>
              <w:spacing w:before="1" w:line="353" w:lineRule="auto"/>
              <w:ind w:left="110" w:right="22" w:firstLine="478"/>
            </w:pPr>
            <w:r>
              <w:rPr>
                <w:spacing w:val="-3"/>
              </w:rPr>
              <w:t>本项目升压站工程包括土方工程、基础工程、主体框架工程、</w:t>
            </w:r>
            <w:r>
              <w:rPr>
                <w:spacing w:val="-4"/>
              </w:rPr>
              <w:t>建筑装修工程、设</w:t>
            </w:r>
            <w:r>
              <w:rPr>
                <w:spacing w:val="-7"/>
              </w:rPr>
              <w:t>备安装及调试等，基础施工完成后进行构筑物建设等，施工完成后，</w:t>
            </w:r>
            <w:r>
              <w:rPr>
                <w:spacing w:val="-8"/>
              </w:rPr>
              <w:t>对基面进行防护。</w:t>
            </w:r>
          </w:p>
          <w:p w14:paraId="01511A5E">
            <w:pPr>
              <w:pStyle w:val="9"/>
              <w:spacing w:line="219" w:lineRule="auto"/>
              <w:ind w:left="590"/>
            </w:pPr>
            <w:r>
              <w:rPr>
                <w:spacing w:val="-3"/>
              </w:rPr>
              <w:t>工程工艺流程及产污环节如下图</w:t>
            </w:r>
            <w:r>
              <w:rPr>
                <w:spacing w:val="-48"/>
              </w:rPr>
              <w:t xml:space="preserve"> </w:t>
            </w:r>
            <w:r>
              <w:rPr>
                <w:rFonts w:ascii="Times New Roman" w:hAnsi="Times New Roman" w:eastAsia="Times New Roman" w:cs="Times New Roman"/>
                <w:spacing w:val="-3"/>
              </w:rPr>
              <w:t>4-</w:t>
            </w:r>
            <w:r>
              <w:rPr>
                <w:rFonts w:ascii="Times New Roman" w:hAnsi="Times New Roman" w:eastAsia="Times New Roman" w:cs="Times New Roman"/>
                <w:spacing w:val="-32"/>
              </w:rPr>
              <w:t xml:space="preserve"> </w:t>
            </w:r>
            <w:r>
              <w:rPr>
                <w:rFonts w:ascii="Times New Roman" w:hAnsi="Times New Roman" w:eastAsia="Times New Roman" w:cs="Times New Roman"/>
                <w:spacing w:val="-3"/>
              </w:rPr>
              <w:t>1</w:t>
            </w:r>
            <w:r>
              <w:rPr>
                <w:spacing w:val="-3"/>
              </w:rPr>
              <w:t>：</w:t>
            </w:r>
          </w:p>
          <w:p w14:paraId="2CEE7627">
            <w:pPr>
              <w:spacing w:before="13" w:line="2580" w:lineRule="exact"/>
              <w:ind w:firstLine="1192"/>
            </w:pPr>
            <w:r>
              <w:rPr>
                <w:position w:val="-51"/>
              </w:rPr>
              <w:drawing>
                <wp:inline distT="0" distB="0" distL="0" distR="0">
                  <wp:extent cx="4488180" cy="1637665"/>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250"/>
                          <a:stretch>
                            <a:fillRect/>
                          </a:stretch>
                        </pic:blipFill>
                        <pic:spPr>
                          <a:xfrm>
                            <a:off x="0" y="0"/>
                            <a:ext cx="4488180" cy="1638299"/>
                          </a:xfrm>
                          <a:prstGeom prst="rect">
                            <a:avLst/>
                          </a:prstGeom>
                        </pic:spPr>
                      </pic:pic>
                    </a:graphicData>
                  </a:graphic>
                </wp:inline>
              </w:drawing>
            </w:r>
          </w:p>
          <w:p w14:paraId="5844B70F">
            <w:pPr>
              <w:pStyle w:val="9"/>
              <w:spacing w:before="280" w:line="219" w:lineRule="auto"/>
              <w:ind w:left="2646"/>
              <w:outlineLvl w:val="2"/>
            </w:pPr>
            <w:r>
              <w:rPr>
                <w:b/>
                <w:bCs/>
                <w:spacing w:val="-3"/>
              </w:rPr>
              <w:t>图</w:t>
            </w:r>
            <w:r>
              <w:rPr>
                <w:spacing w:val="-47"/>
              </w:rPr>
              <w:t xml:space="preserve"> </w:t>
            </w:r>
            <w:r>
              <w:rPr>
                <w:rFonts w:ascii="Times New Roman" w:hAnsi="Times New Roman" w:eastAsia="Times New Roman" w:cs="Times New Roman"/>
                <w:b/>
                <w:bCs/>
                <w:spacing w:val="-3"/>
              </w:rPr>
              <w:t xml:space="preserve">4-1        </w:t>
            </w:r>
            <w:r>
              <w:rPr>
                <w:b/>
                <w:bCs/>
                <w:spacing w:val="-3"/>
              </w:rPr>
              <w:t>施工期工艺及产污节点图</w:t>
            </w:r>
          </w:p>
          <w:p w14:paraId="28496AAB">
            <w:pPr>
              <w:pStyle w:val="9"/>
              <w:spacing w:before="175" w:line="219" w:lineRule="auto"/>
              <w:ind w:left="588"/>
              <w:outlineLvl w:val="2"/>
            </w:pPr>
            <w:r>
              <w:rPr>
                <w:spacing w:val="2"/>
              </w:rPr>
              <w:t>本项目</w:t>
            </w:r>
            <w:r>
              <w:rPr>
                <w:rFonts w:ascii="Times New Roman" w:hAnsi="Times New Roman" w:eastAsia="Times New Roman" w:cs="Times New Roman"/>
                <w:spacing w:val="2"/>
              </w:rPr>
              <w:t xml:space="preserve">2012 </w:t>
            </w:r>
            <w:r>
              <w:rPr>
                <w:spacing w:val="2"/>
              </w:rPr>
              <w:t>年</w:t>
            </w:r>
            <w:r>
              <w:rPr>
                <w:spacing w:val="-48"/>
              </w:rPr>
              <w:t xml:space="preserve"> </w:t>
            </w:r>
            <w:r>
              <w:rPr>
                <w:rFonts w:ascii="Times New Roman" w:hAnsi="Times New Roman" w:eastAsia="Times New Roman" w:cs="Times New Roman"/>
                <w:spacing w:val="2"/>
              </w:rPr>
              <w:t>9</w:t>
            </w:r>
            <w:r>
              <w:rPr>
                <w:rFonts w:ascii="Times New Roman" w:hAnsi="Times New Roman" w:eastAsia="Times New Roman" w:cs="Times New Roman"/>
                <w:spacing w:val="18"/>
              </w:rPr>
              <w:t xml:space="preserve"> </w:t>
            </w:r>
            <w:r>
              <w:rPr>
                <w:spacing w:val="2"/>
              </w:rPr>
              <w:t>月开工建设，</w:t>
            </w:r>
            <w:r>
              <w:rPr>
                <w:rFonts w:ascii="Times New Roman" w:hAnsi="Times New Roman" w:eastAsia="Times New Roman" w:cs="Times New Roman"/>
                <w:spacing w:val="2"/>
              </w:rPr>
              <w:t xml:space="preserve">2023 </w:t>
            </w:r>
            <w:r>
              <w:rPr>
                <w:spacing w:val="2"/>
              </w:rPr>
              <w:t>年</w:t>
            </w:r>
            <w:r>
              <w:rPr>
                <w:spacing w:val="-30"/>
              </w:rPr>
              <w:t xml:space="preserve"> </w:t>
            </w:r>
            <w:r>
              <w:rPr>
                <w:rFonts w:ascii="Times New Roman" w:hAnsi="Times New Roman" w:eastAsia="Times New Roman" w:cs="Times New Roman"/>
                <w:spacing w:val="2"/>
              </w:rPr>
              <w:t xml:space="preserve">11 </w:t>
            </w:r>
            <w:r>
              <w:rPr>
                <w:spacing w:val="2"/>
              </w:rPr>
              <w:t>月</w:t>
            </w:r>
            <w:r>
              <w:rPr>
                <w:spacing w:val="1"/>
              </w:rPr>
              <w:t>全部建设完成。根据现场调查及调</w:t>
            </w:r>
          </w:p>
          <w:p w14:paraId="56C82722">
            <w:pPr>
              <w:pStyle w:val="9"/>
              <w:spacing w:before="174" w:line="354" w:lineRule="auto"/>
              <w:ind w:left="106" w:right="41"/>
              <w:jc w:val="both"/>
            </w:pPr>
            <w:r>
              <w:rPr>
                <w:spacing w:val="-3"/>
              </w:rPr>
              <w:t>研，本项目的施工在空间和时间上都相对集中，施工期间，由于地表的开挖、施工车</w:t>
            </w:r>
            <w:r>
              <w:rPr>
                <w:spacing w:val="-1"/>
              </w:rPr>
              <w:t>辆的行驶、施工人员的活动等，产生一定的水土流失、</w:t>
            </w:r>
            <w:r>
              <w:rPr>
                <w:spacing w:val="-2"/>
              </w:rPr>
              <w:t>植被破坏、施工废水、扬尘、</w:t>
            </w:r>
            <w:r>
              <w:rPr>
                <w:spacing w:val="-3"/>
              </w:rPr>
              <w:t>噪声、弃土、弃渣、生活垃圾、生活污水等，鉴于项目已全部建设完成，本次对产生</w:t>
            </w:r>
            <w:r>
              <w:rPr>
                <w:spacing w:val="-1"/>
              </w:rPr>
              <w:t>的影响进行回顾及预测分析，具体的环境影响分析如下。</w:t>
            </w:r>
          </w:p>
          <w:p w14:paraId="3C0079EB">
            <w:pPr>
              <w:pStyle w:val="9"/>
              <w:spacing w:line="220" w:lineRule="auto"/>
              <w:ind w:left="594"/>
              <w:outlineLvl w:val="2"/>
            </w:pPr>
            <w:r>
              <w:rPr>
                <w:rFonts w:ascii="Times New Roman" w:hAnsi="Times New Roman" w:eastAsia="Times New Roman" w:cs="Times New Roman"/>
                <w:b/>
                <w:bCs/>
                <w:spacing w:val="-3"/>
              </w:rPr>
              <w:t xml:space="preserve">1  </w:t>
            </w:r>
            <w:r>
              <w:rPr>
                <w:b/>
                <w:bCs/>
                <w:spacing w:val="-3"/>
              </w:rPr>
              <w:t>大气环境影响分析</w:t>
            </w:r>
          </w:p>
          <w:p w14:paraId="1DF78C11">
            <w:pPr>
              <w:pStyle w:val="9"/>
              <w:spacing w:before="175" w:line="220" w:lineRule="auto"/>
              <w:ind w:left="599"/>
            </w:pPr>
            <w:r>
              <w:rPr>
                <w:spacing w:val="-3"/>
              </w:rPr>
              <w:t>（</w:t>
            </w:r>
            <w:r>
              <w:rPr>
                <w:rFonts w:ascii="Times New Roman" w:hAnsi="Times New Roman" w:eastAsia="Times New Roman" w:cs="Times New Roman"/>
                <w:spacing w:val="-3"/>
              </w:rPr>
              <w:t>1</w:t>
            </w:r>
            <w:r>
              <w:rPr>
                <w:spacing w:val="-3"/>
              </w:rPr>
              <w:t>）施工扬尘污染源</w:t>
            </w:r>
          </w:p>
          <w:p w14:paraId="18F20BC3">
            <w:pPr>
              <w:pStyle w:val="9"/>
              <w:spacing w:before="173" w:line="354" w:lineRule="auto"/>
              <w:ind w:left="110" w:right="102" w:firstLine="476"/>
            </w:pPr>
            <w:r>
              <w:rPr>
                <w:spacing w:val="2"/>
              </w:rPr>
              <w:t>施工扬尘主要来自于</w:t>
            </w:r>
            <w:r>
              <w:rPr>
                <w:spacing w:val="-52"/>
              </w:rPr>
              <w:t xml:space="preserve"> </w:t>
            </w:r>
            <w:r>
              <w:rPr>
                <w:rFonts w:ascii="Times New Roman" w:hAnsi="Times New Roman" w:eastAsia="Times New Roman" w:cs="Times New Roman"/>
                <w:spacing w:val="2"/>
              </w:rPr>
              <w:t>220</w:t>
            </w:r>
            <w:r>
              <w:rPr>
                <w:rFonts w:ascii="Times New Roman" w:hAnsi="Times New Roman" w:eastAsia="Times New Roman" w:cs="Times New Roman"/>
              </w:rPr>
              <w:t>kV</w:t>
            </w:r>
            <w:r>
              <w:rPr>
                <w:rFonts w:ascii="Times New Roman" w:hAnsi="Times New Roman" w:eastAsia="Times New Roman" w:cs="Times New Roman"/>
                <w:spacing w:val="2"/>
              </w:rPr>
              <w:t xml:space="preserve"> </w:t>
            </w:r>
            <w:r>
              <w:rPr>
                <w:spacing w:val="2"/>
              </w:rPr>
              <w:t>升压站在施工中的土方挖、建筑装修材料的运</w:t>
            </w:r>
            <w:r>
              <w:rPr>
                <w:spacing w:val="1"/>
              </w:rPr>
              <w:t>输装</w:t>
            </w:r>
            <w:r>
              <w:t>卸、施工现场内车辆行驶时道路扬尘等。由于扬尘源多且</w:t>
            </w:r>
            <w:r>
              <w:rPr>
                <w:spacing w:val="-1"/>
              </w:rPr>
              <w:t>分散，源高一般在</w:t>
            </w:r>
            <w:r>
              <w:rPr>
                <w:spacing w:val="-29"/>
              </w:rPr>
              <w:t xml:space="preserve"> </w:t>
            </w:r>
            <w:r>
              <w:rPr>
                <w:rFonts w:ascii="Times New Roman" w:hAnsi="Times New Roman" w:eastAsia="Times New Roman" w:cs="Times New Roman"/>
                <w:spacing w:val="-1"/>
              </w:rPr>
              <w:t>15m</w:t>
            </w:r>
            <w:r>
              <w:rPr>
                <w:rFonts w:ascii="Times New Roman" w:hAnsi="Times New Roman" w:eastAsia="Times New Roman" w:cs="Times New Roman"/>
                <w:spacing w:val="40"/>
              </w:rPr>
              <w:t xml:space="preserve"> </w:t>
            </w:r>
            <w:r>
              <w:rPr>
                <w:spacing w:val="-1"/>
              </w:rPr>
              <w:t>以</w:t>
            </w:r>
            <w:r>
              <w:rPr>
                <w:spacing w:val="-3"/>
              </w:rPr>
              <w:t>下，属无组织排放。受施工方式、设备、气候等因素制约，产生的随机性和</w:t>
            </w:r>
            <w:r>
              <w:rPr>
                <w:spacing w:val="-4"/>
              </w:rPr>
              <w:t>波动性较</w:t>
            </w:r>
            <w:r>
              <w:rPr>
                <w:spacing w:val="-7"/>
              </w:rPr>
              <w:t>大。</w:t>
            </w:r>
          </w:p>
          <w:p w14:paraId="7665FE97">
            <w:pPr>
              <w:pStyle w:val="9"/>
              <w:spacing w:line="220" w:lineRule="auto"/>
              <w:ind w:left="599"/>
            </w:pPr>
            <w:r>
              <w:rPr>
                <w:spacing w:val="-3"/>
              </w:rPr>
              <w:t>（</w:t>
            </w:r>
            <w:r>
              <w:rPr>
                <w:rFonts w:ascii="Times New Roman" w:hAnsi="Times New Roman" w:eastAsia="Times New Roman" w:cs="Times New Roman"/>
                <w:spacing w:val="-3"/>
              </w:rPr>
              <w:t>2</w:t>
            </w:r>
            <w:r>
              <w:rPr>
                <w:spacing w:val="-3"/>
              </w:rPr>
              <w:t>）扬尘影响分析</w:t>
            </w:r>
          </w:p>
          <w:p w14:paraId="2CD2F963">
            <w:pPr>
              <w:pStyle w:val="9"/>
              <w:spacing w:before="174" w:line="354" w:lineRule="auto"/>
              <w:ind w:left="108" w:right="22" w:firstLine="478"/>
            </w:pPr>
            <w:r>
              <w:rPr>
                <w:spacing w:val="-8"/>
              </w:rPr>
              <w:t>施工阶段，尤其是施工初期，升压站场地平整会产生扬尘影响，特别是雨水较少、</w:t>
            </w:r>
            <w:r>
              <w:rPr>
                <w:spacing w:val="-3"/>
              </w:rPr>
              <w:t>风大，扬尘影响将更为突出。施工开挖、车辆运输等产生的粉尘短期内将使局部</w:t>
            </w:r>
            <w:r>
              <w:rPr>
                <w:spacing w:val="-4"/>
              </w:rPr>
              <w:t>区域内空气中的</w:t>
            </w:r>
            <w:r>
              <w:rPr>
                <w:spacing w:val="-51"/>
              </w:rPr>
              <w:t xml:space="preserve"> </w:t>
            </w:r>
            <w:r>
              <w:rPr>
                <w:rFonts w:ascii="Times New Roman" w:hAnsi="Times New Roman" w:eastAsia="Times New Roman" w:cs="Times New Roman"/>
                <w:spacing w:val="-4"/>
              </w:rPr>
              <w:t>TSP</w:t>
            </w:r>
            <w:r>
              <w:rPr>
                <w:rFonts w:ascii="Times New Roman" w:hAnsi="Times New Roman" w:eastAsia="Times New Roman" w:cs="Times New Roman"/>
                <w:spacing w:val="30"/>
                <w:w w:val="101"/>
              </w:rPr>
              <w:t xml:space="preserve"> </w:t>
            </w:r>
            <w:r>
              <w:rPr>
                <w:spacing w:val="-4"/>
              </w:rPr>
              <w:t>明显增加。</w:t>
            </w:r>
          </w:p>
          <w:p w14:paraId="4D2FA63A">
            <w:pPr>
              <w:pStyle w:val="9"/>
              <w:spacing w:before="1" w:line="218" w:lineRule="auto"/>
              <w:jc w:val="right"/>
            </w:pPr>
            <w:r>
              <w:rPr>
                <w:spacing w:val="-9"/>
              </w:rPr>
              <w:t>由于建筑粉尘沉降较快，只要采取一定的覆盖、洒水等降尘措施，进行文明施工，</w:t>
            </w:r>
          </w:p>
        </w:tc>
      </w:tr>
    </w:tbl>
    <w:p w14:paraId="313C840D">
      <w:pPr>
        <w:pStyle w:val="3"/>
      </w:pPr>
    </w:p>
    <w:p w14:paraId="332564EA">
      <w:pPr>
        <w:sectPr>
          <w:footerReference r:id="rId56" w:type="default"/>
          <w:pgSz w:w="11906" w:h="16838"/>
          <w:pgMar w:top="1431" w:right="1151" w:bottom="1295" w:left="1150" w:header="0" w:footer="1133" w:gutter="0"/>
          <w:cols w:space="720" w:num="1"/>
        </w:sectPr>
      </w:pPr>
    </w:p>
    <w:tbl>
      <w:tblPr>
        <w:tblStyle w:val="8"/>
        <w:tblW w:w="9589"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99"/>
        <w:gridCol w:w="244"/>
        <w:gridCol w:w="1054"/>
        <w:gridCol w:w="1586"/>
        <w:gridCol w:w="656"/>
        <w:gridCol w:w="671"/>
        <w:gridCol w:w="679"/>
        <w:gridCol w:w="717"/>
        <w:gridCol w:w="741"/>
        <w:gridCol w:w="792"/>
        <w:gridCol w:w="800"/>
        <w:gridCol w:w="795"/>
        <w:gridCol w:w="255"/>
      </w:tblGrid>
      <w:tr w14:paraId="3B2501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73" w:hRule="atLeast"/>
        </w:trPr>
        <w:tc>
          <w:tcPr>
            <w:tcW w:w="599" w:type="dxa"/>
            <w:vMerge w:val="restart"/>
            <w:tcBorders>
              <w:top w:val="single" w:color="000000" w:sz="6" w:space="0"/>
              <w:left w:val="single" w:color="000000" w:sz="6" w:space="0"/>
              <w:bottom w:val="nil"/>
            </w:tcBorders>
            <w:vAlign w:val="top"/>
          </w:tcPr>
          <w:p w14:paraId="73BAB3D4">
            <w:pPr>
              <w:rPr>
                <w:rFonts w:ascii="Arial"/>
                <w:sz w:val="21"/>
              </w:rPr>
            </w:pPr>
          </w:p>
        </w:tc>
        <w:tc>
          <w:tcPr>
            <w:tcW w:w="8990" w:type="dxa"/>
            <w:gridSpan w:val="12"/>
            <w:tcBorders>
              <w:top w:val="single" w:color="000000" w:sz="6" w:space="0"/>
              <w:right w:val="single" w:color="000000" w:sz="6" w:space="0"/>
            </w:tcBorders>
            <w:vAlign w:val="top"/>
          </w:tcPr>
          <w:p w14:paraId="1DB56B52">
            <w:pPr>
              <w:pStyle w:val="9"/>
              <w:spacing w:before="167" w:line="219" w:lineRule="auto"/>
              <w:ind w:left="108"/>
            </w:pPr>
            <w:r>
              <w:t>本工程实施的施工扬尘影响较小。随着施工期的结束</w:t>
            </w:r>
            <w:r>
              <w:rPr>
                <w:spacing w:val="-1"/>
              </w:rPr>
              <w:t>，其对环境的影响已消失。</w:t>
            </w:r>
          </w:p>
          <w:p w14:paraId="19C7A9AC">
            <w:pPr>
              <w:pStyle w:val="9"/>
              <w:spacing w:before="176" w:line="220" w:lineRule="auto"/>
              <w:ind w:left="599"/>
            </w:pPr>
            <w:r>
              <w:rPr>
                <w:spacing w:val="-3"/>
              </w:rPr>
              <w:t>（</w:t>
            </w:r>
            <w:r>
              <w:rPr>
                <w:rFonts w:ascii="Times New Roman" w:hAnsi="Times New Roman" w:eastAsia="Times New Roman" w:cs="Times New Roman"/>
                <w:spacing w:val="-3"/>
              </w:rPr>
              <w:t>3</w:t>
            </w:r>
            <w:r>
              <w:rPr>
                <w:spacing w:val="-3"/>
              </w:rPr>
              <w:t>）燃油废气</w:t>
            </w:r>
          </w:p>
          <w:p w14:paraId="758948F0">
            <w:pPr>
              <w:pStyle w:val="9"/>
              <w:spacing w:before="171" w:line="354" w:lineRule="auto"/>
              <w:ind w:left="107" w:right="102" w:firstLine="479"/>
            </w:pPr>
            <w:r>
              <w:rPr>
                <w:spacing w:val="-3"/>
              </w:rPr>
              <w:t>施工期配备挖掘机、起重机、自卸汽车等设备大多以柴油作为燃料</w:t>
            </w:r>
            <w:r>
              <w:rPr>
                <w:spacing w:val="-4"/>
              </w:rPr>
              <w:t>，各设备在运</w:t>
            </w:r>
            <w:r>
              <w:rPr>
                <w:spacing w:val="-3"/>
              </w:rPr>
              <w:t>行过程中会产生燃油废气，排放的主要污染物为</w:t>
            </w:r>
            <w:r>
              <w:rPr>
                <w:spacing w:val="-44"/>
              </w:rPr>
              <w:t xml:space="preserve"> </w:t>
            </w:r>
            <w:r>
              <w:rPr>
                <w:rFonts w:ascii="Times New Roman" w:hAnsi="Times New Roman" w:eastAsia="Times New Roman" w:cs="Times New Roman"/>
                <w:spacing w:val="-3"/>
              </w:rPr>
              <w:t>SO</w:t>
            </w:r>
            <w:r>
              <w:rPr>
                <w:rFonts w:ascii="Times New Roman" w:hAnsi="Times New Roman" w:eastAsia="Times New Roman" w:cs="Times New Roman"/>
                <w:spacing w:val="-3"/>
                <w:position w:val="-1"/>
                <w:sz w:val="15"/>
                <w:szCs w:val="15"/>
              </w:rPr>
              <w:t>2</w:t>
            </w:r>
            <w:r>
              <w:rPr>
                <w:spacing w:val="-3"/>
              </w:rPr>
              <w:t>、</w:t>
            </w:r>
            <w:r>
              <w:rPr>
                <w:rFonts w:ascii="Times New Roman" w:hAnsi="Times New Roman" w:eastAsia="Times New Roman" w:cs="Times New Roman"/>
                <w:spacing w:val="-3"/>
              </w:rPr>
              <w:t>NO</w:t>
            </w:r>
            <w:r>
              <w:rPr>
                <w:rFonts w:ascii="Times New Roman" w:hAnsi="Times New Roman" w:eastAsia="Times New Roman" w:cs="Times New Roman"/>
                <w:spacing w:val="-3"/>
                <w:position w:val="-1"/>
                <w:sz w:val="15"/>
                <w:szCs w:val="15"/>
              </w:rPr>
              <w:t>2</w:t>
            </w:r>
            <w:r>
              <w:rPr>
                <w:spacing w:val="-3"/>
              </w:rPr>
              <w:t>、</w:t>
            </w:r>
            <w:r>
              <w:rPr>
                <w:rFonts w:ascii="Times New Roman" w:hAnsi="Times New Roman" w:eastAsia="Times New Roman" w:cs="Times New Roman"/>
                <w:spacing w:val="-3"/>
              </w:rPr>
              <w:t>CO</w:t>
            </w:r>
            <w:r>
              <w:rPr>
                <w:spacing w:val="-3"/>
              </w:rPr>
              <w:t>、烟尘等，</w:t>
            </w:r>
            <w:r>
              <w:rPr>
                <w:spacing w:val="-4"/>
              </w:rPr>
              <w:t>其产生量较小。</w:t>
            </w:r>
          </w:p>
          <w:p w14:paraId="64759D90">
            <w:pPr>
              <w:pStyle w:val="9"/>
              <w:spacing w:line="219" w:lineRule="auto"/>
              <w:ind w:left="583"/>
              <w:outlineLvl w:val="2"/>
            </w:pPr>
            <w:r>
              <w:rPr>
                <w:rFonts w:ascii="Times New Roman" w:hAnsi="Times New Roman" w:eastAsia="Times New Roman" w:cs="Times New Roman"/>
                <w:b/>
                <w:bCs/>
                <w:spacing w:val="-2"/>
              </w:rPr>
              <w:t xml:space="preserve">2  </w:t>
            </w:r>
            <w:r>
              <w:rPr>
                <w:b/>
                <w:bCs/>
                <w:spacing w:val="-2"/>
              </w:rPr>
              <w:t>水环境影响分析</w:t>
            </w:r>
          </w:p>
          <w:p w14:paraId="4C91625C">
            <w:pPr>
              <w:pStyle w:val="9"/>
              <w:spacing w:before="175" w:line="219" w:lineRule="auto"/>
              <w:ind w:left="586"/>
            </w:pPr>
            <w:r>
              <w:t>施工期的废水主要包括建筑施工人员的生活污水</w:t>
            </w:r>
            <w:r>
              <w:rPr>
                <w:spacing w:val="-1"/>
              </w:rPr>
              <w:t>和施工机械冲洗废水。</w:t>
            </w:r>
          </w:p>
          <w:p w14:paraId="3287ED7F">
            <w:pPr>
              <w:pStyle w:val="9"/>
              <w:spacing w:before="173" w:line="354" w:lineRule="auto"/>
              <w:ind w:left="109" w:right="41" w:firstLine="478"/>
            </w:pPr>
            <w:r>
              <w:rPr>
                <w:spacing w:val="-5"/>
              </w:rPr>
              <w:t>根据《行业用水定额》（</w:t>
            </w:r>
            <w:r>
              <w:rPr>
                <w:rFonts w:ascii="Times New Roman" w:hAnsi="Times New Roman" w:eastAsia="Times New Roman" w:cs="Times New Roman"/>
                <w:spacing w:val="-5"/>
              </w:rPr>
              <w:t xml:space="preserve">2025 </w:t>
            </w:r>
            <w:r>
              <w:rPr>
                <w:spacing w:val="-5"/>
              </w:rPr>
              <w:t>版</w:t>
            </w:r>
            <w:r>
              <w:t>），</w:t>
            </w:r>
            <w:r>
              <w:rPr>
                <w:spacing w:val="-5"/>
              </w:rPr>
              <w:t>施工期施工人员的生活用水按</w:t>
            </w:r>
            <w:r>
              <w:rPr>
                <w:spacing w:val="-49"/>
              </w:rPr>
              <w:t xml:space="preserve"> </w:t>
            </w:r>
            <w:r>
              <w:rPr>
                <w:rFonts w:ascii="Times New Roman" w:hAnsi="Times New Roman" w:eastAsia="Times New Roman" w:cs="Times New Roman"/>
                <w:spacing w:val="-5"/>
              </w:rPr>
              <w:t>60L/d</w:t>
            </w:r>
            <w:r>
              <w:rPr>
                <w:rFonts w:ascii="Times New Roman" w:hAnsi="Times New Roman" w:eastAsia="Times New Roman" w:cs="Times New Roman"/>
                <w:spacing w:val="34"/>
              </w:rPr>
              <w:t xml:space="preserve"> </w:t>
            </w:r>
            <w:r>
              <w:rPr>
                <w:spacing w:val="-5"/>
              </w:rPr>
              <w:t>·人计</w:t>
            </w:r>
            <w:r>
              <w:rPr>
                <w:spacing w:val="1"/>
              </w:rPr>
              <w:t>算，本项目施工人员按</w:t>
            </w:r>
            <w:r>
              <w:rPr>
                <w:spacing w:val="-46"/>
              </w:rPr>
              <w:t xml:space="preserve"> </w:t>
            </w:r>
            <w:r>
              <w:rPr>
                <w:rFonts w:ascii="Times New Roman" w:hAnsi="Times New Roman" w:eastAsia="Times New Roman" w:cs="Times New Roman"/>
                <w:spacing w:val="1"/>
              </w:rPr>
              <w:t>50</w:t>
            </w:r>
            <w:r>
              <w:rPr>
                <w:rFonts w:ascii="Times New Roman" w:hAnsi="Times New Roman" w:eastAsia="Times New Roman" w:cs="Times New Roman"/>
                <w:spacing w:val="16"/>
                <w:w w:val="101"/>
              </w:rPr>
              <w:t xml:space="preserve"> </w:t>
            </w:r>
            <w:r>
              <w:rPr>
                <w:spacing w:val="1"/>
              </w:rPr>
              <w:t>人计，则生活用水总量</w:t>
            </w:r>
            <w:r>
              <w:t>约为</w:t>
            </w:r>
            <w:r>
              <w:rPr>
                <w:spacing w:val="-48"/>
              </w:rPr>
              <w:t xml:space="preserve"> </w:t>
            </w:r>
            <w:r>
              <w:rPr>
                <w:rFonts w:ascii="Times New Roman" w:hAnsi="Times New Roman" w:eastAsia="Times New Roman" w:cs="Times New Roman"/>
              </w:rPr>
              <w:t>3m</w:t>
            </w:r>
            <w:r>
              <w:rPr>
                <w:rFonts w:ascii="Times New Roman" w:hAnsi="Times New Roman" w:eastAsia="Times New Roman" w:cs="Times New Roman"/>
                <w:position w:val="7"/>
                <w:sz w:val="15"/>
                <w:szCs w:val="15"/>
              </w:rPr>
              <w:t>3</w:t>
            </w:r>
            <w:r>
              <w:rPr>
                <w:rFonts w:ascii="Times New Roman" w:hAnsi="Times New Roman" w:eastAsia="Times New Roman" w:cs="Times New Roman"/>
              </w:rPr>
              <w:t>/d</w:t>
            </w:r>
            <w:r>
              <w:rPr>
                <w:rFonts w:ascii="Times New Roman" w:hAnsi="Times New Roman" w:eastAsia="Times New Roman" w:cs="Times New Roman"/>
                <w:spacing w:val="-27"/>
              </w:rPr>
              <w:t xml:space="preserve"> </w:t>
            </w:r>
            <w:r>
              <w:t>，则本项目施工期用水</w:t>
            </w:r>
            <w:r>
              <w:rPr>
                <w:spacing w:val="-6"/>
              </w:rPr>
              <w:t>总量</w:t>
            </w:r>
            <w:r>
              <w:rPr>
                <w:spacing w:val="-56"/>
              </w:rPr>
              <w:t xml:space="preserve"> </w:t>
            </w:r>
            <w:r>
              <w:rPr>
                <w:rFonts w:ascii="Times New Roman" w:hAnsi="Times New Roman" w:eastAsia="Times New Roman" w:cs="Times New Roman"/>
                <w:spacing w:val="-6"/>
              </w:rPr>
              <w:t>405m</w:t>
            </w:r>
            <w:r>
              <w:rPr>
                <w:rFonts w:ascii="Times New Roman" w:hAnsi="Times New Roman" w:eastAsia="Times New Roman" w:cs="Times New Roman"/>
                <w:spacing w:val="-6"/>
                <w:position w:val="8"/>
                <w:sz w:val="15"/>
                <w:szCs w:val="15"/>
              </w:rPr>
              <w:t>3</w:t>
            </w:r>
            <w:r>
              <w:rPr>
                <w:rFonts w:ascii="Times New Roman" w:hAnsi="Times New Roman" w:eastAsia="Times New Roman" w:cs="Times New Roman"/>
                <w:spacing w:val="-6"/>
              </w:rPr>
              <w:t>/a</w:t>
            </w:r>
            <w:r>
              <w:rPr>
                <w:spacing w:val="-6"/>
              </w:rPr>
              <w:t>，排放系数为</w:t>
            </w:r>
            <w:r>
              <w:rPr>
                <w:spacing w:val="-52"/>
              </w:rPr>
              <w:t xml:space="preserve"> </w:t>
            </w:r>
            <w:r>
              <w:rPr>
                <w:rFonts w:ascii="Times New Roman" w:hAnsi="Times New Roman" w:eastAsia="Times New Roman" w:cs="Times New Roman"/>
                <w:spacing w:val="-6"/>
              </w:rPr>
              <w:t xml:space="preserve">0.8 </w:t>
            </w:r>
            <w:r>
              <w:rPr>
                <w:spacing w:val="-6"/>
              </w:rPr>
              <w:t>计，则场区生活污水排放总量为</w:t>
            </w:r>
            <w:r>
              <w:rPr>
                <w:spacing w:val="-50"/>
              </w:rPr>
              <w:t xml:space="preserve"> </w:t>
            </w:r>
            <w:r>
              <w:rPr>
                <w:rFonts w:ascii="Times New Roman" w:hAnsi="Times New Roman" w:eastAsia="Times New Roman" w:cs="Times New Roman"/>
                <w:spacing w:val="-6"/>
              </w:rPr>
              <w:t>324m</w:t>
            </w:r>
            <w:r>
              <w:rPr>
                <w:rFonts w:ascii="Times New Roman" w:hAnsi="Times New Roman" w:eastAsia="Times New Roman" w:cs="Times New Roman"/>
                <w:spacing w:val="-6"/>
                <w:position w:val="8"/>
                <w:sz w:val="15"/>
                <w:szCs w:val="15"/>
              </w:rPr>
              <w:t>3</w:t>
            </w:r>
            <w:r>
              <w:rPr>
                <w:rFonts w:ascii="Times New Roman" w:hAnsi="Times New Roman" w:eastAsia="Times New Roman" w:cs="Times New Roman"/>
                <w:spacing w:val="-6"/>
              </w:rPr>
              <w:t>/a</w:t>
            </w:r>
            <w:r>
              <w:rPr>
                <w:spacing w:val="-6"/>
              </w:rPr>
              <w:t>，经类比调</w:t>
            </w:r>
            <w:r>
              <w:rPr>
                <w:spacing w:val="-7"/>
              </w:rPr>
              <w:t>查，</w:t>
            </w:r>
            <w:r>
              <w:rPr>
                <w:spacing w:val="-3"/>
              </w:rPr>
              <w:t>主要污染物浓度为</w:t>
            </w:r>
            <w:r>
              <w:rPr>
                <w:spacing w:val="-51"/>
              </w:rPr>
              <w:t xml:space="preserve"> </w:t>
            </w:r>
            <w:r>
              <w:rPr>
                <w:rFonts w:ascii="Times New Roman" w:hAnsi="Times New Roman" w:eastAsia="Times New Roman" w:cs="Times New Roman"/>
                <w:spacing w:val="-3"/>
              </w:rPr>
              <w:t>COD 350mg/L</w:t>
            </w:r>
            <w:r>
              <w:rPr>
                <w:rFonts w:ascii="Times New Roman" w:hAnsi="Times New Roman" w:eastAsia="Times New Roman" w:cs="Times New Roman"/>
                <w:spacing w:val="-31"/>
              </w:rPr>
              <w:t xml:space="preserve"> </w:t>
            </w:r>
            <w:r>
              <w:rPr>
                <w:spacing w:val="-3"/>
              </w:rPr>
              <w:t>、</w:t>
            </w:r>
            <w:r>
              <w:rPr>
                <w:rFonts w:ascii="Times New Roman" w:hAnsi="Times New Roman" w:eastAsia="Times New Roman" w:cs="Times New Roman"/>
                <w:spacing w:val="-3"/>
              </w:rPr>
              <w:t>BOD 200</w:t>
            </w:r>
            <w:r>
              <w:rPr>
                <w:rFonts w:ascii="Times New Roman" w:hAnsi="Times New Roman" w:eastAsia="Times New Roman" w:cs="Times New Roman"/>
                <w:spacing w:val="-4"/>
              </w:rPr>
              <w:t>mg/L</w:t>
            </w:r>
            <w:r>
              <w:rPr>
                <w:rFonts w:ascii="Times New Roman" w:hAnsi="Times New Roman" w:eastAsia="Times New Roman" w:cs="Times New Roman"/>
                <w:spacing w:val="-34"/>
              </w:rPr>
              <w:t xml:space="preserve"> </w:t>
            </w:r>
            <w:r>
              <w:rPr>
                <w:spacing w:val="-4"/>
              </w:rPr>
              <w:t>、</w:t>
            </w:r>
            <w:r>
              <w:rPr>
                <w:rFonts w:ascii="Times New Roman" w:hAnsi="Times New Roman" w:eastAsia="Times New Roman" w:cs="Times New Roman"/>
                <w:spacing w:val="-4"/>
              </w:rPr>
              <w:t>SS 220mg/L</w:t>
            </w:r>
            <w:r>
              <w:rPr>
                <w:rFonts w:ascii="Times New Roman" w:hAnsi="Times New Roman" w:eastAsia="Times New Roman" w:cs="Times New Roman"/>
                <w:spacing w:val="-32"/>
              </w:rPr>
              <w:t xml:space="preserve"> </w:t>
            </w:r>
            <w:r>
              <w:rPr>
                <w:spacing w:val="-4"/>
              </w:rPr>
              <w:t>、氨氮</w:t>
            </w:r>
            <w:r>
              <w:rPr>
                <w:spacing w:val="-50"/>
              </w:rPr>
              <w:t xml:space="preserve"> </w:t>
            </w:r>
            <w:r>
              <w:rPr>
                <w:rFonts w:ascii="Times New Roman" w:hAnsi="Times New Roman" w:eastAsia="Times New Roman" w:cs="Times New Roman"/>
                <w:spacing w:val="-4"/>
              </w:rPr>
              <w:t>30mg/L</w:t>
            </w:r>
            <w:r>
              <w:rPr>
                <w:rFonts w:ascii="Times New Roman" w:hAnsi="Times New Roman" w:eastAsia="Times New Roman" w:cs="Times New Roman"/>
                <w:spacing w:val="-27"/>
              </w:rPr>
              <w:t xml:space="preserve"> </w:t>
            </w:r>
            <w:r>
              <w:rPr>
                <w:spacing w:val="-4"/>
              </w:rPr>
              <w:t>。生活</w:t>
            </w:r>
            <w:r>
              <w:rPr>
                <w:spacing w:val="3"/>
              </w:rPr>
              <w:t>污水经施工营地内的临时化粪池处理后，定期拉运至霍林郭勒市污水处理厂进行处</w:t>
            </w:r>
            <w:r>
              <w:t>理。施工机械冲洗产生的废水由移动式处理设施处理</w:t>
            </w:r>
            <w:r>
              <w:rPr>
                <w:spacing w:val="-1"/>
              </w:rPr>
              <w:t>后用于施工场地抑尘、绿化。</w:t>
            </w:r>
          </w:p>
          <w:p w14:paraId="6581037A">
            <w:pPr>
              <w:pStyle w:val="9"/>
              <w:spacing w:before="2" w:line="220" w:lineRule="auto"/>
              <w:ind w:left="582"/>
              <w:outlineLvl w:val="2"/>
            </w:pPr>
            <w:r>
              <w:rPr>
                <w:rFonts w:ascii="Times New Roman" w:hAnsi="Times New Roman" w:eastAsia="Times New Roman" w:cs="Times New Roman"/>
                <w:b/>
                <w:bCs/>
                <w:spacing w:val="-2"/>
              </w:rPr>
              <w:t xml:space="preserve">3  </w:t>
            </w:r>
            <w:r>
              <w:rPr>
                <w:b/>
                <w:bCs/>
                <w:spacing w:val="-2"/>
              </w:rPr>
              <w:t>声环境影响分析</w:t>
            </w:r>
          </w:p>
          <w:p w14:paraId="6841D0F3">
            <w:pPr>
              <w:pStyle w:val="9"/>
              <w:spacing w:before="174" w:line="354" w:lineRule="auto"/>
              <w:ind w:left="107" w:right="102" w:firstLine="480"/>
            </w:pPr>
            <w:r>
              <w:rPr>
                <w:spacing w:val="-3"/>
              </w:rPr>
              <w:t>本项目施工主要包括站区基础、土建、结构及设备安装等几个</w:t>
            </w:r>
            <w:r>
              <w:rPr>
                <w:spacing w:val="-4"/>
              </w:rPr>
              <w:t>阶段，其施工工程</w:t>
            </w:r>
            <w:r>
              <w:t>量及施工时间相对较小。噪声源主要包括工</w:t>
            </w:r>
            <w:r>
              <w:rPr>
                <w:spacing w:val="-1"/>
              </w:rPr>
              <w:t>地运输车辆的交通噪声。</w:t>
            </w:r>
          </w:p>
          <w:p w14:paraId="7A9C5144">
            <w:pPr>
              <w:pStyle w:val="9"/>
              <w:spacing w:before="3" w:line="353" w:lineRule="auto"/>
              <w:ind w:left="111" w:right="102" w:firstLine="475"/>
              <w:jc w:val="both"/>
            </w:pPr>
            <w:r>
              <w:rPr>
                <w:spacing w:val="-3"/>
              </w:rPr>
              <w:t>施工机械设备一般露天作业，噪声经几何扩散衰减后到达预测点。</w:t>
            </w:r>
            <w:r>
              <w:rPr>
                <w:spacing w:val="-4"/>
              </w:rPr>
              <w:t>主要施工设备</w:t>
            </w:r>
            <w:r>
              <w:rPr>
                <w:spacing w:val="-3"/>
              </w:rPr>
              <w:t>与施工场界、周边敏感点之间的距离一般都大于</w:t>
            </w:r>
            <w:r>
              <w:rPr>
                <w:spacing w:val="-43"/>
              </w:rPr>
              <w:t xml:space="preserve"> </w:t>
            </w:r>
            <w:r>
              <w:rPr>
                <w:rFonts w:ascii="Times New Roman" w:hAnsi="Times New Roman" w:eastAsia="Times New Roman" w:cs="Times New Roman"/>
                <w:spacing w:val="-3"/>
              </w:rPr>
              <w:t>2Hmax</w:t>
            </w:r>
            <w:r>
              <w:rPr>
                <w:spacing w:val="-3"/>
              </w:rPr>
              <w:t>（</w:t>
            </w:r>
            <w:r>
              <w:rPr>
                <w:rFonts w:ascii="Times New Roman" w:hAnsi="Times New Roman" w:eastAsia="Times New Roman" w:cs="Times New Roman"/>
                <w:spacing w:val="-3"/>
              </w:rPr>
              <w:t>Hmax</w:t>
            </w:r>
            <w:r>
              <w:rPr>
                <w:rFonts w:ascii="Times New Roman" w:hAnsi="Times New Roman" w:eastAsia="Times New Roman" w:cs="Times New Roman"/>
                <w:spacing w:val="14"/>
              </w:rPr>
              <w:t xml:space="preserve"> </w:t>
            </w:r>
            <w:r>
              <w:rPr>
                <w:spacing w:val="-3"/>
              </w:rPr>
              <w:t>为声源的最大几何尺</w:t>
            </w:r>
            <w:r>
              <w:rPr>
                <w:spacing w:val="-1"/>
              </w:rPr>
              <w:t>寸）。因此，升压站工程施工期的各类设备可等效为点声源。</w:t>
            </w:r>
          </w:p>
          <w:p w14:paraId="768BEBD0">
            <w:pPr>
              <w:pStyle w:val="9"/>
              <w:spacing w:before="2" w:line="344" w:lineRule="auto"/>
              <w:ind w:left="108" w:right="102" w:firstLine="479"/>
              <w:rPr>
                <w:rFonts w:ascii="Times New Roman" w:hAnsi="Times New Roman" w:eastAsia="Times New Roman" w:cs="Times New Roman"/>
              </w:rPr>
            </w:pPr>
            <w:r>
              <w:rPr>
                <w:spacing w:val="2"/>
              </w:rPr>
              <w:t>根据点声源噪声衰减模式，可估算其施工期间离噪声源不同距离处的噪声值</w:t>
            </w:r>
            <w:r>
              <w:rPr>
                <w:rFonts w:ascii="Times New Roman" w:hAnsi="Times New Roman" w:eastAsia="Times New Roman" w:cs="Times New Roman"/>
                <w:spacing w:val="1"/>
              </w:rPr>
              <w:t>.</w:t>
            </w:r>
            <w:r>
              <w:rPr>
                <w:spacing w:val="1"/>
              </w:rPr>
              <w:t>预</w:t>
            </w:r>
            <w:r>
              <w:rPr>
                <w:spacing w:val="-2"/>
              </w:rPr>
              <w:t>测模式如下</w:t>
            </w:r>
            <w:r>
              <w:rPr>
                <w:rFonts w:ascii="Times New Roman" w:hAnsi="Times New Roman" w:eastAsia="Times New Roman" w:cs="Times New Roman"/>
                <w:spacing w:val="-2"/>
              </w:rPr>
              <w:t>:</w:t>
            </w:r>
          </w:p>
          <w:p w14:paraId="7291584B">
            <w:pPr>
              <w:spacing w:line="583" w:lineRule="exact"/>
              <w:ind w:left="2792"/>
            </w:pPr>
            <w:r>
              <w:rPr>
                <w:position w:val="-12"/>
              </w:rPr>
              <w:drawing>
                <wp:inline distT="0" distB="0" distL="0" distR="0">
                  <wp:extent cx="2462530" cy="370205"/>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251"/>
                          <a:stretch>
                            <a:fillRect/>
                          </a:stretch>
                        </pic:blipFill>
                        <pic:spPr>
                          <a:xfrm>
                            <a:off x="0" y="0"/>
                            <a:ext cx="2462886" cy="370229"/>
                          </a:xfrm>
                          <a:prstGeom prst="rect">
                            <a:avLst/>
                          </a:prstGeom>
                        </pic:spPr>
                      </pic:pic>
                    </a:graphicData>
                  </a:graphic>
                </wp:inline>
              </w:drawing>
            </w:r>
          </w:p>
          <w:p w14:paraId="74B07724">
            <w:pPr>
              <w:spacing w:line="276" w:lineRule="auto"/>
              <w:rPr>
                <w:rFonts w:ascii="Arial"/>
                <w:sz w:val="21"/>
              </w:rPr>
            </w:pPr>
          </w:p>
          <w:p w14:paraId="7936B6DB">
            <w:pPr>
              <w:pStyle w:val="9"/>
              <w:spacing w:before="79" w:line="219" w:lineRule="auto"/>
              <w:ind w:left="592"/>
            </w:pPr>
            <w:r>
              <w:rPr>
                <w:spacing w:val="-1"/>
              </w:rPr>
              <w:t>式中：</w:t>
            </w:r>
            <w:r>
              <w:rPr>
                <w:rFonts w:ascii="Times New Roman" w:hAnsi="Times New Roman" w:eastAsia="Times New Roman" w:cs="Times New Roman"/>
                <w:spacing w:val="-1"/>
              </w:rPr>
              <w:t>L</w:t>
            </w:r>
            <w:r>
              <w:rPr>
                <w:rFonts w:ascii="Times New Roman" w:hAnsi="Times New Roman" w:eastAsia="Times New Roman" w:cs="Times New Roman"/>
                <w:spacing w:val="-1"/>
                <w:position w:val="-1"/>
                <w:sz w:val="15"/>
                <w:szCs w:val="15"/>
              </w:rPr>
              <w:t>A</w:t>
            </w:r>
            <w:r>
              <w:rPr>
                <w:spacing w:val="-1"/>
              </w:rPr>
              <w:t>（</w:t>
            </w:r>
            <w:r>
              <w:rPr>
                <w:rFonts w:ascii="Times New Roman" w:hAnsi="Times New Roman" w:eastAsia="Times New Roman" w:cs="Times New Roman"/>
                <w:spacing w:val="-1"/>
              </w:rPr>
              <w:t>r</w:t>
            </w:r>
            <w:r>
              <w:rPr>
                <w:spacing w:val="-1"/>
              </w:rPr>
              <w:t>）</w:t>
            </w:r>
            <w:r>
              <w:rPr>
                <w:rFonts w:ascii="Times New Roman" w:hAnsi="Times New Roman" w:eastAsia="Times New Roman" w:cs="Times New Roman"/>
                <w:spacing w:val="-1"/>
              </w:rPr>
              <w:t>——</w:t>
            </w:r>
            <w:r>
              <w:rPr>
                <w:spacing w:val="-1"/>
              </w:rPr>
              <w:t>预测点的噪声值；</w:t>
            </w:r>
          </w:p>
          <w:p w14:paraId="70636604">
            <w:pPr>
              <w:pStyle w:val="9"/>
              <w:spacing w:before="174" w:line="219" w:lineRule="auto"/>
              <w:ind w:left="1303"/>
            </w:pPr>
            <w:r>
              <w:rPr>
                <w:rFonts w:ascii="Times New Roman" w:hAnsi="Times New Roman" w:eastAsia="Times New Roman" w:cs="Times New Roman"/>
                <w:spacing w:val="-1"/>
              </w:rPr>
              <w:t>L</w:t>
            </w:r>
            <w:r>
              <w:rPr>
                <w:rFonts w:ascii="Times New Roman" w:hAnsi="Times New Roman" w:eastAsia="Times New Roman" w:cs="Times New Roman"/>
                <w:spacing w:val="-1"/>
                <w:position w:val="-1"/>
                <w:sz w:val="15"/>
                <w:szCs w:val="15"/>
              </w:rPr>
              <w:t>A</w:t>
            </w:r>
            <w:r>
              <w:t>（</w:t>
            </w:r>
            <w:r>
              <w:rPr>
                <w:rFonts w:ascii="Times New Roman" w:hAnsi="Times New Roman" w:eastAsia="Times New Roman" w:cs="Times New Roman"/>
              </w:rPr>
              <w:t>r</w:t>
            </w:r>
            <w:r>
              <w:rPr>
                <w:rFonts w:ascii="Times New Roman" w:hAnsi="Times New Roman" w:eastAsia="Times New Roman" w:cs="Times New Roman"/>
                <w:sz w:val="15"/>
                <w:szCs w:val="15"/>
              </w:rPr>
              <w:t>0</w:t>
            </w:r>
            <w:r>
              <w:t>）</w:t>
            </w:r>
            <w:r>
              <w:rPr>
                <w:rFonts w:ascii="Times New Roman" w:hAnsi="Times New Roman" w:eastAsia="Times New Roman" w:cs="Times New Roman"/>
              </w:rPr>
              <w:t>——</w:t>
            </w:r>
            <w:r>
              <w:t>参照点的噪声值；</w:t>
            </w:r>
          </w:p>
          <w:p w14:paraId="6981F8AF">
            <w:pPr>
              <w:pStyle w:val="9"/>
              <w:spacing w:before="175" w:line="216" w:lineRule="auto"/>
              <w:ind w:left="1299"/>
            </w:pPr>
            <w:r>
              <w:rPr>
                <w:rFonts w:ascii="Times New Roman" w:hAnsi="Times New Roman" w:eastAsia="Times New Roman" w:cs="Times New Roman"/>
                <w:spacing w:val="-1"/>
              </w:rPr>
              <w:t>r</w:t>
            </w:r>
            <w:r>
              <w:rPr>
                <w:spacing w:val="-1"/>
              </w:rPr>
              <w:t>、</w:t>
            </w:r>
            <w:r>
              <w:rPr>
                <w:rFonts w:ascii="Times New Roman" w:hAnsi="Times New Roman" w:eastAsia="Times New Roman" w:cs="Times New Roman"/>
                <w:spacing w:val="-1"/>
              </w:rPr>
              <w:t>r</w:t>
            </w:r>
            <w:r>
              <w:rPr>
                <w:rFonts w:ascii="Times New Roman" w:hAnsi="Times New Roman" w:eastAsia="Times New Roman" w:cs="Times New Roman"/>
                <w:spacing w:val="-20"/>
              </w:rPr>
              <w:t xml:space="preserve"> </w:t>
            </w:r>
            <w:r>
              <w:rPr>
                <w:spacing w:val="-1"/>
                <w:position w:val="-3"/>
                <w:sz w:val="12"/>
                <w:szCs w:val="12"/>
              </w:rPr>
              <w:t>0</w:t>
            </w:r>
            <w:r>
              <w:rPr>
                <w:spacing w:val="-22"/>
                <w:position w:val="-3"/>
                <w:sz w:val="12"/>
                <w:szCs w:val="12"/>
              </w:rPr>
              <w:t xml:space="preserve"> </w:t>
            </w:r>
            <w:r>
              <w:rPr>
                <w:rFonts w:ascii="Times New Roman" w:hAnsi="Times New Roman" w:eastAsia="Times New Roman" w:cs="Times New Roman"/>
                <w:spacing w:val="-1"/>
              </w:rPr>
              <w:t>——</w:t>
            </w:r>
            <w:r>
              <w:rPr>
                <w:spacing w:val="-1"/>
              </w:rPr>
              <w:t>预测点、参照点到噪声源处的距离。</w:t>
            </w:r>
          </w:p>
          <w:p w14:paraId="4D0808DB">
            <w:pPr>
              <w:pStyle w:val="9"/>
              <w:spacing w:before="181" w:line="219" w:lineRule="auto"/>
              <w:ind w:left="590"/>
            </w:pPr>
            <w:r>
              <w:rPr>
                <w:spacing w:val="-2"/>
              </w:rPr>
              <w:t>各主要施工设备在不同距离处的噪声值预测结果见表</w:t>
            </w:r>
            <w:r>
              <w:rPr>
                <w:spacing w:val="-48"/>
              </w:rPr>
              <w:t xml:space="preserve"> </w:t>
            </w:r>
            <w:r>
              <w:rPr>
                <w:rFonts w:ascii="Times New Roman" w:hAnsi="Times New Roman" w:eastAsia="Times New Roman" w:cs="Times New Roman"/>
                <w:spacing w:val="-2"/>
              </w:rPr>
              <w:t>4-</w:t>
            </w:r>
            <w:r>
              <w:rPr>
                <w:rFonts w:ascii="Times New Roman" w:hAnsi="Times New Roman" w:eastAsia="Times New Roman" w:cs="Times New Roman"/>
                <w:spacing w:val="-32"/>
              </w:rPr>
              <w:t xml:space="preserve"> </w:t>
            </w:r>
            <w:r>
              <w:rPr>
                <w:rFonts w:ascii="Times New Roman" w:hAnsi="Times New Roman" w:eastAsia="Times New Roman" w:cs="Times New Roman"/>
                <w:spacing w:val="-2"/>
              </w:rPr>
              <w:t>1</w:t>
            </w:r>
            <w:r>
              <w:rPr>
                <w:spacing w:val="-2"/>
              </w:rPr>
              <w:t>。</w:t>
            </w:r>
          </w:p>
          <w:p w14:paraId="7DB45F95">
            <w:pPr>
              <w:pStyle w:val="9"/>
              <w:spacing w:before="173" w:line="216" w:lineRule="auto"/>
              <w:ind w:left="941"/>
            </w:pPr>
            <w:r>
              <w:rPr>
                <w:b/>
                <w:bCs/>
                <w:spacing w:val="-1"/>
              </w:rPr>
              <w:t>表</w:t>
            </w:r>
            <w:r>
              <w:rPr>
                <w:spacing w:val="-54"/>
              </w:rPr>
              <w:t xml:space="preserve"> </w:t>
            </w:r>
            <w:r>
              <w:rPr>
                <w:rFonts w:ascii="Times New Roman" w:hAnsi="Times New Roman" w:eastAsia="Times New Roman" w:cs="Times New Roman"/>
                <w:b/>
                <w:bCs/>
                <w:spacing w:val="-1"/>
              </w:rPr>
              <w:t xml:space="preserve">4-1        </w:t>
            </w:r>
            <w:r>
              <w:rPr>
                <w:b/>
                <w:bCs/>
                <w:spacing w:val="-1"/>
              </w:rPr>
              <w:t>各类施工机械在不同距离处的噪声贡献值</w:t>
            </w:r>
            <w:r>
              <w:rPr>
                <w:spacing w:val="-2"/>
              </w:rPr>
              <w:t xml:space="preserve">    </w:t>
            </w:r>
            <w:r>
              <w:rPr>
                <w:b/>
                <w:bCs/>
                <w:spacing w:val="-2"/>
              </w:rPr>
              <w:t>单位：</w:t>
            </w:r>
            <w:r>
              <w:rPr>
                <w:rFonts w:ascii="Times New Roman" w:hAnsi="Times New Roman" w:eastAsia="Times New Roman" w:cs="Times New Roman"/>
                <w:b/>
                <w:bCs/>
                <w:spacing w:val="-2"/>
              </w:rPr>
              <w:t>dB</w:t>
            </w:r>
            <w:r>
              <w:rPr>
                <w:b/>
                <w:bCs/>
                <w:spacing w:val="-2"/>
              </w:rPr>
              <w:t>（</w:t>
            </w:r>
            <w:r>
              <w:rPr>
                <w:rFonts w:ascii="Times New Roman" w:hAnsi="Times New Roman" w:eastAsia="Times New Roman" w:cs="Times New Roman"/>
                <w:b/>
                <w:bCs/>
                <w:spacing w:val="-2"/>
              </w:rPr>
              <w:t>A</w:t>
            </w:r>
            <w:r>
              <w:rPr>
                <w:b/>
                <w:bCs/>
                <w:spacing w:val="-2"/>
              </w:rPr>
              <w:t>）</w:t>
            </w:r>
          </w:p>
        </w:tc>
      </w:tr>
      <w:tr w14:paraId="5F83A3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599" w:type="dxa"/>
            <w:vMerge w:val="continue"/>
            <w:tcBorders>
              <w:top w:val="nil"/>
              <w:left w:val="single" w:color="000000" w:sz="6" w:space="0"/>
              <w:bottom w:val="nil"/>
            </w:tcBorders>
            <w:vAlign w:val="top"/>
          </w:tcPr>
          <w:p w14:paraId="59C1EC67">
            <w:pPr>
              <w:rPr>
                <w:rFonts w:ascii="Arial"/>
                <w:sz w:val="21"/>
              </w:rPr>
            </w:pPr>
          </w:p>
        </w:tc>
        <w:tc>
          <w:tcPr>
            <w:tcW w:w="244" w:type="dxa"/>
            <w:vMerge w:val="restart"/>
            <w:tcBorders>
              <w:top w:val="nil"/>
              <w:bottom w:val="nil"/>
            </w:tcBorders>
            <w:vAlign w:val="top"/>
          </w:tcPr>
          <w:p w14:paraId="34F0788E">
            <w:pPr>
              <w:rPr>
                <w:rFonts w:ascii="Arial"/>
                <w:sz w:val="21"/>
              </w:rPr>
            </w:pPr>
          </w:p>
        </w:tc>
        <w:tc>
          <w:tcPr>
            <w:tcW w:w="1054" w:type="dxa"/>
            <w:vMerge w:val="restart"/>
            <w:tcBorders>
              <w:bottom w:val="nil"/>
            </w:tcBorders>
            <w:vAlign w:val="top"/>
          </w:tcPr>
          <w:p w14:paraId="675F08A1">
            <w:pPr>
              <w:pStyle w:val="9"/>
              <w:spacing w:before="116" w:line="252" w:lineRule="auto"/>
              <w:ind w:left="421" w:right="213" w:hanging="210"/>
              <w:rPr>
                <w:sz w:val="20"/>
                <w:szCs w:val="20"/>
              </w:rPr>
            </w:pPr>
            <w:r>
              <w:rPr>
                <w:b/>
                <w:bCs/>
                <w:spacing w:val="5"/>
                <w:sz w:val="20"/>
                <w:szCs w:val="20"/>
              </w:rPr>
              <w:t>施工阶</w:t>
            </w:r>
            <w:r>
              <w:rPr>
                <w:b/>
                <w:bCs/>
                <w:spacing w:val="-3"/>
                <w:sz w:val="20"/>
                <w:szCs w:val="20"/>
              </w:rPr>
              <w:t>段</w:t>
            </w:r>
          </w:p>
        </w:tc>
        <w:tc>
          <w:tcPr>
            <w:tcW w:w="1586" w:type="dxa"/>
            <w:vMerge w:val="restart"/>
            <w:tcBorders>
              <w:bottom w:val="nil"/>
            </w:tcBorders>
            <w:vAlign w:val="top"/>
          </w:tcPr>
          <w:p w14:paraId="6B7712EE">
            <w:pPr>
              <w:pStyle w:val="9"/>
              <w:spacing w:before="252" w:line="227" w:lineRule="auto"/>
              <w:ind w:left="374"/>
              <w:rPr>
                <w:sz w:val="20"/>
                <w:szCs w:val="20"/>
              </w:rPr>
            </w:pPr>
            <w:r>
              <w:rPr>
                <w:b/>
                <w:bCs/>
                <w:spacing w:val="6"/>
                <w:sz w:val="20"/>
                <w:szCs w:val="20"/>
              </w:rPr>
              <w:t>机械名称</w:t>
            </w:r>
          </w:p>
        </w:tc>
        <w:tc>
          <w:tcPr>
            <w:tcW w:w="5851" w:type="dxa"/>
            <w:gridSpan w:val="8"/>
            <w:vAlign w:val="top"/>
          </w:tcPr>
          <w:p w14:paraId="3685F495">
            <w:pPr>
              <w:pStyle w:val="9"/>
              <w:spacing w:before="112" w:line="227" w:lineRule="auto"/>
              <w:ind w:left="1224"/>
              <w:rPr>
                <w:sz w:val="20"/>
                <w:szCs w:val="20"/>
              </w:rPr>
            </w:pPr>
            <w:r>
              <w:rPr>
                <w:b/>
                <w:bCs/>
                <w:spacing w:val="8"/>
                <w:sz w:val="20"/>
                <w:szCs w:val="20"/>
              </w:rPr>
              <w:t>距机械在不同距离处的声压级（</w:t>
            </w:r>
            <w:r>
              <w:rPr>
                <w:rFonts w:ascii="Times New Roman" w:hAnsi="Times New Roman" w:eastAsia="Times New Roman" w:cs="Times New Roman"/>
                <w:b/>
                <w:bCs/>
                <w:sz w:val="20"/>
                <w:szCs w:val="20"/>
              </w:rPr>
              <w:t>dB</w:t>
            </w:r>
            <w:r>
              <w:rPr>
                <w:b/>
                <w:bCs/>
                <w:spacing w:val="8"/>
                <w:sz w:val="20"/>
                <w:szCs w:val="20"/>
              </w:rPr>
              <w:t>）</w:t>
            </w:r>
          </w:p>
        </w:tc>
        <w:tc>
          <w:tcPr>
            <w:tcW w:w="255" w:type="dxa"/>
            <w:vMerge w:val="restart"/>
            <w:tcBorders>
              <w:top w:val="nil"/>
              <w:bottom w:val="nil"/>
              <w:right w:val="single" w:color="000000" w:sz="6" w:space="0"/>
            </w:tcBorders>
            <w:vAlign w:val="top"/>
          </w:tcPr>
          <w:p w14:paraId="0C4AF1CF">
            <w:pPr>
              <w:rPr>
                <w:rFonts w:ascii="Arial"/>
                <w:sz w:val="21"/>
              </w:rPr>
            </w:pPr>
          </w:p>
        </w:tc>
      </w:tr>
      <w:tr w14:paraId="1D7518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599" w:type="dxa"/>
            <w:vMerge w:val="continue"/>
            <w:tcBorders>
              <w:top w:val="nil"/>
              <w:left w:val="single" w:color="000000" w:sz="6" w:space="0"/>
              <w:bottom w:val="single" w:color="000000" w:sz="6" w:space="0"/>
            </w:tcBorders>
            <w:vAlign w:val="top"/>
          </w:tcPr>
          <w:p w14:paraId="5E7943E2">
            <w:pPr>
              <w:rPr>
                <w:rFonts w:ascii="Arial"/>
                <w:sz w:val="21"/>
              </w:rPr>
            </w:pPr>
          </w:p>
        </w:tc>
        <w:tc>
          <w:tcPr>
            <w:tcW w:w="244" w:type="dxa"/>
            <w:vMerge w:val="continue"/>
            <w:tcBorders>
              <w:top w:val="nil"/>
              <w:bottom w:val="single" w:color="000000" w:sz="6" w:space="0"/>
            </w:tcBorders>
            <w:vAlign w:val="top"/>
          </w:tcPr>
          <w:p w14:paraId="07EFBABD">
            <w:pPr>
              <w:rPr>
                <w:rFonts w:ascii="Arial"/>
                <w:sz w:val="21"/>
              </w:rPr>
            </w:pPr>
          </w:p>
        </w:tc>
        <w:tc>
          <w:tcPr>
            <w:tcW w:w="1054" w:type="dxa"/>
            <w:vMerge w:val="continue"/>
            <w:tcBorders>
              <w:top w:val="nil"/>
              <w:bottom w:val="single" w:color="000000" w:sz="6" w:space="0"/>
            </w:tcBorders>
            <w:vAlign w:val="top"/>
          </w:tcPr>
          <w:p w14:paraId="7D33A9AB">
            <w:pPr>
              <w:rPr>
                <w:rFonts w:ascii="Arial"/>
                <w:sz w:val="21"/>
              </w:rPr>
            </w:pPr>
          </w:p>
        </w:tc>
        <w:tc>
          <w:tcPr>
            <w:tcW w:w="1586" w:type="dxa"/>
            <w:vMerge w:val="continue"/>
            <w:tcBorders>
              <w:top w:val="nil"/>
              <w:bottom w:val="single" w:color="000000" w:sz="6" w:space="0"/>
            </w:tcBorders>
            <w:vAlign w:val="top"/>
          </w:tcPr>
          <w:p w14:paraId="3B6B3891">
            <w:pPr>
              <w:rPr>
                <w:rFonts w:ascii="Arial"/>
                <w:sz w:val="21"/>
              </w:rPr>
            </w:pPr>
          </w:p>
        </w:tc>
        <w:tc>
          <w:tcPr>
            <w:tcW w:w="656" w:type="dxa"/>
            <w:tcBorders>
              <w:bottom w:val="single" w:color="000000" w:sz="6" w:space="0"/>
            </w:tcBorders>
            <w:vAlign w:val="top"/>
          </w:tcPr>
          <w:p w14:paraId="2AC5E541">
            <w:pPr>
              <w:spacing w:before="78" w:line="195" w:lineRule="auto"/>
              <w:ind w:left="199"/>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1m</w:t>
            </w:r>
          </w:p>
        </w:tc>
        <w:tc>
          <w:tcPr>
            <w:tcW w:w="671" w:type="dxa"/>
            <w:tcBorders>
              <w:bottom w:val="single" w:color="000000" w:sz="6" w:space="0"/>
            </w:tcBorders>
            <w:vAlign w:val="top"/>
          </w:tcPr>
          <w:p w14:paraId="33B4F7B5">
            <w:pPr>
              <w:spacing w:before="78" w:line="195" w:lineRule="auto"/>
              <w:ind w:left="155"/>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10m</w:t>
            </w:r>
          </w:p>
        </w:tc>
        <w:tc>
          <w:tcPr>
            <w:tcW w:w="679" w:type="dxa"/>
            <w:tcBorders>
              <w:bottom w:val="single" w:color="000000" w:sz="6" w:space="0"/>
            </w:tcBorders>
            <w:vAlign w:val="top"/>
          </w:tcPr>
          <w:p w14:paraId="5163DFD7">
            <w:pPr>
              <w:spacing w:before="78" w:line="195" w:lineRule="auto"/>
              <w:ind w:left="149"/>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20m</w:t>
            </w:r>
          </w:p>
        </w:tc>
        <w:tc>
          <w:tcPr>
            <w:tcW w:w="717" w:type="dxa"/>
            <w:tcBorders>
              <w:bottom w:val="single" w:color="000000" w:sz="6" w:space="0"/>
            </w:tcBorders>
            <w:vAlign w:val="top"/>
          </w:tcPr>
          <w:p w14:paraId="49CBEA46">
            <w:pPr>
              <w:spacing w:before="78" w:line="195" w:lineRule="auto"/>
              <w:ind w:left="169"/>
              <w:rPr>
                <w:rFonts w:ascii="Times New Roman" w:hAnsi="Times New Roman" w:eastAsia="Times New Roman" w:cs="Times New Roman"/>
                <w:sz w:val="20"/>
                <w:szCs w:val="20"/>
              </w:rPr>
            </w:pPr>
            <w:r>
              <w:rPr>
                <w:rFonts w:ascii="Times New Roman" w:hAnsi="Times New Roman" w:eastAsia="Times New Roman" w:cs="Times New Roman"/>
                <w:b/>
                <w:bCs/>
                <w:spacing w:val="5"/>
                <w:sz w:val="20"/>
                <w:szCs w:val="20"/>
              </w:rPr>
              <w:t>30m</w:t>
            </w:r>
          </w:p>
        </w:tc>
        <w:tc>
          <w:tcPr>
            <w:tcW w:w="741" w:type="dxa"/>
            <w:tcBorders>
              <w:bottom w:val="single" w:color="000000" w:sz="6" w:space="0"/>
            </w:tcBorders>
            <w:vAlign w:val="top"/>
          </w:tcPr>
          <w:p w14:paraId="4004E8E5">
            <w:pPr>
              <w:spacing w:before="78" w:line="195" w:lineRule="auto"/>
              <w:ind w:left="186"/>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50m</w:t>
            </w:r>
          </w:p>
        </w:tc>
        <w:tc>
          <w:tcPr>
            <w:tcW w:w="792" w:type="dxa"/>
            <w:tcBorders>
              <w:bottom w:val="single" w:color="000000" w:sz="6" w:space="0"/>
            </w:tcBorders>
            <w:vAlign w:val="top"/>
          </w:tcPr>
          <w:p w14:paraId="6634DF42">
            <w:pPr>
              <w:spacing w:before="78" w:line="195" w:lineRule="auto"/>
              <w:ind w:left="167"/>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100m</w:t>
            </w:r>
          </w:p>
        </w:tc>
        <w:tc>
          <w:tcPr>
            <w:tcW w:w="800" w:type="dxa"/>
            <w:tcBorders>
              <w:bottom w:val="single" w:color="000000" w:sz="6" w:space="0"/>
            </w:tcBorders>
            <w:vAlign w:val="top"/>
          </w:tcPr>
          <w:p w14:paraId="33CA6A1D">
            <w:pPr>
              <w:spacing w:before="78" w:line="195" w:lineRule="auto"/>
              <w:ind w:left="171"/>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150m</w:t>
            </w:r>
          </w:p>
        </w:tc>
        <w:tc>
          <w:tcPr>
            <w:tcW w:w="795" w:type="dxa"/>
            <w:tcBorders>
              <w:bottom w:val="single" w:color="000000" w:sz="6" w:space="0"/>
            </w:tcBorders>
            <w:vAlign w:val="top"/>
          </w:tcPr>
          <w:p w14:paraId="7DBB723B">
            <w:pPr>
              <w:spacing w:before="78" w:line="195" w:lineRule="auto"/>
              <w:ind w:left="162"/>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200m</w:t>
            </w:r>
          </w:p>
        </w:tc>
        <w:tc>
          <w:tcPr>
            <w:tcW w:w="255" w:type="dxa"/>
            <w:vMerge w:val="continue"/>
            <w:tcBorders>
              <w:top w:val="nil"/>
              <w:bottom w:val="single" w:color="000000" w:sz="6" w:space="0"/>
              <w:right w:val="single" w:color="000000" w:sz="6" w:space="0"/>
            </w:tcBorders>
            <w:vAlign w:val="top"/>
          </w:tcPr>
          <w:p w14:paraId="3E066736">
            <w:pPr>
              <w:rPr>
                <w:rFonts w:ascii="Arial"/>
                <w:sz w:val="21"/>
              </w:rPr>
            </w:pPr>
          </w:p>
        </w:tc>
      </w:tr>
    </w:tbl>
    <w:p w14:paraId="71552FDD">
      <w:pPr>
        <w:pStyle w:val="3"/>
      </w:pPr>
    </w:p>
    <w:p w14:paraId="21BA6A78">
      <w:pPr>
        <w:sectPr>
          <w:footerReference r:id="rId57" w:type="default"/>
          <w:pgSz w:w="11906" w:h="16838"/>
          <w:pgMar w:top="1416" w:right="1151" w:bottom="1295" w:left="1150" w:header="0" w:footer="1133" w:gutter="0"/>
          <w:cols w:space="720" w:num="1"/>
        </w:sectPr>
      </w:pPr>
    </w:p>
    <w:tbl>
      <w:tblPr>
        <w:tblStyle w:val="8"/>
        <w:tblW w:w="9589"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99"/>
        <w:gridCol w:w="244"/>
        <w:gridCol w:w="1054"/>
        <w:gridCol w:w="1586"/>
        <w:gridCol w:w="656"/>
        <w:gridCol w:w="671"/>
        <w:gridCol w:w="679"/>
        <w:gridCol w:w="717"/>
        <w:gridCol w:w="741"/>
        <w:gridCol w:w="792"/>
        <w:gridCol w:w="800"/>
        <w:gridCol w:w="795"/>
        <w:gridCol w:w="255"/>
      </w:tblGrid>
      <w:tr w14:paraId="090FD4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599" w:type="dxa"/>
            <w:vMerge w:val="restart"/>
            <w:tcBorders>
              <w:top w:val="single" w:color="000000" w:sz="6" w:space="0"/>
              <w:left w:val="single" w:color="000000" w:sz="6" w:space="0"/>
              <w:bottom w:val="nil"/>
            </w:tcBorders>
            <w:vAlign w:val="top"/>
          </w:tcPr>
          <w:p w14:paraId="7286B0AE">
            <w:pPr>
              <w:rPr>
                <w:rFonts w:ascii="Arial"/>
                <w:sz w:val="21"/>
              </w:rPr>
            </w:pPr>
          </w:p>
        </w:tc>
        <w:tc>
          <w:tcPr>
            <w:tcW w:w="244" w:type="dxa"/>
            <w:vMerge w:val="restart"/>
            <w:tcBorders>
              <w:top w:val="single" w:color="000000" w:sz="6" w:space="0"/>
              <w:bottom w:val="nil"/>
            </w:tcBorders>
            <w:vAlign w:val="top"/>
          </w:tcPr>
          <w:p w14:paraId="08780A29">
            <w:pPr>
              <w:rPr>
                <w:rFonts w:ascii="Arial"/>
                <w:sz w:val="21"/>
              </w:rPr>
            </w:pPr>
          </w:p>
        </w:tc>
        <w:tc>
          <w:tcPr>
            <w:tcW w:w="1054" w:type="dxa"/>
            <w:tcBorders>
              <w:top w:val="single" w:color="000000" w:sz="6" w:space="0"/>
            </w:tcBorders>
            <w:vAlign w:val="top"/>
          </w:tcPr>
          <w:p w14:paraId="3AC4CCBC">
            <w:pPr>
              <w:pStyle w:val="9"/>
              <w:spacing w:before="44" w:line="235" w:lineRule="auto"/>
              <w:ind w:left="327" w:right="112" w:hanging="220"/>
              <w:rPr>
                <w:sz w:val="20"/>
                <w:szCs w:val="20"/>
              </w:rPr>
            </w:pPr>
            <w:r>
              <w:rPr>
                <w:spacing w:val="7"/>
                <w:sz w:val="20"/>
                <w:szCs w:val="20"/>
              </w:rPr>
              <w:t>基础施工</w:t>
            </w:r>
            <w:r>
              <w:rPr>
                <w:sz w:val="20"/>
                <w:szCs w:val="20"/>
              </w:rPr>
              <w:t>阶段</w:t>
            </w:r>
          </w:p>
        </w:tc>
        <w:tc>
          <w:tcPr>
            <w:tcW w:w="1586" w:type="dxa"/>
            <w:tcBorders>
              <w:top w:val="single" w:color="000000" w:sz="6" w:space="0"/>
            </w:tcBorders>
            <w:vAlign w:val="top"/>
          </w:tcPr>
          <w:p w14:paraId="7267C424">
            <w:pPr>
              <w:pStyle w:val="9"/>
              <w:spacing w:before="182" w:line="227" w:lineRule="auto"/>
              <w:ind w:left="487"/>
              <w:rPr>
                <w:sz w:val="20"/>
                <w:szCs w:val="20"/>
              </w:rPr>
            </w:pPr>
            <w:r>
              <w:rPr>
                <w:spacing w:val="4"/>
                <w:sz w:val="20"/>
                <w:szCs w:val="20"/>
              </w:rPr>
              <w:t>空压机</w:t>
            </w:r>
          </w:p>
        </w:tc>
        <w:tc>
          <w:tcPr>
            <w:tcW w:w="656" w:type="dxa"/>
            <w:tcBorders>
              <w:top w:val="single" w:color="000000" w:sz="6" w:space="0"/>
            </w:tcBorders>
            <w:vAlign w:val="top"/>
          </w:tcPr>
          <w:p w14:paraId="6DBC9975">
            <w:pPr>
              <w:spacing w:before="218" w:line="195" w:lineRule="auto"/>
              <w:ind w:left="227"/>
              <w:rPr>
                <w:rFonts w:ascii="Times New Roman" w:hAnsi="Times New Roman" w:eastAsia="Times New Roman" w:cs="Times New Roman"/>
                <w:sz w:val="20"/>
                <w:szCs w:val="20"/>
              </w:rPr>
            </w:pPr>
            <w:r>
              <w:rPr>
                <w:rFonts w:ascii="Times New Roman" w:hAnsi="Times New Roman" w:eastAsia="Times New Roman" w:cs="Times New Roman"/>
                <w:sz w:val="20"/>
                <w:szCs w:val="20"/>
              </w:rPr>
              <w:t>90</w:t>
            </w:r>
          </w:p>
        </w:tc>
        <w:tc>
          <w:tcPr>
            <w:tcW w:w="671" w:type="dxa"/>
            <w:tcBorders>
              <w:top w:val="single" w:color="000000" w:sz="6" w:space="0"/>
            </w:tcBorders>
            <w:vAlign w:val="top"/>
          </w:tcPr>
          <w:p w14:paraId="11AB354E">
            <w:pPr>
              <w:spacing w:before="218" w:line="195" w:lineRule="auto"/>
              <w:ind w:left="23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70</w:t>
            </w:r>
          </w:p>
        </w:tc>
        <w:tc>
          <w:tcPr>
            <w:tcW w:w="679" w:type="dxa"/>
            <w:tcBorders>
              <w:top w:val="single" w:color="000000" w:sz="6" w:space="0"/>
            </w:tcBorders>
            <w:vAlign w:val="top"/>
          </w:tcPr>
          <w:p w14:paraId="19941949">
            <w:pPr>
              <w:spacing w:before="218" w:line="195" w:lineRule="auto"/>
              <w:ind w:left="16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64.0</w:t>
            </w:r>
          </w:p>
        </w:tc>
        <w:tc>
          <w:tcPr>
            <w:tcW w:w="717" w:type="dxa"/>
            <w:tcBorders>
              <w:top w:val="single" w:color="000000" w:sz="6" w:space="0"/>
            </w:tcBorders>
            <w:vAlign w:val="top"/>
          </w:tcPr>
          <w:p w14:paraId="06689977">
            <w:pPr>
              <w:spacing w:before="218" w:line="195" w:lineRule="auto"/>
              <w:ind w:left="18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65.5</w:t>
            </w:r>
          </w:p>
        </w:tc>
        <w:tc>
          <w:tcPr>
            <w:tcW w:w="741" w:type="dxa"/>
            <w:tcBorders>
              <w:top w:val="single" w:color="000000" w:sz="6" w:space="0"/>
            </w:tcBorders>
            <w:vAlign w:val="top"/>
          </w:tcPr>
          <w:p w14:paraId="089A1085">
            <w:pPr>
              <w:spacing w:before="218" w:line="195" w:lineRule="auto"/>
              <w:ind w:left="275"/>
              <w:rPr>
                <w:rFonts w:ascii="Times New Roman" w:hAnsi="Times New Roman" w:eastAsia="Times New Roman" w:cs="Times New Roman"/>
                <w:sz w:val="20"/>
                <w:szCs w:val="20"/>
              </w:rPr>
            </w:pPr>
            <w:r>
              <w:rPr>
                <w:rFonts w:ascii="Times New Roman" w:hAnsi="Times New Roman" w:eastAsia="Times New Roman" w:cs="Times New Roman"/>
                <w:sz w:val="20"/>
                <w:szCs w:val="20"/>
              </w:rPr>
              <w:t>56</w:t>
            </w:r>
          </w:p>
        </w:tc>
        <w:tc>
          <w:tcPr>
            <w:tcW w:w="792" w:type="dxa"/>
            <w:tcBorders>
              <w:top w:val="single" w:color="000000" w:sz="6" w:space="0"/>
            </w:tcBorders>
            <w:vAlign w:val="top"/>
          </w:tcPr>
          <w:p w14:paraId="594523A8">
            <w:pPr>
              <w:spacing w:before="218" w:line="195" w:lineRule="auto"/>
              <w:ind w:left="302"/>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c>
          <w:tcPr>
            <w:tcW w:w="800" w:type="dxa"/>
            <w:tcBorders>
              <w:top w:val="single" w:color="000000" w:sz="6" w:space="0"/>
            </w:tcBorders>
            <w:vAlign w:val="top"/>
          </w:tcPr>
          <w:p w14:paraId="13E84705">
            <w:pPr>
              <w:spacing w:before="218" w:line="195" w:lineRule="auto"/>
              <w:ind w:left="22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41.5</w:t>
            </w:r>
          </w:p>
        </w:tc>
        <w:tc>
          <w:tcPr>
            <w:tcW w:w="795" w:type="dxa"/>
            <w:tcBorders>
              <w:top w:val="single" w:color="000000" w:sz="6" w:space="0"/>
            </w:tcBorders>
            <w:vAlign w:val="top"/>
          </w:tcPr>
          <w:p w14:paraId="16871DC8">
            <w:pPr>
              <w:spacing w:before="218" w:line="195" w:lineRule="auto"/>
              <w:ind w:left="29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44</w:t>
            </w:r>
          </w:p>
        </w:tc>
        <w:tc>
          <w:tcPr>
            <w:tcW w:w="255" w:type="dxa"/>
            <w:vMerge w:val="restart"/>
            <w:tcBorders>
              <w:top w:val="single" w:color="000000" w:sz="6" w:space="0"/>
              <w:bottom w:val="nil"/>
              <w:right w:val="single" w:color="000000" w:sz="6" w:space="0"/>
            </w:tcBorders>
            <w:vAlign w:val="top"/>
          </w:tcPr>
          <w:p w14:paraId="0CA2A90B">
            <w:pPr>
              <w:rPr>
                <w:rFonts w:ascii="Arial"/>
                <w:sz w:val="21"/>
              </w:rPr>
            </w:pPr>
          </w:p>
        </w:tc>
      </w:tr>
      <w:tr w14:paraId="54B0F4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599" w:type="dxa"/>
            <w:vMerge w:val="continue"/>
            <w:tcBorders>
              <w:top w:val="nil"/>
              <w:left w:val="single" w:color="000000" w:sz="6" w:space="0"/>
              <w:bottom w:val="nil"/>
            </w:tcBorders>
            <w:vAlign w:val="top"/>
          </w:tcPr>
          <w:p w14:paraId="6BC33A65">
            <w:pPr>
              <w:rPr>
                <w:rFonts w:ascii="Arial"/>
                <w:sz w:val="21"/>
              </w:rPr>
            </w:pPr>
          </w:p>
        </w:tc>
        <w:tc>
          <w:tcPr>
            <w:tcW w:w="244" w:type="dxa"/>
            <w:vMerge w:val="continue"/>
            <w:tcBorders>
              <w:top w:val="nil"/>
              <w:bottom w:val="nil"/>
            </w:tcBorders>
            <w:vAlign w:val="top"/>
          </w:tcPr>
          <w:p w14:paraId="0EF97FFE">
            <w:pPr>
              <w:rPr>
                <w:rFonts w:ascii="Arial"/>
                <w:sz w:val="21"/>
              </w:rPr>
            </w:pPr>
          </w:p>
        </w:tc>
        <w:tc>
          <w:tcPr>
            <w:tcW w:w="1054" w:type="dxa"/>
            <w:vMerge w:val="restart"/>
            <w:tcBorders>
              <w:bottom w:val="nil"/>
            </w:tcBorders>
            <w:vAlign w:val="top"/>
          </w:tcPr>
          <w:p w14:paraId="3CCF632F">
            <w:pPr>
              <w:spacing w:line="271" w:lineRule="auto"/>
              <w:rPr>
                <w:rFonts w:ascii="Arial"/>
                <w:sz w:val="21"/>
              </w:rPr>
            </w:pPr>
          </w:p>
          <w:p w14:paraId="476B36AE">
            <w:pPr>
              <w:spacing w:line="272" w:lineRule="auto"/>
              <w:rPr>
                <w:rFonts w:ascii="Arial"/>
                <w:sz w:val="21"/>
              </w:rPr>
            </w:pPr>
          </w:p>
          <w:p w14:paraId="299A0B4D">
            <w:pPr>
              <w:pStyle w:val="9"/>
              <w:spacing w:before="65" w:line="229" w:lineRule="auto"/>
              <w:ind w:left="107"/>
              <w:rPr>
                <w:sz w:val="20"/>
                <w:szCs w:val="20"/>
              </w:rPr>
            </w:pPr>
            <w:r>
              <w:rPr>
                <w:spacing w:val="7"/>
                <w:sz w:val="20"/>
                <w:szCs w:val="20"/>
              </w:rPr>
              <w:t>土建阶段</w:t>
            </w:r>
          </w:p>
        </w:tc>
        <w:tc>
          <w:tcPr>
            <w:tcW w:w="1586" w:type="dxa"/>
            <w:vAlign w:val="top"/>
          </w:tcPr>
          <w:p w14:paraId="0CC20945">
            <w:pPr>
              <w:pStyle w:val="9"/>
              <w:spacing w:before="30" w:line="218" w:lineRule="auto"/>
              <w:ind w:left="481"/>
              <w:rPr>
                <w:sz w:val="20"/>
                <w:szCs w:val="20"/>
              </w:rPr>
            </w:pPr>
            <w:r>
              <w:rPr>
                <w:spacing w:val="6"/>
                <w:sz w:val="20"/>
                <w:szCs w:val="20"/>
              </w:rPr>
              <w:t>推土机</w:t>
            </w:r>
          </w:p>
        </w:tc>
        <w:tc>
          <w:tcPr>
            <w:tcW w:w="656" w:type="dxa"/>
            <w:vAlign w:val="top"/>
          </w:tcPr>
          <w:p w14:paraId="0DAD6495">
            <w:pPr>
              <w:spacing w:before="66" w:line="195" w:lineRule="auto"/>
              <w:ind w:left="227"/>
              <w:rPr>
                <w:rFonts w:ascii="Times New Roman" w:hAnsi="Times New Roman" w:eastAsia="Times New Roman" w:cs="Times New Roman"/>
                <w:sz w:val="20"/>
                <w:szCs w:val="20"/>
              </w:rPr>
            </w:pPr>
            <w:r>
              <w:rPr>
                <w:rFonts w:ascii="Times New Roman" w:hAnsi="Times New Roman" w:eastAsia="Times New Roman" w:cs="Times New Roman"/>
                <w:sz w:val="20"/>
                <w:szCs w:val="20"/>
              </w:rPr>
              <w:t>90</w:t>
            </w:r>
          </w:p>
        </w:tc>
        <w:tc>
          <w:tcPr>
            <w:tcW w:w="671" w:type="dxa"/>
            <w:vAlign w:val="top"/>
          </w:tcPr>
          <w:p w14:paraId="7F66CEF7">
            <w:pPr>
              <w:spacing w:before="66" w:line="195" w:lineRule="auto"/>
              <w:ind w:left="23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70</w:t>
            </w:r>
          </w:p>
        </w:tc>
        <w:tc>
          <w:tcPr>
            <w:tcW w:w="679" w:type="dxa"/>
            <w:vAlign w:val="top"/>
          </w:tcPr>
          <w:p w14:paraId="52B4AC20">
            <w:pPr>
              <w:spacing w:before="66" w:line="195" w:lineRule="auto"/>
              <w:ind w:left="242"/>
              <w:rPr>
                <w:rFonts w:ascii="Times New Roman" w:hAnsi="Times New Roman" w:eastAsia="Times New Roman" w:cs="Times New Roman"/>
                <w:sz w:val="20"/>
                <w:szCs w:val="20"/>
              </w:rPr>
            </w:pPr>
            <w:r>
              <w:rPr>
                <w:rFonts w:ascii="Times New Roman" w:hAnsi="Times New Roman" w:eastAsia="Times New Roman" w:cs="Times New Roman"/>
                <w:sz w:val="20"/>
                <w:szCs w:val="20"/>
              </w:rPr>
              <w:t>64</w:t>
            </w:r>
          </w:p>
        </w:tc>
        <w:tc>
          <w:tcPr>
            <w:tcW w:w="717" w:type="dxa"/>
            <w:vAlign w:val="top"/>
          </w:tcPr>
          <w:p w14:paraId="4D904325">
            <w:pPr>
              <w:spacing w:before="66" w:line="195" w:lineRule="auto"/>
              <w:ind w:left="18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60.5</w:t>
            </w:r>
          </w:p>
        </w:tc>
        <w:tc>
          <w:tcPr>
            <w:tcW w:w="741" w:type="dxa"/>
            <w:vAlign w:val="top"/>
          </w:tcPr>
          <w:p w14:paraId="7D471514">
            <w:pPr>
              <w:spacing w:before="66" w:line="195" w:lineRule="auto"/>
              <w:ind w:left="19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56.0</w:t>
            </w:r>
          </w:p>
        </w:tc>
        <w:tc>
          <w:tcPr>
            <w:tcW w:w="792" w:type="dxa"/>
            <w:vAlign w:val="top"/>
          </w:tcPr>
          <w:p w14:paraId="637FE271">
            <w:pPr>
              <w:spacing w:before="66" w:line="195" w:lineRule="auto"/>
              <w:ind w:left="22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50.0</w:t>
            </w:r>
          </w:p>
        </w:tc>
        <w:tc>
          <w:tcPr>
            <w:tcW w:w="800" w:type="dxa"/>
            <w:vAlign w:val="top"/>
          </w:tcPr>
          <w:p w14:paraId="57FE4645">
            <w:pPr>
              <w:spacing w:before="66" w:line="195" w:lineRule="auto"/>
              <w:ind w:left="22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44.5</w:t>
            </w:r>
          </w:p>
        </w:tc>
        <w:tc>
          <w:tcPr>
            <w:tcW w:w="795" w:type="dxa"/>
            <w:vAlign w:val="top"/>
          </w:tcPr>
          <w:p w14:paraId="22EF7D4A">
            <w:pPr>
              <w:spacing w:before="66" w:line="195" w:lineRule="auto"/>
              <w:ind w:left="29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44</w:t>
            </w:r>
          </w:p>
        </w:tc>
        <w:tc>
          <w:tcPr>
            <w:tcW w:w="255" w:type="dxa"/>
            <w:vMerge w:val="continue"/>
            <w:tcBorders>
              <w:top w:val="nil"/>
              <w:bottom w:val="nil"/>
              <w:right w:val="single" w:color="000000" w:sz="6" w:space="0"/>
            </w:tcBorders>
            <w:vAlign w:val="top"/>
          </w:tcPr>
          <w:p w14:paraId="2BF19086">
            <w:pPr>
              <w:rPr>
                <w:rFonts w:ascii="Arial"/>
                <w:sz w:val="21"/>
              </w:rPr>
            </w:pPr>
          </w:p>
        </w:tc>
      </w:tr>
      <w:tr w14:paraId="6DB840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599" w:type="dxa"/>
            <w:vMerge w:val="continue"/>
            <w:tcBorders>
              <w:top w:val="nil"/>
              <w:left w:val="single" w:color="000000" w:sz="6" w:space="0"/>
              <w:bottom w:val="nil"/>
            </w:tcBorders>
            <w:vAlign w:val="top"/>
          </w:tcPr>
          <w:p w14:paraId="43A69736">
            <w:pPr>
              <w:rPr>
                <w:rFonts w:ascii="Arial"/>
                <w:sz w:val="21"/>
              </w:rPr>
            </w:pPr>
          </w:p>
        </w:tc>
        <w:tc>
          <w:tcPr>
            <w:tcW w:w="244" w:type="dxa"/>
            <w:vMerge w:val="continue"/>
            <w:tcBorders>
              <w:top w:val="nil"/>
              <w:bottom w:val="nil"/>
            </w:tcBorders>
            <w:vAlign w:val="top"/>
          </w:tcPr>
          <w:p w14:paraId="7D0A4105">
            <w:pPr>
              <w:rPr>
                <w:rFonts w:ascii="Arial"/>
                <w:sz w:val="21"/>
              </w:rPr>
            </w:pPr>
          </w:p>
        </w:tc>
        <w:tc>
          <w:tcPr>
            <w:tcW w:w="1054" w:type="dxa"/>
            <w:vMerge w:val="continue"/>
            <w:tcBorders>
              <w:top w:val="nil"/>
              <w:bottom w:val="nil"/>
            </w:tcBorders>
            <w:vAlign w:val="top"/>
          </w:tcPr>
          <w:p w14:paraId="754C9A4E">
            <w:pPr>
              <w:rPr>
                <w:rFonts w:ascii="Arial"/>
                <w:sz w:val="21"/>
              </w:rPr>
            </w:pPr>
          </w:p>
        </w:tc>
        <w:tc>
          <w:tcPr>
            <w:tcW w:w="1586" w:type="dxa"/>
            <w:vAlign w:val="top"/>
          </w:tcPr>
          <w:p w14:paraId="57446360">
            <w:pPr>
              <w:pStyle w:val="9"/>
              <w:spacing w:before="34" w:line="220" w:lineRule="auto"/>
              <w:ind w:left="480"/>
              <w:rPr>
                <w:sz w:val="20"/>
                <w:szCs w:val="20"/>
              </w:rPr>
            </w:pPr>
            <w:r>
              <w:rPr>
                <w:spacing w:val="7"/>
                <w:sz w:val="20"/>
                <w:szCs w:val="20"/>
              </w:rPr>
              <w:t>挖掘机</w:t>
            </w:r>
          </w:p>
        </w:tc>
        <w:tc>
          <w:tcPr>
            <w:tcW w:w="656" w:type="dxa"/>
            <w:vAlign w:val="top"/>
          </w:tcPr>
          <w:p w14:paraId="390712AA">
            <w:pPr>
              <w:spacing w:before="70" w:line="195" w:lineRule="auto"/>
              <w:ind w:left="227"/>
              <w:rPr>
                <w:rFonts w:ascii="Times New Roman" w:hAnsi="Times New Roman" w:eastAsia="Times New Roman" w:cs="Times New Roman"/>
                <w:sz w:val="20"/>
                <w:szCs w:val="20"/>
              </w:rPr>
            </w:pPr>
            <w:r>
              <w:rPr>
                <w:rFonts w:ascii="Times New Roman" w:hAnsi="Times New Roman" w:eastAsia="Times New Roman" w:cs="Times New Roman"/>
                <w:sz w:val="20"/>
                <w:szCs w:val="20"/>
              </w:rPr>
              <w:t>90</w:t>
            </w:r>
          </w:p>
        </w:tc>
        <w:tc>
          <w:tcPr>
            <w:tcW w:w="671" w:type="dxa"/>
            <w:vAlign w:val="top"/>
          </w:tcPr>
          <w:p w14:paraId="1EBF7A72">
            <w:pPr>
              <w:spacing w:before="70" w:line="195" w:lineRule="auto"/>
              <w:ind w:left="23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70</w:t>
            </w:r>
          </w:p>
        </w:tc>
        <w:tc>
          <w:tcPr>
            <w:tcW w:w="679" w:type="dxa"/>
            <w:vAlign w:val="top"/>
          </w:tcPr>
          <w:p w14:paraId="55F96B5F">
            <w:pPr>
              <w:spacing w:before="70" w:line="195" w:lineRule="auto"/>
              <w:ind w:left="242"/>
              <w:rPr>
                <w:rFonts w:ascii="Times New Roman" w:hAnsi="Times New Roman" w:eastAsia="Times New Roman" w:cs="Times New Roman"/>
                <w:sz w:val="20"/>
                <w:szCs w:val="20"/>
              </w:rPr>
            </w:pPr>
            <w:r>
              <w:rPr>
                <w:rFonts w:ascii="Times New Roman" w:hAnsi="Times New Roman" w:eastAsia="Times New Roman" w:cs="Times New Roman"/>
                <w:sz w:val="20"/>
                <w:szCs w:val="20"/>
              </w:rPr>
              <w:t>64</w:t>
            </w:r>
          </w:p>
        </w:tc>
        <w:tc>
          <w:tcPr>
            <w:tcW w:w="717" w:type="dxa"/>
            <w:vAlign w:val="top"/>
          </w:tcPr>
          <w:p w14:paraId="5A2C4BA1">
            <w:pPr>
              <w:spacing w:before="70" w:line="195" w:lineRule="auto"/>
              <w:ind w:left="18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60.5</w:t>
            </w:r>
          </w:p>
        </w:tc>
        <w:tc>
          <w:tcPr>
            <w:tcW w:w="741" w:type="dxa"/>
            <w:vAlign w:val="top"/>
          </w:tcPr>
          <w:p w14:paraId="2851C164">
            <w:pPr>
              <w:spacing w:before="70" w:line="195" w:lineRule="auto"/>
              <w:ind w:left="19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56.0</w:t>
            </w:r>
          </w:p>
        </w:tc>
        <w:tc>
          <w:tcPr>
            <w:tcW w:w="792" w:type="dxa"/>
            <w:vAlign w:val="top"/>
          </w:tcPr>
          <w:p w14:paraId="62FA9660">
            <w:pPr>
              <w:spacing w:before="70" w:line="195" w:lineRule="auto"/>
              <w:ind w:left="22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50.0</w:t>
            </w:r>
          </w:p>
        </w:tc>
        <w:tc>
          <w:tcPr>
            <w:tcW w:w="800" w:type="dxa"/>
            <w:vAlign w:val="top"/>
          </w:tcPr>
          <w:p w14:paraId="484EB9C3">
            <w:pPr>
              <w:spacing w:before="70" w:line="195" w:lineRule="auto"/>
              <w:ind w:left="22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44.5</w:t>
            </w:r>
          </w:p>
        </w:tc>
        <w:tc>
          <w:tcPr>
            <w:tcW w:w="795" w:type="dxa"/>
            <w:vAlign w:val="top"/>
          </w:tcPr>
          <w:p w14:paraId="3330128F">
            <w:pPr>
              <w:spacing w:before="70" w:line="195" w:lineRule="auto"/>
              <w:ind w:left="29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44</w:t>
            </w:r>
          </w:p>
        </w:tc>
        <w:tc>
          <w:tcPr>
            <w:tcW w:w="255" w:type="dxa"/>
            <w:vMerge w:val="continue"/>
            <w:tcBorders>
              <w:top w:val="nil"/>
              <w:bottom w:val="nil"/>
              <w:right w:val="single" w:color="000000" w:sz="6" w:space="0"/>
            </w:tcBorders>
            <w:vAlign w:val="top"/>
          </w:tcPr>
          <w:p w14:paraId="65291B3E">
            <w:pPr>
              <w:rPr>
                <w:rFonts w:ascii="Arial"/>
                <w:sz w:val="21"/>
              </w:rPr>
            </w:pPr>
          </w:p>
        </w:tc>
      </w:tr>
      <w:tr w14:paraId="061C86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599" w:type="dxa"/>
            <w:vMerge w:val="continue"/>
            <w:tcBorders>
              <w:top w:val="nil"/>
              <w:left w:val="single" w:color="000000" w:sz="6" w:space="0"/>
              <w:bottom w:val="nil"/>
            </w:tcBorders>
            <w:vAlign w:val="top"/>
          </w:tcPr>
          <w:p w14:paraId="5BF7D662">
            <w:pPr>
              <w:rPr>
                <w:rFonts w:ascii="Arial"/>
                <w:sz w:val="21"/>
              </w:rPr>
            </w:pPr>
          </w:p>
        </w:tc>
        <w:tc>
          <w:tcPr>
            <w:tcW w:w="244" w:type="dxa"/>
            <w:vMerge w:val="continue"/>
            <w:tcBorders>
              <w:top w:val="nil"/>
              <w:bottom w:val="nil"/>
            </w:tcBorders>
            <w:vAlign w:val="top"/>
          </w:tcPr>
          <w:p w14:paraId="138914F6">
            <w:pPr>
              <w:rPr>
                <w:rFonts w:ascii="Arial"/>
                <w:sz w:val="21"/>
              </w:rPr>
            </w:pPr>
          </w:p>
        </w:tc>
        <w:tc>
          <w:tcPr>
            <w:tcW w:w="1054" w:type="dxa"/>
            <w:vMerge w:val="continue"/>
            <w:tcBorders>
              <w:top w:val="nil"/>
              <w:bottom w:val="nil"/>
            </w:tcBorders>
            <w:vAlign w:val="top"/>
          </w:tcPr>
          <w:p w14:paraId="5DAB627F">
            <w:pPr>
              <w:rPr>
                <w:rFonts w:ascii="Arial"/>
                <w:sz w:val="21"/>
              </w:rPr>
            </w:pPr>
          </w:p>
        </w:tc>
        <w:tc>
          <w:tcPr>
            <w:tcW w:w="1586" w:type="dxa"/>
            <w:vAlign w:val="top"/>
          </w:tcPr>
          <w:p w14:paraId="0E4F1596">
            <w:pPr>
              <w:pStyle w:val="9"/>
              <w:spacing w:before="31" w:line="217" w:lineRule="auto"/>
              <w:ind w:left="481"/>
              <w:rPr>
                <w:sz w:val="20"/>
                <w:szCs w:val="20"/>
              </w:rPr>
            </w:pPr>
            <w:r>
              <w:rPr>
                <w:spacing w:val="6"/>
                <w:sz w:val="20"/>
                <w:szCs w:val="20"/>
              </w:rPr>
              <w:t>装载机</w:t>
            </w:r>
          </w:p>
        </w:tc>
        <w:tc>
          <w:tcPr>
            <w:tcW w:w="656" w:type="dxa"/>
            <w:vAlign w:val="top"/>
          </w:tcPr>
          <w:p w14:paraId="04645645">
            <w:pPr>
              <w:spacing w:before="67" w:line="195" w:lineRule="auto"/>
              <w:ind w:left="227"/>
              <w:rPr>
                <w:rFonts w:ascii="Times New Roman" w:hAnsi="Times New Roman" w:eastAsia="Times New Roman" w:cs="Times New Roman"/>
                <w:sz w:val="20"/>
                <w:szCs w:val="20"/>
              </w:rPr>
            </w:pPr>
            <w:r>
              <w:rPr>
                <w:rFonts w:ascii="Times New Roman" w:hAnsi="Times New Roman" w:eastAsia="Times New Roman" w:cs="Times New Roman"/>
                <w:sz w:val="20"/>
                <w:szCs w:val="20"/>
              </w:rPr>
              <w:t>90</w:t>
            </w:r>
          </w:p>
        </w:tc>
        <w:tc>
          <w:tcPr>
            <w:tcW w:w="671" w:type="dxa"/>
            <w:vAlign w:val="top"/>
          </w:tcPr>
          <w:p w14:paraId="6CC26F77">
            <w:pPr>
              <w:spacing w:before="67" w:line="195" w:lineRule="auto"/>
              <w:ind w:left="23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70</w:t>
            </w:r>
          </w:p>
        </w:tc>
        <w:tc>
          <w:tcPr>
            <w:tcW w:w="679" w:type="dxa"/>
            <w:vAlign w:val="top"/>
          </w:tcPr>
          <w:p w14:paraId="76D4BF6B">
            <w:pPr>
              <w:spacing w:before="67" w:line="195" w:lineRule="auto"/>
              <w:ind w:left="242"/>
              <w:rPr>
                <w:rFonts w:ascii="Times New Roman" w:hAnsi="Times New Roman" w:eastAsia="Times New Roman" w:cs="Times New Roman"/>
                <w:sz w:val="20"/>
                <w:szCs w:val="20"/>
              </w:rPr>
            </w:pPr>
            <w:r>
              <w:rPr>
                <w:rFonts w:ascii="Times New Roman" w:hAnsi="Times New Roman" w:eastAsia="Times New Roman" w:cs="Times New Roman"/>
                <w:sz w:val="20"/>
                <w:szCs w:val="20"/>
              </w:rPr>
              <w:t>64</w:t>
            </w:r>
          </w:p>
        </w:tc>
        <w:tc>
          <w:tcPr>
            <w:tcW w:w="717" w:type="dxa"/>
            <w:vAlign w:val="top"/>
          </w:tcPr>
          <w:p w14:paraId="32F89A7E">
            <w:pPr>
              <w:spacing w:before="67" w:line="195" w:lineRule="auto"/>
              <w:ind w:left="18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60.5</w:t>
            </w:r>
          </w:p>
        </w:tc>
        <w:tc>
          <w:tcPr>
            <w:tcW w:w="741" w:type="dxa"/>
            <w:vAlign w:val="top"/>
          </w:tcPr>
          <w:p w14:paraId="17134D00">
            <w:pPr>
              <w:spacing w:before="67" w:line="195" w:lineRule="auto"/>
              <w:ind w:left="19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56.0</w:t>
            </w:r>
          </w:p>
        </w:tc>
        <w:tc>
          <w:tcPr>
            <w:tcW w:w="792" w:type="dxa"/>
            <w:vAlign w:val="top"/>
          </w:tcPr>
          <w:p w14:paraId="541114F7">
            <w:pPr>
              <w:spacing w:before="67" w:line="195" w:lineRule="auto"/>
              <w:ind w:left="22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50.0</w:t>
            </w:r>
          </w:p>
        </w:tc>
        <w:tc>
          <w:tcPr>
            <w:tcW w:w="800" w:type="dxa"/>
            <w:vAlign w:val="top"/>
          </w:tcPr>
          <w:p w14:paraId="16CC796E">
            <w:pPr>
              <w:spacing w:before="67" w:line="195" w:lineRule="auto"/>
              <w:ind w:left="22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44.5</w:t>
            </w:r>
          </w:p>
        </w:tc>
        <w:tc>
          <w:tcPr>
            <w:tcW w:w="795" w:type="dxa"/>
            <w:vAlign w:val="top"/>
          </w:tcPr>
          <w:p w14:paraId="7F35FC75">
            <w:pPr>
              <w:spacing w:before="68" w:line="195" w:lineRule="auto"/>
              <w:ind w:left="29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44</w:t>
            </w:r>
          </w:p>
        </w:tc>
        <w:tc>
          <w:tcPr>
            <w:tcW w:w="255" w:type="dxa"/>
            <w:vMerge w:val="continue"/>
            <w:tcBorders>
              <w:top w:val="nil"/>
              <w:bottom w:val="nil"/>
              <w:right w:val="single" w:color="000000" w:sz="6" w:space="0"/>
            </w:tcBorders>
            <w:vAlign w:val="top"/>
          </w:tcPr>
          <w:p w14:paraId="37F73224">
            <w:pPr>
              <w:rPr>
                <w:rFonts w:ascii="Arial"/>
                <w:sz w:val="21"/>
              </w:rPr>
            </w:pPr>
          </w:p>
        </w:tc>
      </w:tr>
      <w:tr w14:paraId="71F253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599" w:type="dxa"/>
            <w:vMerge w:val="continue"/>
            <w:tcBorders>
              <w:top w:val="nil"/>
              <w:left w:val="single" w:color="000000" w:sz="6" w:space="0"/>
              <w:bottom w:val="nil"/>
            </w:tcBorders>
            <w:vAlign w:val="top"/>
          </w:tcPr>
          <w:p w14:paraId="4A222468">
            <w:pPr>
              <w:rPr>
                <w:rFonts w:ascii="Arial"/>
                <w:sz w:val="21"/>
              </w:rPr>
            </w:pPr>
          </w:p>
        </w:tc>
        <w:tc>
          <w:tcPr>
            <w:tcW w:w="244" w:type="dxa"/>
            <w:vMerge w:val="continue"/>
            <w:tcBorders>
              <w:top w:val="nil"/>
              <w:bottom w:val="nil"/>
            </w:tcBorders>
            <w:vAlign w:val="top"/>
          </w:tcPr>
          <w:p w14:paraId="345A10BD">
            <w:pPr>
              <w:rPr>
                <w:rFonts w:ascii="Arial"/>
                <w:sz w:val="21"/>
              </w:rPr>
            </w:pPr>
          </w:p>
        </w:tc>
        <w:tc>
          <w:tcPr>
            <w:tcW w:w="1054" w:type="dxa"/>
            <w:vMerge w:val="continue"/>
            <w:tcBorders>
              <w:top w:val="nil"/>
              <w:bottom w:val="nil"/>
            </w:tcBorders>
            <w:vAlign w:val="top"/>
          </w:tcPr>
          <w:p w14:paraId="70D233C6">
            <w:pPr>
              <w:rPr>
                <w:rFonts w:ascii="Arial"/>
                <w:sz w:val="21"/>
              </w:rPr>
            </w:pPr>
          </w:p>
        </w:tc>
        <w:tc>
          <w:tcPr>
            <w:tcW w:w="1586" w:type="dxa"/>
            <w:vAlign w:val="top"/>
          </w:tcPr>
          <w:p w14:paraId="796A422B">
            <w:pPr>
              <w:pStyle w:val="9"/>
              <w:spacing w:before="32" w:line="217" w:lineRule="auto"/>
              <w:ind w:left="378"/>
              <w:rPr>
                <w:sz w:val="20"/>
                <w:szCs w:val="20"/>
              </w:rPr>
            </w:pPr>
            <w:r>
              <w:rPr>
                <w:spacing w:val="6"/>
                <w:sz w:val="20"/>
                <w:szCs w:val="20"/>
              </w:rPr>
              <w:t>各种车辆</w:t>
            </w:r>
          </w:p>
        </w:tc>
        <w:tc>
          <w:tcPr>
            <w:tcW w:w="656" w:type="dxa"/>
            <w:vAlign w:val="top"/>
          </w:tcPr>
          <w:p w14:paraId="20A6B2B8">
            <w:pPr>
              <w:spacing w:before="69" w:line="195" w:lineRule="auto"/>
              <w:ind w:left="23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85</w:t>
            </w:r>
          </w:p>
        </w:tc>
        <w:tc>
          <w:tcPr>
            <w:tcW w:w="671" w:type="dxa"/>
            <w:vAlign w:val="top"/>
          </w:tcPr>
          <w:p w14:paraId="2AC5869B">
            <w:pPr>
              <w:spacing w:before="69" w:line="195" w:lineRule="auto"/>
              <w:ind w:left="236"/>
              <w:rPr>
                <w:rFonts w:ascii="Times New Roman" w:hAnsi="Times New Roman" w:eastAsia="Times New Roman" w:cs="Times New Roman"/>
                <w:sz w:val="20"/>
                <w:szCs w:val="20"/>
              </w:rPr>
            </w:pPr>
            <w:r>
              <w:rPr>
                <w:rFonts w:ascii="Times New Roman" w:hAnsi="Times New Roman" w:eastAsia="Times New Roman" w:cs="Times New Roman"/>
                <w:sz w:val="20"/>
                <w:szCs w:val="20"/>
              </w:rPr>
              <w:t>65</w:t>
            </w:r>
          </w:p>
        </w:tc>
        <w:tc>
          <w:tcPr>
            <w:tcW w:w="679" w:type="dxa"/>
            <w:vAlign w:val="top"/>
          </w:tcPr>
          <w:p w14:paraId="1FA71BCA">
            <w:pPr>
              <w:spacing w:before="69" w:line="195" w:lineRule="auto"/>
              <w:ind w:left="243"/>
              <w:rPr>
                <w:rFonts w:ascii="Times New Roman" w:hAnsi="Times New Roman" w:eastAsia="Times New Roman" w:cs="Times New Roman"/>
                <w:sz w:val="20"/>
                <w:szCs w:val="20"/>
              </w:rPr>
            </w:pPr>
            <w:r>
              <w:rPr>
                <w:rFonts w:ascii="Times New Roman" w:hAnsi="Times New Roman" w:eastAsia="Times New Roman" w:cs="Times New Roman"/>
                <w:sz w:val="20"/>
                <w:szCs w:val="20"/>
              </w:rPr>
              <w:t>59</w:t>
            </w:r>
          </w:p>
        </w:tc>
        <w:tc>
          <w:tcPr>
            <w:tcW w:w="717" w:type="dxa"/>
            <w:vAlign w:val="top"/>
          </w:tcPr>
          <w:p w14:paraId="64C79650">
            <w:pPr>
              <w:spacing w:before="72" w:line="192" w:lineRule="auto"/>
              <w:ind w:left="18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55.5</w:t>
            </w:r>
          </w:p>
        </w:tc>
        <w:tc>
          <w:tcPr>
            <w:tcW w:w="741" w:type="dxa"/>
            <w:vAlign w:val="top"/>
          </w:tcPr>
          <w:p w14:paraId="06C5E76A">
            <w:pPr>
              <w:spacing w:before="69" w:line="195" w:lineRule="auto"/>
              <w:ind w:left="19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51.0</w:t>
            </w:r>
          </w:p>
        </w:tc>
        <w:tc>
          <w:tcPr>
            <w:tcW w:w="792" w:type="dxa"/>
            <w:vAlign w:val="top"/>
          </w:tcPr>
          <w:p w14:paraId="4EDDE266">
            <w:pPr>
              <w:spacing w:before="69" w:line="195" w:lineRule="auto"/>
              <w:ind w:left="29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45</w:t>
            </w:r>
          </w:p>
        </w:tc>
        <w:tc>
          <w:tcPr>
            <w:tcW w:w="800" w:type="dxa"/>
            <w:vAlign w:val="top"/>
          </w:tcPr>
          <w:p w14:paraId="2C01458B">
            <w:pPr>
              <w:spacing w:before="69" w:line="195" w:lineRule="auto"/>
              <w:ind w:left="22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39.5</w:t>
            </w:r>
          </w:p>
        </w:tc>
        <w:tc>
          <w:tcPr>
            <w:tcW w:w="795" w:type="dxa"/>
            <w:vAlign w:val="top"/>
          </w:tcPr>
          <w:p w14:paraId="7B387402">
            <w:pPr>
              <w:spacing w:before="69" w:line="195" w:lineRule="auto"/>
              <w:ind w:left="305"/>
              <w:rPr>
                <w:rFonts w:ascii="Times New Roman" w:hAnsi="Times New Roman" w:eastAsia="Times New Roman" w:cs="Times New Roman"/>
                <w:sz w:val="20"/>
                <w:szCs w:val="20"/>
              </w:rPr>
            </w:pPr>
            <w:r>
              <w:rPr>
                <w:rFonts w:ascii="Times New Roman" w:hAnsi="Times New Roman" w:eastAsia="Times New Roman" w:cs="Times New Roman"/>
                <w:sz w:val="20"/>
                <w:szCs w:val="20"/>
              </w:rPr>
              <w:t>39</w:t>
            </w:r>
          </w:p>
        </w:tc>
        <w:tc>
          <w:tcPr>
            <w:tcW w:w="255" w:type="dxa"/>
            <w:vMerge w:val="continue"/>
            <w:tcBorders>
              <w:top w:val="nil"/>
              <w:bottom w:val="nil"/>
              <w:right w:val="single" w:color="000000" w:sz="6" w:space="0"/>
            </w:tcBorders>
            <w:vAlign w:val="top"/>
          </w:tcPr>
          <w:p w14:paraId="74D63180">
            <w:pPr>
              <w:rPr>
                <w:rFonts w:ascii="Arial"/>
                <w:sz w:val="21"/>
              </w:rPr>
            </w:pPr>
          </w:p>
        </w:tc>
      </w:tr>
      <w:tr w14:paraId="7CF762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599" w:type="dxa"/>
            <w:vMerge w:val="continue"/>
            <w:tcBorders>
              <w:top w:val="nil"/>
              <w:left w:val="single" w:color="000000" w:sz="6" w:space="0"/>
              <w:bottom w:val="nil"/>
            </w:tcBorders>
            <w:vAlign w:val="top"/>
          </w:tcPr>
          <w:p w14:paraId="3A4A15F0">
            <w:pPr>
              <w:rPr>
                <w:rFonts w:ascii="Arial"/>
                <w:sz w:val="21"/>
              </w:rPr>
            </w:pPr>
          </w:p>
        </w:tc>
        <w:tc>
          <w:tcPr>
            <w:tcW w:w="244" w:type="dxa"/>
            <w:vMerge w:val="continue"/>
            <w:tcBorders>
              <w:top w:val="nil"/>
              <w:bottom w:val="nil"/>
            </w:tcBorders>
            <w:vAlign w:val="top"/>
          </w:tcPr>
          <w:p w14:paraId="6351993C">
            <w:pPr>
              <w:rPr>
                <w:rFonts w:ascii="Arial"/>
                <w:sz w:val="21"/>
              </w:rPr>
            </w:pPr>
          </w:p>
        </w:tc>
        <w:tc>
          <w:tcPr>
            <w:tcW w:w="1054" w:type="dxa"/>
            <w:vMerge w:val="continue"/>
            <w:tcBorders>
              <w:top w:val="nil"/>
            </w:tcBorders>
            <w:vAlign w:val="top"/>
          </w:tcPr>
          <w:p w14:paraId="5D31142A">
            <w:pPr>
              <w:rPr>
                <w:rFonts w:ascii="Arial"/>
                <w:sz w:val="21"/>
              </w:rPr>
            </w:pPr>
          </w:p>
        </w:tc>
        <w:tc>
          <w:tcPr>
            <w:tcW w:w="1586" w:type="dxa"/>
            <w:vAlign w:val="top"/>
          </w:tcPr>
          <w:p w14:paraId="0C9A59BF">
            <w:pPr>
              <w:pStyle w:val="9"/>
              <w:spacing w:before="45" w:line="229" w:lineRule="auto"/>
              <w:ind w:left="396"/>
              <w:rPr>
                <w:sz w:val="20"/>
                <w:szCs w:val="20"/>
              </w:rPr>
            </w:pPr>
            <w:r>
              <w:rPr>
                <w:spacing w:val="2"/>
                <w:sz w:val="20"/>
                <w:szCs w:val="20"/>
              </w:rPr>
              <w:t>同时施工</w:t>
            </w:r>
          </w:p>
        </w:tc>
        <w:tc>
          <w:tcPr>
            <w:tcW w:w="656" w:type="dxa"/>
            <w:vAlign w:val="top"/>
          </w:tcPr>
          <w:p w14:paraId="2D6AC5F5">
            <w:pPr>
              <w:spacing w:before="81" w:line="195" w:lineRule="auto"/>
              <w:ind w:left="14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95.2</w:t>
            </w:r>
          </w:p>
        </w:tc>
        <w:tc>
          <w:tcPr>
            <w:tcW w:w="671" w:type="dxa"/>
            <w:vAlign w:val="top"/>
          </w:tcPr>
          <w:p w14:paraId="041F7F3C">
            <w:pPr>
              <w:spacing w:before="81" w:line="195" w:lineRule="auto"/>
              <w:ind w:left="15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75.2</w:t>
            </w:r>
          </w:p>
        </w:tc>
        <w:tc>
          <w:tcPr>
            <w:tcW w:w="679" w:type="dxa"/>
            <w:vAlign w:val="top"/>
          </w:tcPr>
          <w:p w14:paraId="615F179E">
            <w:pPr>
              <w:spacing w:before="81" w:line="195" w:lineRule="auto"/>
              <w:ind w:left="16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69.2</w:t>
            </w:r>
          </w:p>
        </w:tc>
        <w:tc>
          <w:tcPr>
            <w:tcW w:w="717" w:type="dxa"/>
            <w:vAlign w:val="top"/>
          </w:tcPr>
          <w:p w14:paraId="32479E82">
            <w:pPr>
              <w:spacing w:before="81" w:line="195" w:lineRule="auto"/>
              <w:ind w:left="18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65.7</w:t>
            </w:r>
          </w:p>
        </w:tc>
        <w:tc>
          <w:tcPr>
            <w:tcW w:w="741" w:type="dxa"/>
            <w:vAlign w:val="top"/>
          </w:tcPr>
          <w:p w14:paraId="4DE24B16">
            <w:pPr>
              <w:spacing w:before="81" w:line="195" w:lineRule="auto"/>
              <w:ind w:left="19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61.2</w:t>
            </w:r>
          </w:p>
        </w:tc>
        <w:tc>
          <w:tcPr>
            <w:tcW w:w="792" w:type="dxa"/>
            <w:vAlign w:val="top"/>
          </w:tcPr>
          <w:p w14:paraId="715593D6">
            <w:pPr>
              <w:spacing w:before="81" w:line="195" w:lineRule="auto"/>
              <w:ind w:left="22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55.2</w:t>
            </w:r>
          </w:p>
        </w:tc>
        <w:tc>
          <w:tcPr>
            <w:tcW w:w="800" w:type="dxa"/>
            <w:vAlign w:val="top"/>
          </w:tcPr>
          <w:p w14:paraId="21E5F0D2">
            <w:pPr>
              <w:spacing w:before="81" w:line="195" w:lineRule="auto"/>
              <w:ind w:left="22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49.7</w:t>
            </w:r>
          </w:p>
        </w:tc>
        <w:tc>
          <w:tcPr>
            <w:tcW w:w="795" w:type="dxa"/>
            <w:vAlign w:val="top"/>
          </w:tcPr>
          <w:p w14:paraId="221829DE">
            <w:pPr>
              <w:spacing w:before="81" w:line="195" w:lineRule="auto"/>
              <w:ind w:left="24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19.5</w:t>
            </w:r>
          </w:p>
        </w:tc>
        <w:tc>
          <w:tcPr>
            <w:tcW w:w="255" w:type="dxa"/>
            <w:vMerge w:val="continue"/>
            <w:tcBorders>
              <w:top w:val="nil"/>
              <w:bottom w:val="nil"/>
              <w:right w:val="single" w:color="000000" w:sz="6" w:space="0"/>
            </w:tcBorders>
            <w:vAlign w:val="top"/>
          </w:tcPr>
          <w:p w14:paraId="22449FB3">
            <w:pPr>
              <w:rPr>
                <w:rFonts w:ascii="Arial"/>
                <w:sz w:val="21"/>
              </w:rPr>
            </w:pPr>
          </w:p>
        </w:tc>
      </w:tr>
      <w:tr w14:paraId="4F2BB5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599" w:type="dxa"/>
            <w:vMerge w:val="continue"/>
            <w:tcBorders>
              <w:top w:val="nil"/>
              <w:left w:val="single" w:color="000000" w:sz="6" w:space="0"/>
              <w:bottom w:val="nil"/>
            </w:tcBorders>
            <w:vAlign w:val="top"/>
          </w:tcPr>
          <w:p w14:paraId="1AB9E92A">
            <w:pPr>
              <w:rPr>
                <w:rFonts w:ascii="Arial"/>
                <w:sz w:val="21"/>
              </w:rPr>
            </w:pPr>
          </w:p>
        </w:tc>
        <w:tc>
          <w:tcPr>
            <w:tcW w:w="244" w:type="dxa"/>
            <w:vMerge w:val="continue"/>
            <w:tcBorders>
              <w:top w:val="nil"/>
              <w:bottom w:val="nil"/>
            </w:tcBorders>
            <w:vAlign w:val="top"/>
          </w:tcPr>
          <w:p w14:paraId="7E912A84">
            <w:pPr>
              <w:rPr>
                <w:rFonts w:ascii="Arial"/>
                <w:sz w:val="21"/>
              </w:rPr>
            </w:pPr>
          </w:p>
        </w:tc>
        <w:tc>
          <w:tcPr>
            <w:tcW w:w="1054" w:type="dxa"/>
            <w:vMerge w:val="restart"/>
            <w:tcBorders>
              <w:bottom w:val="nil"/>
            </w:tcBorders>
            <w:vAlign w:val="top"/>
          </w:tcPr>
          <w:p w14:paraId="7C96D592">
            <w:pPr>
              <w:pStyle w:val="9"/>
              <w:spacing w:before="218" w:line="255" w:lineRule="auto"/>
              <w:ind w:left="327" w:right="112" w:hanging="215"/>
              <w:rPr>
                <w:sz w:val="20"/>
                <w:szCs w:val="20"/>
              </w:rPr>
            </w:pPr>
            <w:r>
              <w:rPr>
                <w:spacing w:val="6"/>
                <w:sz w:val="20"/>
                <w:szCs w:val="20"/>
              </w:rPr>
              <w:t>结构施工</w:t>
            </w:r>
            <w:r>
              <w:rPr>
                <w:sz w:val="20"/>
                <w:szCs w:val="20"/>
              </w:rPr>
              <w:t>阶段</w:t>
            </w:r>
          </w:p>
        </w:tc>
        <w:tc>
          <w:tcPr>
            <w:tcW w:w="1586" w:type="dxa"/>
            <w:vAlign w:val="top"/>
          </w:tcPr>
          <w:p w14:paraId="7B7F1CC9">
            <w:pPr>
              <w:pStyle w:val="9"/>
              <w:spacing w:before="45" w:line="227" w:lineRule="auto"/>
              <w:ind w:left="169"/>
              <w:rPr>
                <w:sz w:val="20"/>
                <w:szCs w:val="20"/>
              </w:rPr>
            </w:pPr>
            <w:r>
              <w:rPr>
                <w:spacing w:val="7"/>
                <w:sz w:val="20"/>
                <w:szCs w:val="20"/>
              </w:rPr>
              <w:t>混凝土搅拌机</w:t>
            </w:r>
          </w:p>
        </w:tc>
        <w:tc>
          <w:tcPr>
            <w:tcW w:w="656" w:type="dxa"/>
            <w:vAlign w:val="top"/>
          </w:tcPr>
          <w:p w14:paraId="770AE310">
            <w:pPr>
              <w:spacing w:before="81" w:line="195" w:lineRule="auto"/>
              <w:ind w:left="15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85.0</w:t>
            </w:r>
          </w:p>
        </w:tc>
        <w:tc>
          <w:tcPr>
            <w:tcW w:w="671" w:type="dxa"/>
            <w:vAlign w:val="top"/>
          </w:tcPr>
          <w:p w14:paraId="7F8D00DA">
            <w:pPr>
              <w:spacing w:before="81" w:line="195" w:lineRule="auto"/>
              <w:ind w:left="15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65.0</w:t>
            </w:r>
          </w:p>
        </w:tc>
        <w:tc>
          <w:tcPr>
            <w:tcW w:w="679" w:type="dxa"/>
            <w:vAlign w:val="top"/>
          </w:tcPr>
          <w:p w14:paraId="6B16A9E8">
            <w:pPr>
              <w:spacing w:before="81" w:line="195" w:lineRule="auto"/>
              <w:ind w:left="243"/>
              <w:rPr>
                <w:rFonts w:ascii="Times New Roman" w:hAnsi="Times New Roman" w:eastAsia="Times New Roman" w:cs="Times New Roman"/>
                <w:sz w:val="20"/>
                <w:szCs w:val="20"/>
              </w:rPr>
            </w:pPr>
            <w:r>
              <w:rPr>
                <w:rFonts w:ascii="Times New Roman" w:hAnsi="Times New Roman" w:eastAsia="Times New Roman" w:cs="Times New Roman"/>
                <w:sz w:val="20"/>
                <w:szCs w:val="20"/>
              </w:rPr>
              <w:t>59</w:t>
            </w:r>
          </w:p>
        </w:tc>
        <w:tc>
          <w:tcPr>
            <w:tcW w:w="717" w:type="dxa"/>
            <w:vAlign w:val="top"/>
          </w:tcPr>
          <w:p w14:paraId="0499C9AA">
            <w:pPr>
              <w:spacing w:before="84" w:line="192" w:lineRule="auto"/>
              <w:ind w:left="18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55.5</w:t>
            </w:r>
          </w:p>
        </w:tc>
        <w:tc>
          <w:tcPr>
            <w:tcW w:w="741" w:type="dxa"/>
            <w:vAlign w:val="top"/>
          </w:tcPr>
          <w:p w14:paraId="4F99B801">
            <w:pPr>
              <w:spacing w:before="81" w:line="195" w:lineRule="auto"/>
              <w:ind w:left="19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51.0</w:t>
            </w:r>
          </w:p>
        </w:tc>
        <w:tc>
          <w:tcPr>
            <w:tcW w:w="792" w:type="dxa"/>
            <w:vAlign w:val="top"/>
          </w:tcPr>
          <w:p w14:paraId="2FC1C8EC">
            <w:pPr>
              <w:spacing w:before="81" w:line="195" w:lineRule="auto"/>
              <w:ind w:left="21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45.0</w:t>
            </w:r>
          </w:p>
        </w:tc>
        <w:tc>
          <w:tcPr>
            <w:tcW w:w="800" w:type="dxa"/>
            <w:vAlign w:val="top"/>
          </w:tcPr>
          <w:p w14:paraId="427B7F7E">
            <w:pPr>
              <w:spacing w:before="81" w:line="195" w:lineRule="auto"/>
              <w:ind w:left="22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39.5</w:t>
            </w:r>
          </w:p>
        </w:tc>
        <w:tc>
          <w:tcPr>
            <w:tcW w:w="795" w:type="dxa"/>
            <w:vAlign w:val="top"/>
          </w:tcPr>
          <w:p w14:paraId="0623373E">
            <w:pPr>
              <w:spacing w:before="81" w:line="195" w:lineRule="auto"/>
              <w:ind w:left="2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39.0</w:t>
            </w:r>
          </w:p>
        </w:tc>
        <w:tc>
          <w:tcPr>
            <w:tcW w:w="255" w:type="dxa"/>
            <w:vMerge w:val="continue"/>
            <w:tcBorders>
              <w:top w:val="nil"/>
              <w:bottom w:val="nil"/>
              <w:right w:val="single" w:color="000000" w:sz="6" w:space="0"/>
            </w:tcBorders>
            <w:vAlign w:val="top"/>
          </w:tcPr>
          <w:p w14:paraId="1F11EF65">
            <w:pPr>
              <w:rPr>
                <w:rFonts w:ascii="Arial"/>
                <w:sz w:val="21"/>
              </w:rPr>
            </w:pPr>
          </w:p>
        </w:tc>
      </w:tr>
      <w:tr w14:paraId="72EDC7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599" w:type="dxa"/>
            <w:vMerge w:val="continue"/>
            <w:tcBorders>
              <w:top w:val="nil"/>
              <w:left w:val="single" w:color="000000" w:sz="6" w:space="0"/>
              <w:bottom w:val="nil"/>
            </w:tcBorders>
            <w:vAlign w:val="top"/>
          </w:tcPr>
          <w:p w14:paraId="011BEC34">
            <w:pPr>
              <w:rPr>
                <w:rFonts w:ascii="Arial"/>
                <w:sz w:val="21"/>
              </w:rPr>
            </w:pPr>
          </w:p>
        </w:tc>
        <w:tc>
          <w:tcPr>
            <w:tcW w:w="244" w:type="dxa"/>
            <w:vMerge w:val="continue"/>
            <w:tcBorders>
              <w:top w:val="nil"/>
              <w:bottom w:val="nil"/>
            </w:tcBorders>
            <w:vAlign w:val="top"/>
          </w:tcPr>
          <w:p w14:paraId="56865A8F">
            <w:pPr>
              <w:rPr>
                <w:rFonts w:ascii="Arial"/>
                <w:sz w:val="21"/>
              </w:rPr>
            </w:pPr>
          </w:p>
        </w:tc>
        <w:tc>
          <w:tcPr>
            <w:tcW w:w="1054" w:type="dxa"/>
            <w:vMerge w:val="continue"/>
            <w:tcBorders>
              <w:top w:val="nil"/>
              <w:bottom w:val="nil"/>
            </w:tcBorders>
            <w:vAlign w:val="top"/>
          </w:tcPr>
          <w:p w14:paraId="5636CF69">
            <w:pPr>
              <w:rPr>
                <w:rFonts w:ascii="Arial"/>
                <w:sz w:val="21"/>
              </w:rPr>
            </w:pPr>
          </w:p>
        </w:tc>
        <w:tc>
          <w:tcPr>
            <w:tcW w:w="1586" w:type="dxa"/>
            <w:vAlign w:val="top"/>
          </w:tcPr>
          <w:p w14:paraId="25EA7E07">
            <w:pPr>
              <w:pStyle w:val="9"/>
              <w:spacing w:before="46" w:line="228" w:lineRule="auto"/>
              <w:ind w:left="480"/>
              <w:rPr>
                <w:sz w:val="20"/>
                <w:szCs w:val="20"/>
              </w:rPr>
            </w:pPr>
            <w:r>
              <w:rPr>
                <w:spacing w:val="7"/>
                <w:sz w:val="20"/>
                <w:szCs w:val="20"/>
              </w:rPr>
              <w:t>振捣器</w:t>
            </w:r>
          </w:p>
        </w:tc>
        <w:tc>
          <w:tcPr>
            <w:tcW w:w="656" w:type="dxa"/>
            <w:vAlign w:val="top"/>
          </w:tcPr>
          <w:p w14:paraId="59CDE0F6">
            <w:pPr>
              <w:spacing w:before="82" w:line="195" w:lineRule="auto"/>
              <w:ind w:left="14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95.0</w:t>
            </w:r>
          </w:p>
        </w:tc>
        <w:tc>
          <w:tcPr>
            <w:tcW w:w="671" w:type="dxa"/>
            <w:vAlign w:val="top"/>
          </w:tcPr>
          <w:p w14:paraId="1E9687CF">
            <w:pPr>
              <w:spacing w:before="82" w:line="195" w:lineRule="auto"/>
              <w:ind w:left="15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75.0</w:t>
            </w:r>
          </w:p>
        </w:tc>
        <w:tc>
          <w:tcPr>
            <w:tcW w:w="679" w:type="dxa"/>
            <w:vAlign w:val="top"/>
          </w:tcPr>
          <w:p w14:paraId="6E0CFD2C">
            <w:pPr>
              <w:spacing w:before="82" w:line="195" w:lineRule="auto"/>
              <w:ind w:left="16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69.0</w:t>
            </w:r>
          </w:p>
        </w:tc>
        <w:tc>
          <w:tcPr>
            <w:tcW w:w="717" w:type="dxa"/>
            <w:vAlign w:val="top"/>
          </w:tcPr>
          <w:p w14:paraId="309D621F">
            <w:pPr>
              <w:spacing w:before="82" w:line="195" w:lineRule="auto"/>
              <w:ind w:left="18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65.5</w:t>
            </w:r>
          </w:p>
        </w:tc>
        <w:tc>
          <w:tcPr>
            <w:tcW w:w="741" w:type="dxa"/>
            <w:vAlign w:val="top"/>
          </w:tcPr>
          <w:p w14:paraId="218AE9CC">
            <w:pPr>
              <w:spacing w:before="82" w:line="195" w:lineRule="auto"/>
              <w:ind w:left="19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61.0</w:t>
            </w:r>
          </w:p>
        </w:tc>
        <w:tc>
          <w:tcPr>
            <w:tcW w:w="792" w:type="dxa"/>
            <w:vAlign w:val="top"/>
          </w:tcPr>
          <w:p w14:paraId="1C903F0D">
            <w:pPr>
              <w:spacing w:before="82" w:line="195" w:lineRule="auto"/>
              <w:ind w:left="22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55.0</w:t>
            </w:r>
          </w:p>
        </w:tc>
        <w:tc>
          <w:tcPr>
            <w:tcW w:w="800" w:type="dxa"/>
            <w:vAlign w:val="top"/>
          </w:tcPr>
          <w:p w14:paraId="7CC98530">
            <w:pPr>
              <w:spacing w:before="82" w:line="195" w:lineRule="auto"/>
              <w:ind w:left="22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49.5</w:t>
            </w:r>
          </w:p>
        </w:tc>
        <w:tc>
          <w:tcPr>
            <w:tcW w:w="795" w:type="dxa"/>
            <w:vAlign w:val="top"/>
          </w:tcPr>
          <w:p w14:paraId="208680E6">
            <w:pPr>
              <w:spacing w:before="82" w:line="195" w:lineRule="auto"/>
              <w:ind w:left="22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49.0</w:t>
            </w:r>
          </w:p>
        </w:tc>
        <w:tc>
          <w:tcPr>
            <w:tcW w:w="255" w:type="dxa"/>
            <w:vMerge w:val="continue"/>
            <w:tcBorders>
              <w:top w:val="nil"/>
              <w:bottom w:val="nil"/>
              <w:right w:val="single" w:color="000000" w:sz="6" w:space="0"/>
            </w:tcBorders>
            <w:vAlign w:val="top"/>
          </w:tcPr>
          <w:p w14:paraId="791274A2">
            <w:pPr>
              <w:rPr>
                <w:rFonts w:ascii="Arial"/>
                <w:sz w:val="21"/>
              </w:rPr>
            </w:pPr>
          </w:p>
        </w:tc>
      </w:tr>
      <w:tr w14:paraId="77F4D8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rPr>
        <w:tc>
          <w:tcPr>
            <w:tcW w:w="599" w:type="dxa"/>
            <w:vMerge w:val="continue"/>
            <w:tcBorders>
              <w:top w:val="nil"/>
              <w:left w:val="single" w:color="000000" w:sz="6" w:space="0"/>
              <w:bottom w:val="nil"/>
            </w:tcBorders>
            <w:vAlign w:val="top"/>
          </w:tcPr>
          <w:p w14:paraId="0CBBDA29">
            <w:pPr>
              <w:rPr>
                <w:rFonts w:ascii="Arial"/>
                <w:sz w:val="21"/>
              </w:rPr>
            </w:pPr>
          </w:p>
        </w:tc>
        <w:tc>
          <w:tcPr>
            <w:tcW w:w="244" w:type="dxa"/>
            <w:vMerge w:val="continue"/>
            <w:tcBorders>
              <w:top w:val="nil"/>
              <w:bottom w:val="nil"/>
            </w:tcBorders>
            <w:vAlign w:val="top"/>
          </w:tcPr>
          <w:p w14:paraId="38F118ED">
            <w:pPr>
              <w:rPr>
                <w:rFonts w:ascii="Arial"/>
                <w:sz w:val="21"/>
              </w:rPr>
            </w:pPr>
          </w:p>
        </w:tc>
        <w:tc>
          <w:tcPr>
            <w:tcW w:w="1054" w:type="dxa"/>
            <w:vMerge w:val="continue"/>
            <w:tcBorders>
              <w:top w:val="nil"/>
            </w:tcBorders>
            <w:vAlign w:val="top"/>
          </w:tcPr>
          <w:p w14:paraId="016F34F9">
            <w:pPr>
              <w:rPr>
                <w:rFonts w:ascii="Arial"/>
                <w:sz w:val="21"/>
              </w:rPr>
            </w:pPr>
          </w:p>
        </w:tc>
        <w:tc>
          <w:tcPr>
            <w:tcW w:w="1586" w:type="dxa"/>
            <w:vAlign w:val="top"/>
          </w:tcPr>
          <w:p w14:paraId="24190CC1">
            <w:pPr>
              <w:pStyle w:val="9"/>
              <w:spacing w:before="47" w:line="228" w:lineRule="auto"/>
              <w:ind w:left="396"/>
              <w:rPr>
                <w:sz w:val="20"/>
                <w:szCs w:val="20"/>
              </w:rPr>
            </w:pPr>
            <w:r>
              <w:rPr>
                <w:spacing w:val="2"/>
                <w:sz w:val="20"/>
                <w:szCs w:val="20"/>
              </w:rPr>
              <w:t>同时施工</w:t>
            </w:r>
          </w:p>
        </w:tc>
        <w:tc>
          <w:tcPr>
            <w:tcW w:w="656" w:type="dxa"/>
            <w:vAlign w:val="top"/>
          </w:tcPr>
          <w:p w14:paraId="3793B7D7">
            <w:pPr>
              <w:spacing w:before="83" w:line="195" w:lineRule="auto"/>
              <w:ind w:left="14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95.4</w:t>
            </w:r>
          </w:p>
        </w:tc>
        <w:tc>
          <w:tcPr>
            <w:tcW w:w="671" w:type="dxa"/>
            <w:vAlign w:val="top"/>
          </w:tcPr>
          <w:p w14:paraId="6F266ECE">
            <w:pPr>
              <w:spacing w:before="83" w:line="195" w:lineRule="auto"/>
              <w:ind w:left="15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75.4</w:t>
            </w:r>
          </w:p>
        </w:tc>
        <w:tc>
          <w:tcPr>
            <w:tcW w:w="679" w:type="dxa"/>
            <w:vAlign w:val="top"/>
          </w:tcPr>
          <w:p w14:paraId="206F5E13">
            <w:pPr>
              <w:spacing w:before="83" w:line="195" w:lineRule="auto"/>
              <w:ind w:left="16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69.4</w:t>
            </w:r>
          </w:p>
        </w:tc>
        <w:tc>
          <w:tcPr>
            <w:tcW w:w="717" w:type="dxa"/>
            <w:vAlign w:val="top"/>
          </w:tcPr>
          <w:p w14:paraId="1DEEE223">
            <w:pPr>
              <w:spacing w:before="83" w:line="195" w:lineRule="auto"/>
              <w:ind w:left="18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65.9</w:t>
            </w:r>
          </w:p>
        </w:tc>
        <w:tc>
          <w:tcPr>
            <w:tcW w:w="741" w:type="dxa"/>
            <w:vAlign w:val="top"/>
          </w:tcPr>
          <w:p w14:paraId="2841CE46">
            <w:pPr>
              <w:spacing w:before="83" w:line="195" w:lineRule="auto"/>
              <w:ind w:left="19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61.4</w:t>
            </w:r>
          </w:p>
        </w:tc>
        <w:tc>
          <w:tcPr>
            <w:tcW w:w="792" w:type="dxa"/>
            <w:vAlign w:val="top"/>
          </w:tcPr>
          <w:p w14:paraId="317DA37B">
            <w:pPr>
              <w:spacing w:before="83" w:line="195" w:lineRule="auto"/>
              <w:ind w:left="22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55.4</w:t>
            </w:r>
          </w:p>
        </w:tc>
        <w:tc>
          <w:tcPr>
            <w:tcW w:w="800" w:type="dxa"/>
            <w:vAlign w:val="top"/>
          </w:tcPr>
          <w:p w14:paraId="164F506C">
            <w:pPr>
              <w:spacing w:before="83" w:line="195" w:lineRule="auto"/>
              <w:ind w:left="22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49.9</w:t>
            </w:r>
          </w:p>
        </w:tc>
        <w:tc>
          <w:tcPr>
            <w:tcW w:w="795" w:type="dxa"/>
            <w:vAlign w:val="top"/>
          </w:tcPr>
          <w:p w14:paraId="69BC1A7C">
            <w:pPr>
              <w:spacing w:before="83" w:line="195" w:lineRule="auto"/>
              <w:ind w:left="220"/>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49.4</w:t>
            </w:r>
          </w:p>
        </w:tc>
        <w:tc>
          <w:tcPr>
            <w:tcW w:w="255" w:type="dxa"/>
            <w:vMerge w:val="continue"/>
            <w:tcBorders>
              <w:top w:val="nil"/>
              <w:bottom w:val="nil"/>
              <w:right w:val="single" w:color="000000" w:sz="6" w:space="0"/>
            </w:tcBorders>
            <w:vAlign w:val="top"/>
          </w:tcPr>
          <w:p w14:paraId="68F5B18E">
            <w:pPr>
              <w:rPr>
                <w:rFonts w:ascii="Arial"/>
                <w:sz w:val="21"/>
              </w:rPr>
            </w:pPr>
          </w:p>
        </w:tc>
      </w:tr>
      <w:tr w14:paraId="02F80D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599" w:type="dxa"/>
            <w:vMerge w:val="continue"/>
            <w:tcBorders>
              <w:top w:val="nil"/>
              <w:left w:val="single" w:color="000000" w:sz="6" w:space="0"/>
              <w:bottom w:val="nil"/>
            </w:tcBorders>
            <w:vAlign w:val="top"/>
          </w:tcPr>
          <w:p w14:paraId="366CA3F6">
            <w:pPr>
              <w:rPr>
                <w:rFonts w:ascii="Arial"/>
                <w:sz w:val="21"/>
              </w:rPr>
            </w:pPr>
          </w:p>
        </w:tc>
        <w:tc>
          <w:tcPr>
            <w:tcW w:w="244" w:type="dxa"/>
            <w:vMerge w:val="continue"/>
            <w:tcBorders>
              <w:top w:val="nil"/>
              <w:bottom w:val="nil"/>
            </w:tcBorders>
            <w:vAlign w:val="top"/>
          </w:tcPr>
          <w:p w14:paraId="0EC8FEF7">
            <w:pPr>
              <w:rPr>
                <w:rFonts w:ascii="Arial"/>
                <w:sz w:val="21"/>
              </w:rPr>
            </w:pPr>
          </w:p>
        </w:tc>
        <w:tc>
          <w:tcPr>
            <w:tcW w:w="1054" w:type="dxa"/>
            <w:vMerge w:val="restart"/>
            <w:tcBorders>
              <w:bottom w:val="nil"/>
            </w:tcBorders>
            <w:vAlign w:val="top"/>
          </w:tcPr>
          <w:p w14:paraId="433B5099">
            <w:pPr>
              <w:spacing w:line="309" w:lineRule="auto"/>
              <w:rPr>
                <w:rFonts w:ascii="Arial"/>
                <w:sz w:val="21"/>
              </w:rPr>
            </w:pPr>
          </w:p>
          <w:p w14:paraId="6402ECF1">
            <w:pPr>
              <w:pStyle w:val="9"/>
              <w:spacing w:before="65" w:line="255" w:lineRule="auto"/>
              <w:ind w:left="108" w:right="112" w:firstLine="1"/>
              <w:rPr>
                <w:sz w:val="20"/>
                <w:szCs w:val="20"/>
              </w:rPr>
            </w:pPr>
            <w:r>
              <w:rPr>
                <w:spacing w:val="6"/>
                <w:sz w:val="20"/>
                <w:szCs w:val="20"/>
              </w:rPr>
              <w:t>设备安装调试阶段</w:t>
            </w:r>
          </w:p>
        </w:tc>
        <w:tc>
          <w:tcPr>
            <w:tcW w:w="1586" w:type="dxa"/>
            <w:vAlign w:val="top"/>
          </w:tcPr>
          <w:p w14:paraId="24F76B2C">
            <w:pPr>
              <w:pStyle w:val="9"/>
              <w:spacing w:before="48" w:line="228" w:lineRule="auto"/>
              <w:ind w:left="294"/>
              <w:rPr>
                <w:sz w:val="20"/>
                <w:szCs w:val="20"/>
              </w:rPr>
            </w:pPr>
            <w:r>
              <w:rPr>
                <w:spacing w:val="3"/>
                <w:sz w:val="20"/>
                <w:szCs w:val="20"/>
              </w:rPr>
              <w:t>电锯、电刨</w:t>
            </w:r>
          </w:p>
        </w:tc>
        <w:tc>
          <w:tcPr>
            <w:tcW w:w="656" w:type="dxa"/>
            <w:vAlign w:val="top"/>
          </w:tcPr>
          <w:p w14:paraId="15D6803E">
            <w:pPr>
              <w:spacing w:before="86" w:line="195" w:lineRule="auto"/>
              <w:ind w:left="19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100</w:t>
            </w:r>
          </w:p>
        </w:tc>
        <w:tc>
          <w:tcPr>
            <w:tcW w:w="671" w:type="dxa"/>
            <w:vAlign w:val="top"/>
          </w:tcPr>
          <w:p w14:paraId="50E6BD6C">
            <w:pPr>
              <w:spacing w:before="86" w:line="195" w:lineRule="auto"/>
              <w:ind w:left="15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78.0</w:t>
            </w:r>
          </w:p>
        </w:tc>
        <w:tc>
          <w:tcPr>
            <w:tcW w:w="679" w:type="dxa"/>
            <w:vAlign w:val="top"/>
          </w:tcPr>
          <w:p w14:paraId="5E3EC751">
            <w:pPr>
              <w:spacing w:before="86" w:line="195" w:lineRule="auto"/>
              <w:ind w:left="16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72.0</w:t>
            </w:r>
          </w:p>
        </w:tc>
        <w:tc>
          <w:tcPr>
            <w:tcW w:w="717" w:type="dxa"/>
            <w:vAlign w:val="top"/>
          </w:tcPr>
          <w:p w14:paraId="7D608851">
            <w:pPr>
              <w:spacing w:before="86" w:line="195" w:lineRule="auto"/>
              <w:ind w:left="18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68.5</w:t>
            </w:r>
          </w:p>
        </w:tc>
        <w:tc>
          <w:tcPr>
            <w:tcW w:w="741" w:type="dxa"/>
            <w:vAlign w:val="top"/>
          </w:tcPr>
          <w:p w14:paraId="550A0C69">
            <w:pPr>
              <w:spacing w:before="86" w:line="195" w:lineRule="auto"/>
              <w:ind w:left="19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64.0</w:t>
            </w:r>
          </w:p>
        </w:tc>
        <w:tc>
          <w:tcPr>
            <w:tcW w:w="792" w:type="dxa"/>
            <w:vAlign w:val="top"/>
          </w:tcPr>
          <w:p w14:paraId="0101E686">
            <w:pPr>
              <w:spacing w:before="86" w:line="195" w:lineRule="auto"/>
              <w:ind w:left="22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58.0</w:t>
            </w:r>
          </w:p>
        </w:tc>
        <w:tc>
          <w:tcPr>
            <w:tcW w:w="800" w:type="dxa"/>
            <w:vAlign w:val="top"/>
          </w:tcPr>
          <w:p w14:paraId="2E2D6215">
            <w:pPr>
              <w:spacing w:before="86" w:line="195" w:lineRule="auto"/>
              <w:ind w:left="22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54.5</w:t>
            </w:r>
          </w:p>
        </w:tc>
        <w:tc>
          <w:tcPr>
            <w:tcW w:w="795" w:type="dxa"/>
            <w:vAlign w:val="top"/>
          </w:tcPr>
          <w:p w14:paraId="7BBBA31C">
            <w:pPr>
              <w:spacing w:before="86" w:line="195" w:lineRule="auto"/>
              <w:ind w:left="22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52.0</w:t>
            </w:r>
          </w:p>
        </w:tc>
        <w:tc>
          <w:tcPr>
            <w:tcW w:w="255" w:type="dxa"/>
            <w:vMerge w:val="continue"/>
            <w:tcBorders>
              <w:top w:val="nil"/>
              <w:bottom w:val="nil"/>
              <w:right w:val="single" w:color="000000" w:sz="6" w:space="0"/>
            </w:tcBorders>
            <w:vAlign w:val="top"/>
          </w:tcPr>
          <w:p w14:paraId="59FCB2E2">
            <w:pPr>
              <w:rPr>
                <w:rFonts w:ascii="Arial"/>
                <w:sz w:val="21"/>
              </w:rPr>
            </w:pPr>
          </w:p>
        </w:tc>
      </w:tr>
      <w:tr w14:paraId="1A32E5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599" w:type="dxa"/>
            <w:vMerge w:val="continue"/>
            <w:tcBorders>
              <w:top w:val="nil"/>
              <w:left w:val="single" w:color="000000" w:sz="6" w:space="0"/>
              <w:bottom w:val="nil"/>
            </w:tcBorders>
            <w:vAlign w:val="top"/>
          </w:tcPr>
          <w:p w14:paraId="5D123005">
            <w:pPr>
              <w:rPr>
                <w:rFonts w:ascii="Arial"/>
                <w:sz w:val="21"/>
              </w:rPr>
            </w:pPr>
          </w:p>
        </w:tc>
        <w:tc>
          <w:tcPr>
            <w:tcW w:w="244" w:type="dxa"/>
            <w:vMerge w:val="continue"/>
            <w:tcBorders>
              <w:top w:val="nil"/>
              <w:bottom w:val="nil"/>
            </w:tcBorders>
            <w:vAlign w:val="top"/>
          </w:tcPr>
          <w:p w14:paraId="68B3A35D">
            <w:pPr>
              <w:rPr>
                <w:rFonts w:ascii="Arial"/>
                <w:sz w:val="21"/>
              </w:rPr>
            </w:pPr>
          </w:p>
        </w:tc>
        <w:tc>
          <w:tcPr>
            <w:tcW w:w="1054" w:type="dxa"/>
            <w:vMerge w:val="continue"/>
            <w:tcBorders>
              <w:top w:val="nil"/>
              <w:bottom w:val="nil"/>
            </w:tcBorders>
            <w:vAlign w:val="top"/>
          </w:tcPr>
          <w:p w14:paraId="145B15CD">
            <w:pPr>
              <w:rPr>
                <w:rFonts w:ascii="Arial"/>
                <w:sz w:val="21"/>
              </w:rPr>
            </w:pPr>
          </w:p>
        </w:tc>
        <w:tc>
          <w:tcPr>
            <w:tcW w:w="1586" w:type="dxa"/>
            <w:vAlign w:val="top"/>
          </w:tcPr>
          <w:p w14:paraId="3C9CC9EB">
            <w:pPr>
              <w:pStyle w:val="9"/>
              <w:spacing w:before="47" w:line="227" w:lineRule="auto"/>
              <w:ind w:left="481"/>
              <w:rPr>
                <w:sz w:val="20"/>
                <w:szCs w:val="20"/>
              </w:rPr>
            </w:pPr>
            <w:r>
              <w:rPr>
                <w:spacing w:val="6"/>
                <w:sz w:val="20"/>
                <w:szCs w:val="20"/>
              </w:rPr>
              <w:t>起重机</w:t>
            </w:r>
          </w:p>
        </w:tc>
        <w:tc>
          <w:tcPr>
            <w:tcW w:w="656" w:type="dxa"/>
            <w:vAlign w:val="top"/>
          </w:tcPr>
          <w:p w14:paraId="716AAC6F">
            <w:pPr>
              <w:spacing w:before="85" w:line="195" w:lineRule="auto"/>
              <w:ind w:left="23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85</w:t>
            </w:r>
          </w:p>
        </w:tc>
        <w:tc>
          <w:tcPr>
            <w:tcW w:w="671" w:type="dxa"/>
            <w:vAlign w:val="top"/>
          </w:tcPr>
          <w:p w14:paraId="5C890580">
            <w:pPr>
              <w:spacing w:before="85" w:line="195" w:lineRule="auto"/>
              <w:ind w:left="15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63.0</w:t>
            </w:r>
          </w:p>
        </w:tc>
        <w:tc>
          <w:tcPr>
            <w:tcW w:w="679" w:type="dxa"/>
            <w:vAlign w:val="top"/>
          </w:tcPr>
          <w:p w14:paraId="20F61B55">
            <w:pPr>
              <w:spacing w:before="85"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57.0</w:t>
            </w:r>
          </w:p>
        </w:tc>
        <w:tc>
          <w:tcPr>
            <w:tcW w:w="717" w:type="dxa"/>
            <w:vAlign w:val="top"/>
          </w:tcPr>
          <w:p w14:paraId="1D7B195A">
            <w:pPr>
              <w:spacing w:before="85" w:line="195" w:lineRule="auto"/>
              <w:ind w:left="18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53.5</w:t>
            </w:r>
          </w:p>
        </w:tc>
        <w:tc>
          <w:tcPr>
            <w:tcW w:w="741" w:type="dxa"/>
            <w:vAlign w:val="top"/>
          </w:tcPr>
          <w:p w14:paraId="0D9756B7">
            <w:pPr>
              <w:spacing w:before="85" w:line="195" w:lineRule="auto"/>
              <w:ind w:left="18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49.0</w:t>
            </w:r>
          </w:p>
        </w:tc>
        <w:tc>
          <w:tcPr>
            <w:tcW w:w="792" w:type="dxa"/>
            <w:vAlign w:val="top"/>
          </w:tcPr>
          <w:p w14:paraId="7472B9F9">
            <w:pPr>
              <w:spacing w:before="85" w:line="195" w:lineRule="auto"/>
              <w:ind w:left="21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43.0</w:t>
            </w:r>
          </w:p>
        </w:tc>
        <w:tc>
          <w:tcPr>
            <w:tcW w:w="800" w:type="dxa"/>
            <w:vAlign w:val="top"/>
          </w:tcPr>
          <w:p w14:paraId="479E4E8D">
            <w:pPr>
              <w:spacing w:before="85" w:line="195" w:lineRule="auto"/>
              <w:ind w:left="22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39.5</w:t>
            </w:r>
          </w:p>
        </w:tc>
        <w:tc>
          <w:tcPr>
            <w:tcW w:w="795" w:type="dxa"/>
            <w:vAlign w:val="top"/>
          </w:tcPr>
          <w:p w14:paraId="4BF7A8FF">
            <w:pPr>
              <w:spacing w:before="85" w:line="195" w:lineRule="auto"/>
              <w:ind w:left="2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37.0</w:t>
            </w:r>
          </w:p>
        </w:tc>
        <w:tc>
          <w:tcPr>
            <w:tcW w:w="255" w:type="dxa"/>
            <w:vMerge w:val="continue"/>
            <w:tcBorders>
              <w:top w:val="nil"/>
              <w:bottom w:val="nil"/>
              <w:right w:val="single" w:color="000000" w:sz="6" w:space="0"/>
            </w:tcBorders>
            <w:vAlign w:val="top"/>
          </w:tcPr>
          <w:p w14:paraId="08914B16">
            <w:pPr>
              <w:rPr>
                <w:rFonts w:ascii="Arial"/>
                <w:sz w:val="21"/>
              </w:rPr>
            </w:pPr>
          </w:p>
        </w:tc>
      </w:tr>
      <w:tr w14:paraId="6B3E41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599" w:type="dxa"/>
            <w:vMerge w:val="continue"/>
            <w:tcBorders>
              <w:top w:val="nil"/>
              <w:left w:val="single" w:color="000000" w:sz="6" w:space="0"/>
              <w:bottom w:val="nil"/>
            </w:tcBorders>
            <w:vAlign w:val="top"/>
          </w:tcPr>
          <w:p w14:paraId="363C1995">
            <w:pPr>
              <w:rPr>
                <w:rFonts w:ascii="Arial"/>
                <w:sz w:val="21"/>
              </w:rPr>
            </w:pPr>
          </w:p>
        </w:tc>
        <w:tc>
          <w:tcPr>
            <w:tcW w:w="244" w:type="dxa"/>
            <w:vMerge w:val="continue"/>
            <w:tcBorders>
              <w:top w:val="nil"/>
              <w:bottom w:val="nil"/>
            </w:tcBorders>
            <w:vAlign w:val="top"/>
          </w:tcPr>
          <w:p w14:paraId="2A96F8B9">
            <w:pPr>
              <w:rPr>
                <w:rFonts w:ascii="Arial"/>
                <w:sz w:val="21"/>
              </w:rPr>
            </w:pPr>
          </w:p>
        </w:tc>
        <w:tc>
          <w:tcPr>
            <w:tcW w:w="1054" w:type="dxa"/>
            <w:vMerge w:val="continue"/>
            <w:tcBorders>
              <w:top w:val="nil"/>
              <w:bottom w:val="nil"/>
            </w:tcBorders>
            <w:vAlign w:val="top"/>
          </w:tcPr>
          <w:p w14:paraId="3D62E037">
            <w:pPr>
              <w:rPr>
                <w:rFonts w:ascii="Arial"/>
                <w:sz w:val="21"/>
              </w:rPr>
            </w:pPr>
          </w:p>
        </w:tc>
        <w:tc>
          <w:tcPr>
            <w:tcW w:w="1586" w:type="dxa"/>
            <w:vAlign w:val="top"/>
          </w:tcPr>
          <w:p w14:paraId="11A61C0E">
            <w:pPr>
              <w:pStyle w:val="9"/>
              <w:spacing w:before="49" w:line="227" w:lineRule="auto"/>
              <w:ind w:left="192"/>
              <w:rPr>
                <w:sz w:val="20"/>
                <w:szCs w:val="20"/>
              </w:rPr>
            </w:pPr>
            <w:r>
              <w:rPr>
                <w:spacing w:val="4"/>
                <w:sz w:val="20"/>
                <w:szCs w:val="20"/>
              </w:rPr>
              <w:t>吊车、升降机</w:t>
            </w:r>
          </w:p>
        </w:tc>
        <w:tc>
          <w:tcPr>
            <w:tcW w:w="656" w:type="dxa"/>
            <w:vAlign w:val="top"/>
          </w:tcPr>
          <w:p w14:paraId="5D965136">
            <w:pPr>
              <w:spacing w:before="85" w:line="195" w:lineRule="auto"/>
              <w:ind w:left="23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85</w:t>
            </w:r>
          </w:p>
        </w:tc>
        <w:tc>
          <w:tcPr>
            <w:tcW w:w="671" w:type="dxa"/>
            <w:vAlign w:val="top"/>
          </w:tcPr>
          <w:p w14:paraId="2FBC1F2D">
            <w:pPr>
              <w:spacing w:before="85" w:line="195" w:lineRule="auto"/>
              <w:ind w:left="15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63.0</w:t>
            </w:r>
          </w:p>
        </w:tc>
        <w:tc>
          <w:tcPr>
            <w:tcW w:w="679" w:type="dxa"/>
            <w:vAlign w:val="top"/>
          </w:tcPr>
          <w:p w14:paraId="74A78C8A">
            <w:pPr>
              <w:spacing w:before="85" w:line="195" w:lineRule="auto"/>
              <w:ind w:left="1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57.0</w:t>
            </w:r>
          </w:p>
        </w:tc>
        <w:tc>
          <w:tcPr>
            <w:tcW w:w="717" w:type="dxa"/>
            <w:vAlign w:val="top"/>
          </w:tcPr>
          <w:p w14:paraId="45EE44DD">
            <w:pPr>
              <w:spacing w:before="85" w:line="195" w:lineRule="auto"/>
              <w:ind w:left="18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53.5</w:t>
            </w:r>
          </w:p>
        </w:tc>
        <w:tc>
          <w:tcPr>
            <w:tcW w:w="741" w:type="dxa"/>
            <w:vAlign w:val="top"/>
          </w:tcPr>
          <w:p w14:paraId="7DDC7922">
            <w:pPr>
              <w:spacing w:before="85" w:line="195" w:lineRule="auto"/>
              <w:ind w:left="18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49.0</w:t>
            </w:r>
          </w:p>
        </w:tc>
        <w:tc>
          <w:tcPr>
            <w:tcW w:w="792" w:type="dxa"/>
            <w:vAlign w:val="top"/>
          </w:tcPr>
          <w:p w14:paraId="3DB46E5F">
            <w:pPr>
              <w:spacing w:before="85" w:line="195" w:lineRule="auto"/>
              <w:ind w:left="21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43.0</w:t>
            </w:r>
          </w:p>
        </w:tc>
        <w:tc>
          <w:tcPr>
            <w:tcW w:w="800" w:type="dxa"/>
            <w:vAlign w:val="top"/>
          </w:tcPr>
          <w:p w14:paraId="63B7E5DC">
            <w:pPr>
              <w:spacing w:before="85" w:line="195" w:lineRule="auto"/>
              <w:ind w:left="22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39.5</w:t>
            </w:r>
          </w:p>
        </w:tc>
        <w:tc>
          <w:tcPr>
            <w:tcW w:w="795" w:type="dxa"/>
            <w:vAlign w:val="top"/>
          </w:tcPr>
          <w:p w14:paraId="01BE545E">
            <w:pPr>
              <w:spacing w:before="85" w:line="195" w:lineRule="auto"/>
              <w:ind w:left="22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37.0</w:t>
            </w:r>
          </w:p>
        </w:tc>
        <w:tc>
          <w:tcPr>
            <w:tcW w:w="255" w:type="dxa"/>
            <w:vMerge w:val="continue"/>
            <w:tcBorders>
              <w:top w:val="nil"/>
              <w:bottom w:val="nil"/>
              <w:right w:val="single" w:color="000000" w:sz="6" w:space="0"/>
            </w:tcBorders>
            <w:vAlign w:val="top"/>
          </w:tcPr>
          <w:p w14:paraId="2DC88A85">
            <w:pPr>
              <w:rPr>
                <w:rFonts w:ascii="Arial"/>
                <w:sz w:val="21"/>
              </w:rPr>
            </w:pPr>
          </w:p>
        </w:tc>
      </w:tr>
      <w:tr w14:paraId="7C4714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599" w:type="dxa"/>
            <w:vMerge w:val="continue"/>
            <w:tcBorders>
              <w:top w:val="nil"/>
              <w:left w:val="single" w:color="000000" w:sz="6" w:space="0"/>
              <w:bottom w:val="nil"/>
            </w:tcBorders>
            <w:vAlign w:val="top"/>
          </w:tcPr>
          <w:p w14:paraId="09BDE967">
            <w:pPr>
              <w:rPr>
                <w:rFonts w:ascii="Arial"/>
                <w:sz w:val="21"/>
              </w:rPr>
            </w:pPr>
          </w:p>
        </w:tc>
        <w:tc>
          <w:tcPr>
            <w:tcW w:w="244" w:type="dxa"/>
            <w:vMerge w:val="continue"/>
            <w:tcBorders>
              <w:top w:val="nil"/>
              <w:bottom w:val="nil"/>
            </w:tcBorders>
            <w:vAlign w:val="top"/>
          </w:tcPr>
          <w:p w14:paraId="24F1632D">
            <w:pPr>
              <w:rPr>
                <w:rFonts w:ascii="Arial"/>
                <w:sz w:val="21"/>
              </w:rPr>
            </w:pPr>
          </w:p>
        </w:tc>
        <w:tc>
          <w:tcPr>
            <w:tcW w:w="1054" w:type="dxa"/>
            <w:vMerge w:val="continue"/>
            <w:tcBorders>
              <w:top w:val="nil"/>
            </w:tcBorders>
            <w:vAlign w:val="top"/>
          </w:tcPr>
          <w:p w14:paraId="2804D8E5">
            <w:pPr>
              <w:rPr>
                <w:rFonts w:ascii="Arial"/>
                <w:sz w:val="21"/>
              </w:rPr>
            </w:pPr>
          </w:p>
        </w:tc>
        <w:tc>
          <w:tcPr>
            <w:tcW w:w="1586" w:type="dxa"/>
            <w:vAlign w:val="top"/>
          </w:tcPr>
          <w:p w14:paraId="44432D02">
            <w:pPr>
              <w:pStyle w:val="9"/>
              <w:spacing w:before="49" w:line="227" w:lineRule="auto"/>
              <w:ind w:left="396"/>
              <w:rPr>
                <w:sz w:val="20"/>
                <w:szCs w:val="20"/>
              </w:rPr>
            </w:pPr>
            <w:r>
              <w:rPr>
                <w:spacing w:val="2"/>
                <w:sz w:val="20"/>
                <w:szCs w:val="20"/>
              </w:rPr>
              <w:t>同时施工</w:t>
            </w:r>
          </w:p>
        </w:tc>
        <w:tc>
          <w:tcPr>
            <w:tcW w:w="656" w:type="dxa"/>
            <w:vAlign w:val="top"/>
          </w:tcPr>
          <w:p w14:paraId="525FF8FF">
            <w:pPr>
              <w:spacing w:before="84" w:line="195" w:lineRule="auto"/>
              <w:ind w:left="19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100</w:t>
            </w:r>
          </w:p>
        </w:tc>
        <w:tc>
          <w:tcPr>
            <w:tcW w:w="671" w:type="dxa"/>
            <w:vAlign w:val="top"/>
          </w:tcPr>
          <w:p w14:paraId="14E760F7">
            <w:pPr>
              <w:spacing w:before="84" w:line="195" w:lineRule="auto"/>
              <w:ind w:left="15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78.3</w:t>
            </w:r>
          </w:p>
        </w:tc>
        <w:tc>
          <w:tcPr>
            <w:tcW w:w="679" w:type="dxa"/>
            <w:vAlign w:val="top"/>
          </w:tcPr>
          <w:p w14:paraId="3E312AA5">
            <w:pPr>
              <w:spacing w:before="84" w:line="195" w:lineRule="auto"/>
              <w:ind w:left="16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72.3</w:t>
            </w:r>
          </w:p>
        </w:tc>
        <w:tc>
          <w:tcPr>
            <w:tcW w:w="717" w:type="dxa"/>
            <w:vAlign w:val="top"/>
          </w:tcPr>
          <w:p w14:paraId="43B5DCE5">
            <w:pPr>
              <w:spacing w:before="84" w:line="195" w:lineRule="auto"/>
              <w:ind w:left="18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68.8</w:t>
            </w:r>
          </w:p>
        </w:tc>
        <w:tc>
          <w:tcPr>
            <w:tcW w:w="741" w:type="dxa"/>
            <w:vAlign w:val="top"/>
          </w:tcPr>
          <w:p w14:paraId="1D59B42F">
            <w:pPr>
              <w:spacing w:before="84" w:line="195" w:lineRule="auto"/>
              <w:ind w:left="19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64.3</w:t>
            </w:r>
          </w:p>
        </w:tc>
        <w:tc>
          <w:tcPr>
            <w:tcW w:w="792" w:type="dxa"/>
            <w:vAlign w:val="top"/>
          </w:tcPr>
          <w:p w14:paraId="622D0E4E">
            <w:pPr>
              <w:spacing w:before="84" w:line="195" w:lineRule="auto"/>
              <w:ind w:left="22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58.3</w:t>
            </w:r>
          </w:p>
        </w:tc>
        <w:tc>
          <w:tcPr>
            <w:tcW w:w="800" w:type="dxa"/>
            <w:vAlign w:val="top"/>
          </w:tcPr>
          <w:p w14:paraId="3920BA40">
            <w:pPr>
              <w:spacing w:before="84" w:line="195" w:lineRule="auto"/>
              <w:ind w:left="22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54.8</w:t>
            </w:r>
          </w:p>
        </w:tc>
        <w:tc>
          <w:tcPr>
            <w:tcW w:w="795" w:type="dxa"/>
            <w:vAlign w:val="top"/>
          </w:tcPr>
          <w:p w14:paraId="57949082">
            <w:pPr>
              <w:spacing w:before="84" w:line="195" w:lineRule="auto"/>
              <w:ind w:left="22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52.3</w:t>
            </w:r>
          </w:p>
        </w:tc>
        <w:tc>
          <w:tcPr>
            <w:tcW w:w="255" w:type="dxa"/>
            <w:vMerge w:val="continue"/>
            <w:tcBorders>
              <w:top w:val="nil"/>
              <w:bottom w:val="nil"/>
              <w:right w:val="single" w:color="000000" w:sz="6" w:space="0"/>
            </w:tcBorders>
            <w:vAlign w:val="top"/>
          </w:tcPr>
          <w:p w14:paraId="0BF8DC70">
            <w:pPr>
              <w:rPr>
                <w:rFonts w:ascii="Arial"/>
                <w:sz w:val="21"/>
              </w:rPr>
            </w:pPr>
          </w:p>
        </w:tc>
      </w:tr>
      <w:tr w14:paraId="3EED6B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07" w:hRule="atLeast"/>
        </w:trPr>
        <w:tc>
          <w:tcPr>
            <w:tcW w:w="599" w:type="dxa"/>
            <w:vMerge w:val="continue"/>
            <w:tcBorders>
              <w:top w:val="nil"/>
              <w:left w:val="single" w:color="000000" w:sz="6" w:space="0"/>
              <w:bottom w:val="single" w:color="000000" w:sz="6" w:space="0"/>
            </w:tcBorders>
            <w:vAlign w:val="top"/>
          </w:tcPr>
          <w:p w14:paraId="006554A9">
            <w:pPr>
              <w:rPr>
                <w:rFonts w:ascii="Arial"/>
                <w:sz w:val="21"/>
              </w:rPr>
            </w:pPr>
          </w:p>
        </w:tc>
        <w:tc>
          <w:tcPr>
            <w:tcW w:w="8990" w:type="dxa"/>
            <w:gridSpan w:val="12"/>
            <w:tcBorders>
              <w:bottom w:val="single" w:color="000000" w:sz="6" w:space="0"/>
              <w:right w:val="single" w:color="000000" w:sz="6" w:space="0"/>
            </w:tcBorders>
            <w:vAlign w:val="top"/>
          </w:tcPr>
          <w:p w14:paraId="269DD704">
            <w:pPr>
              <w:pStyle w:val="9"/>
              <w:spacing w:before="166" w:line="354" w:lineRule="auto"/>
              <w:ind w:left="106" w:right="102" w:firstLine="510"/>
              <w:jc w:val="both"/>
            </w:pPr>
            <w:r>
              <w:rPr>
                <w:spacing w:val="-4"/>
              </w:rPr>
              <w:t>由表</w:t>
            </w:r>
            <w:r>
              <w:rPr>
                <w:spacing w:val="-51"/>
              </w:rPr>
              <w:t xml:space="preserve"> </w:t>
            </w:r>
            <w:r>
              <w:rPr>
                <w:rFonts w:ascii="Times New Roman" w:hAnsi="Times New Roman" w:eastAsia="Times New Roman" w:cs="Times New Roman"/>
                <w:spacing w:val="-4"/>
              </w:rPr>
              <w:t>4-</w:t>
            </w:r>
            <w:r>
              <w:rPr>
                <w:rFonts w:ascii="Times New Roman" w:hAnsi="Times New Roman" w:eastAsia="Times New Roman" w:cs="Times New Roman"/>
                <w:spacing w:val="-32"/>
              </w:rPr>
              <w:t xml:space="preserve"> </w:t>
            </w:r>
            <w:r>
              <w:rPr>
                <w:rFonts w:ascii="Times New Roman" w:hAnsi="Times New Roman" w:eastAsia="Times New Roman" w:cs="Times New Roman"/>
                <w:spacing w:val="-4"/>
              </w:rPr>
              <w:t xml:space="preserve">1 </w:t>
            </w:r>
            <w:r>
              <w:rPr>
                <w:spacing w:val="-4"/>
              </w:rPr>
              <w:t>可以看出，施工期噪声源同时施工时，经</w:t>
            </w:r>
            <w:r>
              <w:rPr>
                <w:spacing w:val="-50"/>
              </w:rPr>
              <w:t xml:space="preserve"> </w:t>
            </w:r>
            <w:r>
              <w:rPr>
                <w:rFonts w:ascii="Times New Roman" w:hAnsi="Times New Roman" w:eastAsia="Times New Roman" w:cs="Times New Roman"/>
                <w:spacing w:val="-4"/>
              </w:rPr>
              <w:t>30m</w:t>
            </w:r>
            <w:r>
              <w:rPr>
                <w:spacing w:val="-4"/>
              </w:rPr>
              <w:t>和</w:t>
            </w:r>
            <w:r>
              <w:rPr>
                <w:spacing w:val="-32"/>
              </w:rPr>
              <w:t xml:space="preserve"> </w:t>
            </w:r>
            <w:r>
              <w:rPr>
                <w:rFonts w:ascii="Times New Roman" w:hAnsi="Times New Roman" w:eastAsia="Times New Roman" w:cs="Times New Roman"/>
                <w:spacing w:val="-4"/>
              </w:rPr>
              <w:t>150m</w:t>
            </w:r>
            <w:r>
              <w:rPr>
                <w:rFonts w:ascii="Times New Roman" w:hAnsi="Times New Roman" w:eastAsia="Times New Roman" w:cs="Times New Roman"/>
                <w:spacing w:val="27"/>
              </w:rPr>
              <w:t xml:space="preserve"> </w:t>
            </w:r>
            <w:r>
              <w:rPr>
                <w:spacing w:val="-4"/>
              </w:rPr>
              <w:t>的衰减后，贡献</w:t>
            </w:r>
            <w:r>
              <w:rPr>
                <w:spacing w:val="-1"/>
              </w:rPr>
              <w:t>值最大值分别为</w:t>
            </w:r>
            <w:r>
              <w:rPr>
                <w:spacing w:val="-49"/>
              </w:rPr>
              <w:t xml:space="preserve"> </w:t>
            </w:r>
            <w:r>
              <w:rPr>
                <w:rFonts w:ascii="Times New Roman" w:hAnsi="Times New Roman" w:eastAsia="Times New Roman" w:cs="Times New Roman"/>
                <w:spacing w:val="-1"/>
              </w:rPr>
              <w:t>68.8dB</w:t>
            </w:r>
            <w:r>
              <w:rPr>
                <w:spacing w:val="-1"/>
              </w:rPr>
              <w:t>（</w:t>
            </w:r>
            <w:r>
              <w:rPr>
                <w:rFonts w:ascii="Times New Roman" w:hAnsi="Times New Roman" w:eastAsia="Times New Roman" w:cs="Times New Roman"/>
                <w:spacing w:val="-1"/>
              </w:rPr>
              <w:t>A</w:t>
            </w:r>
            <w:r>
              <w:rPr>
                <w:spacing w:val="-1"/>
              </w:rPr>
              <w:t>）、</w:t>
            </w:r>
            <w:r>
              <w:rPr>
                <w:rFonts w:ascii="Times New Roman" w:hAnsi="Times New Roman" w:eastAsia="Times New Roman" w:cs="Times New Roman"/>
                <w:spacing w:val="-1"/>
              </w:rPr>
              <w:t>54.8dB</w:t>
            </w:r>
            <w:r>
              <w:rPr>
                <w:spacing w:val="-1"/>
              </w:rPr>
              <w:t>（</w:t>
            </w:r>
            <w:r>
              <w:rPr>
                <w:rFonts w:ascii="Times New Roman" w:hAnsi="Times New Roman" w:eastAsia="Times New Roman" w:cs="Times New Roman"/>
                <w:spacing w:val="-1"/>
              </w:rPr>
              <w:t>A</w:t>
            </w:r>
            <w:r>
              <w:rPr>
                <w:spacing w:val="15"/>
              </w:rPr>
              <w:t>），</w:t>
            </w:r>
            <w:r>
              <w:rPr>
                <w:spacing w:val="-1"/>
              </w:rPr>
              <w:t>因此本项目在施工过程中避免夜间进</w:t>
            </w:r>
            <w:r>
              <w:rPr>
                <w:spacing w:val="2"/>
              </w:rPr>
              <w:t>行高噪声设备运行的前提下，可满足《建筑施工噪声排放标准》（</w:t>
            </w:r>
            <w:r>
              <w:rPr>
                <w:rFonts w:ascii="Times New Roman" w:hAnsi="Times New Roman" w:eastAsia="Times New Roman" w:cs="Times New Roman"/>
              </w:rPr>
              <w:t>GB</w:t>
            </w:r>
            <w:r>
              <w:rPr>
                <w:rFonts w:ascii="Times New Roman" w:hAnsi="Times New Roman" w:eastAsia="Times New Roman" w:cs="Times New Roman"/>
                <w:spacing w:val="2"/>
              </w:rPr>
              <w:t>12</w:t>
            </w:r>
            <w:r>
              <w:rPr>
                <w:rFonts w:ascii="Times New Roman" w:hAnsi="Times New Roman" w:eastAsia="Times New Roman" w:cs="Times New Roman"/>
                <w:spacing w:val="1"/>
              </w:rPr>
              <w:t>523-2025</w:t>
            </w:r>
            <w:r>
              <w:rPr>
                <w:spacing w:val="1"/>
              </w:rPr>
              <w:t>）</w:t>
            </w:r>
            <w:r>
              <w:rPr>
                <w:spacing w:val="-2"/>
              </w:rPr>
              <w:t>昼间和夜间标准。</w:t>
            </w:r>
          </w:p>
          <w:p w14:paraId="37D5E68B">
            <w:pPr>
              <w:pStyle w:val="9"/>
              <w:spacing w:line="220" w:lineRule="auto"/>
              <w:ind w:left="584"/>
              <w:outlineLvl w:val="2"/>
            </w:pPr>
            <w:r>
              <w:rPr>
                <w:rFonts w:ascii="Times New Roman" w:hAnsi="Times New Roman" w:eastAsia="Times New Roman" w:cs="Times New Roman"/>
                <w:b/>
                <w:bCs/>
                <w:spacing w:val="-5"/>
              </w:rPr>
              <w:t>4</w:t>
            </w:r>
            <w:r>
              <w:rPr>
                <w:rFonts w:ascii="Times New Roman" w:hAnsi="Times New Roman" w:eastAsia="Times New Roman" w:cs="Times New Roman"/>
                <w:b/>
                <w:bCs/>
                <w:spacing w:val="16"/>
              </w:rPr>
              <w:t xml:space="preserve">  </w:t>
            </w:r>
            <w:r>
              <w:rPr>
                <w:b/>
                <w:bCs/>
                <w:spacing w:val="-5"/>
              </w:rPr>
              <w:t>固体废物环境影响分析</w:t>
            </w:r>
          </w:p>
          <w:p w14:paraId="3C6F9E60">
            <w:pPr>
              <w:pStyle w:val="9"/>
              <w:spacing w:before="174" w:line="354" w:lineRule="auto"/>
              <w:ind w:left="106" w:right="102" w:firstLine="480"/>
              <w:jc w:val="both"/>
            </w:pPr>
            <w:r>
              <w:rPr>
                <w:spacing w:val="-3"/>
              </w:rPr>
              <w:t>施工期固体废物主要为建筑垃圾及生活垃圾两类。施工产生的建筑</w:t>
            </w:r>
            <w:r>
              <w:rPr>
                <w:spacing w:val="-4"/>
              </w:rPr>
              <w:t>垃圾若不妥善</w:t>
            </w:r>
            <w:r>
              <w:rPr>
                <w:spacing w:val="-3"/>
              </w:rPr>
              <w:t>处置会产生水土流失等环境影响，产生的生活垃圾若不妥善处置则不仅污染环境而且</w:t>
            </w:r>
            <w:r>
              <w:rPr>
                <w:spacing w:val="-2"/>
              </w:rPr>
              <w:t>破坏景观。</w:t>
            </w:r>
          </w:p>
          <w:p w14:paraId="0CE0EFCD">
            <w:pPr>
              <w:pStyle w:val="9"/>
              <w:spacing w:before="1" w:line="353" w:lineRule="auto"/>
              <w:ind w:left="108" w:right="102" w:firstLine="478"/>
            </w:pPr>
            <w:r>
              <w:rPr>
                <w:spacing w:val="-3"/>
              </w:rPr>
              <w:t>施工过程中的土石方、建筑垃圾和生活垃圾已分别收集堆放；土石</w:t>
            </w:r>
            <w:r>
              <w:rPr>
                <w:spacing w:val="-4"/>
              </w:rPr>
              <w:t>方已做到土石</w:t>
            </w:r>
            <w:r>
              <w:t>方平衡。建筑垃圾已委托相关单位及时清运。生活垃</w:t>
            </w:r>
            <w:r>
              <w:rPr>
                <w:spacing w:val="-1"/>
              </w:rPr>
              <w:t>圾已由环卫部门及时清运。</w:t>
            </w:r>
          </w:p>
          <w:p w14:paraId="0BB8BE76">
            <w:pPr>
              <w:pStyle w:val="9"/>
              <w:spacing w:line="218" w:lineRule="auto"/>
              <w:ind w:left="587"/>
            </w:pPr>
            <w:r>
              <w:rPr>
                <w:spacing w:val="-1"/>
              </w:rPr>
              <w:t>通过采取上述环保措施，施工固废对周围环境影响很小。</w:t>
            </w:r>
          </w:p>
          <w:p w14:paraId="226E3A7B">
            <w:pPr>
              <w:pStyle w:val="9"/>
              <w:spacing w:before="176" w:line="220" w:lineRule="auto"/>
              <w:ind w:left="586"/>
              <w:outlineLvl w:val="2"/>
            </w:pPr>
            <w:r>
              <w:rPr>
                <w:rFonts w:ascii="Times New Roman" w:hAnsi="Times New Roman" w:eastAsia="Times New Roman" w:cs="Times New Roman"/>
                <w:b/>
                <w:bCs/>
                <w:spacing w:val="-2"/>
              </w:rPr>
              <w:t xml:space="preserve">5  </w:t>
            </w:r>
            <w:r>
              <w:rPr>
                <w:b/>
                <w:bCs/>
                <w:spacing w:val="-2"/>
              </w:rPr>
              <w:t>生态环境影响分析</w:t>
            </w:r>
          </w:p>
          <w:p w14:paraId="5FC12089">
            <w:pPr>
              <w:pStyle w:val="9"/>
              <w:spacing w:before="173" w:line="354" w:lineRule="auto"/>
              <w:ind w:left="126" w:right="102" w:firstLine="462"/>
            </w:pPr>
            <w:r>
              <w:rPr>
                <w:spacing w:val="-3"/>
              </w:rPr>
              <w:t>本项目施工期占地、车辆行驶、人员活动等均会对生态产生影</w:t>
            </w:r>
            <w:r>
              <w:rPr>
                <w:spacing w:val="-4"/>
              </w:rPr>
              <w:t>响，产生生态影响</w:t>
            </w:r>
            <w:r>
              <w:rPr>
                <w:spacing w:val="-5"/>
              </w:rPr>
              <w:t>因素分析如下：</w:t>
            </w:r>
          </w:p>
          <w:p w14:paraId="5DE6F969">
            <w:pPr>
              <w:pStyle w:val="9"/>
              <w:spacing w:before="1" w:line="219" w:lineRule="auto"/>
              <w:ind w:left="599"/>
            </w:pPr>
            <w:r>
              <w:rPr>
                <w:b/>
                <w:bCs/>
                <w:spacing w:val="-3"/>
              </w:rPr>
              <w:t>（</w:t>
            </w:r>
            <w:r>
              <w:rPr>
                <w:rFonts w:ascii="Times New Roman" w:hAnsi="Times New Roman" w:eastAsia="Times New Roman" w:cs="Times New Roman"/>
                <w:b/>
                <w:bCs/>
                <w:spacing w:val="-3"/>
              </w:rPr>
              <w:t>1</w:t>
            </w:r>
            <w:r>
              <w:rPr>
                <w:b/>
                <w:bCs/>
                <w:spacing w:val="-3"/>
              </w:rPr>
              <w:t>）对区域内土地利用的影响分析</w:t>
            </w:r>
          </w:p>
          <w:p w14:paraId="4BAC2ABD">
            <w:pPr>
              <w:pStyle w:val="9"/>
              <w:spacing w:before="172" w:line="354" w:lineRule="auto"/>
              <w:ind w:left="107" w:right="102" w:firstLine="480"/>
              <w:jc w:val="both"/>
            </w:pPr>
            <w:r>
              <w:rPr>
                <w:spacing w:val="-2"/>
              </w:rPr>
              <w:t>本工程总占地共</w:t>
            </w:r>
            <w:r>
              <w:rPr>
                <w:spacing w:val="-54"/>
              </w:rPr>
              <w:t xml:space="preserve"> </w:t>
            </w:r>
            <w:r>
              <w:rPr>
                <w:rFonts w:ascii="Times New Roman" w:hAnsi="Times New Roman" w:eastAsia="Times New Roman" w:cs="Times New Roman"/>
                <w:spacing w:val="-2"/>
              </w:rPr>
              <w:t>4.66hm</w:t>
            </w:r>
            <w:r>
              <w:rPr>
                <w:rFonts w:ascii="Times New Roman" w:hAnsi="Times New Roman" w:eastAsia="Times New Roman" w:cs="Times New Roman"/>
                <w:spacing w:val="-2"/>
                <w:position w:val="7"/>
                <w:sz w:val="15"/>
                <w:szCs w:val="15"/>
              </w:rPr>
              <w:t>2</w:t>
            </w:r>
            <w:r>
              <w:rPr>
                <w:rFonts w:ascii="Times New Roman" w:hAnsi="Times New Roman" w:eastAsia="Times New Roman" w:cs="Times New Roman"/>
                <w:spacing w:val="-7"/>
                <w:position w:val="7"/>
                <w:sz w:val="15"/>
                <w:szCs w:val="15"/>
              </w:rPr>
              <w:t xml:space="preserve"> </w:t>
            </w:r>
            <w:r>
              <w:rPr>
                <w:spacing w:val="-2"/>
              </w:rPr>
              <w:t>，其中永久占地</w:t>
            </w:r>
            <w:r>
              <w:rPr>
                <w:spacing w:val="-52"/>
              </w:rPr>
              <w:t xml:space="preserve"> </w:t>
            </w:r>
            <w:r>
              <w:rPr>
                <w:rFonts w:ascii="Times New Roman" w:hAnsi="Times New Roman" w:eastAsia="Times New Roman" w:cs="Times New Roman"/>
                <w:spacing w:val="-2"/>
              </w:rPr>
              <w:t>4.</w:t>
            </w:r>
            <w:r>
              <w:rPr>
                <w:rFonts w:ascii="Times New Roman" w:hAnsi="Times New Roman" w:eastAsia="Times New Roman" w:cs="Times New Roman"/>
                <w:spacing w:val="-32"/>
              </w:rPr>
              <w:t xml:space="preserve"> </w:t>
            </w:r>
            <w:r>
              <w:rPr>
                <w:rFonts w:ascii="Times New Roman" w:hAnsi="Times New Roman" w:eastAsia="Times New Roman" w:cs="Times New Roman"/>
                <w:spacing w:val="-2"/>
              </w:rPr>
              <w:t>16hm</w:t>
            </w:r>
            <w:r>
              <w:rPr>
                <w:rFonts w:ascii="Times New Roman" w:hAnsi="Times New Roman" w:eastAsia="Times New Roman" w:cs="Times New Roman"/>
                <w:spacing w:val="-2"/>
                <w:position w:val="7"/>
                <w:sz w:val="15"/>
                <w:szCs w:val="15"/>
              </w:rPr>
              <w:t xml:space="preserve">2 </w:t>
            </w:r>
            <w:r>
              <w:rPr>
                <w:spacing w:val="-2"/>
              </w:rPr>
              <w:t>，临时占地</w:t>
            </w:r>
            <w:r>
              <w:rPr>
                <w:spacing w:val="-49"/>
              </w:rPr>
              <w:t xml:space="preserve"> </w:t>
            </w:r>
            <w:r>
              <w:rPr>
                <w:rFonts w:ascii="Times New Roman" w:hAnsi="Times New Roman" w:eastAsia="Times New Roman" w:cs="Times New Roman"/>
                <w:spacing w:val="-2"/>
              </w:rPr>
              <w:t>0.5hm</w:t>
            </w:r>
            <w:r>
              <w:rPr>
                <w:rFonts w:ascii="Times New Roman" w:hAnsi="Times New Roman" w:eastAsia="Times New Roman" w:cs="Times New Roman"/>
                <w:spacing w:val="-3"/>
                <w:position w:val="7"/>
                <w:sz w:val="15"/>
                <w:szCs w:val="15"/>
              </w:rPr>
              <w:t xml:space="preserve">2 </w:t>
            </w:r>
            <w:r>
              <w:rPr>
                <w:spacing w:val="-3"/>
              </w:rPr>
              <w:t>。本工程永</w:t>
            </w:r>
            <w:r>
              <w:t>久占地主要为</w:t>
            </w:r>
            <w:r>
              <w:rPr>
                <w:spacing w:val="-52"/>
              </w:rPr>
              <w:t xml:space="preserve"> </w:t>
            </w:r>
            <w:r>
              <w:rPr>
                <w:rFonts w:ascii="Times New Roman" w:hAnsi="Times New Roman" w:eastAsia="Times New Roman" w:cs="Times New Roman"/>
              </w:rPr>
              <w:t>220kV</w:t>
            </w:r>
            <w:r>
              <w:rPr>
                <w:rFonts w:ascii="Times New Roman" w:hAnsi="Times New Roman" w:eastAsia="Times New Roman" w:cs="Times New Roman"/>
                <w:spacing w:val="16"/>
              </w:rPr>
              <w:t xml:space="preserve"> </w:t>
            </w:r>
            <w:r>
              <w:t>升压站站区占地，</w:t>
            </w:r>
            <w:r>
              <w:rPr>
                <w:spacing w:val="-69"/>
              </w:rPr>
              <w:t xml:space="preserve"> </w:t>
            </w:r>
            <w:r>
              <w:t>占地类型主要为天然牧草地。本工程临时占</w:t>
            </w:r>
            <w:r>
              <w:rPr>
                <w:spacing w:val="-1"/>
              </w:rPr>
              <w:t>地类型为天然牧草地，主要为施工期间施工营地。</w:t>
            </w:r>
          </w:p>
          <w:p w14:paraId="417F717D">
            <w:pPr>
              <w:pStyle w:val="9"/>
              <w:spacing w:before="2" w:line="288" w:lineRule="auto"/>
              <w:ind w:left="108" w:right="102" w:firstLine="482"/>
            </w:pPr>
            <w:r>
              <w:rPr>
                <w:spacing w:val="-3"/>
              </w:rPr>
              <w:t>项目的建设将使这些类型的土地变为工业用地。永久性</w:t>
            </w:r>
            <w:r>
              <w:rPr>
                <w:spacing w:val="-4"/>
              </w:rPr>
              <w:t>占地将从根本上改变土地</w:t>
            </w:r>
            <w:r>
              <w:rPr>
                <w:spacing w:val="-3"/>
              </w:rPr>
              <w:t>利用格局、改变原有的地形地貌和自然景观，其环境影响主要集中于项目建设期</w:t>
            </w:r>
            <w:r>
              <w:rPr>
                <w:spacing w:val="-4"/>
              </w:rPr>
              <w:t>升压</w:t>
            </w:r>
          </w:p>
        </w:tc>
      </w:tr>
    </w:tbl>
    <w:p w14:paraId="269AD7D9">
      <w:pPr>
        <w:pStyle w:val="3"/>
      </w:pPr>
    </w:p>
    <w:p w14:paraId="68D56264">
      <w:pPr>
        <w:sectPr>
          <w:footerReference r:id="rId58" w:type="default"/>
          <w:pgSz w:w="11906" w:h="16838"/>
          <w:pgMar w:top="1416" w:right="1151" w:bottom="1295" w:left="1150" w:header="0" w:footer="1133" w:gutter="0"/>
          <w:cols w:space="720" w:num="1"/>
        </w:sectPr>
      </w:pPr>
    </w:p>
    <w:tbl>
      <w:tblPr>
        <w:tblStyle w:val="8"/>
        <w:tblW w:w="958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99"/>
        <w:gridCol w:w="8990"/>
      </w:tblGrid>
      <w:tr w14:paraId="59433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807" w:hRule="atLeast"/>
        </w:trPr>
        <w:tc>
          <w:tcPr>
            <w:tcW w:w="599" w:type="dxa"/>
            <w:tcBorders>
              <w:right w:val="single" w:color="000000" w:sz="2" w:space="0"/>
            </w:tcBorders>
            <w:vAlign w:val="top"/>
          </w:tcPr>
          <w:p w14:paraId="0E022A19">
            <w:pPr>
              <w:rPr>
                <w:rFonts w:ascii="Arial"/>
                <w:sz w:val="21"/>
              </w:rPr>
            </w:pPr>
          </w:p>
        </w:tc>
        <w:tc>
          <w:tcPr>
            <w:tcW w:w="8990" w:type="dxa"/>
            <w:tcBorders>
              <w:left w:val="single" w:color="000000" w:sz="2" w:space="0"/>
            </w:tcBorders>
            <w:vAlign w:val="top"/>
          </w:tcPr>
          <w:p w14:paraId="6AB18C2D">
            <w:pPr>
              <w:pStyle w:val="9"/>
              <w:spacing w:before="165" w:line="354" w:lineRule="auto"/>
              <w:ind w:left="106" w:right="102" w:firstLine="1"/>
              <w:jc w:val="both"/>
            </w:pPr>
            <w:r>
              <w:rPr>
                <w:spacing w:val="-3"/>
              </w:rPr>
              <w:t>站建设及临时占地改变土地的使用功能，破坏地表土壤结构及植被，项目在施工</w:t>
            </w:r>
            <w:r>
              <w:rPr>
                <w:spacing w:val="-4"/>
              </w:rPr>
              <w:t>过程</w:t>
            </w:r>
            <w:r>
              <w:rPr>
                <w:spacing w:val="-3"/>
              </w:rPr>
              <w:t>中已采取必要的保护措施与水土保持措施，临时占用土地在工程施工结束后，已进行土地平整，并经撒播披碱草、人工抚育及自然恢复后，恢复效果较好。升压站施工期间无弃土弃渣及建筑垃圾堆弃，施工临时占地已基本恢复原貌。材料等运输道路以及</w:t>
            </w:r>
            <w:r>
              <w:t>施工便道借助现有公路、乡路。踏勘现场时未发现</w:t>
            </w:r>
            <w:r>
              <w:rPr>
                <w:spacing w:val="-1"/>
              </w:rPr>
              <w:t>有明显临时占地痕迹。</w:t>
            </w:r>
          </w:p>
          <w:p w14:paraId="66248025">
            <w:pPr>
              <w:pStyle w:val="9"/>
              <w:spacing w:line="219" w:lineRule="auto"/>
              <w:ind w:left="599"/>
            </w:pPr>
            <w:r>
              <w:rPr>
                <w:b/>
                <w:bCs/>
                <w:spacing w:val="-3"/>
              </w:rPr>
              <w:t>（</w:t>
            </w:r>
            <w:r>
              <w:rPr>
                <w:rFonts w:ascii="Times New Roman" w:hAnsi="Times New Roman" w:eastAsia="Times New Roman" w:cs="Times New Roman"/>
                <w:b/>
                <w:bCs/>
                <w:spacing w:val="-3"/>
              </w:rPr>
              <w:t>2</w:t>
            </w:r>
            <w:r>
              <w:rPr>
                <w:b/>
                <w:bCs/>
                <w:spacing w:val="-3"/>
              </w:rPr>
              <w:t>）对区域内生态系统的影响分析</w:t>
            </w:r>
          </w:p>
          <w:p w14:paraId="311DE908">
            <w:pPr>
              <w:pStyle w:val="9"/>
              <w:spacing w:before="175" w:line="354" w:lineRule="auto"/>
              <w:ind w:left="107" w:right="60" w:firstLine="483"/>
              <w:jc w:val="both"/>
            </w:pPr>
            <w:r>
              <w:rPr>
                <w:spacing w:val="-2"/>
              </w:rPr>
              <w:t>项目临时占地、永久占地以及人员活动等会对植被、动物及其生境等产生</w:t>
            </w:r>
            <w:r>
              <w:rPr>
                <w:spacing w:val="-3"/>
              </w:rPr>
              <w:t>影响，从而对评价范围内生态系统产生影响，因此对生态系统影响因素为临时占地、永久占</w:t>
            </w:r>
            <w:r>
              <w:rPr>
                <w:spacing w:val="-1"/>
              </w:rPr>
              <w:t>地、施工活动、车辆行驶。</w:t>
            </w:r>
          </w:p>
          <w:p w14:paraId="667713B9">
            <w:pPr>
              <w:pStyle w:val="9"/>
              <w:spacing w:line="219" w:lineRule="auto"/>
              <w:ind w:left="599"/>
            </w:pPr>
            <w:r>
              <w:rPr>
                <w:b/>
                <w:bCs/>
                <w:spacing w:val="-3"/>
              </w:rPr>
              <w:t>（</w:t>
            </w:r>
            <w:r>
              <w:rPr>
                <w:rFonts w:ascii="Times New Roman" w:hAnsi="Times New Roman" w:eastAsia="Times New Roman" w:cs="Times New Roman"/>
                <w:b/>
                <w:bCs/>
                <w:spacing w:val="-3"/>
              </w:rPr>
              <w:t>3</w:t>
            </w:r>
            <w:r>
              <w:rPr>
                <w:b/>
                <w:bCs/>
                <w:spacing w:val="-3"/>
              </w:rPr>
              <w:t>）对区域内植被和水土流失的影响分析</w:t>
            </w:r>
          </w:p>
          <w:p w14:paraId="20EE1FF1">
            <w:pPr>
              <w:pStyle w:val="9"/>
              <w:spacing w:before="173" w:line="354" w:lineRule="auto"/>
              <w:ind w:left="106" w:right="102" w:firstLine="481"/>
              <w:jc w:val="both"/>
            </w:pPr>
            <w:r>
              <w:rPr>
                <w:spacing w:val="4"/>
              </w:rPr>
              <w:t>本工程主要为施工过程升压站的建设造成了永久性的生态</w:t>
            </w:r>
            <w:r>
              <w:rPr>
                <w:spacing w:val="3"/>
              </w:rPr>
              <w:t>破坏和临时性的生态</w:t>
            </w:r>
            <w:r>
              <w:rPr>
                <w:spacing w:val="-3"/>
              </w:rPr>
              <w:t>破坏。项目占地类型主要为天然牧草地。临时占地只发生在工程施工期间。永久性的生态破坏主要是升压站建设，临时性的生态破坏主要为施工区域及施工道路会对评价区造成暂时性的破坏，待施工完毕后，进行植被恢复即可使临时机械进场所碾压的土地恢复。</w:t>
            </w:r>
          </w:p>
          <w:p w14:paraId="00B92AB7">
            <w:pPr>
              <w:pStyle w:val="9"/>
              <w:spacing w:before="5" w:line="353" w:lineRule="auto"/>
              <w:ind w:left="110" w:right="102" w:firstLine="480"/>
              <w:jc w:val="both"/>
            </w:pPr>
            <w:r>
              <w:rPr>
                <w:spacing w:val="-3"/>
              </w:rPr>
              <w:t>项目对植被和水土流失的影响主要是临时占地带来的影</w:t>
            </w:r>
            <w:r>
              <w:rPr>
                <w:spacing w:val="-4"/>
              </w:rPr>
              <w:t>响。施工区会占用一定量</w:t>
            </w:r>
            <w:r>
              <w:rPr>
                <w:spacing w:val="-3"/>
              </w:rPr>
              <w:t>的临时用地，这些临时占地如发生在植被生长期，则可能会毁掉一部分植被</w:t>
            </w:r>
            <w:r>
              <w:rPr>
                <w:spacing w:val="-4"/>
              </w:rPr>
              <w:t>，会使其</w:t>
            </w:r>
            <w:r>
              <w:rPr>
                <w:spacing w:val="-3"/>
              </w:rPr>
              <w:t>它自然植被遭到一定程度的破坏。临时占地破坏了原有植被，也破坏了原有</w:t>
            </w:r>
            <w:r>
              <w:rPr>
                <w:spacing w:val="-4"/>
              </w:rPr>
              <w:t>地面土层</w:t>
            </w:r>
            <w:r>
              <w:rPr>
                <w:spacing w:val="-3"/>
              </w:rPr>
              <w:t>结构，土质翻动表层疏松，在降雨、风力等外营力作用下易发生侵蚀，特别</w:t>
            </w:r>
            <w:r>
              <w:rPr>
                <w:spacing w:val="-4"/>
              </w:rPr>
              <w:t>是雨季施</w:t>
            </w:r>
            <w:r>
              <w:rPr>
                <w:spacing w:val="-1"/>
              </w:rPr>
              <w:t>工时临时堆土在地表径流冲刷下，将产生一定程度的水土流失</w:t>
            </w:r>
          </w:p>
          <w:p w14:paraId="045A1AD6">
            <w:pPr>
              <w:pStyle w:val="9"/>
              <w:spacing w:before="1" w:line="354" w:lineRule="auto"/>
              <w:ind w:left="109" w:right="41" w:firstLine="479"/>
              <w:jc w:val="both"/>
            </w:pPr>
            <w:r>
              <w:rPr>
                <w:spacing w:val="-1"/>
              </w:rPr>
              <w:t>本项目</w:t>
            </w:r>
            <w:r>
              <w:rPr>
                <w:rFonts w:ascii="Times New Roman" w:hAnsi="Times New Roman" w:eastAsia="Times New Roman" w:cs="Times New Roman"/>
                <w:spacing w:val="-1"/>
              </w:rPr>
              <w:t xml:space="preserve">220kV </w:t>
            </w:r>
            <w:r>
              <w:rPr>
                <w:spacing w:val="-1"/>
              </w:rPr>
              <w:t>升压站施工时的土地开挖会破坏了少量地表植被。升</w:t>
            </w:r>
            <w:r>
              <w:rPr>
                <w:spacing w:val="-2"/>
              </w:rPr>
              <w:t>压站已建成，</w:t>
            </w:r>
            <w:r>
              <w:rPr>
                <w:spacing w:val="-1"/>
              </w:rPr>
              <w:t>升压站周围已完成固化和绿化处理。</w:t>
            </w:r>
          </w:p>
          <w:p w14:paraId="3A76FAEB">
            <w:pPr>
              <w:pStyle w:val="9"/>
              <w:spacing w:line="219" w:lineRule="auto"/>
              <w:ind w:left="599"/>
            </w:pPr>
            <w:r>
              <w:rPr>
                <w:b/>
                <w:bCs/>
                <w:spacing w:val="-3"/>
              </w:rPr>
              <w:t>（</w:t>
            </w:r>
            <w:r>
              <w:rPr>
                <w:rFonts w:ascii="Times New Roman" w:hAnsi="Times New Roman" w:eastAsia="Times New Roman" w:cs="Times New Roman"/>
                <w:b/>
                <w:bCs/>
                <w:spacing w:val="-3"/>
              </w:rPr>
              <w:t>4</w:t>
            </w:r>
            <w:r>
              <w:rPr>
                <w:b/>
                <w:bCs/>
                <w:spacing w:val="-3"/>
              </w:rPr>
              <w:t>）对区域内野生动物的影响分析</w:t>
            </w:r>
          </w:p>
          <w:p w14:paraId="42D4F27A">
            <w:pPr>
              <w:pStyle w:val="9"/>
              <w:spacing w:before="173" w:line="354" w:lineRule="auto"/>
              <w:ind w:left="106" w:right="41" w:firstLine="480"/>
              <w:jc w:val="both"/>
            </w:pPr>
            <w:r>
              <w:rPr>
                <w:spacing w:val="-8"/>
              </w:rPr>
              <w:t>施工机械噪声破坏动物栖息地的声环境，驱赶兽类、鸟类动物使他们离开栖息地，</w:t>
            </w:r>
            <w:r>
              <w:rPr>
                <w:spacing w:val="-3"/>
              </w:rPr>
              <w:t>干扰其活动范围，同时影响鸟类对巢址的选择和使用。建设活动中的噪声、物料的运</w:t>
            </w:r>
            <w:r>
              <w:rPr>
                <w:spacing w:val="-1"/>
              </w:rPr>
              <w:t>输噪声、土方的调配等对动物的繁殖期存在一定影响。</w:t>
            </w:r>
          </w:p>
          <w:p w14:paraId="4663450A">
            <w:pPr>
              <w:pStyle w:val="9"/>
              <w:spacing w:before="1" w:line="321" w:lineRule="auto"/>
              <w:ind w:left="107" w:right="102" w:firstLine="480"/>
              <w:jc w:val="both"/>
            </w:pPr>
            <w:r>
              <w:rPr>
                <w:spacing w:val="-3"/>
              </w:rPr>
              <w:t>本项目施工区内为天然牧草地，对部分小型啮齿类动物有影响</w:t>
            </w:r>
            <w:r>
              <w:rPr>
                <w:spacing w:val="-4"/>
              </w:rPr>
              <w:t>，对鸟类动物影响</w:t>
            </w:r>
            <w:r>
              <w:rPr>
                <w:spacing w:val="-3"/>
              </w:rPr>
              <w:t>很小，但因项目建设期较短，结束后机械噪声随之结束，对动物影响不大。区域内野生动物主要为鸟类、鼠类、蛙类以及爬行类等常见物种，未发现国家及地方重点保护野生动物及其集中栖息地。本工程施工期期间未发生捕杀野生动物情况，施工期过后</w:t>
            </w:r>
          </w:p>
        </w:tc>
      </w:tr>
    </w:tbl>
    <w:p w14:paraId="79C8FB02">
      <w:pPr>
        <w:pStyle w:val="3"/>
      </w:pPr>
    </w:p>
    <w:p w14:paraId="10771C0E">
      <w:pPr>
        <w:sectPr>
          <w:footerReference r:id="rId59" w:type="default"/>
          <w:pgSz w:w="11906" w:h="16838"/>
          <w:pgMar w:top="1416" w:right="1151" w:bottom="1293" w:left="1150" w:header="0" w:footer="1133" w:gutter="0"/>
          <w:cols w:space="720" w:num="1"/>
        </w:sectPr>
      </w:pPr>
    </w:p>
    <w:tbl>
      <w:tblPr>
        <w:tblStyle w:val="8"/>
        <w:tblW w:w="958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99"/>
        <w:gridCol w:w="8990"/>
      </w:tblGrid>
      <w:tr w14:paraId="19FAAA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609" w:hRule="atLeast"/>
        </w:trPr>
        <w:tc>
          <w:tcPr>
            <w:tcW w:w="599" w:type="dxa"/>
            <w:tcBorders>
              <w:bottom w:val="single" w:color="000000" w:sz="2" w:space="0"/>
              <w:right w:val="single" w:color="000000" w:sz="2" w:space="0"/>
            </w:tcBorders>
            <w:vAlign w:val="top"/>
          </w:tcPr>
          <w:p w14:paraId="2AE605D2">
            <w:pPr>
              <w:rPr>
                <w:rFonts w:ascii="Arial"/>
                <w:sz w:val="21"/>
              </w:rPr>
            </w:pPr>
          </w:p>
        </w:tc>
        <w:tc>
          <w:tcPr>
            <w:tcW w:w="8990" w:type="dxa"/>
            <w:tcBorders>
              <w:left w:val="single" w:color="000000" w:sz="2" w:space="0"/>
              <w:bottom w:val="single" w:color="000000" w:sz="2" w:space="0"/>
            </w:tcBorders>
            <w:vAlign w:val="top"/>
          </w:tcPr>
          <w:p w14:paraId="1F31D5ED">
            <w:pPr>
              <w:pStyle w:val="9"/>
              <w:spacing w:before="167" w:line="219" w:lineRule="auto"/>
              <w:ind w:left="111"/>
            </w:pPr>
            <w:r>
              <w:rPr>
                <w:spacing w:val="-1"/>
              </w:rPr>
              <w:t>未改变或破坏当地生境，因此本工程对当地野生动物影响较小。</w:t>
            </w:r>
          </w:p>
        </w:tc>
      </w:tr>
      <w:tr w14:paraId="730907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824" w:hRule="atLeast"/>
        </w:trPr>
        <w:tc>
          <w:tcPr>
            <w:tcW w:w="599" w:type="dxa"/>
            <w:tcBorders>
              <w:top w:val="single" w:color="000000" w:sz="2" w:space="0"/>
              <w:right w:val="single" w:color="000000" w:sz="2" w:space="0"/>
            </w:tcBorders>
            <w:vAlign w:val="top"/>
          </w:tcPr>
          <w:p w14:paraId="02BB5865">
            <w:pPr>
              <w:spacing w:line="251" w:lineRule="auto"/>
              <w:rPr>
                <w:rFonts w:ascii="Arial"/>
                <w:sz w:val="21"/>
              </w:rPr>
            </w:pPr>
          </w:p>
          <w:p w14:paraId="73615821">
            <w:pPr>
              <w:spacing w:line="251" w:lineRule="auto"/>
              <w:rPr>
                <w:rFonts w:ascii="Arial"/>
                <w:sz w:val="21"/>
              </w:rPr>
            </w:pPr>
          </w:p>
          <w:p w14:paraId="525ED0E4">
            <w:pPr>
              <w:spacing w:line="251" w:lineRule="auto"/>
              <w:rPr>
                <w:rFonts w:ascii="Arial"/>
                <w:sz w:val="21"/>
              </w:rPr>
            </w:pPr>
          </w:p>
          <w:p w14:paraId="1F7CA349">
            <w:pPr>
              <w:spacing w:line="251" w:lineRule="auto"/>
              <w:rPr>
                <w:rFonts w:ascii="Arial"/>
                <w:sz w:val="21"/>
              </w:rPr>
            </w:pPr>
          </w:p>
          <w:p w14:paraId="5D190263">
            <w:pPr>
              <w:spacing w:line="251" w:lineRule="auto"/>
              <w:rPr>
                <w:rFonts w:ascii="Arial"/>
                <w:sz w:val="21"/>
              </w:rPr>
            </w:pPr>
          </w:p>
          <w:p w14:paraId="73EA35A0">
            <w:pPr>
              <w:spacing w:line="251" w:lineRule="auto"/>
              <w:rPr>
                <w:rFonts w:ascii="Arial"/>
                <w:sz w:val="21"/>
              </w:rPr>
            </w:pPr>
          </w:p>
          <w:p w14:paraId="3C0A51AD">
            <w:pPr>
              <w:spacing w:line="251" w:lineRule="auto"/>
              <w:rPr>
                <w:rFonts w:ascii="Arial"/>
                <w:sz w:val="21"/>
              </w:rPr>
            </w:pPr>
          </w:p>
          <w:p w14:paraId="32A8E179">
            <w:pPr>
              <w:spacing w:line="251" w:lineRule="auto"/>
              <w:rPr>
                <w:rFonts w:ascii="Arial"/>
                <w:sz w:val="21"/>
              </w:rPr>
            </w:pPr>
          </w:p>
          <w:p w14:paraId="4D2156C8">
            <w:pPr>
              <w:spacing w:line="251" w:lineRule="auto"/>
              <w:rPr>
                <w:rFonts w:ascii="Arial"/>
                <w:sz w:val="21"/>
              </w:rPr>
            </w:pPr>
          </w:p>
          <w:p w14:paraId="74FE09DE">
            <w:pPr>
              <w:spacing w:line="251" w:lineRule="auto"/>
              <w:rPr>
                <w:rFonts w:ascii="Arial"/>
                <w:sz w:val="21"/>
              </w:rPr>
            </w:pPr>
          </w:p>
          <w:p w14:paraId="31B1B415">
            <w:pPr>
              <w:spacing w:line="251" w:lineRule="auto"/>
              <w:rPr>
                <w:rFonts w:ascii="Arial"/>
                <w:sz w:val="21"/>
              </w:rPr>
            </w:pPr>
          </w:p>
          <w:p w14:paraId="774FA131">
            <w:pPr>
              <w:spacing w:line="251" w:lineRule="auto"/>
              <w:rPr>
                <w:rFonts w:ascii="Arial"/>
                <w:sz w:val="21"/>
              </w:rPr>
            </w:pPr>
          </w:p>
          <w:p w14:paraId="4F65EEF9">
            <w:pPr>
              <w:spacing w:line="251" w:lineRule="auto"/>
              <w:rPr>
                <w:rFonts w:ascii="Arial"/>
                <w:sz w:val="21"/>
              </w:rPr>
            </w:pPr>
          </w:p>
          <w:p w14:paraId="4C1222B6">
            <w:pPr>
              <w:spacing w:line="252" w:lineRule="auto"/>
              <w:rPr>
                <w:rFonts w:ascii="Arial"/>
                <w:sz w:val="21"/>
              </w:rPr>
            </w:pPr>
          </w:p>
          <w:p w14:paraId="456A1FAB">
            <w:pPr>
              <w:spacing w:line="252" w:lineRule="auto"/>
              <w:rPr>
                <w:rFonts w:ascii="Arial"/>
                <w:sz w:val="21"/>
              </w:rPr>
            </w:pPr>
          </w:p>
          <w:p w14:paraId="03952300">
            <w:pPr>
              <w:spacing w:line="252" w:lineRule="auto"/>
              <w:rPr>
                <w:rFonts w:ascii="Arial"/>
                <w:sz w:val="21"/>
              </w:rPr>
            </w:pPr>
          </w:p>
          <w:p w14:paraId="4A2D008F">
            <w:pPr>
              <w:spacing w:line="252" w:lineRule="auto"/>
              <w:rPr>
                <w:rFonts w:ascii="Arial"/>
                <w:sz w:val="21"/>
              </w:rPr>
            </w:pPr>
          </w:p>
          <w:p w14:paraId="77DC88B8">
            <w:pPr>
              <w:spacing w:line="252" w:lineRule="auto"/>
              <w:rPr>
                <w:rFonts w:ascii="Arial"/>
                <w:sz w:val="21"/>
              </w:rPr>
            </w:pPr>
          </w:p>
          <w:p w14:paraId="43925246">
            <w:pPr>
              <w:spacing w:line="252" w:lineRule="auto"/>
              <w:rPr>
                <w:rFonts w:ascii="Arial"/>
                <w:sz w:val="21"/>
              </w:rPr>
            </w:pPr>
          </w:p>
          <w:p w14:paraId="16D7B469">
            <w:pPr>
              <w:spacing w:line="252" w:lineRule="auto"/>
              <w:rPr>
                <w:rFonts w:ascii="Arial"/>
                <w:sz w:val="21"/>
              </w:rPr>
            </w:pPr>
          </w:p>
          <w:p w14:paraId="5011CC6D">
            <w:pPr>
              <w:pStyle w:val="9"/>
              <w:spacing w:before="65" w:line="252" w:lineRule="auto"/>
              <w:ind w:left="88" w:right="91"/>
              <w:outlineLvl w:val="3"/>
              <w:rPr>
                <w:sz w:val="20"/>
                <w:szCs w:val="20"/>
              </w:rPr>
            </w:pPr>
            <w:r>
              <w:rPr>
                <w:spacing w:val="4"/>
                <w:sz w:val="20"/>
                <w:szCs w:val="20"/>
              </w:rPr>
              <w:t>运营期生态环境影响分</w:t>
            </w:r>
            <w:r>
              <w:rPr>
                <w:spacing w:val="34"/>
                <w:w w:val="135"/>
                <w:sz w:val="20"/>
                <w:szCs w:val="20"/>
              </w:rPr>
              <w:t>析</w:t>
            </w:r>
          </w:p>
        </w:tc>
        <w:tc>
          <w:tcPr>
            <w:tcW w:w="8990" w:type="dxa"/>
            <w:tcBorders>
              <w:top w:val="single" w:color="000000" w:sz="2" w:space="0"/>
              <w:left w:val="single" w:color="000000" w:sz="2" w:space="0"/>
            </w:tcBorders>
            <w:vAlign w:val="top"/>
          </w:tcPr>
          <w:p w14:paraId="75115BA2">
            <w:pPr>
              <w:pStyle w:val="9"/>
              <w:spacing w:before="164" w:line="220" w:lineRule="auto"/>
              <w:ind w:left="115"/>
              <w:outlineLvl w:val="1"/>
            </w:pPr>
            <w:r>
              <w:rPr>
                <w:b/>
                <w:bCs/>
                <w:spacing w:val="-4"/>
              </w:rPr>
              <w:t>营运期环境影响分析：</w:t>
            </w:r>
          </w:p>
          <w:p w14:paraId="029FE119">
            <w:pPr>
              <w:pStyle w:val="9"/>
              <w:spacing w:before="173" w:line="328" w:lineRule="auto"/>
              <w:ind w:left="107" w:right="102" w:firstLine="480"/>
              <w:jc w:val="both"/>
            </w:pPr>
            <w:r>
              <w:rPr>
                <w:spacing w:val="-3"/>
              </w:rPr>
              <w:t>运行期承担电能的输送，其产生的环境影响因子主要为工频电场</w:t>
            </w:r>
            <w:r>
              <w:rPr>
                <w:spacing w:val="-4"/>
              </w:rPr>
              <w:t>、工频磁场强度</w:t>
            </w:r>
            <w:r>
              <w:rPr>
                <w:spacing w:val="-3"/>
              </w:rPr>
              <w:t>以及电磁性噪声等，升压站产生的环境影响因子还包括设备噪声、生活污水及固体废</w:t>
            </w:r>
            <w:r>
              <w:rPr>
                <w:spacing w:val="-4"/>
              </w:rPr>
              <w:t>物等。</w:t>
            </w:r>
          </w:p>
          <w:p w14:paraId="52B65122">
            <w:pPr>
              <w:spacing w:line="2390" w:lineRule="exact"/>
              <w:ind w:firstLine="1413"/>
            </w:pPr>
            <w:r>
              <w:rPr>
                <w:position w:val="-47"/>
              </w:rPr>
              <w:drawing>
                <wp:inline distT="0" distB="0" distL="0" distR="0">
                  <wp:extent cx="3986530" cy="1517650"/>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252"/>
                          <a:stretch>
                            <a:fillRect/>
                          </a:stretch>
                        </pic:blipFill>
                        <pic:spPr>
                          <a:xfrm>
                            <a:off x="0" y="0"/>
                            <a:ext cx="3986783" cy="1517903"/>
                          </a:xfrm>
                          <a:prstGeom prst="rect">
                            <a:avLst/>
                          </a:prstGeom>
                        </pic:spPr>
                      </pic:pic>
                    </a:graphicData>
                  </a:graphic>
                </wp:inline>
              </w:drawing>
            </w:r>
          </w:p>
          <w:p w14:paraId="737E9266">
            <w:pPr>
              <w:spacing w:line="250" w:lineRule="auto"/>
              <w:rPr>
                <w:rFonts w:ascii="Arial"/>
                <w:sz w:val="21"/>
              </w:rPr>
            </w:pPr>
          </w:p>
          <w:p w14:paraId="57C97C9E">
            <w:pPr>
              <w:pStyle w:val="9"/>
              <w:spacing w:before="78" w:line="219" w:lineRule="auto"/>
              <w:ind w:left="2646"/>
            </w:pPr>
            <w:r>
              <w:rPr>
                <w:b/>
                <w:bCs/>
                <w:spacing w:val="-3"/>
              </w:rPr>
              <w:t>图</w:t>
            </w:r>
            <w:r>
              <w:rPr>
                <w:spacing w:val="-47"/>
              </w:rPr>
              <w:t xml:space="preserve"> </w:t>
            </w:r>
            <w:r>
              <w:rPr>
                <w:rFonts w:ascii="Times New Roman" w:hAnsi="Times New Roman" w:eastAsia="Times New Roman" w:cs="Times New Roman"/>
                <w:b/>
                <w:bCs/>
                <w:spacing w:val="-3"/>
              </w:rPr>
              <w:t xml:space="preserve">4-2        </w:t>
            </w:r>
            <w:r>
              <w:rPr>
                <w:b/>
                <w:bCs/>
                <w:spacing w:val="-3"/>
              </w:rPr>
              <w:t>运营期工艺及产污节点图</w:t>
            </w:r>
          </w:p>
          <w:p w14:paraId="4BD4449F">
            <w:pPr>
              <w:pStyle w:val="9"/>
              <w:spacing w:before="175" w:line="218" w:lineRule="auto"/>
              <w:ind w:left="591"/>
              <w:outlineLvl w:val="2"/>
            </w:pPr>
            <w:r>
              <w:rPr>
                <w:b/>
                <w:bCs/>
                <w:spacing w:val="-3"/>
              </w:rPr>
              <w:t>一、生态环境影响分析与评价</w:t>
            </w:r>
          </w:p>
          <w:p w14:paraId="32E4C8BC">
            <w:pPr>
              <w:pStyle w:val="9"/>
              <w:spacing w:before="177" w:line="221" w:lineRule="auto"/>
              <w:ind w:left="599"/>
            </w:pPr>
            <w:r>
              <w:rPr>
                <w:b/>
                <w:bCs/>
                <w:spacing w:val="-4"/>
              </w:rPr>
              <w:t>（</w:t>
            </w:r>
            <w:r>
              <w:rPr>
                <w:rFonts w:ascii="Times New Roman" w:hAnsi="Times New Roman" w:eastAsia="Times New Roman" w:cs="Times New Roman"/>
                <w:b/>
                <w:bCs/>
                <w:spacing w:val="-4"/>
              </w:rPr>
              <w:t>1</w:t>
            </w:r>
            <w:r>
              <w:rPr>
                <w:b/>
                <w:bCs/>
                <w:spacing w:val="-4"/>
              </w:rPr>
              <w:t>）对土地的影响</w:t>
            </w:r>
          </w:p>
          <w:p w14:paraId="0D78A036">
            <w:pPr>
              <w:pStyle w:val="9"/>
              <w:spacing w:before="173" w:line="354" w:lineRule="auto"/>
              <w:ind w:left="108" w:right="102" w:firstLine="482"/>
              <w:jc w:val="both"/>
            </w:pPr>
            <w:r>
              <w:rPr>
                <w:spacing w:val="-3"/>
              </w:rPr>
              <w:t>项目对土地的占用主要是升压站的永久占地及施工期临</w:t>
            </w:r>
            <w:r>
              <w:rPr>
                <w:spacing w:val="-4"/>
              </w:rPr>
              <w:t>时占地。升压站永久占地</w:t>
            </w:r>
            <w:r>
              <w:rPr>
                <w:spacing w:val="-3"/>
              </w:rPr>
              <w:t>面积约</w:t>
            </w:r>
            <w:r>
              <w:rPr>
                <w:spacing w:val="-57"/>
              </w:rPr>
              <w:t xml:space="preserve"> </w:t>
            </w:r>
            <w:r>
              <w:rPr>
                <w:rFonts w:ascii="Times New Roman" w:hAnsi="Times New Roman" w:eastAsia="Times New Roman" w:cs="Times New Roman"/>
                <w:spacing w:val="-3"/>
              </w:rPr>
              <w:t>4.</w:t>
            </w:r>
            <w:r>
              <w:rPr>
                <w:rFonts w:ascii="Times New Roman" w:hAnsi="Times New Roman" w:eastAsia="Times New Roman" w:cs="Times New Roman"/>
                <w:spacing w:val="-31"/>
              </w:rPr>
              <w:t xml:space="preserve"> </w:t>
            </w:r>
            <w:r>
              <w:rPr>
                <w:rFonts w:ascii="Times New Roman" w:hAnsi="Times New Roman" w:eastAsia="Times New Roman" w:cs="Times New Roman"/>
                <w:spacing w:val="-3"/>
              </w:rPr>
              <w:t>16hm</w:t>
            </w:r>
            <w:r>
              <w:rPr>
                <w:rFonts w:ascii="Times New Roman" w:hAnsi="Times New Roman" w:eastAsia="Times New Roman" w:cs="Times New Roman"/>
                <w:spacing w:val="-3"/>
                <w:position w:val="7"/>
                <w:sz w:val="15"/>
                <w:szCs w:val="15"/>
              </w:rPr>
              <w:t>2</w:t>
            </w:r>
            <w:r>
              <w:rPr>
                <w:rFonts w:ascii="Times New Roman" w:hAnsi="Times New Roman" w:eastAsia="Times New Roman" w:cs="Times New Roman"/>
                <w:spacing w:val="-10"/>
                <w:position w:val="7"/>
                <w:sz w:val="15"/>
                <w:szCs w:val="15"/>
              </w:rPr>
              <w:t xml:space="preserve"> </w:t>
            </w:r>
            <w:r>
              <w:rPr>
                <w:spacing w:val="-3"/>
              </w:rPr>
              <w:t>，占地类型为天然牧草地；临时用地主要为项目</w:t>
            </w:r>
            <w:r>
              <w:rPr>
                <w:spacing w:val="-4"/>
              </w:rPr>
              <w:t>的临时施工营地。</w:t>
            </w:r>
            <w:r>
              <w:rPr>
                <w:spacing w:val="-65"/>
              </w:rPr>
              <w:t xml:space="preserve"> </w:t>
            </w:r>
            <w:r>
              <w:rPr>
                <w:spacing w:val="-4"/>
              </w:rPr>
              <w:t>目</w:t>
            </w:r>
            <w:r>
              <w:rPr>
                <w:spacing w:val="-1"/>
              </w:rPr>
              <w:t>前本项目已建成，临时占地均已恢复。</w:t>
            </w:r>
          </w:p>
          <w:p w14:paraId="29696139">
            <w:pPr>
              <w:pStyle w:val="9"/>
              <w:spacing w:before="1" w:line="219" w:lineRule="auto"/>
              <w:ind w:left="599"/>
            </w:pPr>
            <w:r>
              <w:rPr>
                <w:b/>
                <w:bCs/>
                <w:spacing w:val="-4"/>
              </w:rPr>
              <w:t>（</w:t>
            </w:r>
            <w:r>
              <w:rPr>
                <w:rFonts w:ascii="Times New Roman" w:hAnsi="Times New Roman" w:eastAsia="Times New Roman" w:cs="Times New Roman"/>
                <w:b/>
                <w:bCs/>
                <w:spacing w:val="-4"/>
              </w:rPr>
              <w:t>2</w:t>
            </w:r>
            <w:r>
              <w:rPr>
                <w:b/>
                <w:bCs/>
                <w:spacing w:val="-4"/>
              </w:rPr>
              <w:t>）对植被的影响</w:t>
            </w:r>
          </w:p>
          <w:p w14:paraId="15766928">
            <w:pPr>
              <w:pStyle w:val="9"/>
              <w:spacing w:before="174" w:line="354" w:lineRule="auto"/>
              <w:ind w:left="109" w:right="41" w:firstLine="479"/>
            </w:pPr>
            <w:r>
              <w:rPr>
                <w:spacing w:val="-1"/>
              </w:rPr>
              <w:t>本项目</w:t>
            </w:r>
            <w:r>
              <w:rPr>
                <w:rFonts w:ascii="Times New Roman" w:hAnsi="Times New Roman" w:eastAsia="Times New Roman" w:cs="Times New Roman"/>
                <w:spacing w:val="-1"/>
              </w:rPr>
              <w:t xml:space="preserve">220kV </w:t>
            </w:r>
            <w:r>
              <w:rPr>
                <w:spacing w:val="-1"/>
              </w:rPr>
              <w:t>升压站施工时的土地开挖会破坏了少量地表植被。升</w:t>
            </w:r>
            <w:r>
              <w:rPr>
                <w:spacing w:val="-2"/>
              </w:rPr>
              <w:t>压站已建成，</w:t>
            </w:r>
            <w:r>
              <w:rPr>
                <w:spacing w:val="-1"/>
              </w:rPr>
              <w:t>升压站周围已完成固化和绿化处理。</w:t>
            </w:r>
          </w:p>
          <w:p w14:paraId="4612DD2D">
            <w:pPr>
              <w:pStyle w:val="9"/>
              <w:spacing w:line="220" w:lineRule="auto"/>
              <w:ind w:left="599"/>
            </w:pPr>
            <w:r>
              <w:rPr>
                <w:b/>
                <w:bCs/>
                <w:spacing w:val="-4"/>
              </w:rPr>
              <w:t>（</w:t>
            </w:r>
            <w:r>
              <w:rPr>
                <w:rFonts w:ascii="Times New Roman" w:hAnsi="Times New Roman" w:eastAsia="Times New Roman" w:cs="Times New Roman"/>
                <w:b/>
                <w:bCs/>
                <w:spacing w:val="-4"/>
              </w:rPr>
              <w:t>3</w:t>
            </w:r>
            <w:r>
              <w:rPr>
                <w:b/>
                <w:bCs/>
                <w:spacing w:val="-4"/>
              </w:rPr>
              <w:t>）对野生动物的影响</w:t>
            </w:r>
          </w:p>
          <w:p w14:paraId="721B400D">
            <w:pPr>
              <w:pStyle w:val="9"/>
              <w:spacing w:before="173" w:line="354" w:lineRule="auto"/>
              <w:ind w:left="107" w:right="41" w:firstLine="481"/>
              <w:jc w:val="both"/>
            </w:pPr>
            <w:r>
              <w:rPr>
                <w:spacing w:val="-3"/>
              </w:rPr>
              <w:t>升压站运行期，基本不会对野生动物产生影响。站址位置经</w:t>
            </w:r>
            <w:r>
              <w:rPr>
                <w:spacing w:val="-4"/>
              </w:rPr>
              <w:t>实地踏勘未发现有明</w:t>
            </w:r>
            <w:r>
              <w:rPr>
                <w:spacing w:val="-1"/>
              </w:rPr>
              <w:t>显野生动物或鸟类出没，也未发现野生动物或鸟类踪</w:t>
            </w:r>
            <w:r>
              <w:rPr>
                <w:spacing w:val="-2"/>
              </w:rPr>
              <w:t>迹。运行期间有围墙围栅防护，</w:t>
            </w:r>
            <w:r>
              <w:rPr>
                <w:spacing w:val="-3"/>
              </w:rPr>
              <w:t>基本不会对野生动物或鸟类产生影响。实践证明，鸟类撞击电塔事件极少发生。在极</w:t>
            </w:r>
            <w:r>
              <w:rPr>
                <w:spacing w:val="-1"/>
              </w:rPr>
              <w:t>端恶劣气候条件下，可能会发生个别撞墙事件，对鸟</w:t>
            </w:r>
            <w:r>
              <w:rPr>
                <w:spacing w:val="-2"/>
              </w:rPr>
              <w:t>造成一定的伤害，但概率极低。</w:t>
            </w:r>
          </w:p>
          <w:p w14:paraId="2EC1DE95">
            <w:pPr>
              <w:pStyle w:val="9"/>
              <w:spacing w:line="219" w:lineRule="auto"/>
              <w:ind w:left="591"/>
              <w:outlineLvl w:val="2"/>
            </w:pPr>
            <w:r>
              <w:rPr>
                <w:b/>
                <w:bCs/>
                <w:spacing w:val="-4"/>
              </w:rPr>
              <w:t>二、水环境影响分析</w:t>
            </w:r>
          </w:p>
          <w:p w14:paraId="4855E0A8">
            <w:pPr>
              <w:pStyle w:val="9"/>
              <w:spacing w:before="175" w:line="219" w:lineRule="auto"/>
              <w:ind w:left="588"/>
            </w:pPr>
            <w:r>
              <w:rPr>
                <w:spacing w:val="-2"/>
              </w:rPr>
              <w:t>本项目升压站劳动定员</w:t>
            </w:r>
            <w:r>
              <w:rPr>
                <w:rFonts w:ascii="Times New Roman" w:hAnsi="Times New Roman" w:eastAsia="Times New Roman" w:cs="Times New Roman"/>
                <w:spacing w:val="-2"/>
              </w:rPr>
              <w:t xml:space="preserve">20 </w:t>
            </w:r>
            <w:r>
              <w:rPr>
                <w:spacing w:val="-2"/>
              </w:rPr>
              <w:t>人，两班倒，每天最多在站内人数</w:t>
            </w:r>
            <w:r>
              <w:rPr>
                <w:spacing w:val="-32"/>
              </w:rPr>
              <w:t xml:space="preserve"> </w:t>
            </w:r>
            <w:r>
              <w:rPr>
                <w:rFonts w:ascii="Times New Roman" w:hAnsi="Times New Roman" w:eastAsia="Times New Roman" w:cs="Times New Roman"/>
                <w:spacing w:val="-2"/>
              </w:rPr>
              <w:t xml:space="preserve">10 </w:t>
            </w:r>
            <w:r>
              <w:rPr>
                <w:spacing w:val="-2"/>
              </w:rPr>
              <w:t>人，</w:t>
            </w:r>
            <w:r>
              <w:rPr>
                <w:spacing w:val="-3"/>
              </w:rPr>
              <w:t>根据《内蒙</w:t>
            </w:r>
          </w:p>
        </w:tc>
      </w:tr>
    </w:tbl>
    <w:p w14:paraId="176649E6">
      <w:pPr>
        <w:pStyle w:val="3"/>
      </w:pPr>
    </w:p>
    <w:p w14:paraId="77AF3DAA">
      <w:pPr>
        <w:sectPr>
          <w:footerReference r:id="rId60" w:type="default"/>
          <w:pgSz w:w="11906" w:h="16838"/>
          <w:pgMar w:top="1416" w:right="1151" w:bottom="1295" w:left="1150" w:header="0" w:footer="1133" w:gutter="0"/>
          <w:cols w:space="720" w:num="1"/>
        </w:sectPr>
      </w:pPr>
    </w:p>
    <w:tbl>
      <w:tblPr>
        <w:tblStyle w:val="8"/>
        <w:tblW w:w="958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99"/>
        <w:gridCol w:w="8990"/>
      </w:tblGrid>
      <w:tr w14:paraId="16FA0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797" w:hRule="atLeast"/>
        </w:trPr>
        <w:tc>
          <w:tcPr>
            <w:tcW w:w="599" w:type="dxa"/>
            <w:tcBorders>
              <w:right w:val="single" w:color="000000" w:sz="2" w:space="0"/>
            </w:tcBorders>
            <w:vAlign w:val="top"/>
          </w:tcPr>
          <w:p w14:paraId="2E7F9656">
            <w:pPr>
              <w:rPr>
                <w:rFonts w:ascii="Arial"/>
                <w:sz w:val="21"/>
              </w:rPr>
            </w:pPr>
          </w:p>
        </w:tc>
        <w:tc>
          <w:tcPr>
            <w:tcW w:w="8990" w:type="dxa"/>
            <w:tcBorders>
              <w:left w:val="single" w:color="000000" w:sz="2" w:space="0"/>
            </w:tcBorders>
            <w:vAlign w:val="top"/>
          </w:tcPr>
          <w:p w14:paraId="6CC39E28">
            <w:pPr>
              <w:pStyle w:val="9"/>
              <w:spacing w:before="160" w:line="352" w:lineRule="auto"/>
              <w:ind w:left="103" w:right="1" w:firstLine="10"/>
            </w:pPr>
            <w:r>
              <w:rPr>
                <w:spacing w:val="-6"/>
              </w:rPr>
              <w:t>古自治区</w:t>
            </w:r>
            <w:r>
              <w:rPr>
                <w:spacing w:val="-5"/>
              </w:rPr>
              <w:t>行业用水定额（</w:t>
            </w:r>
            <w:r>
              <w:rPr>
                <w:rFonts w:ascii="Times New Roman" w:hAnsi="Times New Roman" w:eastAsia="Times New Roman" w:cs="Times New Roman"/>
                <w:spacing w:val="-5"/>
              </w:rPr>
              <w:t xml:space="preserve">2025 </w:t>
            </w:r>
            <w:r>
              <w:rPr>
                <w:spacing w:val="-5"/>
              </w:rPr>
              <w:t>版）》（</w:t>
            </w:r>
            <w:r>
              <w:rPr>
                <w:rFonts w:ascii="Times New Roman" w:hAnsi="Times New Roman" w:eastAsia="Times New Roman" w:cs="Times New Roman"/>
                <w:spacing w:val="-5"/>
              </w:rPr>
              <w:t>DB15/T385-2025</w:t>
            </w:r>
            <w:r>
              <w:rPr>
                <w:spacing w:val="-8"/>
              </w:rPr>
              <w:t>），</w:t>
            </w:r>
            <w:r>
              <w:rPr>
                <w:spacing w:val="-5"/>
              </w:rPr>
              <w:t>用水量定额按</w:t>
            </w:r>
            <w:r>
              <w:rPr>
                <w:spacing w:val="-32"/>
              </w:rPr>
              <w:t xml:space="preserve"> </w:t>
            </w:r>
            <w:r>
              <w:rPr>
                <w:rFonts w:ascii="Times New Roman" w:hAnsi="Times New Roman" w:eastAsia="Times New Roman" w:cs="Times New Roman"/>
                <w:spacing w:val="-5"/>
              </w:rPr>
              <w:t>120L/</w:t>
            </w:r>
            <w:r>
              <w:rPr>
                <w:spacing w:val="-5"/>
              </w:rPr>
              <w:t>人</w:t>
            </w:r>
            <w:r>
              <w:rPr>
                <w:spacing w:val="-28"/>
              </w:rPr>
              <w:t xml:space="preserve"> </w:t>
            </w:r>
            <w:r>
              <w:rPr>
                <w:spacing w:val="-5"/>
              </w:rPr>
              <w:t>·</w:t>
            </w:r>
            <w:r>
              <w:rPr>
                <w:rFonts w:ascii="Times New Roman" w:hAnsi="Times New Roman" w:eastAsia="Times New Roman" w:cs="Times New Roman"/>
                <w:spacing w:val="-1"/>
              </w:rPr>
              <w:t>d</w:t>
            </w:r>
            <w:r>
              <w:t>计，则人员生活用水量为</w:t>
            </w:r>
            <w:r>
              <w:rPr>
                <w:spacing w:val="-42"/>
              </w:rPr>
              <w:t xml:space="preserve"> </w:t>
            </w:r>
            <w:r>
              <w:rPr>
                <w:rFonts w:ascii="Times New Roman" w:hAnsi="Times New Roman" w:eastAsia="Times New Roman" w:cs="Times New Roman"/>
              </w:rPr>
              <w:t>438m</w:t>
            </w:r>
            <w:r>
              <w:rPr>
                <w:rFonts w:ascii="Times New Roman" w:hAnsi="Times New Roman" w:eastAsia="Times New Roman" w:cs="Times New Roman"/>
                <w:position w:val="8"/>
                <w:sz w:val="15"/>
                <w:szCs w:val="15"/>
              </w:rPr>
              <w:t>3</w:t>
            </w:r>
            <w:r>
              <w:rPr>
                <w:rFonts w:ascii="Times New Roman" w:hAnsi="Times New Roman" w:eastAsia="Times New Roman" w:cs="Times New Roman"/>
              </w:rPr>
              <w:t>/a</w:t>
            </w:r>
            <w:r>
              <w:t>（</w:t>
            </w:r>
            <w:r>
              <w:rPr>
                <w:rFonts w:ascii="Times New Roman" w:hAnsi="Times New Roman" w:eastAsia="Times New Roman" w:cs="Times New Roman"/>
              </w:rPr>
              <w:t>1.2m</w:t>
            </w:r>
            <w:r>
              <w:rPr>
                <w:rFonts w:ascii="Times New Roman" w:hAnsi="Times New Roman" w:eastAsia="Times New Roman" w:cs="Times New Roman"/>
                <w:position w:val="8"/>
                <w:sz w:val="15"/>
                <w:szCs w:val="15"/>
              </w:rPr>
              <w:t>3</w:t>
            </w:r>
            <w:r>
              <w:rPr>
                <w:rFonts w:ascii="Times New Roman" w:hAnsi="Times New Roman" w:eastAsia="Times New Roman" w:cs="Times New Roman"/>
              </w:rPr>
              <w:t>/d</w:t>
            </w:r>
            <w:r>
              <w:t>）。人员生活污水产污系数按</w:t>
            </w:r>
            <w:r>
              <w:rPr>
                <w:spacing w:val="-49"/>
              </w:rPr>
              <w:t xml:space="preserve"> </w:t>
            </w:r>
            <w:r>
              <w:rPr>
                <w:rFonts w:ascii="Times New Roman" w:hAnsi="Times New Roman" w:eastAsia="Times New Roman" w:cs="Times New Roman"/>
              </w:rPr>
              <w:t xml:space="preserve">0.8 </w:t>
            </w:r>
            <w:r>
              <w:t>计，则</w:t>
            </w:r>
            <w:r>
              <w:rPr>
                <w:spacing w:val="-2"/>
              </w:rPr>
              <w:t>生活污水产生量为</w:t>
            </w:r>
            <w:r>
              <w:rPr>
                <w:spacing w:val="-50"/>
              </w:rPr>
              <w:t xml:space="preserve"> </w:t>
            </w:r>
            <w:r>
              <w:rPr>
                <w:rFonts w:ascii="Times New Roman" w:hAnsi="Times New Roman" w:eastAsia="Times New Roman" w:cs="Times New Roman"/>
                <w:spacing w:val="-2"/>
              </w:rPr>
              <w:t>350.4m</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2"/>
              </w:rPr>
              <w:t>/a</w:t>
            </w:r>
            <w:r>
              <w:rPr>
                <w:rFonts w:ascii="Times New Roman" w:hAnsi="Times New Roman" w:eastAsia="Times New Roman" w:cs="Times New Roman"/>
                <w:spacing w:val="-31"/>
              </w:rPr>
              <w:t xml:space="preserve"> </w:t>
            </w:r>
            <w:r>
              <w:rPr>
                <w:spacing w:val="-2"/>
              </w:rPr>
              <w:t>，主要污染物浓度为</w:t>
            </w:r>
            <w:r>
              <w:rPr>
                <w:spacing w:val="-52"/>
              </w:rPr>
              <w:t xml:space="preserve"> </w:t>
            </w:r>
            <w:r>
              <w:rPr>
                <w:rFonts w:ascii="Times New Roman" w:hAnsi="Times New Roman" w:eastAsia="Times New Roman" w:cs="Times New Roman"/>
                <w:spacing w:val="-2"/>
              </w:rPr>
              <w:t>COD 350mg/L</w:t>
            </w:r>
            <w:r>
              <w:rPr>
                <w:spacing w:val="-2"/>
              </w:rPr>
              <w:t>、</w:t>
            </w:r>
            <w:r>
              <w:rPr>
                <w:rFonts w:ascii="Times New Roman" w:hAnsi="Times New Roman" w:eastAsia="Times New Roman" w:cs="Times New Roman"/>
                <w:spacing w:val="-2"/>
              </w:rPr>
              <w:t>B</w:t>
            </w:r>
            <w:r>
              <w:rPr>
                <w:rFonts w:ascii="Times New Roman" w:hAnsi="Times New Roman" w:eastAsia="Times New Roman" w:cs="Times New Roman"/>
                <w:spacing w:val="-3"/>
              </w:rPr>
              <w:t>OD 200mg/L</w:t>
            </w:r>
            <w:r>
              <w:rPr>
                <w:rFonts w:ascii="Times New Roman" w:hAnsi="Times New Roman" w:eastAsia="Times New Roman" w:cs="Times New Roman"/>
                <w:spacing w:val="-31"/>
              </w:rPr>
              <w:t xml:space="preserve"> </w:t>
            </w:r>
            <w:r>
              <w:rPr>
                <w:spacing w:val="-3"/>
              </w:rPr>
              <w:t>、</w:t>
            </w:r>
            <w:r>
              <w:rPr>
                <w:rFonts w:ascii="Times New Roman" w:hAnsi="Times New Roman" w:eastAsia="Times New Roman" w:cs="Times New Roman"/>
                <w:spacing w:val="-3"/>
              </w:rPr>
              <w:t>SS</w:t>
            </w:r>
            <w:r>
              <w:rPr>
                <w:rFonts w:ascii="Times New Roman" w:hAnsi="Times New Roman" w:eastAsia="Times New Roman" w:cs="Times New Roman"/>
              </w:rPr>
              <w:t xml:space="preserve"> </w:t>
            </w:r>
            <w:r>
              <w:rPr>
                <w:rFonts w:ascii="Times New Roman" w:hAnsi="Times New Roman" w:eastAsia="Times New Roman" w:cs="Times New Roman"/>
                <w:spacing w:val="-4"/>
              </w:rPr>
              <w:t>220mg/L</w:t>
            </w:r>
            <w:r>
              <w:rPr>
                <w:rFonts w:ascii="Times New Roman" w:hAnsi="Times New Roman" w:eastAsia="Times New Roman" w:cs="Times New Roman"/>
                <w:spacing w:val="-34"/>
              </w:rPr>
              <w:t xml:space="preserve"> </w:t>
            </w:r>
            <w:r>
              <w:rPr>
                <w:spacing w:val="-4"/>
              </w:rPr>
              <w:t>、氨氮</w:t>
            </w:r>
            <w:r>
              <w:rPr>
                <w:spacing w:val="-50"/>
              </w:rPr>
              <w:t xml:space="preserve"> </w:t>
            </w:r>
            <w:r>
              <w:rPr>
                <w:rFonts w:ascii="Times New Roman" w:hAnsi="Times New Roman" w:eastAsia="Times New Roman" w:cs="Times New Roman"/>
                <w:spacing w:val="-4"/>
              </w:rPr>
              <w:t>30mg/L</w:t>
            </w:r>
            <w:r>
              <w:rPr>
                <w:rFonts w:ascii="Times New Roman" w:hAnsi="Times New Roman" w:eastAsia="Times New Roman" w:cs="Times New Roman"/>
                <w:spacing w:val="-29"/>
              </w:rPr>
              <w:t xml:space="preserve"> </w:t>
            </w:r>
            <w:r>
              <w:rPr>
                <w:spacing w:val="-4"/>
              </w:rPr>
              <w:t>，故项目排放</w:t>
            </w:r>
            <w:r>
              <w:rPr>
                <w:spacing w:val="-51"/>
              </w:rPr>
              <w:t xml:space="preserve"> </w:t>
            </w:r>
            <w:r>
              <w:rPr>
                <w:rFonts w:ascii="Times New Roman" w:hAnsi="Times New Roman" w:eastAsia="Times New Roman" w:cs="Times New Roman"/>
                <w:spacing w:val="-4"/>
              </w:rPr>
              <w:t>COD</w:t>
            </w:r>
            <w:r>
              <w:rPr>
                <w:spacing w:val="-4"/>
              </w:rPr>
              <w:t>：</w:t>
            </w:r>
            <w:r>
              <w:rPr>
                <w:rFonts w:ascii="Times New Roman" w:hAnsi="Times New Roman" w:eastAsia="Times New Roman" w:cs="Times New Roman"/>
                <w:spacing w:val="-4"/>
              </w:rPr>
              <w:t>0.</w:t>
            </w:r>
            <w:r>
              <w:rPr>
                <w:rFonts w:ascii="Times New Roman" w:hAnsi="Times New Roman" w:eastAsia="Times New Roman" w:cs="Times New Roman"/>
                <w:spacing w:val="-32"/>
              </w:rPr>
              <w:t xml:space="preserve"> </w:t>
            </w:r>
            <w:r>
              <w:rPr>
                <w:rFonts w:ascii="Times New Roman" w:hAnsi="Times New Roman" w:eastAsia="Times New Roman" w:cs="Times New Roman"/>
                <w:spacing w:val="-4"/>
              </w:rPr>
              <w:t>12t/a</w:t>
            </w:r>
            <w:r>
              <w:rPr>
                <w:rFonts w:ascii="Times New Roman" w:hAnsi="Times New Roman" w:eastAsia="Times New Roman" w:cs="Times New Roman"/>
                <w:spacing w:val="-34"/>
              </w:rPr>
              <w:t xml:space="preserve"> </w:t>
            </w:r>
            <w:r>
              <w:rPr>
                <w:spacing w:val="-4"/>
              </w:rPr>
              <w:t>、</w:t>
            </w:r>
            <w:r>
              <w:rPr>
                <w:rFonts w:ascii="Times New Roman" w:hAnsi="Times New Roman" w:eastAsia="Times New Roman" w:cs="Times New Roman"/>
                <w:spacing w:val="-4"/>
              </w:rPr>
              <w:t>BOD</w:t>
            </w:r>
            <w:r>
              <w:rPr>
                <w:rFonts w:ascii="Times New Roman" w:hAnsi="Times New Roman" w:eastAsia="Times New Roman" w:cs="Times New Roman"/>
                <w:spacing w:val="17"/>
              </w:rPr>
              <w:t xml:space="preserve">  </w:t>
            </w:r>
            <w:r>
              <w:rPr>
                <w:spacing w:val="-4"/>
              </w:rPr>
              <w:t>：</w:t>
            </w:r>
            <w:r>
              <w:rPr>
                <w:rFonts w:ascii="Times New Roman" w:hAnsi="Times New Roman" w:eastAsia="Times New Roman" w:cs="Times New Roman"/>
                <w:spacing w:val="-4"/>
              </w:rPr>
              <w:t>0.07/a</w:t>
            </w:r>
            <w:r>
              <w:rPr>
                <w:rFonts w:ascii="Times New Roman" w:hAnsi="Times New Roman" w:eastAsia="Times New Roman" w:cs="Times New Roman"/>
                <w:spacing w:val="-35"/>
              </w:rPr>
              <w:t xml:space="preserve"> </w:t>
            </w:r>
            <w:r>
              <w:rPr>
                <w:spacing w:val="-4"/>
              </w:rPr>
              <w:t>、</w:t>
            </w:r>
            <w:r>
              <w:rPr>
                <w:rFonts w:ascii="Times New Roman" w:hAnsi="Times New Roman" w:eastAsia="Times New Roman" w:cs="Times New Roman"/>
                <w:spacing w:val="-4"/>
              </w:rPr>
              <w:t>SS</w:t>
            </w:r>
            <w:r>
              <w:rPr>
                <w:rFonts w:ascii="Times New Roman" w:hAnsi="Times New Roman" w:eastAsia="Times New Roman" w:cs="Times New Roman"/>
                <w:spacing w:val="14"/>
              </w:rPr>
              <w:t xml:space="preserve">  </w:t>
            </w:r>
            <w:r>
              <w:rPr>
                <w:spacing w:val="-4"/>
              </w:rPr>
              <w:t>：</w:t>
            </w:r>
            <w:r>
              <w:rPr>
                <w:rFonts w:ascii="Times New Roman" w:hAnsi="Times New Roman" w:eastAsia="Times New Roman" w:cs="Times New Roman"/>
                <w:spacing w:val="-4"/>
              </w:rPr>
              <w:t>0.077/a</w:t>
            </w:r>
            <w:r>
              <w:rPr>
                <w:rFonts w:ascii="Times New Roman" w:hAnsi="Times New Roman" w:eastAsia="Times New Roman" w:cs="Times New Roman"/>
                <w:spacing w:val="-34"/>
              </w:rPr>
              <w:t xml:space="preserve"> </w:t>
            </w:r>
            <w:r>
              <w:rPr>
                <w:spacing w:val="-4"/>
              </w:rPr>
              <w:t>、</w:t>
            </w:r>
            <w:r>
              <w:rPr>
                <w:spacing w:val="-2"/>
              </w:rPr>
              <w:t>氨氮：</w:t>
            </w:r>
            <w:r>
              <w:rPr>
                <w:rFonts w:ascii="Times New Roman" w:hAnsi="Times New Roman" w:eastAsia="Times New Roman" w:cs="Times New Roman"/>
                <w:spacing w:val="-2"/>
              </w:rPr>
              <w:t>0.011/a</w:t>
            </w:r>
            <w:r>
              <w:rPr>
                <w:spacing w:val="-2"/>
              </w:rPr>
              <w:t>。</w:t>
            </w:r>
          </w:p>
          <w:p w14:paraId="027B0AAB">
            <w:pPr>
              <w:pStyle w:val="9"/>
              <w:spacing w:before="8" w:line="354" w:lineRule="auto"/>
              <w:ind w:left="109" w:right="41" w:firstLine="480"/>
              <w:jc w:val="both"/>
            </w:pPr>
            <w:r>
              <w:rPr>
                <w:spacing w:val="-3"/>
              </w:rPr>
              <w:t>生活污水经化粪池收集后，排入厂区地埋式一体化污水处理</w:t>
            </w:r>
            <w:r>
              <w:rPr>
                <w:spacing w:val="-4"/>
              </w:rPr>
              <w:t>设施，处理后夏季回</w:t>
            </w:r>
            <w:r>
              <w:rPr>
                <w:spacing w:val="-6"/>
              </w:rPr>
              <w:t>用于绿化用水及厂区洒水抑尘，站内建设</w:t>
            </w:r>
            <w:r>
              <w:rPr>
                <w:spacing w:val="-31"/>
              </w:rPr>
              <w:t xml:space="preserve"> </w:t>
            </w:r>
            <w:r>
              <w:rPr>
                <w:rFonts w:ascii="Times New Roman" w:hAnsi="Times New Roman" w:eastAsia="Times New Roman" w:cs="Times New Roman"/>
                <w:spacing w:val="-6"/>
              </w:rPr>
              <w:t xml:space="preserve">1 </w:t>
            </w:r>
            <w:r>
              <w:rPr>
                <w:spacing w:val="-6"/>
              </w:rPr>
              <w:t>座</w:t>
            </w:r>
            <w:r>
              <w:rPr>
                <w:spacing w:val="-46"/>
              </w:rPr>
              <w:t xml:space="preserve"> </w:t>
            </w:r>
            <w:r>
              <w:rPr>
                <w:rFonts w:ascii="Times New Roman" w:hAnsi="Times New Roman" w:eastAsia="Times New Roman" w:cs="Times New Roman"/>
                <w:spacing w:val="-6"/>
              </w:rPr>
              <w:t>80m</w:t>
            </w:r>
            <w:r>
              <w:rPr>
                <w:rFonts w:ascii="Times New Roman" w:hAnsi="Times New Roman" w:eastAsia="Times New Roman" w:cs="Times New Roman"/>
                <w:spacing w:val="-6"/>
                <w:position w:val="8"/>
                <w:sz w:val="15"/>
                <w:szCs w:val="15"/>
              </w:rPr>
              <w:t xml:space="preserve">3  </w:t>
            </w:r>
            <w:r>
              <w:rPr>
                <w:spacing w:val="-6"/>
              </w:rPr>
              <w:t>的蓄水池，冬季在蓄水池内暂存，</w:t>
            </w:r>
            <w:r>
              <w:rPr>
                <w:spacing w:val="-1"/>
              </w:rPr>
              <w:t>冬储夏用，用于厂区绿化、道路抑尘等。</w:t>
            </w:r>
          </w:p>
          <w:p w14:paraId="220A8656">
            <w:pPr>
              <w:pStyle w:val="9"/>
              <w:spacing w:before="5" w:line="353" w:lineRule="auto"/>
              <w:ind w:left="106" w:right="102" w:firstLine="482"/>
              <w:jc w:val="both"/>
            </w:pPr>
            <w:r>
              <w:rPr>
                <w:spacing w:val="-5"/>
              </w:rPr>
              <w:t>升压站内设置</w:t>
            </w:r>
            <w:r>
              <w:rPr>
                <w:spacing w:val="-32"/>
              </w:rPr>
              <w:t xml:space="preserve"> </w:t>
            </w:r>
            <w:r>
              <w:rPr>
                <w:rFonts w:ascii="Times New Roman" w:hAnsi="Times New Roman" w:eastAsia="Times New Roman" w:cs="Times New Roman"/>
                <w:spacing w:val="-5"/>
              </w:rPr>
              <w:t xml:space="preserve">1 </w:t>
            </w:r>
            <w:r>
              <w:rPr>
                <w:spacing w:val="-5"/>
              </w:rPr>
              <w:t>座地埋式污水一体化处理设施，生活污水经</w:t>
            </w:r>
            <w:r>
              <w:rPr>
                <w:spacing w:val="-32"/>
              </w:rPr>
              <w:t xml:space="preserve"> </w:t>
            </w:r>
            <w:r>
              <w:rPr>
                <w:rFonts w:ascii="Times New Roman" w:hAnsi="Times New Roman" w:eastAsia="Times New Roman" w:cs="Times New Roman"/>
                <w:spacing w:val="-5"/>
              </w:rPr>
              <w:t xml:space="preserve">1 </w:t>
            </w:r>
            <w:r>
              <w:rPr>
                <w:spacing w:val="-5"/>
              </w:rPr>
              <w:t>个</w:t>
            </w:r>
            <w:r>
              <w:rPr>
                <w:spacing w:val="-49"/>
              </w:rPr>
              <w:t xml:space="preserve"> </w:t>
            </w:r>
            <w:r>
              <w:rPr>
                <w:rFonts w:ascii="Times New Roman" w:hAnsi="Times New Roman" w:eastAsia="Times New Roman" w:cs="Times New Roman"/>
                <w:spacing w:val="-5"/>
              </w:rPr>
              <w:t>5m</w:t>
            </w:r>
            <w:r>
              <w:rPr>
                <w:rFonts w:ascii="Times New Roman" w:hAnsi="Times New Roman" w:eastAsia="Times New Roman" w:cs="Times New Roman"/>
                <w:spacing w:val="-5"/>
                <w:position w:val="8"/>
                <w:sz w:val="15"/>
                <w:szCs w:val="15"/>
              </w:rPr>
              <w:t>3</w:t>
            </w:r>
            <w:r>
              <w:rPr>
                <w:rFonts w:ascii="Times New Roman" w:hAnsi="Times New Roman" w:eastAsia="Times New Roman" w:cs="Times New Roman"/>
                <w:spacing w:val="10"/>
                <w:w w:val="101"/>
                <w:position w:val="8"/>
                <w:sz w:val="15"/>
                <w:szCs w:val="15"/>
              </w:rPr>
              <w:t xml:space="preserve"> </w:t>
            </w:r>
            <w:r>
              <w:rPr>
                <w:spacing w:val="-5"/>
              </w:rPr>
              <w:t>化粪池（渗</w:t>
            </w:r>
            <w:r>
              <w:rPr>
                <w:spacing w:val="-2"/>
              </w:rPr>
              <w:t>透系数</w:t>
            </w:r>
            <w:r>
              <w:rPr>
                <w:rFonts w:ascii="Times New Roman" w:hAnsi="Times New Roman" w:eastAsia="Times New Roman" w:cs="Times New Roman"/>
                <w:spacing w:val="-2"/>
              </w:rPr>
              <w:t>≤10</w:t>
            </w:r>
            <w:r>
              <w:rPr>
                <w:rFonts w:ascii="Times New Roman" w:hAnsi="Times New Roman" w:eastAsia="Times New Roman" w:cs="Times New Roman"/>
                <w:spacing w:val="-2"/>
                <w:position w:val="8"/>
                <w:sz w:val="15"/>
                <w:szCs w:val="15"/>
              </w:rPr>
              <w:t>-7</w:t>
            </w:r>
            <w:r>
              <w:rPr>
                <w:rFonts w:ascii="Times New Roman" w:hAnsi="Times New Roman" w:eastAsia="Times New Roman" w:cs="Times New Roman"/>
                <w:spacing w:val="-2"/>
              </w:rPr>
              <w:t>cm/s</w:t>
            </w:r>
            <w:r>
              <w:rPr>
                <w:spacing w:val="-2"/>
              </w:rPr>
              <w:t>）处理后排入地埋式污水一体</w:t>
            </w:r>
            <w:r>
              <w:rPr>
                <w:spacing w:val="-3"/>
              </w:rPr>
              <w:t>化处理设施。地埋式处理设备处理能力</w:t>
            </w:r>
            <w:r>
              <w:rPr>
                <w:spacing w:val="-2"/>
              </w:rPr>
              <w:t>为</w:t>
            </w:r>
            <w:r>
              <w:rPr>
                <w:spacing w:val="-43"/>
              </w:rPr>
              <w:t xml:space="preserve"> </w:t>
            </w:r>
            <w:r>
              <w:rPr>
                <w:rFonts w:ascii="Times New Roman" w:hAnsi="Times New Roman" w:eastAsia="Times New Roman" w:cs="Times New Roman"/>
                <w:spacing w:val="-2"/>
              </w:rPr>
              <w:t>80m</w:t>
            </w:r>
            <w:r>
              <w:rPr>
                <w:rFonts w:ascii="Times New Roman" w:hAnsi="Times New Roman" w:eastAsia="Times New Roman" w:cs="Times New Roman"/>
                <w:spacing w:val="-2"/>
                <w:position w:val="8"/>
                <w:sz w:val="15"/>
                <w:szCs w:val="15"/>
              </w:rPr>
              <w:t>3</w:t>
            </w:r>
            <w:r>
              <w:rPr>
                <w:rFonts w:ascii="Times New Roman" w:hAnsi="Times New Roman" w:eastAsia="Times New Roman" w:cs="Times New Roman"/>
                <w:spacing w:val="-2"/>
              </w:rPr>
              <w:t>/d</w:t>
            </w:r>
            <w:r>
              <w:rPr>
                <w:spacing w:val="-2"/>
              </w:rPr>
              <w:t>，通过调节</w:t>
            </w:r>
            <w:r>
              <w:rPr>
                <w:rFonts w:ascii="Times New Roman" w:hAnsi="Times New Roman" w:eastAsia="Times New Roman" w:cs="Times New Roman"/>
                <w:spacing w:val="-2"/>
              </w:rPr>
              <w:t>+</w:t>
            </w:r>
            <w:r>
              <w:rPr>
                <w:spacing w:val="-2"/>
              </w:rPr>
              <w:t>接触氧化</w:t>
            </w:r>
            <w:r>
              <w:rPr>
                <w:rFonts w:ascii="Times New Roman" w:hAnsi="Times New Roman" w:eastAsia="Times New Roman" w:cs="Times New Roman"/>
                <w:spacing w:val="-2"/>
              </w:rPr>
              <w:t>+</w:t>
            </w:r>
            <w:r>
              <w:rPr>
                <w:spacing w:val="-2"/>
              </w:rPr>
              <w:t>沉淀</w:t>
            </w:r>
            <w:r>
              <w:rPr>
                <w:rFonts w:ascii="Times New Roman" w:hAnsi="Times New Roman" w:eastAsia="Times New Roman" w:cs="Times New Roman"/>
                <w:spacing w:val="-2"/>
              </w:rPr>
              <w:t>+</w:t>
            </w:r>
            <w:r>
              <w:rPr>
                <w:spacing w:val="-2"/>
              </w:rPr>
              <w:t>消毒处理后达到《城市污水再生利用城市杂用</w:t>
            </w:r>
            <w:r>
              <w:t>水水质标准》（</w:t>
            </w:r>
            <w:r>
              <w:rPr>
                <w:rFonts w:ascii="Times New Roman" w:hAnsi="Times New Roman" w:eastAsia="Times New Roman" w:cs="Times New Roman"/>
              </w:rPr>
              <w:t>GB/T18920-2020</w:t>
            </w:r>
            <w:r>
              <w:t>）后，用于厂</w:t>
            </w:r>
            <w:r>
              <w:rPr>
                <w:spacing w:val="-1"/>
              </w:rPr>
              <w:t>区绿化、道路抑尘等。</w:t>
            </w:r>
          </w:p>
          <w:p w14:paraId="5D12C239">
            <w:pPr>
              <w:pStyle w:val="9"/>
              <w:spacing w:line="220" w:lineRule="auto"/>
              <w:ind w:left="587"/>
              <w:outlineLvl w:val="2"/>
            </w:pPr>
            <w:r>
              <w:rPr>
                <w:b/>
                <w:bCs/>
                <w:spacing w:val="-3"/>
              </w:rPr>
              <w:t>三、固体废物影响分析</w:t>
            </w:r>
          </w:p>
          <w:p w14:paraId="03E44D3F">
            <w:pPr>
              <w:pStyle w:val="9"/>
              <w:spacing w:before="175" w:line="219" w:lineRule="auto"/>
              <w:ind w:left="606"/>
            </w:pPr>
            <w:r>
              <w:rPr>
                <w:rFonts w:ascii="Times New Roman" w:hAnsi="Times New Roman" w:eastAsia="Times New Roman" w:cs="Times New Roman"/>
                <w:spacing w:val="-4"/>
              </w:rPr>
              <w:t>1</w:t>
            </w:r>
            <w:r>
              <w:rPr>
                <w:rFonts w:ascii="Times New Roman" w:hAnsi="Times New Roman" w:eastAsia="Times New Roman" w:cs="Times New Roman"/>
                <w:spacing w:val="-30"/>
              </w:rPr>
              <w:t xml:space="preserve"> </w:t>
            </w:r>
            <w:r>
              <w:rPr>
                <w:spacing w:val="-4"/>
              </w:rPr>
              <w:t>、一般固体废弃物环境影响分析</w:t>
            </w:r>
          </w:p>
          <w:p w14:paraId="37F34930">
            <w:pPr>
              <w:pStyle w:val="9"/>
              <w:spacing w:before="173" w:line="220" w:lineRule="auto"/>
              <w:ind w:left="599"/>
            </w:pPr>
            <w:r>
              <w:rPr>
                <w:spacing w:val="-3"/>
              </w:rPr>
              <w:t>（</w:t>
            </w:r>
            <w:r>
              <w:rPr>
                <w:rFonts w:ascii="Times New Roman" w:hAnsi="Times New Roman" w:eastAsia="Times New Roman" w:cs="Times New Roman"/>
                <w:spacing w:val="-3"/>
              </w:rPr>
              <w:t>1</w:t>
            </w:r>
            <w:r>
              <w:rPr>
                <w:spacing w:val="-3"/>
              </w:rPr>
              <w:t>）生活垃圾</w:t>
            </w:r>
          </w:p>
          <w:p w14:paraId="69D72D8D">
            <w:pPr>
              <w:pStyle w:val="9"/>
              <w:spacing w:before="174" w:line="352" w:lineRule="auto"/>
              <w:ind w:left="105" w:right="102" w:firstLine="482"/>
            </w:pPr>
            <w:r>
              <w:rPr>
                <w:spacing w:val="-3"/>
              </w:rPr>
              <w:t>本项目检修每班最多</w:t>
            </w:r>
            <w:r>
              <w:rPr>
                <w:spacing w:val="-12"/>
              </w:rPr>
              <w:t xml:space="preserve"> </w:t>
            </w:r>
            <w:r>
              <w:rPr>
                <w:rFonts w:ascii="Times New Roman" w:hAnsi="Times New Roman" w:eastAsia="Times New Roman" w:cs="Times New Roman"/>
                <w:spacing w:val="-3"/>
              </w:rPr>
              <w:t xml:space="preserve">10 </w:t>
            </w:r>
            <w:r>
              <w:rPr>
                <w:spacing w:val="-3"/>
              </w:rPr>
              <w:t>人，按人均垃圾产生量</w:t>
            </w:r>
            <w:r>
              <w:rPr>
                <w:spacing w:val="-27"/>
              </w:rPr>
              <w:t xml:space="preserve"> </w:t>
            </w:r>
            <w:r>
              <w:rPr>
                <w:rFonts w:ascii="Times New Roman" w:hAnsi="Times New Roman" w:eastAsia="Times New Roman" w:cs="Times New Roman"/>
                <w:spacing w:val="-3"/>
              </w:rPr>
              <w:t>1kg/</w:t>
            </w:r>
            <w:r>
              <w:rPr>
                <w:spacing w:val="-3"/>
              </w:rPr>
              <w:t>人</w:t>
            </w:r>
            <w:r>
              <w:rPr>
                <w:spacing w:val="-26"/>
              </w:rPr>
              <w:t xml:space="preserve"> </w:t>
            </w:r>
            <w:r>
              <w:rPr>
                <w:spacing w:val="-3"/>
              </w:rPr>
              <w:t>·</w:t>
            </w:r>
            <w:r>
              <w:rPr>
                <w:rFonts w:ascii="Times New Roman" w:hAnsi="Times New Roman" w:eastAsia="Times New Roman" w:cs="Times New Roman"/>
                <w:spacing w:val="-3"/>
              </w:rPr>
              <w:t xml:space="preserve">d </w:t>
            </w:r>
            <w:r>
              <w:rPr>
                <w:spacing w:val="-3"/>
              </w:rPr>
              <w:t>计，则生活垃圾年产生量为</w:t>
            </w:r>
            <w:r>
              <w:rPr>
                <w:spacing w:val="-47"/>
              </w:rPr>
              <w:t xml:space="preserve"> </w:t>
            </w:r>
            <w:r>
              <w:rPr>
                <w:rFonts w:ascii="Times New Roman" w:hAnsi="Times New Roman" w:eastAsia="Times New Roman" w:cs="Times New Roman"/>
                <w:spacing w:val="-3"/>
              </w:rPr>
              <w:t>3.65t/a</w:t>
            </w:r>
            <w:r>
              <w:rPr>
                <w:spacing w:val="-3"/>
              </w:rPr>
              <w:t>，生活垃圾经垃圾桶集中收集后，委托霍林郭勒市环境卫生服务中心处</w:t>
            </w:r>
            <w:r>
              <w:rPr>
                <w:spacing w:val="-1"/>
              </w:rPr>
              <w:t>置，不会对周围的环境造成影响。</w:t>
            </w:r>
          </w:p>
          <w:p w14:paraId="42DBCCC6">
            <w:pPr>
              <w:pStyle w:val="9"/>
              <w:spacing w:before="7" w:line="219" w:lineRule="auto"/>
              <w:ind w:left="599"/>
            </w:pPr>
            <w:r>
              <w:rPr>
                <w:spacing w:val="-2"/>
              </w:rPr>
              <w:t>（</w:t>
            </w:r>
            <w:r>
              <w:rPr>
                <w:rFonts w:ascii="Times New Roman" w:hAnsi="Times New Roman" w:eastAsia="Times New Roman" w:cs="Times New Roman"/>
                <w:spacing w:val="-2"/>
              </w:rPr>
              <w:t>2</w:t>
            </w:r>
            <w:r>
              <w:rPr>
                <w:spacing w:val="-2"/>
              </w:rPr>
              <w:t>）污水处理设施污泥</w:t>
            </w:r>
          </w:p>
          <w:p w14:paraId="0EC8829F">
            <w:pPr>
              <w:pStyle w:val="9"/>
              <w:spacing w:before="175" w:line="354" w:lineRule="auto"/>
              <w:ind w:left="107" w:right="102" w:firstLine="483"/>
            </w:pPr>
            <w:r>
              <w:rPr>
                <w:spacing w:val="-2"/>
              </w:rPr>
              <w:t>一体化污水处理设施产生的污泥约</w:t>
            </w:r>
            <w:r>
              <w:rPr>
                <w:spacing w:val="-38"/>
              </w:rPr>
              <w:t xml:space="preserve"> </w:t>
            </w:r>
            <w:r>
              <w:rPr>
                <w:rFonts w:ascii="Times New Roman" w:hAnsi="Times New Roman" w:eastAsia="Times New Roman" w:cs="Times New Roman"/>
                <w:spacing w:val="-2"/>
              </w:rPr>
              <w:t>0.</w:t>
            </w:r>
            <w:r>
              <w:rPr>
                <w:rFonts w:ascii="Times New Roman" w:hAnsi="Times New Roman" w:eastAsia="Times New Roman" w:cs="Times New Roman"/>
                <w:spacing w:val="-32"/>
              </w:rPr>
              <w:t xml:space="preserve"> </w:t>
            </w:r>
            <w:r>
              <w:rPr>
                <w:rFonts w:ascii="Times New Roman" w:hAnsi="Times New Roman" w:eastAsia="Times New Roman" w:cs="Times New Roman"/>
                <w:spacing w:val="-2"/>
              </w:rPr>
              <w:t>1t/a</w:t>
            </w:r>
            <w:r>
              <w:rPr>
                <w:rFonts w:ascii="Times New Roman" w:hAnsi="Times New Roman" w:eastAsia="Times New Roman" w:cs="Times New Roman"/>
                <w:spacing w:val="-29"/>
              </w:rPr>
              <w:t xml:space="preserve"> </w:t>
            </w:r>
            <w:r>
              <w:rPr>
                <w:spacing w:val="-2"/>
              </w:rPr>
              <w:t>，与生活垃圾一同经收集后委托霍林郭</w:t>
            </w:r>
            <w:r>
              <w:rPr>
                <w:spacing w:val="-1"/>
              </w:rPr>
              <w:t>勒市环境卫生服务中心处置。</w:t>
            </w:r>
          </w:p>
          <w:p w14:paraId="4D71A6F2">
            <w:pPr>
              <w:pStyle w:val="9"/>
              <w:spacing w:line="220" w:lineRule="auto"/>
              <w:ind w:left="583"/>
            </w:pPr>
            <w:r>
              <w:rPr>
                <w:rFonts w:ascii="Times New Roman" w:hAnsi="Times New Roman" w:eastAsia="Times New Roman" w:cs="Times New Roman"/>
                <w:spacing w:val="-3"/>
              </w:rPr>
              <w:t>2</w:t>
            </w:r>
            <w:r>
              <w:rPr>
                <w:rFonts w:ascii="Times New Roman" w:hAnsi="Times New Roman" w:eastAsia="Times New Roman" w:cs="Times New Roman"/>
                <w:spacing w:val="-31"/>
              </w:rPr>
              <w:t xml:space="preserve"> </w:t>
            </w:r>
            <w:r>
              <w:rPr>
                <w:spacing w:val="-3"/>
              </w:rPr>
              <w:t>、危险废物环境影响分析</w:t>
            </w:r>
          </w:p>
          <w:p w14:paraId="2C31B894">
            <w:pPr>
              <w:pStyle w:val="9"/>
              <w:spacing w:before="174" w:line="219" w:lineRule="auto"/>
              <w:ind w:right="1"/>
              <w:jc w:val="right"/>
            </w:pPr>
            <w:r>
              <w:t>本项目产生的危险废物主要为废铅蓄电池、升压站内</w:t>
            </w:r>
            <w:r>
              <w:rPr>
                <w:spacing w:val="-1"/>
              </w:rPr>
              <w:t>维修废油、主变事故废油。</w:t>
            </w:r>
          </w:p>
          <w:p w14:paraId="481A27F9">
            <w:pPr>
              <w:pStyle w:val="9"/>
              <w:spacing w:before="175" w:line="219" w:lineRule="auto"/>
              <w:ind w:left="599"/>
            </w:pPr>
            <w:r>
              <w:rPr>
                <w:spacing w:val="-3"/>
              </w:rPr>
              <w:t>（</w:t>
            </w:r>
            <w:r>
              <w:rPr>
                <w:rFonts w:ascii="Times New Roman" w:hAnsi="Times New Roman" w:eastAsia="Times New Roman" w:cs="Times New Roman"/>
                <w:spacing w:val="-3"/>
              </w:rPr>
              <w:t>1</w:t>
            </w:r>
            <w:r>
              <w:rPr>
                <w:spacing w:val="-3"/>
              </w:rPr>
              <w:t>）废蓄电池</w:t>
            </w:r>
          </w:p>
          <w:p w14:paraId="2B06E123">
            <w:pPr>
              <w:pStyle w:val="9"/>
              <w:spacing w:before="175" w:line="354" w:lineRule="auto"/>
              <w:ind w:left="106" w:right="102" w:firstLine="482"/>
            </w:pPr>
            <w:r>
              <w:rPr>
                <w:spacing w:val="-3"/>
              </w:rPr>
              <w:t>升压站直流系统中采用免维护铅蓄电池，根据建设单位提供</w:t>
            </w:r>
            <w:r>
              <w:rPr>
                <w:spacing w:val="-4"/>
              </w:rPr>
              <w:t>资料，升压站铅蓄电</w:t>
            </w:r>
            <w:r>
              <w:rPr>
                <w:spacing w:val="-1"/>
              </w:rPr>
              <w:t>池寿命为</w:t>
            </w:r>
            <w:r>
              <w:rPr>
                <w:spacing w:val="-51"/>
              </w:rPr>
              <w:t xml:space="preserve"> </w:t>
            </w:r>
            <w:r>
              <w:rPr>
                <w:rFonts w:ascii="Times New Roman" w:hAnsi="Times New Roman" w:eastAsia="Times New Roman" w:cs="Times New Roman"/>
                <w:spacing w:val="-1"/>
              </w:rPr>
              <w:t xml:space="preserve">3-5 </w:t>
            </w:r>
            <w:r>
              <w:rPr>
                <w:spacing w:val="-1"/>
              </w:rPr>
              <w:t>年，每</w:t>
            </w:r>
            <w:r>
              <w:rPr>
                <w:spacing w:val="-50"/>
              </w:rPr>
              <w:t xml:space="preserve"> </w:t>
            </w:r>
            <w:r>
              <w:rPr>
                <w:rFonts w:ascii="Times New Roman" w:hAnsi="Times New Roman" w:eastAsia="Times New Roman" w:cs="Times New Roman"/>
                <w:spacing w:val="-1"/>
              </w:rPr>
              <w:t xml:space="preserve">3-5 </w:t>
            </w:r>
            <w:r>
              <w:rPr>
                <w:spacing w:val="-1"/>
              </w:rPr>
              <w:t>年更换一次。根据国家危险废物名录，</w:t>
            </w:r>
            <w:r>
              <w:rPr>
                <w:spacing w:val="-2"/>
              </w:rPr>
              <w:t>废蓄电池属危险废物</w:t>
            </w:r>
            <w:r>
              <w:t>（</w:t>
            </w:r>
            <w:r>
              <w:rPr>
                <w:rFonts w:ascii="Times New Roman" w:hAnsi="Times New Roman" w:eastAsia="Times New Roman" w:cs="Times New Roman"/>
              </w:rPr>
              <w:t>HW31</w:t>
            </w:r>
            <w:r>
              <w:t>其他废物，废物代码</w:t>
            </w:r>
            <w:r>
              <w:rPr>
                <w:spacing w:val="-51"/>
              </w:rPr>
              <w:t xml:space="preserve"> </w:t>
            </w:r>
            <w:r>
              <w:rPr>
                <w:rFonts w:ascii="Times New Roman" w:hAnsi="Times New Roman" w:eastAsia="Times New Roman" w:cs="Times New Roman"/>
              </w:rPr>
              <w:t>900-052-31</w:t>
            </w:r>
            <w:r>
              <w:rPr>
                <w:spacing w:val="-10"/>
              </w:rPr>
              <w:t>），</w:t>
            </w:r>
            <w:r>
              <w:t>升压站废铅蓄电池五年内最大产生量为</w:t>
            </w:r>
            <w:r>
              <w:rPr>
                <w:rFonts w:ascii="Times New Roman" w:hAnsi="Times New Roman" w:eastAsia="Times New Roman" w:cs="Times New Roman"/>
                <w:spacing w:val="-1"/>
              </w:rPr>
              <w:t>0.08t</w:t>
            </w:r>
            <w:r>
              <w:rPr>
                <w:rFonts w:ascii="Times New Roman" w:hAnsi="Times New Roman" w:eastAsia="Times New Roman" w:cs="Times New Roman"/>
                <w:spacing w:val="-31"/>
              </w:rPr>
              <w:t xml:space="preserve"> </w:t>
            </w:r>
            <w:r>
              <w:rPr>
                <w:spacing w:val="-1"/>
              </w:rPr>
              <w:t>，更换后暂存在场内危废暂存间内，定期由有资质的单位回</w:t>
            </w:r>
            <w:r>
              <w:rPr>
                <w:spacing w:val="-2"/>
              </w:rPr>
              <w:t>收处置。</w:t>
            </w:r>
          </w:p>
          <w:p w14:paraId="7A42D299">
            <w:pPr>
              <w:pStyle w:val="9"/>
              <w:spacing w:before="1" w:line="219" w:lineRule="auto"/>
              <w:ind w:left="599"/>
            </w:pPr>
            <w:r>
              <w:rPr>
                <w:spacing w:val="-2"/>
              </w:rPr>
              <w:t>（</w:t>
            </w:r>
            <w:r>
              <w:rPr>
                <w:rFonts w:ascii="Times New Roman" w:hAnsi="Times New Roman" w:eastAsia="Times New Roman" w:cs="Times New Roman"/>
                <w:spacing w:val="-2"/>
              </w:rPr>
              <w:t>2</w:t>
            </w:r>
            <w:r>
              <w:rPr>
                <w:spacing w:val="-2"/>
              </w:rPr>
              <w:t>）主变压器事故状态下废变压器油</w:t>
            </w:r>
          </w:p>
          <w:p w14:paraId="63645462">
            <w:pPr>
              <w:pStyle w:val="9"/>
              <w:spacing w:before="173" w:line="219" w:lineRule="auto"/>
              <w:ind w:right="1"/>
              <w:jc w:val="right"/>
            </w:pPr>
            <w:r>
              <w:t>主变压器正常运行时不产生废油，发生事故时将变</w:t>
            </w:r>
            <w:r>
              <w:rPr>
                <w:spacing w:val="-1"/>
              </w:rPr>
              <w:t>压器油排入事故池临时贮存。</w:t>
            </w:r>
          </w:p>
        </w:tc>
      </w:tr>
    </w:tbl>
    <w:p w14:paraId="7BD4D6F4">
      <w:pPr>
        <w:pStyle w:val="3"/>
      </w:pPr>
    </w:p>
    <w:p w14:paraId="31C5C00A">
      <w:pPr>
        <w:sectPr>
          <w:footerReference r:id="rId61" w:type="default"/>
          <w:pgSz w:w="11906" w:h="16838"/>
          <w:pgMar w:top="1416" w:right="1151" w:bottom="1293" w:left="1150" w:header="0" w:footer="1133" w:gutter="0"/>
          <w:cols w:space="720" w:num="1"/>
        </w:sectPr>
      </w:pPr>
    </w:p>
    <w:tbl>
      <w:tblPr>
        <w:tblStyle w:val="8"/>
        <w:tblW w:w="958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99"/>
        <w:gridCol w:w="8990"/>
      </w:tblGrid>
      <w:tr w14:paraId="37E472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797" w:hRule="atLeast"/>
        </w:trPr>
        <w:tc>
          <w:tcPr>
            <w:tcW w:w="599" w:type="dxa"/>
            <w:tcBorders>
              <w:right w:val="single" w:color="000000" w:sz="2" w:space="0"/>
            </w:tcBorders>
            <w:vAlign w:val="top"/>
          </w:tcPr>
          <w:p w14:paraId="4337D892">
            <w:pPr>
              <w:rPr>
                <w:rFonts w:ascii="Arial"/>
                <w:sz w:val="21"/>
              </w:rPr>
            </w:pPr>
          </w:p>
        </w:tc>
        <w:tc>
          <w:tcPr>
            <w:tcW w:w="8990" w:type="dxa"/>
            <w:tcBorders>
              <w:left w:val="single" w:color="000000" w:sz="2" w:space="0"/>
            </w:tcBorders>
            <w:vAlign w:val="top"/>
          </w:tcPr>
          <w:p w14:paraId="2D3B2033">
            <w:pPr>
              <w:pStyle w:val="9"/>
              <w:spacing w:before="156" w:line="354" w:lineRule="auto"/>
              <w:ind w:left="103" w:right="102" w:firstLine="7"/>
              <w:jc w:val="both"/>
            </w:pPr>
            <w:r>
              <w:rPr>
                <w:spacing w:val="-3"/>
              </w:rPr>
              <w:t>为保证主变压器一旦发生事故时，变压器油不流到站外而污染环境，同时又</w:t>
            </w:r>
            <w:r>
              <w:rPr>
                <w:spacing w:val="-4"/>
              </w:rPr>
              <w:t>能回收变</w:t>
            </w:r>
            <w:r>
              <w:rPr>
                <w:spacing w:val="-3"/>
              </w:rPr>
              <w:t>压器油，本项目升压站内设有</w:t>
            </w:r>
            <w:r>
              <w:rPr>
                <w:spacing w:val="-48"/>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28"/>
              </w:rPr>
              <w:t xml:space="preserve"> </w:t>
            </w:r>
            <w:r>
              <w:rPr>
                <w:spacing w:val="-3"/>
              </w:rPr>
              <w:t>台</w:t>
            </w:r>
            <w:r>
              <w:rPr>
                <w:spacing w:val="-30"/>
              </w:rPr>
              <w:t xml:space="preserve"> </w:t>
            </w:r>
            <w:r>
              <w:rPr>
                <w:rFonts w:ascii="Times New Roman" w:hAnsi="Times New Roman" w:eastAsia="Times New Roman" w:cs="Times New Roman"/>
                <w:spacing w:val="-3"/>
              </w:rPr>
              <w:t xml:space="preserve">150MVA </w:t>
            </w:r>
            <w:r>
              <w:rPr>
                <w:spacing w:val="-3"/>
              </w:rPr>
              <w:t>主变压器，单台</w:t>
            </w:r>
            <w:r>
              <w:rPr>
                <w:spacing w:val="-31"/>
              </w:rPr>
              <w:t xml:space="preserve"> </w:t>
            </w:r>
            <w:r>
              <w:rPr>
                <w:rFonts w:ascii="Times New Roman" w:hAnsi="Times New Roman" w:eastAsia="Times New Roman" w:cs="Times New Roman"/>
                <w:spacing w:val="-3"/>
              </w:rPr>
              <w:t xml:space="preserve">150MVA </w:t>
            </w:r>
            <w:r>
              <w:rPr>
                <w:spacing w:val="-3"/>
              </w:rPr>
              <w:t>主变压器绝缘</w:t>
            </w:r>
            <w:r>
              <w:rPr>
                <w:spacing w:val="1"/>
              </w:rPr>
              <w:t>油质量约为</w:t>
            </w:r>
            <w:r>
              <w:rPr>
                <w:spacing w:val="-44"/>
              </w:rPr>
              <w:t xml:space="preserve"> </w:t>
            </w:r>
            <w:r>
              <w:rPr>
                <w:rFonts w:ascii="Times New Roman" w:hAnsi="Times New Roman" w:eastAsia="Times New Roman" w:cs="Times New Roman"/>
                <w:spacing w:val="1"/>
              </w:rPr>
              <w:t>43.3t</w:t>
            </w:r>
            <w:r>
              <w:rPr>
                <w:rFonts w:ascii="Times New Roman" w:hAnsi="Times New Roman" w:eastAsia="Times New Roman" w:cs="Times New Roman"/>
                <w:spacing w:val="-21"/>
              </w:rPr>
              <w:t xml:space="preserve"> </w:t>
            </w:r>
            <w:r>
              <w:rPr>
                <w:spacing w:val="1"/>
              </w:rPr>
              <w:t>，</w:t>
            </w:r>
            <w:r>
              <w:rPr>
                <w:rFonts w:ascii="Times New Roman" w:hAnsi="Times New Roman" w:eastAsia="Times New Roman" w:cs="Times New Roman"/>
                <w:spacing w:val="1"/>
              </w:rPr>
              <w:t>1</w:t>
            </w:r>
            <w:r>
              <w:rPr>
                <w:rFonts w:ascii="Times New Roman" w:hAnsi="Times New Roman" w:eastAsia="Times New Roman" w:cs="Times New Roman"/>
                <w:spacing w:val="37"/>
                <w:w w:val="101"/>
              </w:rPr>
              <w:t xml:space="preserve"> </w:t>
            </w:r>
            <w:r>
              <w:rPr>
                <w:spacing w:val="1"/>
              </w:rPr>
              <w:t>台</w:t>
            </w:r>
            <w:r>
              <w:rPr>
                <w:spacing w:val="-20"/>
              </w:rPr>
              <w:t xml:space="preserve"> </w:t>
            </w:r>
            <w:r>
              <w:rPr>
                <w:rFonts w:ascii="Times New Roman" w:hAnsi="Times New Roman" w:eastAsia="Times New Roman" w:cs="Times New Roman"/>
                <w:spacing w:val="1"/>
              </w:rPr>
              <w:t>125</w:t>
            </w:r>
            <w:r>
              <w:rPr>
                <w:rFonts w:ascii="Times New Roman" w:hAnsi="Times New Roman" w:eastAsia="Times New Roman" w:cs="Times New Roman"/>
              </w:rPr>
              <w:t>MVA</w:t>
            </w:r>
            <w:r>
              <w:rPr>
                <w:rFonts w:ascii="Times New Roman" w:hAnsi="Times New Roman" w:eastAsia="Times New Roman" w:cs="Times New Roman"/>
                <w:spacing w:val="18"/>
              </w:rPr>
              <w:t xml:space="preserve"> </w:t>
            </w:r>
            <w:r>
              <w:rPr>
                <w:spacing w:val="1"/>
              </w:rPr>
              <w:t>主变压器，主变压器绝缘油</w:t>
            </w:r>
            <w:r>
              <w:t>质量约为</w:t>
            </w:r>
            <w:r>
              <w:rPr>
                <w:spacing w:val="-41"/>
              </w:rPr>
              <w:t xml:space="preserve"> </w:t>
            </w:r>
            <w:r>
              <w:rPr>
                <w:rFonts w:ascii="Times New Roman" w:hAnsi="Times New Roman" w:eastAsia="Times New Roman" w:cs="Times New Roman"/>
              </w:rPr>
              <w:t>35.8t</w:t>
            </w:r>
            <w:r>
              <w:rPr>
                <w:rFonts w:ascii="Times New Roman" w:hAnsi="Times New Roman" w:eastAsia="Times New Roman" w:cs="Times New Roman"/>
                <w:spacing w:val="-18"/>
              </w:rPr>
              <w:t xml:space="preserve"> </w:t>
            </w:r>
            <w:r>
              <w:t>，</w:t>
            </w:r>
            <w:r>
              <w:rPr>
                <w:rFonts w:ascii="Times New Roman" w:hAnsi="Times New Roman" w:eastAsia="Times New Roman" w:cs="Times New Roman"/>
              </w:rPr>
              <w:t>1</w:t>
            </w:r>
            <w:r>
              <w:rPr>
                <w:rFonts w:ascii="Times New Roman" w:hAnsi="Times New Roman" w:eastAsia="Times New Roman" w:cs="Times New Roman"/>
                <w:spacing w:val="40"/>
              </w:rPr>
              <w:t xml:space="preserve"> </w:t>
            </w:r>
            <w:r>
              <w:t>台</w:t>
            </w:r>
            <w:r>
              <w:rPr>
                <w:rFonts w:ascii="Times New Roman" w:hAnsi="Times New Roman" w:eastAsia="Times New Roman" w:cs="Times New Roman"/>
                <w:spacing w:val="-3"/>
              </w:rPr>
              <w:t xml:space="preserve">240MVA </w:t>
            </w:r>
            <w:r>
              <w:rPr>
                <w:spacing w:val="-3"/>
              </w:rPr>
              <w:t>主变压器，主变压器绝缘油质量约为</w:t>
            </w:r>
            <w:r>
              <w:rPr>
                <w:spacing w:val="-37"/>
              </w:rPr>
              <w:t xml:space="preserve"> </w:t>
            </w:r>
            <w:r>
              <w:rPr>
                <w:rFonts w:ascii="Times New Roman" w:hAnsi="Times New Roman" w:eastAsia="Times New Roman" w:cs="Times New Roman"/>
                <w:spacing w:val="-3"/>
              </w:rPr>
              <w:t>52t</w:t>
            </w:r>
            <w:r>
              <w:rPr>
                <w:rFonts w:ascii="Times New Roman" w:hAnsi="Times New Roman" w:eastAsia="Times New Roman" w:cs="Times New Roman"/>
                <w:spacing w:val="-31"/>
              </w:rPr>
              <w:t xml:space="preserve"> </w:t>
            </w:r>
            <w:r>
              <w:rPr>
                <w:spacing w:val="-3"/>
              </w:rPr>
              <w:t>，按照油比重</w:t>
            </w:r>
            <w:r>
              <w:rPr>
                <w:spacing w:val="-51"/>
              </w:rPr>
              <w:t xml:space="preserve"> </w:t>
            </w:r>
            <w:r>
              <w:rPr>
                <w:rFonts w:ascii="Times New Roman" w:hAnsi="Times New Roman" w:eastAsia="Times New Roman" w:cs="Times New Roman"/>
                <w:spacing w:val="-3"/>
              </w:rPr>
              <w:t>0.895t/m</w:t>
            </w:r>
            <w:r>
              <w:rPr>
                <w:rFonts w:ascii="Times New Roman" w:hAnsi="Times New Roman" w:eastAsia="Times New Roman" w:cs="Times New Roman"/>
                <w:spacing w:val="-3"/>
                <w:position w:val="8"/>
                <w:sz w:val="15"/>
                <w:szCs w:val="15"/>
              </w:rPr>
              <w:t>3</w:t>
            </w:r>
            <w:r>
              <w:rPr>
                <w:rFonts w:ascii="Times New Roman" w:hAnsi="Times New Roman" w:eastAsia="Times New Roman" w:cs="Times New Roman"/>
                <w:spacing w:val="-10"/>
                <w:position w:val="8"/>
                <w:sz w:val="15"/>
                <w:szCs w:val="15"/>
              </w:rPr>
              <w:t xml:space="preserve"> </w:t>
            </w:r>
            <w:r>
              <w:rPr>
                <w:spacing w:val="-3"/>
              </w:rPr>
              <w:t>，折算体积</w:t>
            </w:r>
            <w:r>
              <w:rPr>
                <w:spacing w:val="-2"/>
              </w:rPr>
              <w:t>约为</w:t>
            </w:r>
            <w:r>
              <w:rPr>
                <w:spacing w:val="-49"/>
              </w:rPr>
              <w:t xml:space="preserve"> </w:t>
            </w:r>
            <w:r>
              <w:rPr>
                <w:rFonts w:ascii="Times New Roman" w:hAnsi="Times New Roman" w:eastAsia="Times New Roman" w:cs="Times New Roman"/>
                <w:spacing w:val="-2"/>
              </w:rPr>
              <w:t>58m</w:t>
            </w:r>
            <w:r>
              <w:rPr>
                <w:rFonts w:ascii="Times New Roman" w:hAnsi="Times New Roman" w:eastAsia="Times New Roman" w:cs="Times New Roman"/>
                <w:spacing w:val="-2"/>
                <w:position w:val="7"/>
                <w:sz w:val="15"/>
                <w:szCs w:val="15"/>
              </w:rPr>
              <w:t>3</w:t>
            </w:r>
            <w:r>
              <w:rPr>
                <w:spacing w:val="-2"/>
              </w:rPr>
              <w:t>。</w:t>
            </w:r>
          </w:p>
          <w:p w14:paraId="4CDA8EFF">
            <w:pPr>
              <w:pStyle w:val="9"/>
              <w:spacing w:before="1" w:line="354" w:lineRule="auto"/>
              <w:ind w:left="108" w:right="102" w:firstLine="480"/>
            </w:pPr>
            <w:r>
              <w:rPr>
                <w:spacing w:val="-4"/>
              </w:rPr>
              <w:t>贮油坑的四周设挡油坎，高出地面</w:t>
            </w:r>
            <w:r>
              <w:rPr>
                <w:spacing w:val="-20"/>
              </w:rPr>
              <w:t xml:space="preserve"> </w:t>
            </w:r>
            <w:r>
              <w:rPr>
                <w:rFonts w:ascii="Times New Roman" w:hAnsi="Times New Roman" w:eastAsia="Times New Roman" w:cs="Times New Roman"/>
                <w:spacing w:val="-4"/>
              </w:rPr>
              <w:t>100mm</w:t>
            </w:r>
            <w:r>
              <w:rPr>
                <w:spacing w:val="-4"/>
              </w:rPr>
              <w:t>，坑内铺设厚度为</w:t>
            </w:r>
            <w:r>
              <w:rPr>
                <w:spacing w:val="-55"/>
              </w:rPr>
              <w:t xml:space="preserve"> </w:t>
            </w:r>
            <w:r>
              <w:rPr>
                <w:rFonts w:ascii="Times New Roman" w:hAnsi="Times New Roman" w:eastAsia="Times New Roman" w:cs="Times New Roman"/>
                <w:spacing w:val="-4"/>
              </w:rPr>
              <w:t>250mm</w:t>
            </w:r>
            <w:r>
              <w:rPr>
                <w:rFonts w:ascii="Times New Roman" w:hAnsi="Times New Roman" w:eastAsia="Times New Roman" w:cs="Times New Roman"/>
                <w:spacing w:val="28"/>
              </w:rPr>
              <w:t xml:space="preserve"> </w:t>
            </w:r>
            <w:r>
              <w:rPr>
                <w:spacing w:val="-4"/>
              </w:rPr>
              <w:t>的卵石，卵</w:t>
            </w:r>
            <w:r>
              <w:rPr>
                <w:spacing w:val="1"/>
              </w:rPr>
              <w:t>石粒径为</w:t>
            </w:r>
            <w:r>
              <w:rPr>
                <w:rFonts w:ascii="Times New Roman" w:hAnsi="Times New Roman" w:eastAsia="Times New Roman" w:cs="Times New Roman"/>
                <w:spacing w:val="1"/>
              </w:rPr>
              <w:t>50</w:t>
            </w:r>
            <w:r>
              <w:rPr>
                <w:spacing w:val="1"/>
              </w:rPr>
              <w:t>～</w:t>
            </w:r>
            <w:r>
              <w:rPr>
                <w:rFonts w:ascii="Times New Roman" w:hAnsi="Times New Roman" w:eastAsia="Times New Roman" w:cs="Times New Roman"/>
                <w:spacing w:val="1"/>
              </w:rPr>
              <w:t>80</w:t>
            </w:r>
            <w:r>
              <w:rPr>
                <w:rFonts w:ascii="Times New Roman" w:hAnsi="Times New Roman" w:eastAsia="Times New Roman" w:cs="Times New Roman"/>
              </w:rPr>
              <w:t>mm</w:t>
            </w:r>
            <w:r>
              <w:rPr>
                <w:rFonts w:ascii="Times New Roman" w:hAnsi="Times New Roman" w:eastAsia="Times New Roman" w:cs="Times New Roman"/>
                <w:spacing w:val="-30"/>
              </w:rPr>
              <w:t xml:space="preserve"> </w:t>
            </w:r>
            <w:r>
              <w:rPr>
                <w:spacing w:val="1"/>
              </w:rPr>
              <w:t>，坑底设有排油管，能</w:t>
            </w:r>
            <w:r>
              <w:t>将事故油及消防废水排至事故油池中。</w:t>
            </w:r>
          </w:p>
          <w:p w14:paraId="70922484">
            <w:pPr>
              <w:pStyle w:val="9"/>
              <w:spacing w:before="4" w:line="353" w:lineRule="auto"/>
              <w:ind w:left="106" w:right="102" w:firstLine="480"/>
            </w:pPr>
            <w:r>
              <w:rPr>
                <w:spacing w:val="-2"/>
              </w:rPr>
              <w:t>事故油池有效容积按单台变压器最大事故排油量的</w:t>
            </w:r>
            <w:r>
              <w:rPr>
                <w:spacing w:val="-28"/>
              </w:rPr>
              <w:t xml:space="preserve"> </w:t>
            </w:r>
            <w:r>
              <w:rPr>
                <w:rFonts w:ascii="Times New Roman" w:hAnsi="Times New Roman" w:eastAsia="Times New Roman" w:cs="Times New Roman"/>
                <w:spacing w:val="-2"/>
              </w:rPr>
              <w:t>100%</w:t>
            </w:r>
            <w:r>
              <w:rPr>
                <w:spacing w:val="-2"/>
              </w:rPr>
              <w:t>考虑，本项目共设置</w:t>
            </w:r>
            <w:r>
              <w:rPr>
                <w:spacing w:val="-32"/>
              </w:rPr>
              <w:t xml:space="preserve"> </w:t>
            </w:r>
            <w:r>
              <w:rPr>
                <w:rFonts w:ascii="Times New Roman" w:hAnsi="Times New Roman" w:eastAsia="Times New Roman" w:cs="Times New Roman"/>
                <w:spacing w:val="-2"/>
              </w:rPr>
              <w:t>1</w:t>
            </w:r>
            <w:r>
              <w:rPr>
                <w:spacing w:val="-2"/>
              </w:rPr>
              <w:t>台主变，事故油池尺寸有效容积为</w:t>
            </w:r>
            <w:r>
              <w:rPr>
                <w:spacing w:val="-49"/>
              </w:rPr>
              <w:t xml:space="preserve"> </w:t>
            </w:r>
            <w:r>
              <w:rPr>
                <w:rFonts w:ascii="Times New Roman" w:hAnsi="Times New Roman" w:eastAsia="Times New Roman" w:cs="Times New Roman"/>
                <w:spacing w:val="-2"/>
              </w:rPr>
              <w:t>60m</w:t>
            </w:r>
            <w:r>
              <w:rPr>
                <w:rFonts w:ascii="Times New Roman" w:hAnsi="Times New Roman" w:eastAsia="Times New Roman" w:cs="Times New Roman"/>
                <w:spacing w:val="-2"/>
                <w:position w:val="8"/>
                <w:sz w:val="15"/>
                <w:szCs w:val="15"/>
              </w:rPr>
              <w:t xml:space="preserve">3 </w:t>
            </w:r>
            <w:r>
              <w:rPr>
                <w:spacing w:val="-2"/>
              </w:rPr>
              <w:t>。</w:t>
            </w:r>
            <w:r>
              <w:rPr>
                <w:spacing w:val="-3"/>
              </w:rPr>
              <w:t>主变事故油池顶板井盖高出地面</w:t>
            </w:r>
            <w:r>
              <w:rPr>
                <w:spacing w:val="-32"/>
              </w:rPr>
              <w:t xml:space="preserve"> </w:t>
            </w:r>
            <w:r>
              <w:rPr>
                <w:rFonts w:ascii="Times New Roman" w:hAnsi="Times New Roman" w:eastAsia="Times New Roman" w:cs="Times New Roman"/>
                <w:spacing w:val="-3"/>
              </w:rPr>
              <w:t>150mm</w:t>
            </w:r>
            <w:r>
              <w:rPr>
                <w:spacing w:val="-3"/>
              </w:rPr>
              <w:t>。</w:t>
            </w:r>
            <w:r>
              <w:rPr>
                <w:spacing w:val="1"/>
              </w:rPr>
              <w:t>采用</w:t>
            </w:r>
            <w:r>
              <w:rPr>
                <w:spacing w:val="-37"/>
              </w:rPr>
              <w:t xml:space="preserve"> </w:t>
            </w:r>
            <w:r>
              <w:rPr>
                <w:rFonts w:ascii="Times New Roman" w:hAnsi="Times New Roman" w:eastAsia="Times New Roman" w:cs="Times New Roman"/>
                <w:spacing w:val="1"/>
              </w:rPr>
              <w:t xml:space="preserve">C30P8 </w:t>
            </w:r>
            <w:r>
              <w:rPr>
                <w:spacing w:val="1"/>
              </w:rPr>
              <w:t>抗渗钢筋混凝土整版基础基础底板、墙板</w:t>
            </w:r>
            <w:r>
              <w:rPr>
                <w:spacing w:val="-48"/>
              </w:rPr>
              <w:t xml:space="preserve"> </w:t>
            </w:r>
            <w:r>
              <w:rPr>
                <w:rFonts w:ascii="Times New Roman" w:hAnsi="Times New Roman" w:eastAsia="Times New Roman" w:cs="Times New Roman"/>
                <w:spacing w:val="1"/>
              </w:rPr>
              <w:t>250</w:t>
            </w:r>
            <w:r>
              <w:rPr>
                <w:rFonts w:ascii="Times New Roman" w:hAnsi="Times New Roman" w:eastAsia="Times New Roman" w:cs="Times New Roman"/>
              </w:rPr>
              <w:t>mm</w:t>
            </w:r>
            <w:r>
              <w:rPr>
                <w:rFonts w:ascii="Times New Roman" w:hAnsi="Times New Roman" w:eastAsia="Times New Roman" w:cs="Times New Roman"/>
                <w:spacing w:val="21"/>
              </w:rPr>
              <w:t xml:space="preserve"> </w:t>
            </w:r>
            <w:r>
              <w:rPr>
                <w:spacing w:val="1"/>
              </w:rPr>
              <w:t>厚，</w:t>
            </w:r>
            <w:r>
              <w:rPr>
                <w:rFonts w:ascii="Times New Roman" w:hAnsi="Times New Roman" w:eastAsia="Times New Roman" w:cs="Times New Roman"/>
                <w:spacing w:val="1"/>
              </w:rPr>
              <w:t>100</w:t>
            </w:r>
            <w:r>
              <w:rPr>
                <w:rFonts w:ascii="Times New Roman" w:hAnsi="Times New Roman" w:eastAsia="Times New Roman" w:cs="Times New Roman"/>
              </w:rPr>
              <w:t>mm</w:t>
            </w:r>
            <w:r>
              <w:rPr>
                <w:rFonts w:ascii="Times New Roman" w:hAnsi="Times New Roman" w:eastAsia="Times New Roman" w:cs="Times New Roman"/>
                <w:spacing w:val="20"/>
                <w:w w:val="101"/>
              </w:rPr>
              <w:t xml:space="preserve"> </w:t>
            </w:r>
            <w:r>
              <w:rPr>
                <w:spacing w:val="1"/>
              </w:rPr>
              <w:t>厚的</w:t>
            </w:r>
            <w:r>
              <w:rPr>
                <w:spacing w:val="-47"/>
              </w:rPr>
              <w:t xml:space="preserve"> </w:t>
            </w:r>
            <w:r>
              <w:rPr>
                <w:rFonts w:ascii="Times New Roman" w:hAnsi="Times New Roman" w:eastAsia="Times New Roman" w:cs="Times New Roman"/>
                <w:spacing w:val="1"/>
              </w:rPr>
              <w:t>C20</w:t>
            </w:r>
            <w:r>
              <w:t>混凝土垫层，防渗层为</w:t>
            </w:r>
            <w:r>
              <w:rPr>
                <w:spacing w:val="-53"/>
              </w:rPr>
              <w:t xml:space="preserve"> </w:t>
            </w:r>
            <w:r>
              <w:rPr>
                <w:rFonts w:ascii="Times New Roman" w:hAnsi="Times New Roman" w:eastAsia="Times New Roman" w:cs="Times New Roman"/>
              </w:rPr>
              <w:t>2mm</w:t>
            </w:r>
            <w:r>
              <w:rPr>
                <w:rFonts w:ascii="Times New Roman" w:hAnsi="Times New Roman" w:eastAsia="Times New Roman" w:cs="Times New Roman"/>
                <w:spacing w:val="16"/>
                <w:w w:val="101"/>
              </w:rPr>
              <w:t xml:space="preserve"> </w:t>
            </w:r>
            <w:r>
              <w:t>厚高密度聚乙烯膜，渗透系数≤</w:t>
            </w:r>
            <w:r>
              <w:rPr>
                <w:rFonts w:ascii="Times New Roman" w:hAnsi="Times New Roman" w:eastAsia="Times New Roman" w:cs="Times New Roman"/>
              </w:rPr>
              <w:t>10</w:t>
            </w:r>
            <w:r>
              <w:rPr>
                <w:rFonts w:ascii="Times New Roman" w:hAnsi="Times New Roman" w:eastAsia="Times New Roman" w:cs="Times New Roman"/>
                <w:position w:val="8"/>
                <w:sz w:val="15"/>
                <w:szCs w:val="15"/>
              </w:rPr>
              <w:t>-</w:t>
            </w:r>
            <w:r>
              <w:rPr>
                <w:rFonts w:ascii="Times New Roman" w:hAnsi="Times New Roman" w:eastAsia="Times New Roman" w:cs="Times New Roman"/>
                <w:spacing w:val="-21"/>
                <w:position w:val="8"/>
                <w:sz w:val="15"/>
                <w:szCs w:val="15"/>
              </w:rPr>
              <w:t xml:space="preserve"> </w:t>
            </w:r>
            <w:r>
              <w:rPr>
                <w:rFonts w:ascii="Times New Roman" w:hAnsi="Times New Roman" w:eastAsia="Times New Roman" w:cs="Times New Roman"/>
                <w:position w:val="8"/>
                <w:sz w:val="15"/>
                <w:szCs w:val="15"/>
              </w:rPr>
              <w:t>10</w:t>
            </w:r>
            <w:r>
              <w:rPr>
                <w:rFonts w:ascii="Times New Roman" w:hAnsi="Times New Roman" w:eastAsia="Times New Roman" w:cs="Times New Roman"/>
              </w:rPr>
              <w:t>c</w:t>
            </w:r>
            <w:r>
              <w:rPr>
                <w:rFonts w:ascii="Times New Roman" w:hAnsi="Times New Roman" w:eastAsia="Times New Roman" w:cs="Times New Roman"/>
                <w:spacing w:val="-1"/>
              </w:rPr>
              <w:t>m/s</w:t>
            </w:r>
            <w:r>
              <w:rPr>
                <w:rFonts w:ascii="Times New Roman" w:hAnsi="Times New Roman" w:eastAsia="Times New Roman" w:cs="Times New Roman"/>
                <w:spacing w:val="-31"/>
              </w:rPr>
              <w:t xml:space="preserve"> </w:t>
            </w:r>
            <w:r>
              <w:rPr>
                <w:spacing w:val="-1"/>
              </w:rPr>
              <w:t>，油池内外壁和底板抹防水砂浆厚</w:t>
            </w:r>
            <w:r>
              <w:rPr>
                <w:spacing w:val="-55"/>
              </w:rPr>
              <w:t xml:space="preserve"> </w:t>
            </w:r>
            <w:r>
              <w:rPr>
                <w:rFonts w:ascii="Times New Roman" w:hAnsi="Times New Roman" w:eastAsia="Times New Roman" w:cs="Times New Roman"/>
                <w:spacing w:val="-1"/>
              </w:rPr>
              <w:t>20mm</w:t>
            </w:r>
            <w:r>
              <w:rPr>
                <w:spacing w:val="-1"/>
              </w:rPr>
              <w:t>。</w:t>
            </w:r>
          </w:p>
          <w:p w14:paraId="12B1D80B">
            <w:pPr>
              <w:pStyle w:val="9"/>
              <w:spacing w:before="4" w:line="353" w:lineRule="auto"/>
              <w:ind w:left="107" w:right="102" w:firstLine="480"/>
              <w:jc w:val="both"/>
            </w:pPr>
            <w:r>
              <w:t>根据《变压器事故油池设计计算》中变压器事故油池工作过程（</w:t>
            </w:r>
            <w:r>
              <w:rPr>
                <w:rFonts w:ascii="Times New Roman" w:hAnsi="Times New Roman" w:eastAsia="Times New Roman" w:cs="Times New Roman"/>
              </w:rPr>
              <w:t>1</w:t>
            </w:r>
            <w:r>
              <w:t>）在变压器没</w:t>
            </w:r>
            <w:r>
              <w:rPr>
                <w:spacing w:val="-3"/>
              </w:rPr>
              <w:t>有发生事故时，事故油池内保存一定高度的水，在日常维护时，注意定期补水，保持一定高度的水面，因此，在事故油池设计时事故油池的容积一定会大于变压器油的体积。发生事故时，事故废油在事故油池内暂存</w:t>
            </w:r>
            <w:r>
              <w:rPr>
                <w:spacing w:val="-32"/>
              </w:rPr>
              <w:t xml:space="preserve"> </w:t>
            </w:r>
            <w:r>
              <w:rPr>
                <w:rFonts w:ascii="Times New Roman" w:hAnsi="Times New Roman" w:eastAsia="Times New Roman" w:cs="Times New Roman"/>
                <w:spacing w:val="-3"/>
              </w:rPr>
              <w:t>1-2</w:t>
            </w:r>
            <w:r>
              <w:rPr>
                <w:rFonts w:ascii="Times New Roman" w:hAnsi="Times New Roman" w:eastAsia="Times New Roman" w:cs="Times New Roman"/>
                <w:spacing w:val="14"/>
              </w:rPr>
              <w:t xml:space="preserve"> </w:t>
            </w:r>
            <w:r>
              <w:rPr>
                <w:spacing w:val="-3"/>
              </w:rPr>
              <w:t>天，要求建设单位委托有资质的单</w:t>
            </w:r>
            <w:r>
              <w:rPr>
                <w:spacing w:val="-2"/>
              </w:rPr>
              <w:t>位及时拉运处</w:t>
            </w:r>
          </w:p>
          <w:p w14:paraId="58C9A7DF">
            <w:pPr>
              <w:pStyle w:val="9"/>
              <w:spacing w:line="219" w:lineRule="auto"/>
              <w:ind w:left="599"/>
            </w:pPr>
            <w:r>
              <w:rPr>
                <w:spacing w:val="-3"/>
              </w:rPr>
              <w:t>（</w:t>
            </w:r>
            <w:r>
              <w:rPr>
                <w:rFonts w:ascii="Times New Roman" w:hAnsi="Times New Roman" w:eastAsia="Times New Roman" w:cs="Times New Roman"/>
                <w:spacing w:val="-3"/>
              </w:rPr>
              <w:t>3</w:t>
            </w:r>
            <w:r>
              <w:rPr>
                <w:spacing w:val="-3"/>
              </w:rPr>
              <w:t>）维修废油</w:t>
            </w:r>
          </w:p>
          <w:p w14:paraId="60345DFA">
            <w:pPr>
              <w:pStyle w:val="9"/>
              <w:spacing w:before="175" w:line="354" w:lineRule="auto"/>
              <w:ind w:left="109" w:right="102" w:firstLine="480"/>
            </w:pPr>
            <w:r>
              <w:rPr>
                <w:spacing w:val="-3"/>
              </w:rPr>
              <w:t>升压站日常检修中要进行拆卸、加油、擦洗等，该过程会产</w:t>
            </w:r>
            <w:r>
              <w:rPr>
                <w:spacing w:val="-4"/>
              </w:rPr>
              <w:t>生维修垃圾（包括废</w:t>
            </w:r>
            <w:r>
              <w:rPr>
                <w:spacing w:val="-2"/>
              </w:rPr>
              <w:t>油）。类比同类项目，本项目维修垃圾年产生量为</w:t>
            </w:r>
            <w:r>
              <w:rPr>
                <w:spacing w:val="-34"/>
              </w:rPr>
              <w:t xml:space="preserve"> </w:t>
            </w:r>
            <w:r>
              <w:rPr>
                <w:rFonts w:ascii="Times New Roman" w:hAnsi="Times New Roman" w:eastAsia="Times New Roman" w:cs="Times New Roman"/>
                <w:spacing w:val="-2"/>
              </w:rPr>
              <w:t>0.</w:t>
            </w:r>
            <w:r>
              <w:rPr>
                <w:rFonts w:ascii="Times New Roman" w:hAnsi="Times New Roman" w:eastAsia="Times New Roman" w:cs="Times New Roman"/>
                <w:spacing w:val="-32"/>
              </w:rPr>
              <w:t xml:space="preserve"> </w:t>
            </w:r>
            <w:r>
              <w:rPr>
                <w:rFonts w:ascii="Times New Roman" w:hAnsi="Times New Roman" w:eastAsia="Times New Roman" w:cs="Times New Roman"/>
                <w:spacing w:val="-2"/>
              </w:rPr>
              <w:t>1t/a</w:t>
            </w:r>
            <w:r>
              <w:rPr>
                <w:rFonts w:ascii="Times New Roman" w:hAnsi="Times New Roman" w:eastAsia="Times New Roman" w:cs="Times New Roman"/>
                <w:spacing w:val="-27"/>
              </w:rPr>
              <w:t xml:space="preserve"> </w:t>
            </w:r>
            <w:r>
              <w:rPr>
                <w:spacing w:val="-2"/>
              </w:rPr>
              <w:t>。按照国家危险废物名录，</w:t>
            </w:r>
            <w:r>
              <w:rPr>
                <w:spacing w:val="-1"/>
              </w:rPr>
              <w:t>属危险废物（</w:t>
            </w:r>
            <w:r>
              <w:rPr>
                <w:rFonts w:ascii="Times New Roman" w:hAnsi="Times New Roman" w:eastAsia="Times New Roman" w:cs="Times New Roman"/>
                <w:spacing w:val="-1"/>
              </w:rPr>
              <w:t xml:space="preserve">HW08 </w:t>
            </w:r>
            <w:r>
              <w:rPr>
                <w:spacing w:val="-1"/>
              </w:rPr>
              <w:t>废矿物油，废物代</w:t>
            </w:r>
            <w:r>
              <w:rPr>
                <w:spacing w:val="-2"/>
              </w:rPr>
              <w:t>码</w:t>
            </w:r>
            <w:r>
              <w:rPr>
                <w:spacing w:val="-50"/>
              </w:rPr>
              <w:t xml:space="preserve"> </w:t>
            </w:r>
            <w:r>
              <w:rPr>
                <w:rFonts w:ascii="Times New Roman" w:hAnsi="Times New Roman" w:eastAsia="Times New Roman" w:cs="Times New Roman"/>
                <w:spacing w:val="-2"/>
              </w:rPr>
              <w:t>900-217-08</w:t>
            </w:r>
            <w:r>
              <w:rPr>
                <w:spacing w:val="-9"/>
              </w:rPr>
              <w:t>），</w:t>
            </w:r>
            <w:r>
              <w:rPr>
                <w:spacing w:val="-2"/>
              </w:rPr>
              <w:t>经专门容器收集后暂时贮存</w:t>
            </w:r>
            <w:r>
              <w:rPr>
                <w:spacing w:val="-1"/>
              </w:rPr>
              <w:t>于场内危险废物暂存间，委托有资质的单位及时处置。</w:t>
            </w:r>
          </w:p>
          <w:p w14:paraId="798B4EF0">
            <w:pPr>
              <w:pStyle w:val="9"/>
              <w:spacing w:before="4" w:line="337" w:lineRule="auto"/>
              <w:ind w:left="107" w:right="102" w:firstLine="480"/>
              <w:jc w:val="both"/>
            </w:pPr>
            <w:r>
              <w:rPr>
                <w:spacing w:val="-2"/>
              </w:rPr>
              <w:t>站内新建</w:t>
            </w:r>
            <w:r>
              <w:rPr>
                <w:spacing w:val="-25"/>
              </w:rPr>
              <w:t xml:space="preserve"> </w:t>
            </w:r>
            <w:r>
              <w:rPr>
                <w:rFonts w:ascii="Times New Roman" w:hAnsi="Times New Roman" w:eastAsia="Times New Roman" w:cs="Times New Roman"/>
                <w:spacing w:val="-2"/>
              </w:rPr>
              <w:t xml:space="preserve">1 </w:t>
            </w:r>
            <w:r>
              <w:rPr>
                <w:spacing w:val="-2"/>
              </w:rPr>
              <w:t>座占地面积为</w:t>
            </w:r>
            <w:r>
              <w:rPr>
                <w:spacing w:val="-49"/>
              </w:rPr>
              <w:t xml:space="preserve"> </w:t>
            </w:r>
            <w:r>
              <w:rPr>
                <w:rFonts w:ascii="Times New Roman" w:hAnsi="Times New Roman" w:eastAsia="Times New Roman" w:cs="Times New Roman"/>
                <w:spacing w:val="-2"/>
              </w:rPr>
              <w:t>57m</w:t>
            </w:r>
            <w:r>
              <w:rPr>
                <w:rFonts w:ascii="Times New Roman" w:hAnsi="Times New Roman" w:eastAsia="Times New Roman" w:cs="Times New Roman"/>
                <w:spacing w:val="-2"/>
                <w:position w:val="8"/>
                <w:sz w:val="15"/>
                <w:szCs w:val="15"/>
              </w:rPr>
              <w:t xml:space="preserve">2  </w:t>
            </w:r>
            <w:r>
              <w:rPr>
                <w:spacing w:val="-2"/>
              </w:rPr>
              <w:t>的危险废物暂存间，按照《危险废物贮存污染控</w:t>
            </w:r>
            <w:r>
              <w:rPr>
                <w:spacing w:val="2"/>
              </w:rPr>
              <w:t>制标准》（</w:t>
            </w:r>
            <w:r>
              <w:rPr>
                <w:rFonts w:ascii="Times New Roman" w:hAnsi="Times New Roman" w:eastAsia="Times New Roman" w:cs="Times New Roman"/>
              </w:rPr>
              <w:t>GB</w:t>
            </w:r>
            <w:r>
              <w:rPr>
                <w:rFonts w:ascii="Times New Roman" w:hAnsi="Times New Roman" w:eastAsia="Times New Roman" w:cs="Times New Roman"/>
                <w:spacing w:val="2"/>
              </w:rPr>
              <w:t>18597-2023</w:t>
            </w:r>
            <w:r>
              <w:rPr>
                <w:spacing w:val="2"/>
              </w:rPr>
              <w:t>）选址、设计、运行、安全防护、监测和关闭</w:t>
            </w:r>
            <w:r>
              <w:rPr>
                <w:spacing w:val="1"/>
              </w:rPr>
              <w:t>。地面防渗</w:t>
            </w:r>
            <w:r>
              <w:rPr>
                <w:spacing w:val="-1"/>
              </w:rPr>
              <w:t>层①</w:t>
            </w:r>
            <w:r>
              <w:rPr>
                <w:rFonts w:ascii="Times New Roman" w:hAnsi="Times New Roman" w:eastAsia="Times New Roman" w:cs="Times New Roman"/>
                <w:spacing w:val="-1"/>
              </w:rPr>
              <w:t>40</w:t>
            </w:r>
            <w:r>
              <w:rPr>
                <w:rFonts w:ascii="Times New Roman" w:hAnsi="Times New Roman" w:eastAsia="Times New Roman" w:cs="Times New Roman"/>
                <w:spacing w:val="15"/>
                <w:w w:val="101"/>
              </w:rPr>
              <w:t xml:space="preserve"> </w:t>
            </w:r>
            <w:r>
              <w:rPr>
                <w:spacing w:val="-1"/>
              </w:rPr>
              <w:t>厚</w:t>
            </w:r>
            <w:r>
              <w:rPr>
                <w:spacing w:val="-52"/>
              </w:rPr>
              <w:t xml:space="preserve"> </w:t>
            </w:r>
            <w:r>
              <w:rPr>
                <w:rFonts w:ascii="Times New Roman" w:hAnsi="Times New Roman" w:eastAsia="Times New Roman" w:cs="Times New Roman"/>
                <w:spacing w:val="-1"/>
              </w:rPr>
              <w:t>C20</w:t>
            </w:r>
            <w:r>
              <w:rPr>
                <w:rFonts w:ascii="Times New Roman" w:hAnsi="Times New Roman" w:eastAsia="Times New Roman" w:cs="Times New Roman"/>
                <w:spacing w:val="25"/>
              </w:rPr>
              <w:t xml:space="preserve"> </w:t>
            </w:r>
            <w:r>
              <w:rPr>
                <w:spacing w:val="-1"/>
              </w:rPr>
              <w:t>防油细石混凝土面层，</w:t>
            </w:r>
            <w:r>
              <w:rPr>
                <w:rFonts w:ascii="Times New Roman" w:hAnsi="Times New Roman" w:eastAsia="Times New Roman" w:cs="Times New Roman"/>
                <w:spacing w:val="-1"/>
              </w:rPr>
              <w:t xml:space="preserve">2 </w:t>
            </w:r>
            <w:r>
              <w:rPr>
                <w:spacing w:val="-1"/>
              </w:rPr>
              <w:t>遍环氧树</w:t>
            </w:r>
            <w:r>
              <w:rPr>
                <w:spacing w:val="-2"/>
              </w:rPr>
              <w:t>脂漆②</w:t>
            </w:r>
            <w:r>
              <w:rPr>
                <w:rFonts w:ascii="Times New Roman" w:hAnsi="Times New Roman" w:eastAsia="Times New Roman" w:cs="Times New Roman"/>
                <w:spacing w:val="-2"/>
              </w:rPr>
              <w:t xml:space="preserve">2mm </w:t>
            </w:r>
            <w:r>
              <w:rPr>
                <w:spacing w:val="-2"/>
              </w:rPr>
              <w:t>厚高密度聚乙烯膜③</w:t>
            </w:r>
            <w:r>
              <w:rPr>
                <w:rFonts w:ascii="Times New Roman" w:hAnsi="Times New Roman" w:eastAsia="Times New Roman" w:cs="Times New Roman"/>
                <w:spacing w:val="-2"/>
              </w:rPr>
              <w:t>20</w:t>
            </w:r>
            <w:r>
              <w:rPr>
                <w:spacing w:val="2"/>
              </w:rPr>
              <w:t>厚</w:t>
            </w:r>
            <w:r>
              <w:rPr>
                <w:spacing w:val="-27"/>
              </w:rPr>
              <w:t xml:space="preserve"> </w:t>
            </w:r>
            <w:r>
              <w:rPr>
                <w:rFonts w:ascii="Times New Roman" w:hAnsi="Times New Roman" w:eastAsia="Times New Roman" w:cs="Times New Roman"/>
                <w:spacing w:val="2"/>
              </w:rPr>
              <w:t>1:3</w:t>
            </w:r>
            <w:r>
              <w:rPr>
                <w:rFonts w:ascii="Times New Roman" w:hAnsi="Times New Roman" w:eastAsia="Times New Roman" w:cs="Times New Roman"/>
                <w:spacing w:val="17"/>
              </w:rPr>
              <w:t xml:space="preserve"> </w:t>
            </w:r>
            <w:r>
              <w:rPr>
                <w:spacing w:val="2"/>
              </w:rPr>
              <w:t>水泥砂浆找平层④水泥浆一道</w:t>
            </w:r>
            <w:r>
              <w:rPr>
                <w:rFonts w:ascii="Times New Roman" w:hAnsi="Times New Roman" w:eastAsia="Times New Roman" w:cs="Times New Roman"/>
                <w:spacing w:val="2"/>
              </w:rPr>
              <w:t>(</w:t>
            </w:r>
            <w:r>
              <w:rPr>
                <w:spacing w:val="2"/>
              </w:rPr>
              <w:t>内</w:t>
            </w:r>
            <w:r>
              <w:rPr>
                <w:spacing w:val="1"/>
              </w:rPr>
              <w:t>掺建筑胶</w:t>
            </w:r>
            <w:r>
              <w:rPr>
                <w:rFonts w:ascii="Times New Roman" w:hAnsi="Times New Roman" w:eastAsia="Times New Roman" w:cs="Times New Roman"/>
                <w:spacing w:val="1"/>
              </w:rPr>
              <w:t>)</w:t>
            </w:r>
            <w:r>
              <w:rPr>
                <w:spacing w:val="1"/>
              </w:rPr>
              <w:t>⑤</w:t>
            </w:r>
            <w:r>
              <w:rPr>
                <w:rFonts w:ascii="Times New Roman" w:hAnsi="Times New Roman" w:eastAsia="Times New Roman" w:cs="Times New Roman"/>
                <w:spacing w:val="1"/>
              </w:rPr>
              <w:t>60</w:t>
            </w:r>
            <w:r>
              <w:rPr>
                <w:rFonts w:ascii="Times New Roman" w:hAnsi="Times New Roman" w:eastAsia="Times New Roman" w:cs="Times New Roman"/>
                <w:spacing w:val="20"/>
              </w:rPr>
              <w:t xml:space="preserve"> </w:t>
            </w:r>
            <w:r>
              <w:rPr>
                <w:spacing w:val="1"/>
              </w:rPr>
              <w:t>厚</w:t>
            </w:r>
            <w:r>
              <w:rPr>
                <w:spacing w:val="-47"/>
              </w:rPr>
              <w:t xml:space="preserve"> </w:t>
            </w:r>
            <w:r>
              <w:rPr>
                <w:rFonts w:ascii="Times New Roman" w:hAnsi="Times New Roman" w:eastAsia="Times New Roman" w:cs="Times New Roman"/>
                <w:spacing w:val="1"/>
              </w:rPr>
              <w:t>C15</w:t>
            </w:r>
            <w:r>
              <w:rPr>
                <w:rFonts w:ascii="Times New Roman" w:hAnsi="Times New Roman" w:eastAsia="Times New Roman" w:cs="Times New Roman"/>
                <w:spacing w:val="17"/>
                <w:w w:val="101"/>
              </w:rPr>
              <w:t xml:space="preserve"> </w:t>
            </w:r>
            <w:r>
              <w:rPr>
                <w:spacing w:val="1"/>
              </w:rPr>
              <w:t>混凝土垫层⑥素土夯</w:t>
            </w:r>
            <w:r>
              <w:rPr>
                <w:spacing w:val="-3"/>
              </w:rPr>
              <w:t>实；墙面裙角及库内危险废物收集池及导流槽按照上述要求进行防渗处理，渗透系数</w:t>
            </w:r>
            <w:r>
              <w:rPr>
                <w:spacing w:val="1"/>
              </w:rPr>
              <w:t>≤</w:t>
            </w:r>
            <w:r>
              <w:rPr>
                <w:rFonts w:ascii="Times New Roman" w:hAnsi="Times New Roman" w:eastAsia="Times New Roman" w:cs="Times New Roman"/>
                <w:spacing w:val="1"/>
              </w:rPr>
              <w:t>1</w:t>
            </w:r>
            <w:r>
              <w:rPr>
                <w:spacing w:val="1"/>
              </w:rPr>
              <w:t>×</w:t>
            </w:r>
            <w:r>
              <w:rPr>
                <w:rFonts w:ascii="Times New Roman" w:hAnsi="Times New Roman" w:eastAsia="Times New Roman" w:cs="Times New Roman"/>
                <w:spacing w:val="1"/>
              </w:rPr>
              <w:t>10</w:t>
            </w:r>
            <w:r>
              <w:rPr>
                <w:rFonts w:ascii="Times New Roman" w:hAnsi="Times New Roman" w:eastAsia="Times New Roman" w:cs="Times New Roman"/>
                <w:spacing w:val="1"/>
                <w:position w:val="8"/>
                <w:sz w:val="15"/>
                <w:szCs w:val="15"/>
              </w:rPr>
              <w:t>-</w:t>
            </w:r>
            <w:r>
              <w:rPr>
                <w:rFonts w:ascii="Times New Roman" w:hAnsi="Times New Roman" w:eastAsia="Times New Roman" w:cs="Times New Roman"/>
                <w:spacing w:val="-3"/>
                <w:position w:val="8"/>
                <w:sz w:val="15"/>
                <w:szCs w:val="15"/>
              </w:rPr>
              <w:t xml:space="preserve"> </w:t>
            </w:r>
            <w:r>
              <w:rPr>
                <w:rFonts w:ascii="Times New Roman" w:hAnsi="Times New Roman" w:eastAsia="Times New Roman" w:cs="Times New Roman"/>
                <w:spacing w:val="1"/>
                <w:position w:val="8"/>
                <w:sz w:val="15"/>
                <w:szCs w:val="15"/>
              </w:rPr>
              <w:t>10</w:t>
            </w:r>
            <w:r>
              <w:rPr>
                <w:rFonts w:ascii="Times New Roman" w:hAnsi="Times New Roman" w:eastAsia="Times New Roman" w:cs="Times New Roman"/>
              </w:rPr>
              <w:t>cm</w:t>
            </w:r>
            <w:r>
              <w:rPr>
                <w:rFonts w:ascii="Times New Roman" w:hAnsi="Times New Roman" w:eastAsia="Times New Roman" w:cs="Times New Roman"/>
                <w:spacing w:val="1"/>
              </w:rPr>
              <w:t>/s</w:t>
            </w:r>
            <w:r>
              <w:rPr>
                <w:spacing w:val="1"/>
              </w:rPr>
              <w:t>；库房整体地面应有一定坡度，便于泄漏废油及时汇集至收集池；符</w:t>
            </w:r>
            <w:r>
              <w:rPr>
                <w:spacing w:val="-2"/>
              </w:rPr>
              <w:t>合《危险废物贮存污染控制标准》</w:t>
            </w:r>
            <w:r>
              <w:rPr>
                <w:rFonts w:ascii="Times New Roman" w:hAnsi="Times New Roman" w:eastAsia="Times New Roman" w:cs="Times New Roman"/>
                <w:spacing w:val="-2"/>
              </w:rPr>
              <w:t>(GB18597-2023)</w:t>
            </w:r>
            <w:r>
              <w:rPr>
                <w:spacing w:val="-2"/>
              </w:rPr>
              <w:t>中“基础防渗要求进行防渗，透系数</w:t>
            </w:r>
            <w:r>
              <w:rPr>
                <w:rFonts w:ascii="Times New Roman" w:hAnsi="Times New Roman" w:eastAsia="Times New Roman" w:cs="Times New Roman"/>
                <w:spacing w:val="-2"/>
              </w:rPr>
              <w:t>&lt;1x10</w:t>
            </w:r>
            <w:r>
              <w:rPr>
                <w:rFonts w:ascii="Times New Roman" w:hAnsi="Times New Roman" w:eastAsia="Times New Roman" w:cs="Times New Roman"/>
                <w:spacing w:val="-2"/>
                <w:position w:val="7"/>
                <w:sz w:val="15"/>
                <w:szCs w:val="15"/>
              </w:rPr>
              <w:t>-</w:t>
            </w:r>
            <w:r>
              <w:rPr>
                <w:rFonts w:ascii="Times New Roman" w:hAnsi="Times New Roman" w:eastAsia="Times New Roman" w:cs="Times New Roman"/>
                <w:spacing w:val="-15"/>
                <w:position w:val="7"/>
                <w:sz w:val="15"/>
                <w:szCs w:val="15"/>
              </w:rPr>
              <w:t xml:space="preserve"> </w:t>
            </w:r>
            <w:r>
              <w:rPr>
                <w:rFonts w:ascii="Times New Roman" w:hAnsi="Times New Roman" w:eastAsia="Times New Roman" w:cs="Times New Roman"/>
                <w:spacing w:val="-2"/>
                <w:position w:val="7"/>
                <w:sz w:val="15"/>
                <w:szCs w:val="15"/>
              </w:rPr>
              <w:t>10</w:t>
            </w:r>
            <w:r>
              <w:rPr>
                <w:rFonts w:ascii="Times New Roman" w:hAnsi="Times New Roman" w:eastAsia="Times New Roman" w:cs="Times New Roman"/>
                <w:spacing w:val="-2"/>
              </w:rPr>
              <w:t>cm/s</w:t>
            </w:r>
            <w:r>
              <w:rPr>
                <w:spacing w:val="-2"/>
              </w:rPr>
              <w:t>。</w:t>
            </w:r>
          </w:p>
        </w:tc>
      </w:tr>
    </w:tbl>
    <w:p w14:paraId="62E1E274">
      <w:pPr>
        <w:pStyle w:val="3"/>
      </w:pPr>
    </w:p>
    <w:p w14:paraId="46C50CB3">
      <w:pPr>
        <w:sectPr>
          <w:footerReference r:id="rId62" w:type="default"/>
          <w:pgSz w:w="11906" w:h="16838"/>
          <w:pgMar w:top="1416" w:right="1151" w:bottom="1295" w:left="1150" w:header="0" w:footer="1133" w:gutter="0"/>
          <w:cols w:space="720" w:num="1"/>
        </w:sectPr>
      </w:pPr>
    </w:p>
    <w:tbl>
      <w:tblPr>
        <w:tblStyle w:val="8"/>
        <w:tblW w:w="9589"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99"/>
        <w:gridCol w:w="656"/>
        <w:gridCol w:w="487"/>
        <w:gridCol w:w="451"/>
        <w:gridCol w:w="663"/>
        <w:gridCol w:w="1052"/>
        <w:gridCol w:w="1807"/>
        <w:gridCol w:w="542"/>
        <w:gridCol w:w="712"/>
        <w:gridCol w:w="534"/>
        <w:gridCol w:w="726"/>
        <w:gridCol w:w="1242"/>
        <w:gridCol w:w="118"/>
      </w:tblGrid>
      <w:tr w14:paraId="286103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245" w:hRule="atLeast"/>
        </w:trPr>
        <w:tc>
          <w:tcPr>
            <w:tcW w:w="599" w:type="dxa"/>
            <w:vMerge w:val="restart"/>
            <w:tcBorders>
              <w:top w:val="single" w:color="000000" w:sz="6" w:space="0"/>
              <w:left w:val="single" w:color="000000" w:sz="6" w:space="0"/>
              <w:bottom w:val="nil"/>
            </w:tcBorders>
            <w:vAlign w:val="top"/>
          </w:tcPr>
          <w:p w14:paraId="65F41024">
            <w:pPr>
              <w:rPr>
                <w:rFonts w:ascii="Arial"/>
                <w:sz w:val="21"/>
              </w:rPr>
            </w:pPr>
          </w:p>
        </w:tc>
        <w:tc>
          <w:tcPr>
            <w:tcW w:w="8990" w:type="dxa"/>
            <w:gridSpan w:val="12"/>
            <w:tcBorders>
              <w:top w:val="single" w:color="000000" w:sz="6" w:space="0"/>
              <w:right w:val="single" w:color="000000" w:sz="6" w:space="0"/>
            </w:tcBorders>
            <w:vAlign w:val="top"/>
          </w:tcPr>
          <w:p w14:paraId="4C7C12B1">
            <w:pPr>
              <w:pStyle w:val="9"/>
              <w:spacing w:before="156" w:line="354" w:lineRule="auto"/>
              <w:ind w:left="106" w:right="102" w:firstLine="481"/>
              <w:jc w:val="both"/>
            </w:pPr>
            <w:r>
              <w:rPr>
                <w:spacing w:val="-10"/>
              </w:rPr>
              <w:t>本</w:t>
            </w:r>
            <w:r>
              <w:rPr>
                <w:spacing w:val="-47"/>
              </w:rPr>
              <w:t xml:space="preserve"> </w:t>
            </w:r>
            <w:r>
              <w:rPr>
                <w:spacing w:val="-10"/>
              </w:rPr>
              <w:t>次</w:t>
            </w:r>
            <w:r>
              <w:rPr>
                <w:spacing w:val="-50"/>
              </w:rPr>
              <w:t xml:space="preserve"> </w:t>
            </w:r>
            <w:r>
              <w:rPr>
                <w:spacing w:val="-10"/>
              </w:rPr>
              <w:t>环</w:t>
            </w:r>
            <w:r>
              <w:rPr>
                <w:spacing w:val="-54"/>
              </w:rPr>
              <w:t xml:space="preserve"> </w:t>
            </w:r>
            <w:r>
              <w:rPr>
                <w:spacing w:val="-10"/>
              </w:rPr>
              <w:t>评</w:t>
            </w:r>
            <w:r>
              <w:rPr>
                <w:spacing w:val="-53"/>
              </w:rPr>
              <w:t xml:space="preserve"> </w:t>
            </w:r>
            <w:r>
              <w:rPr>
                <w:spacing w:val="-10"/>
              </w:rPr>
              <w:t>要</w:t>
            </w:r>
            <w:r>
              <w:rPr>
                <w:spacing w:val="-48"/>
              </w:rPr>
              <w:t xml:space="preserve"> </w:t>
            </w:r>
            <w:r>
              <w:rPr>
                <w:spacing w:val="-10"/>
              </w:rPr>
              <w:t>求</w:t>
            </w:r>
            <w:r>
              <w:rPr>
                <w:spacing w:val="-50"/>
              </w:rPr>
              <w:t xml:space="preserve"> </w:t>
            </w:r>
            <w:r>
              <w:rPr>
                <w:spacing w:val="-10"/>
              </w:rPr>
              <w:t>建</w:t>
            </w:r>
            <w:r>
              <w:rPr>
                <w:spacing w:val="-47"/>
              </w:rPr>
              <w:t xml:space="preserve"> </w:t>
            </w:r>
            <w:r>
              <w:rPr>
                <w:spacing w:val="-10"/>
              </w:rPr>
              <w:t>设</w:t>
            </w:r>
            <w:r>
              <w:rPr>
                <w:spacing w:val="-51"/>
              </w:rPr>
              <w:t xml:space="preserve"> </w:t>
            </w:r>
            <w:r>
              <w:rPr>
                <w:spacing w:val="-10"/>
              </w:rPr>
              <w:t>单</w:t>
            </w:r>
            <w:r>
              <w:rPr>
                <w:spacing w:val="-53"/>
              </w:rPr>
              <w:t xml:space="preserve"> </w:t>
            </w:r>
            <w:r>
              <w:rPr>
                <w:spacing w:val="-10"/>
              </w:rPr>
              <w:t>位</w:t>
            </w:r>
            <w:r>
              <w:rPr>
                <w:spacing w:val="-50"/>
              </w:rPr>
              <w:t xml:space="preserve"> </w:t>
            </w:r>
            <w:r>
              <w:rPr>
                <w:spacing w:val="-10"/>
              </w:rPr>
              <w:t>严</w:t>
            </w:r>
            <w:r>
              <w:rPr>
                <w:spacing w:val="-53"/>
              </w:rPr>
              <w:t xml:space="preserve"> </w:t>
            </w:r>
            <w:r>
              <w:rPr>
                <w:spacing w:val="-10"/>
              </w:rPr>
              <w:t>格</w:t>
            </w:r>
            <w:r>
              <w:rPr>
                <w:spacing w:val="-51"/>
              </w:rPr>
              <w:t xml:space="preserve"> </w:t>
            </w:r>
            <w:r>
              <w:rPr>
                <w:spacing w:val="-10"/>
              </w:rPr>
              <w:t>按</w:t>
            </w:r>
            <w:r>
              <w:rPr>
                <w:spacing w:val="-43"/>
              </w:rPr>
              <w:t xml:space="preserve"> </w:t>
            </w:r>
            <w:r>
              <w:rPr>
                <w:spacing w:val="-10"/>
              </w:rPr>
              <w:t>照</w:t>
            </w:r>
            <w:r>
              <w:rPr>
                <w:spacing w:val="-63"/>
              </w:rPr>
              <w:t xml:space="preserve"> </w:t>
            </w:r>
            <w:r>
              <w:rPr>
                <w:spacing w:val="-10"/>
              </w:rPr>
              <w:t>《 危</w:t>
            </w:r>
            <w:r>
              <w:rPr>
                <w:spacing w:val="-40"/>
              </w:rPr>
              <w:t xml:space="preserve"> </w:t>
            </w:r>
            <w:r>
              <w:rPr>
                <w:spacing w:val="-10"/>
              </w:rPr>
              <w:t>险</w:t>
            </w:r>
            <w:r>
              <w:rPr>
                <w:spacing w:val="-54"/>
              </w:rPr>
              <w:t xml:space="preserve"> </w:t>
            </w:r>
            <w:r>
              <w:rPr>
                <w:spacing w:val="-10"/>
              </w:rPr>
              <w:t>废</w:t>
            </w:r>
            <w:r>
              <w:rPr>
                <w:spacing w:val="-50"/>
              </w:rPr>
              <w:t xml:space="preserve"> </w:t>
            </w:r>
            <w:r>
              <w:rPr>
                <w:spacing w:val="-10"/>
              </w:rPr>
              <w:t>物</w:t>
            </w:r>
            <w:r>
              <w:rPr>
                <w:spacing w:val="-52"/>
              </w:rPr>
              <w:t xml:space="preserve"> </w:t>
            </w:r>
            <w:r>
              <w:rPr>
                <w:spacing w:val="-11"/>
              </w:rPr>
              <w:t>贮</w:t>
            </w:r>
            <w:r>
              <w:rPr>
                <w:spacing w:val="-54"/>
              </w:rPr>
              <w:t xml:space="preserve"> </w:t>
            </w:r>
            <w:r>
              <w:rPr>
                <w:spacing w:val="-11"/>
              </w:rPr>
              <w:t>存</w:t>
            </w:r>
            <w:r>
              <w:rPr>
                <w:spacing w:val="-49"/>
              </w:rPr>
              <w:t xml:space="preserve"> </w:t>
            </w:r>
            <w:r>
              <w:rPr>
                <w:spacing w:val="-11"/>
              </w:rPr>
              <w:t>污</w:t>
            </w:r>
            <w:r>
              <w:rPr>
                <w:spacing w:val="-49"/>
              </w:rPr>
              <w:t xml:space="preserve"> </w:t>
            </w:r>
            <w:r>
              <w:rPr>
                <w:spacing w:val="-11"/>
              </w:rPr>
              <w:t>染</w:t>
            </w:r>
            <w:r>
              <w:rPr>
                <w:spacing w:val="-54"/>
              </w:rPr>
              <w:t xml:space="preserve"> </w:t>
            </w:r>
            <w:r>
              <w:rPr>
                <w:spacing w:val="-11"/>
              </w:rPr>
              <w:t>控</w:t>
            </w:r>
            <w:r>
              <w:rPr>
                <w:spacing w:val="-50"/>
              </w:rPr>
              <w:t xml:space="preserve"> </w:t>
            </w:r>
            <w:r>
              <w:rPr>
                <w:spacing w:val="-11"/>
              </w:rPr>
              <w:t>制标</w:t>
            </w:r>
            <w:r>
              <w:rPr>
                <w:spacing w:val="-49"/>
              </w:rPr>
              <w:t xml:space="preserve"> </w:t>
            </w:r>
            <w:r>
              <w:rPr>
                <w:spacing w:val="-11"/>
              </w:rPr>
              <w:t>准</w:t>
            </w:r>
            <w:r>
              <w:rPr>
                <w:spacing w:val="-40"/>
              </w:rPr>
              <w:t xml:space="preserve"> </w:t>
            </w:r>
            <w:r>
              <w:rPr>
                <w:spacing w:val="-11"/>
              </w:rPr>
              <w:t>》</w:t>
            </w:r>
            <w:r>
              <w:t xml:space="preserve"> </w:t>
            </w:r>
            <w:r>
              <w:rPr>
                <w:spacing w:val="-5"/>
              </w:rPr>
              <w:t>（</w:t>
            </w:r>
            <w:r>
              <w:rPr>
                <w:rFonts w:ascii="Times New Roman" w:hAnsi="Times New Roman" w:eastAsia="Times New Roman" w:cs="Times New Roman"/>
                <w:spacing w:val="-5"/>
              </w:rPr>
              <w:t>GB18597-2023</w:t>
            </w:r>
            <w:r>
              <w:rPr>
                <w:spacing w:val="-5"/>
              </w:rPr>
              <w:t>）、《危险废物收集、</w:t>
            </w:r>
            <w:r>
              <w:rPr>
                <w:spacing w:val="-6"/>
              </w:rPr>
              <w:t>贮存、运输技术规范》（</w:t>
            </w:r>
            <w:r>
              <w:rPr>
                <w:rFonts w:ascii="Times New Roman" w:hAnsi="Times New Roman" w:eastAsia="Times New Roman" w:cs="Times New Roman"/>
                <w:spacing w:val="-6"/>
              </w:rPr>
              <w:t>HJ2025-2012</w:t>
            </w:r>
            <w:r>
              <w:rPr>
                <w:spacing w:val="-6"/>
              </w:rPr>
              <w:t>）、《废</w:t>
            </w:r>
            <w:r>
              <w:rPr>
                <w:spacing w:val="-2"/>
              </w:rPr>
              <w:t>矿物油回收利用污染控制技术规范》（</w:t>
            </w:r>
            <w:r>
              <w:rPr>
                <w:rFonts w:ascii="Times New Roman" w:hAnsi="Times New Roman" w:eastAsia="Times New Roman" w:cs="Times New Roman"/>
                <w:spacing w:val="-2"/>
              </w:rPr>
              <w:t>HJ607-2011</w:t>
            </w:r>
            <w:r>
              <w:rPr>
                <w:spacing w:val="-2"/>
              </w:rPr>
              <w:t>）、</w:t>
            </w:r>
            <w:r>
              <w:rPr>
                <w:spacing w:val="-3"/>
              </w:rPr>
              <w:t>《废铅酸蓄电池处理污染控制</w:t>
            </w:r>
            <w:r>
              <w:rPr>
                <w:spacing w:val="-2"/>
              </w:rPr>
              <w:t>技术规范》（</w:t>
            </w:r>
            <w:r>
              <w:rPr>
                <w:rFonts w:ascii="Times New Roman" w:hAnsi="Times New Roman" w:eastAsia="Times New Roman" w:cs="Times New Roman"/>
                <w:spacing w:val="-2"/>
              </w:rPr>
              <w:t>HJ519-2020</w:t>
            </w:r>
            <w:r>
              <w:rPr>
                <w:spacing w:val="-2"/>
              </w:rPr>
              <w:t>）等相关技术规范，落实危险</w:t>
            </w:r>
            <w:r>
              <w:rPr>
                <w:spacing w:val="-3"/>
              </w:rPr>
              <w:t>废物的环境管理，包括危险废</w:t>
            </w:r>
            <w:r>
              <w:rPr>
                <w:spacing w:val="-1"/>
              </w:rPr>
              <w:t>物收集、贮存、运输、处置。</w:t>
            </w:r>
          </w:p>
          <w:p w14:paraId="4DC0C90B">
            <w:pPr>
              <w:pStyle w:val="9"/>
              <w:spacing w:before="1" w:line="354" w:lineRule="auto"/>
              <w:ind w:left="106" w:right="22" w:firstLine="488"/>
            </w:pPr>
            <w:r>
              <w:rPr>
                <w:spacing w:val="-8"/>
              </w:rPr>
              <w:t>公司已出台相关管理制度，运维单位要严格按照相关管理制度，将退役后蓄电池、</w:t>
            </w:r>
            <w:r>
              <w:rPr>
                <w:spacing w:val="-1"/>
              </w:rPr>
              <w:t>废变压器油等危险废物统一交由有资质的单位处理处置。</w:t>
            </w:r>
          </w:p>
          <w:p w14:paraId="7B89318E">
            <w:pPr>
              <w:pStyle w:val="9"/>
              <w:spacing w:before="3" w:line="353" w:lineRule="auto"/>
              <w:ind w:left="111" w:right="102" w:firstLine="479"/>
              <w:jc w:val="both"/>
            </w:pPr>
            <w:r>
              <w:rPr>
                <w:spacing w:val="-3"/>
              </w:rPr>
              <w:t>综上所述，在严格按照国家相关危废管理要求的前提下，</w:t>
            </w:r>
            <w:r>
              <w:rPr>
                <w:spacing w:val="-4"/>
              </w:rPr>
              <w:t>建设单位构建和完善危</w:t>
            </w:r>
            <w:r>
              <w:rPr>
                <w:spacing w:val="-3"/>
              </w:rPr>
              <w:t>险废物的收集、贮存、运输、处置的防护体系，对危险废物进行合法处置</w:t>
            </w:r>
            <w:r>
              <w:rPr>
                <w:spacing w:val="-4"/>
              </w:rPr>
              <w:t>，本工程运</w:t>
            </w:r>
            <w:r>
              <w:rPr>
                <w:spacing w:val="-1"/>
              </w:rPr>
              <w:t>行期危险废物的环境影响是可控的</w:t>
            </w:r>
          </w:p>
          <w:p w14:paraId="7FEA0A97">
            <w:pPr>
              <w:pStyle w:val="9"/>
              <w:spacing w:before="1" w:line="353" w:lineRule="auto"/>
              <w:ind w:left="111" w:right="102" w:firstLine="477"/>
            </w:pPr>
            <w:r>
              <w:t>本项目升压站于</w:t>
            </w:r>
            <w:r>
              <w:rPr>
                <w:spacing w:val="-53"/>
              </w:rPr>
              <w:t xml:space="preserve"> </w:t>
            </w:r>
            <w:r>
              <w:rPr>
                <w:rFonts w:ascii="Times New Roman" w:hAnsi="Times New Roman" w:eastAsia="Times New Roman" w:cs="Times New Roman"/>
              </w:rPr>
              <w:t xml:space="preserve">2023 </w:t>
            </w:r>
            <w:r>
              <w:t>年建成投运，运行过程中暂未产生废旧蓄电池和废变压器</w:t>
            </w:r>
            <w:r>
              <w:rPr>
                <w:spacing w:val="-1"/>
              </w:rPr>
              <w:t>油，升压站</w:t>
            </w:r>
            <w:r>
              <w:rPr>
                <w:spacing w:val="-46"/>
              </w:rPr>
              <w:t xml:space="preserve"> </w:t>
            </w:r>
            <w:r>
              <w:rPr>
                <w:rFonts w:ascii="Times New Roman" w:hAnsi="Times New Roman" w:eastAsia="Times New Roman" w:cs="Times New Roman"/>
                <w:spacing w:val="-1"/>
              </w:rPr>
              <w:t xml:space="preserve">2023 </w:t>
            </w:r>
            <w:r>
              <w:rPr>
                <w:spacing w:val="-1"/>
              </w:rPr>
              <w:t>年建成至今实际运行过程中暂未产生危废。</w:t>
            </w:r>
          </w:p>
          <w:p w14:paraId="4C7D875D">
            <w:pPr>
              <w:pStyle w:val="9"/>
              <w:spacing w:line="220" w:lineRule="auto"/>
              <w:ind w:left="610"/>
              <w:outlineLvl w:val="2"/>
            </w:pPr>
            <w:r>
              <w:rPr>
                <w:b/>
                <w:bCs/>
                <w:spacing w:val="-6"/>
              </w:rPr>
              <w:t>四、声环境影响分析</w:t>
            </w:r>
          </w:p>
          <w:p w14:paraId="1D602893">
            <w:pPr>
              <w:pStyle w:val="9"/>
              <w:spacing w:before="176" w:line="348" w:lineRule="auto"/>
              <w:ind w:left="109" w:right="104" w:firstLine="479"/>
              <w:jc w:val="both"/>
            </w:pPr>
            <w:r>
              <w:rPr>
                <w:spacing w:val="5"/>
              </w:rPr>
              <w:t>本项目升压站已建成，由现状监测结果可知，</w:t>
            </w:r>
            <w:r>
              <w:rPr>
                <w:spacing w:val="4"/>
              </w:rPr>
              <w:t>升压站厂界昼间在</w:t>
            </w:r>
            <w:r>
              <w:rPr>
                <w:spacing w:val="-52"/>
              </w:rPr>
              <w:t xml:space="preserve"> </w:t>
            </w:r>
            <w:r>
              <w:rPr>
                <w:rFonts w:ascii="Times New Roman" w:hAnsi="Times New Roman" w:eastAsia="Times New Roman" w:cs="Times New Roman"/>
                <w:spacing w:val="4"/>
              </w:rPr>
              <w:t>49</w:t>
            </w:r>
            <w:r>
              <w:rPr>
                <w:spacing w:val="4"/>
              </w:rPr>
              <w:t>～</w:t>
            </w:r>
            <w:r>
              <w:rPr>
                <w:rFonts w:ascii="Times New Roman" w:hAnsi="Times New Roman" w:eastAsia="Times New Roman" w:cs="Times New Roman"/>
                <w:spacing w:val="4"/>
              </w:rPr>
              <w:t>52</w:t>
            </w:r>
            <w:r>
              <w:rPr>
                <w:rFonts w:ascii="Times New Roman" w:hAnsi="Times New Roman" w:eastAsia="Times New Roman" w:cs="Times New Roman"/>
              </w:rPr>
              <w:t>dB</w:t>
            </w:r>
            <w:r>
              <w:rPr>
                <w:rFonts w:ascii="Times New Roman" w:hAnsi="Times New Roman" w:eastAsia="Times New Roman" w:cs="Times New Roman"/>
                <w:spacing w:val="4"/>
              </w:rPr>
              <w:t>(A)</w:t>
            </w:r>
            <w:r>
              <w:rPr>
                <w:spacing w:val="14"/>
              </w:rPr>
              <w:t>之间</w:t>
            </w:r>
            <w:r>
              <w:rPr>
                <w:spacing w:val="-59"/>
              </w:rPr>
              <w:t xml:space="preserve"> </w:t>
            </w:r>
            <w:r>
              <w:rPr>
                <w:spacing w:val="14"/>
              </w:rPr>
              <w:t>，夜间在</w:t>
            </w:r>
            <w:r>
              <w:rPr>
                <w:spacing w:val="-32"/>
              </w:rPr>
              <w:t xml:space="preserve"> </w:t>
            </w:r>
            <w:r>
              <w:rPr>
                <w:rFonts w:ascii="Times New Roman" w:hAnsi="Times New Roman" w:eastAsia="Times New Roman" w:cs="Times New Roman"/>
                <w:spacing w:val="14"/>
              </w:rPr>
              <w:t>40</w:t>
            </w:r>
            <w:r>
              <w:rPr>
                <w:spacing w:val="14"/>
              </w:rPr>
              <w:t>～</w:t>
            </w:r>
            <w:r>
              <w:rPr>
                <w:rFonts w:ascii="Times New Roman" w:hAnsi="Times New Roman" w:eastAsia="Times New Roman" w:cs="Times New Roman"/>
                <w:spacing w:val="14"/>
              </w:rPr>
              <w:t>43</w:t>
            </w:r>
            <w:r>
              <w:rPr>
                <w:rFonts w:ascii="Times New Roman" w:hAnsi="Times New Roman" w:eastAsia="Times New Roman" w:cs="Times New Roman"/>
              </w:rPr>
              <w:t>dB</w:t>
            </w:r>
            <w:r>
              <w:rPr>
                <w:rFonts w:ascii="Times New Roman" w:hAnsi="Times New Roman" w:eastAsia="Times New Roman" w:cs="Times New Roman"/>
                <w:spacing w:val="14"/>
              </w:rPr>
              <w:t>(A)</w:t>
            </w:r>
            <w:r>
              <w:rPr>
                <w:spacing w:val="14"/>
              </w:rPr>
              <w:t>之间</w:t>
            </w:r>
            <w:r>
              <w:rPr>
                <w:spacing w:val="-69"/>
              </w:rPr>
              <w:t xml:space="preserve"> </w:t>
            </w:r>
            <w:r>
              <w:rPr>
                <w:spacing w:val="14"/>
              </w:rPr>
              <w:t>，能满足《工业企业厂界环境噪声排放标准》</w:t>
            </w:r>
            <w:r>
              <w:t xml:space="preserve"> </w:t>
            </w:r>
            <w:r>
              <w:rPr>
                <w:spacing w:val="-2"/>
              </w:rPr>
              <w:t>（</w:t>
            </w:r>
            <w:r>
              <w:rPr>
                <w:rFonts w:ascii="Times New Roman" w:hAnsi="Times New Roman" w:eastAsia="Times New Roman" w:cs="Times New Roman"/>
                <w:spacing w:val="-2"/>
              </w:rPr>
              <w:t>GB12348-2008</w:t>
            </w:r>
            <w:r>
              <w:rPr>
                <w:spacing w:val="-2"/>
              </w:rPr>
              <w:t>）</w:t>
            </w:r>
            <w:r>
              <w:rPr>
                <w:rFonts w:ascii="Times New Roman" w:hAnsi="Times New Roman" w:eastAsia="Times New Roman" w:cs="Times New Roman"/>
                <w:spacing w:val="-2"/>
              </w:rPr>
              <w:t xml:space="preserve">2 </w:t>
            </w:r>
            <w:r>
              <w:rPr>
                <w:spacing w:val="-2"/>
              </w:rPr>
              <w:t>类标准要求（昼间</w:t>
            </w:r>
            <w:r>
              <w:rPr>
                <w:spacing w:val="-48"/>
              </w:rPr>
              <w:t xml:space="preserve"> </w:t>
            </w:r>
            <w:r>
              <w:rPr>
                <w:rFonts w:ascii="Times New Roman" w:hAnsi="Times New Roman" w:eastAsia="Times New Roman" w:cs="Times New Roman"/>
                <w:spacing w:val="-2"/>
              </w:rPr>
              <w:t>60</w:t>
            </w:r>
            <w:r>
              <w:rPr>
                <w:rFonts w:ascii="Times New Roman" w:hAnsi="Times New Roman" w:eastAsia="Times New Roman" w:cs="Times New Roman"/>
                <w:spacing w:val="-31"/>
              </w:rPr>
              <w:t xml:space="preserve"> </w:t>
            </w:r>
            <w:r>
              <w:rPr>
                <w:spacing w:val="-2"/>
              </w:rPr>
              <w:t>，夜间</w:t>
            </w:r>
            <w:r>
              <w:rPr>
                <w:spacing w:val="-48"/>
              </w:rPr>
              <w:t xml:space="preserve"> </w:t>
            </w:r>
            <w:r>
              <w:rPr>
                <w:rFonts w:ascii="Times New Roman" w:hAnsi="Times New Roman" w:eastAsia="Times New Roman" w:cs="Times New Roman"/>
                <w:spacing w:val="-2"/>
              </w:rPr>
              <w:t>50</w:t>
            </w:r>
            <w:r>
              <w:rPr>
                <w:spacing w:val="-2"/>
              </w:rPr>
              <w:t>）。</w:t>
            </w:r>
          </w:p>
          <w:p w14:paraId="1D9A10D1">
            <w:pPr>
              <w:pStyle w:val="9"/>
              <w:spacing w:before="21" w:line="220" w:lineRule="auto"/>
              <w:ind w:left="611"/>
            </w:pPr>
            <w:r>
              <w:rPr>
                <w:spacing w:val="-2"/>
              </w:rPr>
              <w:t>同时对升压站运营期噪声预测结果如下：</w:t>
            </w:r>
          </w:p>
          <w:p w14:paraId="4B54F718">
            <w:pPr>
              <w:pStyle w:val="9"/>
              <w:spacing w:before="172" w:line="220" w:lineRule="auto"/>
              <w:ind w:left="594"/>
            </w:pPr>
            <w:r>
              <w:rPr>
                <w:rFonts w:ascii="Times New Roman" w:hAnsi="Times New Roman" w:eastAsia="Times New Roman" w:cs="Times New Roman"/>
                <w:b/>
                <w:bCs/>
                <w:spacing w:val="-9"/>
              </w:rPr>
              <w:t>1</w:t>
            </w:r>
            <w:r>
              <w:rPr>
                <w:rFonts w:ascii="Times New Roman" w:hAnsi="Times New Roman" w:eastAsia="Times New Roman" w:cs="Times New Roman"/>
                <w:b/>
                <w:bCs/>
                <w:spacing w:val="-34"/>
              </w:rPr>
              <w:t xml:space="preserve"> </w:t>
            </w:r>
            <w:r>
              <w:rPr>
                <w:b/>
                <w:bCs/>
                <w:spacing w:val="-9"/>
              </w:rPr>
              <w:t>、设备声源</w:t>
            </w:r>
          </w:p>
          <w:p w14:paraId="59E5E624">
            <w:pPr>
              <w:pStyle w:val="9"/>
              <w:spacing w:before="205" w:line="385" w:lineRule="auto"/>
              <w:ind w:left="112" w:right="102" w:firstLine="477"/>
            </w:pPr>
            <w:r>
              <w:rPr>
                <w:spacing w:val="-3"/>
              </w:rPr>
              <w:t>升压站运行噪声主要来自于主变压器等大型声源设备，一般</w:t>
            </w:r>
            <w:r>
              <w:rPr>
                <w:spacing w:val="-4"/>
              </w:rPr>
              <w:t>情况下升压站运行噪</w:t>
            </w:r>
            <w:r>
              <w:rPr>
                <w:spacing w:val="-1"/>
              </w:rPr>
              <w:t>声来自变压器。升压站的设备噪声源见表</w:t>
            </w:r>
            <w:r>
              <w:rPr>
                <w:spacing w:val="-54"/>
              </w:rPr>
              <w:t xml:space="preserve"> </w:t>
            </w:r>
            <w:r>
              <w:rPr>
                <w:rFonts w:ascii="Times New Roman" w:hAnsi="Times New Roman" w:eastAsia="Times New Roman" w:cs="Times New Roman"/>
                <w:spacing w:val="-1"/>
              </w:rPr>
              <w:t>4-3</w:t>
            </w:r>
            <w:r>
              <w:rPr>
                <w:spacing w:val="-1"/>
              </w:rPr>
              <w:t>。</w:t>
            </w:r>
          </w:p>
          <w:p w14:paraId="4FEF938E">
            <w:pPr>
              <w:pStyle w:val="9"/>
              <w:spacing w:before="3" w:line="384" w:lineRule="auto"/>
              <w:ind w:left="102" w:right="107" w:firstLine="487"/>
            </w:pPr>
            <w:r>
              <w:t>主变压器声功率级选用《变电站噪声控制技术导则》（</w:t>
            </w:r>
            <w:r>
              <w:rPr>
                <w:rFonts w:ascii="Times New Roman" w:hAnsi="Times New Roman" w:eastAsia="Times New Roman" w:cs="Times New Roman"/>
              </w:rPr>
              <w:t>DL/T1</w:t>
            </w:r>
            <w:r>
              <w:rPr>
                <w:rFonts w:ascii="Times New Roman" w:hAnsi="Times New Roman" w:eastAsia="Times New Roman" w:cs="Times New Roman"/>
                <w:spacing w:val="-1"/>
              </w:rPr>
              <w:t>518-2016</w:t>
            </w:r>
            <w:r>
              <w:rPr>
                <w:spacing w:val="-1"/>
              </w:rPr>
              <w:t>）中附录</w:t>
            </w:r>
            <w:r>
              <w:rPr>
                <w:rFonts w:ascii="Times New Roman" w:hAnsi="Times New Roman" w:eastAsia="Times New Roman" w:cs="Times New Roman"/>
                <w:spacing w:val="-5"/>
              </w:rPr>
              <w:t>B</w:t>
            </w:r>
            <w:r>
              <w:rPr>
                <w:rFonts w:ascii="Times New Roman" w:hAnsi="Times New Roman" w:eastAsia="Times New Roman" w:cs="Times New Roman"/>
                <w:spacing w:val="30"/>
                <w:w w:val="101"/>
              </w:rPr>
              <w:t xml:space="preserve"> </w:t>
            </w:r>
            <w:r>
              <w:rPr>
                <w:spacing w:val="-5"/>
              </w:rPr>
              <w:t>的噪声源强。</w:t>
            </w:r>
          </w:p>
          <w:p w14:paraId="217DA8B0">
            <w:pPr>
              <w:pStyle w:val="9"/>
              <w:spacing w:before="1" w:line="380" w:lineRule="auto"/>
              <w:ind w:left="102" w:right="102" w:firstLine="485"/>
              <w:jc w:val="both"/>
            </w:pPr>
            <w:r>
              <w:rPr>
                <w:spacing w:val="-4"/>
              </w:rPr>
              <w:t>根据《环境影响评价技术导则声环境》（</w:t>
            </w:r>
            <w:r>
              <w:rPr>
                <w:rFonts w:ascii="Times New Roman" w:hAnsi="Times New Roman" w:eastAsia="Times New Roman" w:cs="Times New Roman"/>
                <w:spacing w:val="-4"/>
              </w:rPr>
              <w:t>HJ2.4-2021</w:t>
            </w:r>
            <w:r>
              <w:rPr>
                <w:spacing w:val="-4"/>
              </w:rPr>
              <w:t>）附录</w:t>
            </w:r>
            <w:r>
              <w:rPr>
                <w:spacing w:val="-40"/>
              </w:rPr>
              <w:t xml:space="preserve"> </w:t>
            </w:r>
            <w:r>
              <w:rPr>
                <w:rFonts w:ascii="Times New Roman" w:hAnsi="Times New Roman" w:eastAsia="Times New Roman" w:cs="Times New Roman"/>
                <w:spacing w:val="-4"/>
              </w:rPr>
              <w:t>D</w:t>
            </w:r>
            <w:r>
              <w:rPr>
                <w:rFonts w:ascii="Times New Roman" w:hAnsi="Times New Roman" w:eastAsia="Times New Roman" w:cs="Times New Roman"/>
                <w:spacing w:val="34"/>
                <w:w w:val="101"/>
              </w:rPr>
              <w:t xml:space="preserve"> </w:t>
            </w:r>
            <w:r>
              <w:rPr>
                <w:spacing w:val="-4"/>
              </w:rPr>
              <w:t>中</w:t>
            </w:r>
            <w:r>
              <w:rPr>
                <w:spacing w:val="-56"/>
              </w:rPr>
              <w:t xml:space="preserve"> </w:t>
            </w:r>
            <w:r>
              <w:rPr>
                <w:rFonts w:ascii="Times New Roman" w:hAnsi="Times New Roman" w:eastAsia="Times New Roman" w:cs="Times New Roman"/>
                <w:spacing w:val="-4"/>
              </w:rPr>
              <w:t>D.1</w:t>
            </w:r>
            <w:r>
              <w:rPr>
                <w:rFonts w:ascii="Times New Roman" w:hAnsi="Times New Roman" w:eastAsia="Times New Roman" w:cs="Times New Roman"/>
                <w:spacing w:val="20"/>
                <w:w w:val="101"/>
              </w:rPr>
              <w:t xml:space="preserve"> </w:t>
            </w:r>
            <w:r>
              <w:rPr>
                <w:spacing w:val="-4"/>
              </w:rPr>
              <w:t>噪声源调查</w:t>
            </w:r>
            <w:r>
              <w:rPr>
                <w:spacing w:val="4"/>
              </w:rPr>
              <w:t>表要求，本项目以升压站场区西南角为坐标原点，室内声源</w:t>
            </w:r>
            <w:r>
              <w:rPr>
                <w:spacing w:val="3"/>
              </w:rPr>
              <w:t>噪声源强调查清单见表</w:t>
            </w:r>
            <w:r>
              <w:rPr>
                <w:rFonts w:ascii="Times New Roman" w:hAnsi="Times New Roman" w:eastAsia="Times New Roman" w:cs="Times New Roman"/>
                <w:spacing w:val="-2"/>
              </w:rPr>
              <w:t>4-2</w:t>
            </w:r>
            <w:r>
              <w:rPr>
                <w:rFonts w:ascii="Times New Roman" w:hAnsi="Times New Roman" w:eastAsia="Times New Roman" w:cs="Times New Roman"/>
                <w:spacing w:val="-27"/>
              </w:rPr>
              <w:t xml:space="preserve"> </w:t>
            </w:r>
            <w:r>
              <w:rPr>
                <w:spacing w:val="-2"/>
              </w:rPr>
              <w:t>，室外声源噪声源强调查清单见表</w:t>
            </w:r>
            <w:r>
              <w:rPr>
                <w:spacing w:val="-56"/>
              </w:rPr>
              <w:t xml:space="preserve"> </w:t>
            </w:r>
            <w:r>
              <w:rPr>
                <w:rFonts w:ascii="Times New Roman" w:hAnsi="Times New Roman" w:eastAsia="Times New Roman" w:cs="Times New Roman"/>
                <w:spacing w:val="-2"/>
              </w:rPr>
              <w:t>4-3</w:t>
            </w:r>
            <w:r>
              <w:rPr>
                <w:spacing w:val="-2"/>
              </w:rPr>
              <w:t>。</w:t>
            </w:r>
          </w:p>
          <w:p w14:paraId="5586BF80">
            <w:pPr>
              <w:pStyle w:val="9"/>
              <w:spacing w:line="216" w:lineRule="auto"/>
              <w:ind w:left="1716"/>
            </w:pPr>
            <w:r>
              <w:rPr>
                <w:b/>
                <w:bCs/>
                <w:spacing w:val="-2"/>
              </w:rPr>
              <w:t>表</w:t>
            </w:r>
            <w:r>
              <w:rPr>
                <w:spacing w:val="-53"/>
              </w:rPr>
              <w:t xml:space="preserve"> </w:t>
            </w:r>
            <w:r>
              <w:rPr>
                <w:rFonts w:ascii="Times New Roman" w:hAnsi="Times New Roman" w:eastAsia="Times New Roman" w:cs="Times New Roman"/>
                <w:b/>
                <w:bCs/>
                <w:spacing w:val="-2"/>
              </w:rPr>
              <w:t xml:space="preserve">4-2  </w:t>
            </w:r>
            <w:r>
              <w:rPr>
                <w:b/>
                <w:bCs/>
                <w:spacing w:val="-2"/>
              </w:rPr>
              <w:t>升压站主要噪声源强调查清单（室内声源）一览表</w:t>
            </w:r>
          </w:p>
        </w:tc>
      </w:tr>
      <w:tr w14:paraId="336A67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599" w:type="dxa"/>
            <w:vMerge w:val="continue"/>
            <w:tcBorders>
              <w:top w:val="nil"/>
              <w:left w:val="single" w:color="000000" w:sz="6" w:space="0"/>
              <w:bottom w:val="single" w:color="000000" w:sz="6" w:space="0"/>
            </w:tcBorders>
            <w:vAlign w:val="top"/>
          </w:tcPr>
          <w:p w14:paraId="7FF32826">
            <w:pPr>
              <w:rPr>
                <w:rFonts w:ascii="Arial"/>
                <w:sz w:val="21"/>
              </w:rPr>
            </w:pPr>
          </w:p>
        </w:tc>
        <w:tc>
          <w:tcPr>
            <w:tcW w:w="656" w:type="dxa"/>
            <w:tcBorders>
              <w:bottom w:val="single" w:color="000000" w:sz="6" w:space="0"/>
            </w:tcBorders>
            <w:textDirection w:val="tbRlV"/>
            <w:vAlign w:val="top"/>
          </w:tcPr>
          <w:p w14:paraId="120E18EF">
            <w:pPr>
              <w:pStyle w:val="9"/>
              <w:spacing w:before="159" w:line="157" w:lineRule="auto"/>
              <w:ind w:left="49"/>
            </w:pPr>
            <w:r>
              <w:rPr>
                <w:spacing w:val="-1"/>
              </w:rPr>
              <w:t>建</w:t>
            </w:r>
            <w:r>
              <w:rPr>
                <w:spacing w:val="-47"/>
              </w:rPr>
              <w:t xml:space="preserve"> </w:t>
            </w:r>
            <w:r>
              <w:rPr>
                <w:spacing w:val="-1"/>
              </w:rPr>
              <w:t>筑</w:t>
            </w:r>
          </w:p>
          <w:p w14:paraId="4C7A9677">
            <w:pPr>
              <w:tabs>
                <w:tab w:val="left" w:pos="649"/>
              </w:tabs>
              <w:spacing w:line="221" w:lineRule="auto"/>
              <w:ind w:left="5"/>
              <w:rPr>
                <w:rFonts w:ascii="Arial"/>
                <w:sz w:val="21"/>
              </w:rPr>
            </w:pPr>
            <w:r>
              <w:rPr>
                <w:rFonts w:ascii="Arial" w:hAnsi="Arial" w:eastAsia="Arial" w:cs="Arial"/>
                <w:sz w:val="21"/>
                <w:szCs w:val="21"/>
                <w:u w:val="single" w:color="auto"/>
              </w:rPr>
              <w:tab/>
            </w:r>
          </w:p>
        </w:tc>
        <w:tc>
          <w:tcPr>
            <w:tcW w:w="487" w:type="dxa"/>
            <w:tcBorders>
              <w:bottom w:val="single" w:color="000000" w:sz="6" w:space="0"/>
            </w:tcBorders>
            <w:textDirection w:val="tbRlV"/>
            <w:vAlign w:val="top"/>
          </w:tcPr>
          <w:p w14:paraId="0C36B7C7">
            <w:pPr>
              <w:pStyle w:val="9"/>
              <w:spacing w:before="125" w:line="209" w:lineRule="auto"/>
              <w:ind w:left="49"/>
            </w:pPr>
            <w:r>
              <w:rPr>
                <w:spacing w:val="-1"/>
              </w:rPr>
              <w:t>声</w:t>
            </w:r>
            <w:r>
              <w:rPr>
                <w:spacing w:val="-47"/>
              </w:rPr>
              <w:t xml:space="preserve"> </w:t>
            </w:r>
            <w:r>
              <w:rPr>
                <w:spacing w:val="-1"/>
              </w:rPr>
              <w:t>源</w:t>
            </w:r>
          </w:p>
        </w:tc>
        <w:tc>
          <w:tcPr>
            <w:tcW w:w="451" w:type="dxa"/>
            <w:tcBorders>
              <w:bottom w:val="single" w:color="000000" w:sz="6" w:space="0"/>
            </w:tcBorders>
            <w:textDirection w:val="tbRlV"/>
            <w:vAlign w:val="top"/>
          </w:tcPr>
          <w:p w14:paraId="7D91F995">
            <w:pPr>
              <w:pStyle w:val="9"/>
              <w:spacing w:before="105" w:line="205" w:lineRule="auto"/>
              <w:ind w:left="56"/>
            </w:pPr>
            <w:r>
              <w:rPr>
                <w:spacing w:val="35"/>
              </w:rPr>
              <w:t>型号</w:t>
            </w:r>
          </w:p>
        </w:tc>
        <w:tc>
          <w:tcPr>
            <w:tcW w:w="663" w:type="dxa"/>
            <w:tcBorders>
              <w:bottom w:val="single" w:color="000000" w:sz="6" w:space="0"/>
            </w:tcBorders>
            <w:textDirection w:val="tbRlV"/>
            <w:vAlign w:val="top"/>
          </w:tcPr>
          <w:p w14:paraId="1BD795E7">
            <w:pPr>
              <w:pStyle w:val="9"/>
              <w:spacing w:before="211" w:line="206" w:lineRule="auto"/>
              <w:ind w:left="49"/>
            </w:pPr>
            <w:r>
              <w:rPr>
                <w:spacing w:val="-1"/>
              </w:rPr>
              <w:t>声</w:t>
            </w:r>
            <w:r>
              <w:rPr>
                <w:spacing w:val="-47"/>
              </w:rPr>
              <w:t xml:space="preserve"> </w:t>
            </w:r>
            <w:r>
              <w:rPr>
                <w:spacing w:val="-1"/>
              </w:rPr>
              <w:t>功</w:t>
            </w:r>
          </w:p>
        </w:tc>
        <w:tc>
          <w:tcPr>
            <w:tcW w:w="1052" w:type="dxa"/>
            <w:tcBorders>
              <w:bottom w:val="single" w:color="000000" w:sz="6" w:space="0"/>
            </w:tcBorders>
            <w:vAlign w:val="top"/>
          </w:tcPr>
          <w:p w14:paraId="7EC2165C">
            <w:pPr>
              <w:pStyle w:val="9"/>
              <w:spacing w:before="56" w:line="220" w:lineRule="auto"/>
              <w:ind w:left="176"/>
            </w:pPr>
            <w:r>
              <w:rPr>
                <w:spacing w:val="-5"/>
              </w:rPr>
              <w:t>声源控</w:t>
            </w:r>
          </w:p>
          <w:p w14:paraId="172C69D2">
            <w:pPr>
              <w:pStyle w:val="9"/>
              <w:spacing w:before="25" w:line="211" w:lineRule="auto"/>
              <w:ind w:left="172"/>
            </w:pPr>
            <w:r>
              <w:rPr>
                <w:spacing w:val="-4"/>
              </w:rPr>
              <w:t>制措施</w:t>
            </w:r>
          </w:p>
        </w:tc>
        <w:tc>
          <w:tcPr>
            <w:tcW w:w="1807" w:type="dxa"/>
            <w:tcBorders>
              <w:bottom w:val="single" w:color="000000" w:sz="6" w:space="0"/>
            </w:tcBorders>
            <w:vAlign w:val="top"/>
          </w:tcPr>
          <w:p w14:paraId="711485A5">
            <w:pPr>
              <w:pStyle w:val="9"/>
              <w:spacing w:before="74" w:line="232" w:lineRule="auto"/>
              <w:ind w:left="775" w:right="181" w:hanging="578"/>
              <w:rPr>
                <w:rFonts w:ascii="Times New Roman" w:hAnsi="Times New Roman" w:eastAsia="Times New Roman" w:cs="Times New Roman"/>
              </w:rPr>
            </w:pPr>
            <w:r>
              <w:rPr>
                <w:spacing w:val="-3"/>
              </w:rPr>
              <w:t>空间相对位置</w:t>
            </w:r>
            <w:r>
              <w:rPr>
                <w:rFonts w:ascii="Times New Roman" w:hAnsi="Times New Roman" w:eastAsia="Times New Roman" w:cs="Times New Roman"/>
              </w:rPr>
              <w:t>/m</w:t>
            </w:r>
          </w:p>
        </w:tc>
        <w:tc>
          <w:tcPr>
            <w:tcW w:w="542" w:type="dxa"/>
            <w:tcBorders>
              <w:bottom w:val="single" w:color="000000" w:sz="6" w:space="0"/>
            </w:tcBorders>
            <w:textDirection w:val="tbRlV"/>
            <w:vAlign w:val="top"/>
          </w:tcPr>
          <w:p w14:paraId="285A45EC">
            <w:pPr>
              <w:pStyle w:val="9"/>
              <w:spacing w:before="147" w:line="216" w:lineRule="auto"/>
              <w:ind w:left="49"/>
            </w:pPr>
            <w:r>
              <w:rPr>
                <w:spacing w:val="-1"/>
              </w:rPr>
              <w:t>距</w:t>
            </w:r>
            <w:r>
              <w:rPr>
                <w:spacing w:val="-47"/>
              </w:rPr>
              <w:t xml:space="preserve"> </w:t>
            </w:r>
            <w:r>
              <w:rPr>
                <w:spacing w:val="-1"/>
              </w:rPr>
              <w:t>室</w:t>
            </w:r>
          </w:p>
        </w:tc>
        <w:tc>
          <w:tcPr>
            <w:tcW w:w="712" w:type="dxa"/>
            <w:tcBorders>
              <w:bottom w:val="single" w:color="000000" w:sz="6" w:space="0"/>
            </w:tcBorders>
            <w:vAlign w:val="top"/>
          </w:tcPr>
          <w:p w14:paraId="03F2B4A2">
            <w:pPr>
              <w:pStyle w:val="9"/>
              <w:spacing w:before="50" w:line="219" w:lineRule="auto"/>
              <w:ind w:left="129"/>
            </w:pPr>
            <w:r>
              <w:rPr>
                <w:spacing w:val="-7"/>
              </w:rPr>
              <w:t>室内</w:t>
            </w:r>
          </w:p>
          <w:p w14:paraId="553A9E1C">
            <w:pPr>
              <w:pStyle w:val="9"/>
              <w:spacing w:before="27" w:line="216" w:lineRule="auto"/>
              <w:ind w:left="124"/>
            </w:pPr>
            <w:r>
              <w:rPr>
                <w:spacing w:val="-5"/>
              </w:rPr>
              <w:t>边界</w:t>
            </w:r>
          </w:p>
        </w:tc>
        <w:tc>
          <w:tcPr>
            <w:tcW w:w="534" w:type="dxa"/>
            <w:tcBorders>
              <w:bottom w:val="single" w:color="000000" w:sz="6" w:space="0"/>
            </w:tcBorders>
            <w:textDirection w:val="tbRlV"/>
            <w:vAlign w:val="top"/>
          </w:tcPr>
          <w:p w14:paraId="16019E06">
            <w:pPr>
              <w:pStyle w:val="9"/>
              <w:spacing w:before="140" w:line="209" w:lineRule="auto"/>
              <w:ind w:left="49"/>
            </w:pPr>
            <w:r>
              <w:rPr>
                <w:spacing w:val="-1"/>
              </w:rPr>
              <w:t>运</w:t>
            </w:r>
            <w:r>
              <w:rPr>
                <w:spacing w:val="-47"/>
              </w:rPr>
              <w:t xml:space="preserve"> </w:t>
            </w:r>
            <w:r>
              <w:rPr>
                <w:spacing w:val="-1"/>
              </w:rPr>
              <w:t>行</w:t>
            </w:r>
          </w:p>
        </w:tc>
        <w:tc>
          <w:tcPr>
            <w:tcW w:w="726" w:type="dxa"/>
            <w:tcBorders>
              <w:bottom w:val="single" w:color="000000" w:sz="6" w:space="0"/>
            </w:tcBorders>
            <w:vAlign w:val="top"/>
          </w:tcPr>
          <w:p w14:paraId="4C6F209D">
            <w:pPr>
              <w:pStyle w:val="9"/>
              <w:spacing w:before="49" w:line="220" w:lineRule="auto"/>
              <w:ind w:left="137"/>
            </w:pPr>
            <w:r>
              <w:rPr>
                <w:spacing w:val="-7"/>
              </w:rPr>
              <w:t>建筑</w:t>
            </w:r>
          </w:p>
          <w:p w14:paraId="43AFEC23">
            <w:pPr>
              <w:pStyle w:val="9"/>
              <w:spacing w:before="26" w:line="216" w:lineRule="auto"/>
              <w:ind w:left="134"/>
            </w:pPr>
            <w:r>
              <w:rPr>
                <w:spacing w:val="-5"/>
              </w:rPr>
              <w:t>物插</w:t>
            </w:r>
          </w:p>
        </w:tc>
        <w:tc>
          <w:tcPr>
            <w:tcW w:w="1242" w:type="dxa"/>
            <w:tcBorders>
              <w:bottom w:val="single" w:color="000000" w:sz="6" w:space="0"/>
            </w:tcBorders>
            <w:vAlign w:val="top"/>
          </w:tcPr>
          <w:p w14:paraId="1D4556CF">
            <w:pPr>
              <w:pStyle w:val="9"/>
              <w:spacing w:before="57" w:line="225" w:lineRule="auto"/>
              <w:ind w:left="406" w:right="131" w:hanging="248"/>
            </w:pPr>
            <w:r>
              <w:rPr>
                <w:spacing w:val="-4"/>
              </w:rPr>
              <w:t>建筑物外</w:t>
            </w:r>
            <w:r>
              <w:rPr>
                <w:spacing w:val="-11"/>
              </w:rPr>
              <w:t>噪声</w:t>
            </w:r>
          </w:p>
        </w:tc>
        <w:tc>
          <w:tcPr>
            <w:tcW w:w="118" w:type="dxa"/>
            <w:tcBorders>
              <w:bottom w:val="single" w:color="000000" w:sz="6" w:space="0"/>
              <w:right w:val="single" w:color="000000" w:sz="6" w:space="0"/>
            </w:tcBorders>
            <w:vAlign w:val="top"/>
          </w:tcPr>
          <w:p w14:paraId="36E02AC4">
            <w:pPr>
              <w:rPr>
                <w:rFonts w:ascii="Arial"/>
                <w:sz w:val="21"/>
              </w:rPr>
            </w:pPr>
          </w:p>
        </w:tc>
      </w:tr>
    </w:tbl>
    <w:p w14:paraId="5CF0AA86">
      <w:pPr>
        <w:pStyle w:val="3"/>
      </w:pPr>
    </w:p>
    <w:p w14:paraId="2058A85C">
      <w:pPr>
        <w:sectPr>
          <w:footerReference r:id="rId63" w:type="default"/>
          <w:pgSz w:w="11906" w:h="16838"/>
          <w:pgMar w:top="1416" w:right="1151" w:bottom="1295" w:left="1150" w:header="0" w:footer="1133" w:gutter="0"/>
          <w:cols w:space="720" w:num="1"/>
        </w:sectPr>
      </w:pPr>
    </w:p>
    <w:tbl>
      <w:tblPr>
        <w:tblStyle w:val="8"/>
        <w:tblW w:w="9589"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99"/>
        <w:gridCol w:w="108"/>
        <w:gridCol w:w="548"/>
        <w:gridCol w:w="487"/>
        <w:gridCol w:w="221"/>
        <w:gridCol w:w="231"/>
        <w:gridCol w:w="663"/>
        <w:gridCol w:w="136"/>
        <w:gridCol w:w="867"/>
        <w:gridCol w:w="626"/>
        <w:gridCol w:w="275"/>
        <w:gridCol w:w="351"/>
        <w:gridCol w:w="484"/>
        <w:gridCol w:w="71"/>
        <w:gridCol w:w="542"/>
        <w:gridCol w:w="559"/>
        <w:gridCol w:w="153"/>
        <w:gridCol w:w="534"/>
        <w:gridCol w:w="726"/>
        <w:gridCol w:w="461"/>
        <w:gridCol w:w="239"/>
        <w:gridCol w:w="591"/>
        <w:gridCol w:w="117"/>
      </w:tblGrid>
      <w:tr w14:paraId="6F50F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98" w:hRule="atLeast"/>
        </w:trPr>
        <w:tc>
          <w:tcPr>
            <w:tcW w:w="599" w:type="dxa"/>
            <w:vMerge w:val="restart"/>
            <w:tcBorders>
              <w:top w:val="single" w:color="000000" w:sz="6" w:space="0"/>
              <w:left w:val="single" w:color="000000" w:sz="6" w:space="0"/>
              <w:bottom w:val="nil"/>
            </w:tcBorders>
            <w:vAlign w:val="top"/>
          </w:tcPr>
          <w:p w14:paraId="1C9692AB">
            <w:pPr>
              <w:rPr>
                <w:rFonts w:ascii="Arial"/>
                <w:sz w:val="21"/>
              </w:rPr>
            </w:pPr>
          </w:p>
        </w:tc>
        <w:tc>
          <w:tcPr>
            <w:tcW w:w="108" w:type="dxa"/>
            <w:tcBorders>
              <w:top w:val="single" w:color="000000" w:sz="6" w:space="0"/>
              <w:bottom w:val="nil"/>
            </w:tcBorders>
            <w:vAlign w:val="top"/>
          </w:tcPr>
          <w:p w14:paraId="7CAAB979">
            <w:pPr>
              <w:rPr>
                <w:rFonts w:ascii="Arial"/>
                <w:sz w:val="21"/>
              </w:rPr>
            </w:pPr>
          </w:p>
        </w:tc>
        <w:tc>
          <w:tcPr>
            <w:tcW w:w="548" w:type="dxa"/>
            <w:tcBorders>
              <w:top w:val="single" w:color="000000" w:sz="6" w:space="0"/>
            </w:tcBorders>
            <w:vAlign w:val="top"/>
          </w:tcPr>
          <w:p w14:paraId="44EC6683">
            <w:pPr>
              <w:rPr>
                <w:rFonts w:ascii="Arial"/>
                <w:sz w:val="21"/>
              </w:rPr>
            </w:pPr>
          </w:p>
        </w:tc>
        <w:tc>
          <w:tcPr>
            <w:tcW w:w="487" w:type="dxa"/>
            <w:tcBorders>
              <w:top w:val="single" w:color="000000" w:sz="6" w:space="0"/>
            </w:tcBorders>
            <w:vAlign w:val="top"/>
          </w:tcPr>
          <w:p w14:paraId="28FA489E">
            <w:pPr>
              <w:rPr>
                <w:rFonts w:ascii="Arial"/>
                <w:sz w:val="21"/>
              </w:rPr>
            </w:pPr>
          </w:p>
        </w:tc>
        <w:tc>
          <w:tcPr>
            <w:tcW w:w="452" w:type="dxa"/>
            <w:gridSpan w:val="2"/>
            <w:tcBorders>
              <w:top w:val="single" w:color="000000" w:sz="6" w:space="0"/>
            </w:tcBorders>
            <w:vAlign w:val="top"/>
          </w:tcPr>
          <w:p w14:paraId="50F78DFE">
            <w:pPr>
              <w:rPr>
                <w:rFonts w:ascii="Arial"/>
                <w:sz w:val="21"/>
              </w:rPr>
            </w:pPr>
          </w:p>
        </w:tc>
        <w:tc>
          <w:tcPr>
            <w:tcW w:w="663" w:type="dxa"/>
            <w:tcBorders>
              <w:top w:val="single" w:color="000000" w:sz="6" w:space="0"/>
            </w:tcBorders>
            <w:vAlign w:val="top"/>
          </w:tcPr>
          <w:p w14:paraId="4C674CBC">
            <w:pPr>
              <w:rPr>
                <w:rFonts w:ascii="Arial"/>
                <w:sz w:val="21"/>
              </w:rPr>
            </w:pPr>
          </w:p>
        </w:tc>
        <w:tc>
          <w:tcPr>
            <w:tcW w:w="1003" w:type="dxa"/>
            <w:gridSpan w:val="2"/>
            <w:tcBorders>
              <w:top w:val="single" w:color="000000" w:sz="6" w:space="0"/>
            </w:tcBorders>
            <w:vAlign w:val="top"/>
          </w:tcPr>
          <w:p w14:paraId="5EC05908">
            <w:pPr>
              <w:rPr>
                <w:rFonts w:ascii="Arial"/>
                <w:sz w:val="21"/>
              </w:rPr>
            </w:pPr>
          </w:p>
        </w:tc>
        <w:tc>
          <w:tcPr>
            <w:tcW w:w="626" w:type="dxa"/>
            <w:tcBorders>
              <w:top w:val="single" w:color="000000" w:sz="6" w:space="0"/>
            </w:tcBorders>
            <w:vAlign w:val="top"/>
          </w:tcPr>
          <w:p w14:paraId="0878C16B">
            <w:pPr>
              <w:spacing w:line="267" w:lineRule="auto"/>
              <w:rPr>
                <w:rFonts w:ascii="Arial"/>
                <w:sz w:val="21"/>
              </w:rPr>
            </w:pPr>
          </w:p>
          <w:p w14:paraId="3BC3D5AD">
            <w:pPr>
              <w:spacing w:line="267" w:lineRule="auto"/>
              <w:rPr>
                <w:rFonts w:ascii="Arial"/>
                <w:sz w:val="21"/>
              </w:rPr>
            </w:pPr>
          </w:p>
          <w:p w14:paraId="0E1F5940">
            <w:pPr>
              <w:spacing w:line="267" w:lineRule="auto"/>
              <w:rPr>
                <w:rFonts w:ascii="Arial"/>
                <w:sz w:val="21"/>
              </w:rPr>
            </w:pPr>
          </w:p>
          <w:p w14:paraId="515B7406">
            <w:pPr>
              <w:spacing w:before="69" w:line="185" w:lineRule="auto"/>
              <w:ind w:left="273"/>
              <w:rPr>
                <w:rFonts w:ascii="Times New Roman" w:hAnsi="Times New Roman" w:eastAsia="Times New Roman" w:cs="Times New Roman"/>
                <w:sz w:val="24"/>
                <w:szCs w:val="24"/>
              </w:rPr>
            </w:pPr>
            <w:r>
              <w:rPr>
                <w:rFonts w:ascii="Times New Roman" w:hAnsi="Times New Roman" w:eastAsia="Times New Roman" w:cs="Times New Roman"/>
                <w:sz w:val="24"/>
                <w:szCs w:val="24"/>
              </w:rPr>
              <w:t>X</w:t>
            </w:r>
          </w:p>
        </w:tc>
        <w:tc>
          <w:tcPr>
            <w:tcW w:w="626" w:type="dxa"/>
            <w:gridSpan w:val="2"/>
            <w:tcBorders>
              <w:top w:val="single" w:color="000000" w:sz="6" w:space="0"/>
            </w:tcBorders>
            <w:vAlign w:val="top"/>
          </w:tcPr>
          <w:p w14:paraId="2FC32192">
            <w:pPr>
              <w:spacing w:line="267" w:lineRule="auto"/>
              <w:rPr>
                <w:rFonts w:ascii="Arial"/>
                <w:sz w:val="21"/>
              </w:rPr>
            </w:pPr>
          </w:p>
          <w:p w14:paraId="5391B724">
            <w:pPr>
              <w:spacing w:line="267" w:lineRule="auto"/>
              <w:rPr>
                <w:rFonts w:ascii="Arial"/>
                <w:sz w:val="21"/>
              </w:rPr>
            </w:pPr>
          </w:p>
          <w:p w14:paraId="6F1663CE">
            <w:pPr>
              <w:spacing w:line="267" w:lineRule="auto"/>
              <w:rPr>
                <w:rFonts w:ascii="Arial"/>
                <w:sz w:val="21"/>
              </w:rPr>
            </w:pPr>
          </w:p>
          <w:p w14:paraId="4B1A1713">
            <w:pPr>
              <w:spacing w:before="69" w:line="185" w:lineRule="auto"/>
              <w:ind w:left="274"/>
              <w:rPr>
                <w:rFonts w:ascii="Times New Roman" w:hAnsi="Times New Roman" w:eastAsia="Times New Roman" w:cs="Times New Roman"/>
                <w:sz w:val="24"/>
                <w:szCs w:val="24"/>
              </w:rPr>
            </w:pPr>
            <w:r>
              <w:rPr>
                <w:rFonts w:ascii="Times New Roman" w:hAnsi="Times New Roman" w:eastAsia="Times New Roman" w:cs="Times New Roman"/>
                <w:sz w:val="24"/>
                <w:szCs w:val="24"/>
              </w:rPr>
              <w:t>Y</w:t>
            </w:r>
          </w:p>
        </w:tc>
        <w:tc>
          <w:tcPr>
            <w:tcW w:w="555" w:type="dxa"/>
            <w:gridSpan w:val="2"/>
            <w:tcBorders>
              <w:top w:val="single" w:color="000000" w:sz="6" w:space="0"/>
            </w:tcBorders>
            <w:vAlign w:val="top"/>
          </w:tcPr>
          <w:p w14:paraId="7113EFFB">
            <w:pPr>
              <w:spacing w:line="267" w:lineRule="auto"/>
              <w:rPr>
                <w:rFonts w:ascii="Arial"/>
                <w:sz w:val="21"/>
              </w:rPr>
            </w:pPr>
          </w:p>
          <w:p w14:paraId="32E86D2A">
            <w:pPr>
              <w:spacing w:line="267" w:lineRule="auto"/>
              <w:rPr>
                <w:rFonts w:ascii="Arial"/>
                <w:sz w:val="21"/>
              </w:rPr>
            </w:pPr>
          </w:p>
          <w:p w14:paraId="48F09C61">
            <w:pPr>
              <w:spacing w:line="267" w:lineRule="auto"/>
              <w:rPr>
                <w:rFonts w:ascii="Arial"/>
                <w:sz w:val="21"/>
              </w:rPr>
            </w:pPr>
          </w:p>
          <w:p w14:paraId="282F4046">
            <w:pPr>
              <w:spacing w:before="69" w:line="185" w:lineRule="auto"/>
              <w:ind w:left="253"/>
              <w:rPr>
                <w:rFonts w:ascii="Times New Roman" w:hAnsi="Times New Roman" w:eastAsia="Times New Roman" w:cs="Times New Roman"/>
                <w:sz w:val="24"/>
                <w:szCs w:val="24"/>
              </w:rPr>
            </w:pPr>
            <w:r>
              <w:rPr>
                <w:rFonts w:ascii="Times New Roman" w:hAnsi="Times New Roman" w:eastAsia="Times New Roman" w:cs="Times New Roman"/>
                <w:sz w:val="24"/>
                <w:szCs w:val="24"/>
              </w:rPr>
              <w:t>Z</w:t>
            </w:r>
          </w:p>
        </w:tc>
        <w:tc>
          <w:tcPr>
            <w:tcW w:w="542" w:type="dxa"/>
            <w:tcBorders>
              <w:top w:val="single" w:color="000000" w:sz="6" w:space="0"/>
            </w:tcBorders>
            <w:vAlign w:val="top"/>
          </w:tcPr>
          <w:p w14:paraId="2535F91B">
            <w:pPr>
              <w:rPr>
                <w:rFonts w:ascii="Arial"/>
                <w:sz w:val="21"/>
              </w:rPr>
            </w:pPr>
          </w:p>
        </w:tc>
        <w:tc>
          <w:tcPr>
            <w:tcW w:w="712" w:type="dxa"/>
            <w:gridSpan w:val="2"/>
            <w:tcBorders>
              <w:top w:val="single" w:color="000000" w:sz="6" w:space="0"/>
            </w:tcBorders>
            <w:vAlign w:val="top"/>
          </w:tcPr>
          <w:p w14:paraId="5DE914E0">
            <w:pPr>
              <w:rPr>
                <w:rFonts w:ascii="Arial"/>
                <w:sz w:val="21"/>
              </w:rPr>
            </w:pPr>
          </w:p>
        </w:tc>
        <w:tc>
          <w:tcPr>
            <w:tcW w:w="534" w:type="dxa"/>
            <w:tcBorders>
              <w:top w:val="single" w:color="000000" w:sz="6" w:space="0"/>
            </w:tcBorders>
            <w:vAlign w:val="top"/>
          </w:tcPr>
          <w:p w14:paraId="09CB125A">
            <w:pPr>
              <w:rPr>
                <w:rFonts w:ascii="Arial"/>
                <w:sz w:val="21"/>
              </w:rPr>
            </w:pPr>
          </w:p>
        </w:tc>
        <w:tc>
          <w:tcPr>
            <w:tcW w:w="726" w:type="dxa"/>
            <w:tcBorders>
              <w:top w:val="single" w:color="000000" w:sz="6" w:space="0"/>
            </w:tcBorders>
            <w:vAlign w:val="top"/>
          </w:tcPr>
          <w:p w14:paraId="013FAA74">
            <w:pPr>
              <w:rPr>
                <w:rFonts w:ascii="Arial"/>
                <w:sz w:val="21"/>
              </w:rPr>
            </w:pPr>
          </w:p>
        </w:tc>
        <w:tc>
          <w:tcPr>
            <w:tcW w:w="700" w:type="dxa"/>
            <w:gridSpan w:val="2"/>
            <w:tcBorders>
              <w:top w:val="single" w:color="000000" w:sz="6" w:space="0"/>
            </w:tcBorders>
            <w:vAlign w:val="top"/>
          </w:tcPr>
          <w:p w14:paraId="7EA23D21">
            <w:pPr>
              <w:spacing w:line="319" w:lineRule="auto"/>
              <w:rPr>
                <w:rFonts w:ascii="Arial"/>
                <w:sz w:val="21"/>
              </w:rPr>
            </w:pPr>
          </w:p>
          <w:p w14:paraId="50310F70">
            <w:pPr>
              <w:pStyle w:val="9"/>
              <w:spacing w:before="78" w:line="241" w:lineRule="auto"/>
              <w:ind w:left="188" w:right="52" w:hanging="12"/>
              <w:jc w:val="both"/>
              <w:rPr>
                <w:rFonts w:ascii="Times New Roman" w:hAnsi="Times New Roman" w:eastAsia="Times New Roman" w:cs="Times New Roman"/>
              </w:rPr>
            </w:pPr>
            <w:r>
              <w:rPr>
                <w:spacing w:val="-8"/>
              </w:rPr>
              <w:t>声压</w:t>
            </w:r>
            <w:r>
              <w:rPr>
                <w:spacing w:val="33"/>
                <w:w w:val="125"/>
              </w:rPr>
              <w:t>级</w:t>
            </w:r>
            <w:r>
              <w:t xml:space="preserve"> </w:t>
            </w:r>
            <w:r>
              <w:rPr>
                <w:rFonts w:ascii="Times New Roman" w:hAnsi="Times New Roman" w:eastAsia="Times New Roman" w:cs="Times New Roman"/>
              </w:rPr>
              <w:t>/dB(</w:t>
            </w:r>
          </w:p>
          <w:p w14:paraId="2D698579">
            <w:pPr>
              <w:spacing w:before="12" w:line="192" w:lineRule="auto"/>
              <w:ind w:left="277"/>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A)</w:t>
            </w:r>
          </w:p>
        </w:tc>
        <w:tc>
          <w:tcPr>
            <w:tcW w:w="591" w:type="dxa"/>
            <w:tcBorders>
              <w:top w:val="single" w:color="000000" w:sz="6" w:space="0"/>
            </w:tcBorders>
            <w:textDirection w:val="tbRlV"/>
            <w:vAlign w:val="top"/>
          </w:tcPr>
          <w:p w14:paraId="6839B69F">
            <w:pPr>
              <w:pStyle w:val="9"/>
              <w:spacing w:before="142" w:line="209" w:lineRule="auto"/>
              <w:ind w:left="52"/>
            </w:pPr>
            <w:r>
              <w:rPr>
                <w:spacing w:val="59"/>
              </w:rPr>
              <w:t>建筑物外距离</w:t>
            </w:r>
          </w:p>
        </w:tc>
        <w:tc>
          <w:tcPr>
            <w:tcW w:w="117" w:type="dxa"/>
            <w:tcBorders>
              <w:top w:val="single" w:color="000000" w:sz="6" w:space="0"/>
              <w:bottom w:val="nil"/>
              <w:right w:val="single" w:color="000000" w:sz="6" w:space="0"/>
            </w:tcBorders>
            <w:vAlign w:val="top"/>
          </w:tcPr>
          <w:p w14:paraId="584C35B1">
            <w:pPr>
              <w:rPr>
                <w:rFonts w:ascii="Arial"/>
                <w:sz w:val="21"/>
              </w:rPr>
            </w:pPr>
          </w:p>
        </w:tc>
      </w:tr>
      <w:tr w14:paraId="6104D0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49" w:hRule="atLeast"/>
        </w:trPr>
        <w:tc>
          <w:tcPr>
            <w:tcW w:w="599" w:type="dxa"/>
            <w:vMerge w:val="continue"/>
            <w:tcBorders>
              <w:top w:val="nil"/>
              <w:left w:val="single" w:color="000000" w:sz="6" w:space="0"/>
              <w:bottom w:val="nil"/>
            </w:tcBorders>
            <w:vAlign w:val="top"/>
          </w:tcPr>
          <w:p w14:paraId="1A76957E">
            <w:pPr>
              <w:rPr>
                <w:rFonts w:ascii="Arial"/>
                <w:sz w:val="21"/>
              </w:rPr>
            </w:pPr>
          </w:p>
        </w:tc>
        <w:tc>
          <w:tcPr>
            <w:tcW w:w="108" w:type="dxa"/>
            <w:tcBorders>
              <w:top w:val="nil"/>
              <w:bottom w:val="nil"/>
            </w:tcBorders>
            <w:vAlign w:val="top"/>
          </w:tcPr>
          <w:p w14:paraId="7799BED3">
            <w:pPr>
              <w:rPr>
                <w:rFonts w:ascii="Arial"/>
                <w:sz w:val="21"/>
              </w:rPr>
            </w:pPr>
          </w:p>
        </w:tc>
        <w:tc>
          <w:tcPr>
            <w:tcW w:w="548" w:type="dxa"/>
            <w:textDirection w:val="tbRlV"/>
            <w:vAlign w:val="top"/>
          </w:tcPr>
          <w:p w14:paraId="6D7BB66B">
            <w:pPr>
              <w:pStyle w:val="9"/>
              <w:spacing w:before="158" w:line="209" w:lineRule="auto"/>
              <w:ind w:left="143"/>
            </w:pPr>
            <w:r>
              <w:rPr>
                <w:spacing w:val="47"/>
              </w:rPr>
              <w:t>危废库</w:t>
            </w:r>
          </w:p>
        </w:tc>
        <w:tc>
          <w:tcPr>
            <w:tcW w:w="487" w:type="dxa"/>
            <w:textDirection w:val="tbRlV"/>
            <w:vAlign w:val="top"/>
          </w:tcPr>
          <w:p w14:paraId="54B67DA0">
            <w:pPr>
              <w:pStyle w:val="9"/>
              <w:spacing w:before="125" w:line="208" w:lineRule="auto"/>
              <w:ind w:left="299"/>
            </w:pPr>
            <w:r>
              <w:rPr>
                <w:spacing w:val="34"/>
              </w:rPr>
              <w:t>风机</w:t>
            </w:r>
          </w:p>
        </w:tc>
        <w:tc>
          <w:tcPr>
            <w:tcW w:w="452" w:type="dxa"/>
            <w:gridSpan w:val="2"/>
            <w:vAlign w:val="top"/>
          </w:tcPr>
          <w:p w14:paraId="23EEA72F">
            <w:pPr>
              <w:spacing w:line="418" w:lineRule="auto"/>
              <w:rPr>
                <w:rFonts w:ascii="Arial"/>
                <w:sz w:val="21"/>
              </w:rPr>
            </w:pPr>
          </w:p>
          <w:p w14:paraId="673852C0">
            <w:pPr>
              <w:spacing w:before="69" w:line="192" w:lineRule="auto"/>
              <w:ind w:left="18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663" w:type="dxa"/>
            <w:vAlign w:val="top"/>
          </w:tcPr>
          <w:p w14:paraId="7392F66A">
            <w:pPr>
              <w:spacing w:line="426" w:lineRule="auto"/>
              <w:rPr>
                <w:rFonts w:ascii="Arial"/>
                <w:sz w:val="21"/>
              </w:rPr>
            </w:pPr>
          </w:p>
          <w:p w14:paraId="6A0C1209">
            <w:pPr>
              <w:spacing w:before="69" w:line="185" w:lineRule="auto"/>
              <w:ind w:left="213"/>
              <w:rPr>
                <w:rFonts w:ascii="Times New Roman" w:hAnsi="Times New Roman" w:eastAsia="Times New Roman" w:cs="Times New Roman"/>
                <w:sz w:val="24"/>
                <w:szCs w:val="24"/>
              </w:rPr>
            </w:pPr>
            <w:r>
              <w:rPr>
                <w:rFonts w:ascii="Times New Roman" w:hAnsi="Times New Roman" w:eastAsia="Times New Roman" w:cs="Times New Roman"/>
                <w:spacing w:val="-5"/>
                <w:sz w:val="24"/>
                <w:szCs w:val="24"/>
              </w:rPr>
              <w:t>75</w:t>
            </w:r>
          </w:p>
        </w:tc>
        <w:tc>
          <w:tcPr>
            <w:tcW w:w="1003" w:type="dxa"/>
            <w:gridSpan w:val="2"/>
            <w:vAlign w:val="top"/>
          </w:tcPr>
          <w:p w14:paraId="3BC6ECDB">
            <w:pPr>
              <w:pStyle w:val="9"/>
              <w:spacing w:before="298" w:line="241" w:lineRule="auto"/>
              <w:ind w:left="414" w:right="117" w:hanging="241"/>
            </w:pPr>
            <w:r>
              <w:rPr>
                <w:spacing w:val="-5"/>
              </w:rPr>
              <w:t>厂房隔</w:t>
            </w:r>
            <w:r>
              <w:t>声</w:t>
            </w:r>
          </w:p>
        </w:tc>
        <w:tc>
          <w:tcPr>
            <w:tcW w:w="626" w:type="dxa"/>
            <w:vAlign w:val="top"/>
          </w:tcPr>
          <w:p w14:paraId="2FE61E90">
            <w:pPr>
              <w:spacing w:line="287" w:lineRule="auto"/>
              <w:rPr>
                <w:rFonts w:ascii="Arial"/>
                <w:sz w:val="21"/>
              </w:rPr>
            </w:pPr>
          </w:p>
          <w:p w14:paraId="3A6B75C9">
            <w:pPr>
              <w:spacing w:before="69" w:line="188" w:lineRule="auto"/>
              <w:ind w:left="183"/>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286</w:t>
            </w:r>
          </w:p>
          <w:p w14:paraId="05473AD7">
            <w:pPr>
              <w:spacing w:before="57" w:line="188" w:lineRule="auto"/>
              <w:ind w:left="223"/>
              <w:rPr>
                <w:rFonts w:ascii="Times New Roman" w:hAnsi="Times New Roman" w:eastAsia="Times New Roman" w:cs="Times New Roman"/>
                <w:sz w:val="24"/>
                <w:szCs w:val="24"/>
              </w:rPr>
            </w:pPr>
            <w:r>
              <w:rPr>
                <w:rFonts w:ascii="Times New Roman" w:hAnsi="Times New Roman" w:eastAsia="Times New Roman" w:cs="Times New Roman"/>
                <w:spacing w:val="-6"/>
                <w:sz w:val="24"/>
                <w:szCs w:val="24"/>
              </w:rPr>
              <w:t>.16</w:t>
            </w:r>
          </w:p>
        </w:tc>
        <w:tc>
          <w:tcPr>
            <w:tcW w:w="626" w:type="dxa"/>
            <w:gridSpan w:val="2"/>
            <w:vAlign w:val="top"/>
          </w:tcPr>
          <w:p w14:paraId="016DD1C1">
            <w:pPr>
              <w:spacing w:line="287" w:lineRule="auto"/>
              <w:rPr>
                <w:rFonts w:ascii="Arial"/>
                <w:sz w:val="21"/>
              </w:rPr>
            </w:pPr>
          </w:p>
          <w:p w14:paraId="1D15757C">
            <w:pPr>
              <w:spacing w:before="69" w:line="188" w:lineRule="auto"/>
              <w:ind w:left="211"/>
              <w:rPr>
                <w:rFonts w:ascii="Times New Roman" w:hAnsi="Times New Roman" w:eastAsia="Times New Roman" w:cs="Times New Roman"/>
                <w:sz w:val="24"/>
                <w:szCs w:val="24"/>
              </w:rPr>
            </w:pPr>
            <w:r>
              <w:rPr>
                <w:rFonts w:ascii="Times New Roman" w:hAnsi="Times New Roman" w:eastAsia="Times New Roman" w:cs="Times New Roman"/>
                <w:spacing w:val="-11"/>
                <w:sz w:val="24"/>
                <w:szCs w:val="24"/>
              </w:rPr>
              <w:t>113</w:t>
            </w:r>
          </w:p>
          <w:p w14:paraId="39787F76">
            <w:pPr>
              <w:spacing w:before="57" w:line="188" w:lineRule="auto"/>
              <w:ind w:left="226"/>
              <w:rPr>
                <w:rFonts w:ascii="Times New Roman" w:hAnsi="Times New Roman" w:eastAsia="Times New Roman" w:cs="Times New Roman"/>
                <w:sz w:val="24"/>
                <w:szCs w:val="24"/>
              </w:rPr>
            </w:pPr>
            <w:r>
              <w:rPr>
                <w:rFonts w:ascii="Times New Roman" w:hAnsi="Times New Roman" w:eastAsia="Times New Roman" w:cs="Times New Roman"/>
                <w:spacing w:val="-6"/>
                <w:sz w:val="24"/>
                <w:szCs w:val="24"/>
              </w:rPr>
              <w:t>.45</w:t>
            </w:r>
          </w:p>
        </w:tc>
        <w:tc>
          <w:tcPr>
            <w:tcW w:w="555" w:type="dxa"/>
            <w:gridSpan w:val="2"/>
            <w:vAlign w:val="top"/>
          </w:tcPr>
          <w:p w14:paraId="0F45EAB0">
            <w:pPr>
              <w:spacing w:line="423" w:lineRule="auto"/>
              <w:rPr>
                <w:rFonts w:ascii="Arial"/>
                <w:sz w:val="21"/>
              </w:rPr>
            </w:pPr>
          </w:p>
          <w:p w14:paraId="43C98AD7">
            <w:pPr>
              <w:spacing w:before="69" w:line="188" w:lineRule="auto"/>
              <w:ind w:left="17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w:t>
            </w:r>
          </w:p>
        </w:tc>
        <w:tc>
          <w:tcPr>
            <w:tcW w:w="542" w:type="dxa"/>
            <w:vAlign w:val="top"/>
          </w:tcPr>
          <w:p w14:paraId="66199711">
            <w:pPr>
              <w:spacing w:line="287" w:lineRule="auto"/>
              <w:rPr>
                <w:rFonts w:ascii="Arial"/>
                <w:sz w:val="21"/>
              </w:rPr>
            </w:pPr>
          </w:p>
          <w:p w14:paraId="3CB8E0B9">
            <w:pPr>
              <w:spacing w:before="69" w:line="188" w:lineRule="auto"/>
              <w:ind w:left="196"/>
              <w:rPr>
                <w:rFonts w:ascii="Times New Roman" w:hAnsi="Times New Roman" w:eastAsia="Times New Roman" w:cs="Times New Roman"/>
                <w:sz w:val="24"/>
                <w:szCs w:val="24"/>
              </w:rPr>
            </w:pPr>
            <w:r>
              <w:rPr>
                <w:rFonts w:ascii="Times New Roman" w:hAnsi="Times New Roman" w:eastAsia="Times New Roman" w:cs="Times New Roman"/>
                <w:spacing w:val="-10"/>
                <w:sz w:val="24"/>
                <w:szCs w:val="24"/>
              </w:rPr>
              <w:t>1.3</w:t>
            </w:r>
          </w:p>
          <w:p w14:paraId="4C8DECB6">
            <w:pPr>
              <w:spacing w:before="57" w:line="188" w:lineRule="auto"/>
              <w:ind w:left="262"/>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712" w:type="dxa"/>
            <w:gridSpan w:val="2"/>
            <w:vAlign w:val="top"/>
          </w:tcPr>
          <w:p w14:paraId="20A5262F">
            <w:pPr>
              <w:spacing w:line="287" w:lineRule="auto"/>
              <w:rPr>
                <w:rFonts w:ascii="Arial"/>
                <w:sz w:val="21"/>
              </w:rPr>
            </w:pPr>
          </w:p>
          <w:p w14:paraId="67819D26">
            <w:pPr>
              <w:spacing w:before="69" w:line="188" w:lineRule="auto"/>
              <w:ind w:left="205"/>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69.3</w:t>
            </w:r>
          </w:p>
          <w:p w14:paraId="7C7D4881">
            <w:pPr>
              <w:spacing w:before="57" w:line="188" w:lineRule="auto"/>
              <w:ind w:left="349"/>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534" w:type="dxa"/>
            <w:textDirection w:val="tbRlV"/>
            <w:vAlign w:val="top"/>
          </w:tcPr>
          <w:p w14:paraId="1BD0E23A">
            <w:pPr>
              <w:pStyle w:val="9"/>
              <w:spacing w:before="92" w:line="209" w:lineRule="auto"/>
              <w:ind w:left="299"/>
            </w:pPr>
            <w:r>
              <w:rPr>
                <w:spacing w:val="34"/>
              </w:rPr>
              <w:t>昼夜</w:t>
            </w:r>
          </w:p>
        </w:tc>
        <w:tc>
          <w:tcPr>
            <w:tcW w:w="726" w:type="dxa"/>
            <w:vAlign w:val="top"/>
          </w:tcPr>
          <w:p w14:paraId="723BE1BE">
            <w:pPr>
              <w:spacing w:line="423" w:lineRule="auto"/>
              <w:rPr>
                <w:rFonts w:ascii="Arial"/>
                <w:sz w:val="21"/>
              </w:rPr>
            </w:pPr>
          </w:p>
          <w:p w14:paraId="16810059">
            <w:pPr>
              <w:spacing w:before="69" w:line="188" w:lineRule="auto"/>
              <w:ind w:left="298"/>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20</w:t>
            </w:r>
          </w:p>
        </w:tc>
        <w:tc>
          <w:tcPr>
            <w:tcW w:w="700" w:type="dxa"/>
            <w:gridSpan w:val="2"/>
            <w:vAlign w:val="top"/>
          </w:tcPr>
          <w:p w14:paraId="238D9D58">
            <w:pPr>
              <w:spacing w:line="287" w:lineRule="auto"/>
              <w:rPr>
                <w:rFonts w:ascii="Arial"/>
                <w:sz w:val="21"/>
              </w:rPr>
            </w:pPr>
          </w:p>
          <w:p w14:paraId="57733E18">
            <w:pPr>
              <w:spacing w:before="69" w:line="188" w:lineRule="auto"/>
              <w:ind w:left="195"/>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49.3</w:t>
            </w:r>
          </w:p>
          <w:p w14:paraId="2C427D43">
            <w:pPr>
              <w:spacing w:before="57" w:line="188" w:lineRule="auto"/>
              <w:ind w:left="347"/>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591" w:type="dxa"/>
            <w:vAlign w:val="top"/>
          </w:tcPr>
          <w:p w14:paraId="6E9CE5E4">
            <w:pPr>
              <w:spacing w:line="423" w:lineRule="auto"/>
              <w:rPr>
                <w:rFonts w:ascii="Arial"/>
                <w:sz w:val="21"/>
              </w:rPr>
            </w:pPr>
          </w:p>
          <w:p w14:paraId="55970383">
            <w:pPr>
              <w:spacing w:before="69" w:line="188" w:lineRule="auto"/>
              <w:ind w:left="292"/>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17" w:type="dxa"/>
            <w:tcBorders>
              <w:top w:val="nil"/>
              <w:bottom w:val="nil"/>
              <w:right w:val="single" w:color="000000" w:sz="6" w:space="0"/>
            </w:tcBorders>
            <w:vAlign w:val="top"/>
          </w:tcPr>
          <w:p w14:paraId="12B8A8EA">
            <w:pPr>
              <w:rPr>
                <w:rFonts w:ascii="Arial"/>
                <w:sz w:val="21"/>
              </w:rPr>
            </w:pPr>
          </w:p>
        </w:tc>
      </w:tr>
      <w:tr w14:paraId="213F74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1" w:hRule="atLeast"/>
        </w:trPr>
        <w:tc>
          <w:tcPr>
            <w:tcW w:w="599" w:type="dxa"/>
            <w:vMerge w:val="continue"/>
            <w:tcBorders>
              <w:top w:val="nil"/>
              <w:left w:val="single" w:color="000000" w:sz="6" w:space="0"/>
              <w:bottom w:val="nil"/>
            </w:tcBorders>
            <w:vAlign w:val="top"/>
          </w:tcPr>
          <w:p w14:paraId="239AAC90">
            <w:pPr>
              <w:rPr>
                <w:rFonts w:ascii="Arial"/>
                <w:sz w:val="21"/>
              </w:rPr>
            </w:pPr>
          </w:p>
        </w:tc>
        <w:tc>
          <w:tcPr>
            <w:tcW w:w="108" w:type="dxa"/>
            <w:tcBorders>
              <w:top w:val="nil"/>
              <w:bottom w:val="nil"/>
            </w:tcBorders>
            <w:vAlign w:val="top"/>
          </w:tcPr>
          <w:p w14:paraId="43470FC8">
            <w:pPr>
              <w:rPr>
                <w:rFonts w:ascii="Arial"/>
                <w:sz w:val="21"/>
              </w:rPr>
            </w:pPr>
          </w:p>
        </w:tc>
        <w:tc>
          <w:tcPr>
            <w:tcW w:w="548" w:type="dxa"/>
            <w:textDirection w:val="tbRlV"/>
            <w:vAlign w:val="top"/>
          </w:tcPr>
          <w:p w14:paraId="6643C7F5">
            <w:pPr>
              <w:pStyle w:val="9"/>
              <w:spacing w:before="159" w:line="206" w:lineRule="auto"/>
              <w:ind w:left="79"/>
            </w:pPr>
            <w:r>
              <w:rPr>
                <w:spacing w:val="-1"/>
              </w:rPr>
              <w:t>污</w:t>
            </w:r>
            <w:r>
              <w:rPr>
                <w:spacing w:val="-46"/>
              </w:rPr>
              <w:t xml:space="preserve"> </w:t>
            </w:r>
            <w:r>
              <w:rPr>
                <w:spacing w:val="-1"/>
              </w:rPr>
              <w:t>水</w:t>
            </w:r>
            <w:r>
              <w:rPr>
                <w:spacing w:val="-50"/>
              </w:rPr>
              <w:t xml:space="preserve"> </w:t>
            </w:r>
            <w:r>
              <w:rPr>
                <w:spacing w:val="-1"/>
              </w:rPr>
              <w:t>处</w:t>
            </w:r>
            <w:r>
              <w:rPr>
                <w:spacing w:val="-48"/>
              </w:rPr>
              <w:t xml:space="preserve"> </w:t>
            </w:r>
            <w:r>
              <w:rPr>
                <w:spacing w:val="-1"/>
              </w:rPr>
              <w:t>理</w:t>
            </w:r>
          </w:p>
        </w:tc>
        <w:tc>
          <w:tcPr>
            <w:tcW w:w="487" w:type="dxa"/>
            <w:textDirection w:val="tbRlV"/>
            <w:vAlign w:val="top"/>
          </w:tcPr>
          <w:p w14:paraId="2776235B">
            <w:pPr>
              <w:pStyle w:val="9"/>
              <w:spacing w:before="125" w:line="207" w:lineRule="auto"/>
              <w:ind w:left="391"/>
            </w:pPr>
            <w:r>
              <w:rPr>
                <w:spacing w:val="34"/>
              </w:rPr>
              <w:t>水泵</w:t>
            </w:r>
          </w:p>
        </w:tc>
        <w:tc>
          <w:tcPr>
            <w:tcW w:w="452" w:type="dxa"/>
            <w:gridSpan w:val="2"/>
            <w:vAlign w:val="top"/>
          </w:tcPr>
          <w:p w14:paraId="10A6EED7">
            <w:pPr>
              <w:spacing w:line="256" w:lineRule="auto"/>
              <w:rPr>
                <w:rFonts w:ascii="Arial"/>
                <w:sz w:val="21"/>
              </w:rPr>
            </w:pPr>
          </w:p>
          <w:p w14:paraId="66FA479D">
            <w:pPr>
              <w:spacing w:line="256" w:lineRule="auto"/>
              <w:rPr>
                <w:rFonts w:ascii="Arial"/>
                <w:sz w:val="21"/>
              </w:rPr>
            </w:pPr>
          </w:p>
          <w:p w14:paraId="53CD4D53">
            <w:pPr>
              <w:spacing w:before="69" w:line="192" w:lineRule="auto"/>
              <w:ind w:left="18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663" w:type="dxa"/>
            <w:vAlign w:val="top"/>
          </w:tcPr>
          <w:p w14:paraId="30F06171">
            <w:pPr>
              <w:spacing w:line="260" w:lineRule="auto"/>
              <w:rPr>
                <w:rFonts w:ascii="Arial"/>
                <w:sz w:val="21"/>
              </w:rPr>
            </w:pPr>
          </w:p>
          <w:p w14:paraId="7C6E0499">
            <w:pPr>
              <w:spacing w:line="260" w:lineRule="auto"/>
              <w:rPr>
                <w:rFonts w:ascii="Arial"/>
                <w:sz w:val="21"/>
              </w:rPr>
            </w:pPr>
          </w:p>
          <w:p w14:paraId="0011524C">
            <w:pPr>
              <w:spacing w:before="69" w:line="185" w:lineRule="auto"/>
              <w:ind w:left="213"/>
              <w:rPr>
                <w:rFonts w:ascii="Times New Roman" w:hAnsi="Times New Roman" w:eastAsia="Times New Roman" w:cs="Times New Roman"/>
                <w:sz w:val="24"/>
                <w:szCs w:val="24"/>
              </w:rPr>
            </w:pPr>
            <w:r>
              <w:rPr>
                <w:rFonts w:ascii="Times New Roman" w:hAnsi="Times New Roman" w:eastAsia="Times New Roman" w:cs="Times New Roman"/>
                <w:spacing w:val="-5"/>
                <w:sz w:val="24"/>
                <w:szCs w:val="24"/>
              </w:rPr>
              <w:t>75</w:t>
            </w:r>
          </w:p>
        </w:tc>
        <w:tc>
          <w:tcPr>
            <w:tcW w:w="1003" w:type="dxa"/>
            <w:gridSpan w:val="2"/>
            <w:vAlign w:val="top"/>
          </w:tcPr>
          <w:p w14:paraId="0480D589">
            <w:pPr>
              <w:spacing w:line="310" w:lineRule="auto"/>
              <w:rPr>
                <w:rFonts w:ascii="Arial"/>
                <w:sz w:val="21"/>
              </w:rPr>
            </w:pPr>
          </w:p>
          <w:p w14:paraId="782B67E4">
            <w:pPr>
              <w:pStyle w:val="9"/>
              <w:spacing w:before="78" w:line="241" w:lineRule="auto"/>
              <w:ind w:left="414" w:right="117" w:hanging="241"/>
            </w:pPr>
            <w:r>
              <w:rPr>
                <w:spacing w:val="-5"/>
              </w:rPr>
              <w:t>厂房隔</w:t>
            </w:r>
            <w:r>
              <w:t>声</w:t>
            </w:r>
          </w:p>
        </w:tc>
        <w:tc>
          <w:tcPr>
            <w:tcW w:w="626" w:type="dxa"/>
            <w:vAlign w:val="top"/>
          </w:tcPr>
          <w:p w14:paraId="44A1D8B2">
            <w:pPr>
              <w:spacing w:line="378" w:lineRule="auto"/>
              <w:rPr>
                <w:rFonts w:ascii="Arial"/>
                <w:sz w:val="21"/>
              </w:rPr>
            </w:pPr>
          </w:p>
          <w:p w14:paraId="08A63B02">
            <w:pPr>
              <w:spacing w:before="69" w:line="188" w:lineRule="auto"/>
              <w:ind w:left="21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40.</w:t>
            </w:r>
          </w:p>
          <w:p w14:paraId="6F1B12CD">
            <w:pPr>
              <w:spacing w:before="59" w:line="188" w:lineRule="auto"/>
              <w:ind w:left="248"/>
              <w:rPr>
                <w:rFonts w:ascii="Times New Roman" w:hAnsi="Times New Roman" w:eastAsia="Times New Roman" w:cs="Times New Roman"/>
                <w:sz w:val="24"/>
                <w:szCs w:val="24"/>
              </w:rPr>
            </w:pPr>
            <w:r>
              <w:rPr>
                <w:rFonts w:ascii="Times New Roman" w:hAnsi="Times New Roman" w:eastAsia="Times New Roman" w:cs="Times New Roman"/>
                <w:spacing w:val="-6"/>
                <w:sz w:val="24"/>
                <w:szCs w:val="24"/>
              </w:rPr>
              <w:t>63</w:t>
            </w:r>
          </w:p>
        </w:tc>
        <w:tc>
          <w:tcPr>
            <w:tcW w:w="626" w:type="dxa"/>
            <w:gridSpan w:val="2"/>
            <w:vAlign w:val="top"/>
          </w:tcPr>
          <w:p w14:paraId="3962D982">
            <w:pPr>
              <w:spacing w:line="378" w:lineRule="auto"/>
              <w:rPr>
                <w:rFonts w:ascii="Arial"/>
                <w:sz w:val="21"/>
              </w:rPr>
            </w:pPr>
          </w:p>
          <w:p w14:paraId="66CBCEA6">
            <w:pPr>
              <w:spacing w:before="69" w:line="188" w:lineRule="auto"/>
              <w:ind w:left="206"/>
              <w:rPr>
                <w:rFonts w:ascii="Times New Roman" w:hAnsi="Times New Roman" w:eastAsia="Times New Roman" w:cs="Times New Roman"/>
                <w:sz w:val="24"/>
                <w:szCs w:val="24"/>
              </w:rPr>
            </w:pPr>
            <w:r>
              <w:rPr>
                <w:rFonts w:ascii="Times New Roman" w:hAnsi="Times New Roman" w:eastAsia="Times New Roman" w:cs="Times New Roman"/>
                <w:spacing w:val="-10"/>
                <w:sz w:val="24"/>
                <w:szCs w:val="24"/>
              </w:rPr>
              <w:t>106</w:t>
            </w:r>
          </w:p>
          <w:p w14:paraId="305BFA96">
            <w:pPr>
              <w:spacing w:before="59" w:line="188" w:lineRule="auto"/>
              <w:ind w:left="226"/>
              <w:rPr>
                <w:rFonts w:ascii="Times New Roman" w:hAnsi="Times New Roman" w:eastAsia="Times New Roman" w:cs="Times New Roman"/>
                <w:sz w:val="24"/>
                <w:szCs w:val="24"/>
              </w:rPr>
            </w:pPr>
            <w:r>
              <w:rPr>
                <w:rFonts w:ascii="Times New Roman" w:hAnsi="Times New Roman" w:eastAsia="Times New Roman" w:cs="Times New Roman"/>
                <w:spacing w:val="-6"/>
                <w:sz w:val="24"/>
                <w:szCs w:val="24"/>
              </w:rPr>
              <w:t>.17</w:t>
            </w:r>
          </w:p>
        </w:tc>
        <w:tc>
          <w:tcPr>
            <w:tcW w:w="555" w:type="dxa"/>
            <w:gridSpan w:val="2"/>
            <w:vAlign w:val="top"/>
          </w:tcPr>
          <w:p w14:paraId="4E6F83AC">
            <w:pPr>
              <w:spacing w:line="258" w:lineRule="auto"/>
              <w:rPr>
                <w:rFonts w:ascii="Arial"/>
                <w:sz w:val="21"/>
              </w:rPr>
            </w:pPr>
          </w:p>
          <w:p w14:paraId="72F4ACD8">
            <w:pPr>
              <w:spacing w:line="258" w:lineRule="auto"/>
              <w:rPr>
                <w:rFonts w:ascii="Arial"/>
                <w:sz w:val="21"/>
              </w:rPr>
            </w:pPr>
          </w:p>
          <w:p w14:paraId="1A6CA955">
            <w:pPr>
              <w:spacing w:before="69" w:line="188" w:lineRule="auto"/>
              <w:ind w:left="182"/>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0.5</w:t>
            </w:r>
          </w:p>
        </w:tc>
        <w:tc>
          <w:tcPr>
            <w:tcW w:w="542" w:type="dxa"/>
            <w:vAlign w:val="top"/>
          </w:tcPr>
          <w:p w14:paraId="79B6F8FF">
            <w:pPr>
              <w:spacing w:line="378" w:lineRule="auto"/>
              <w:rPr>
                <w:rFonts w:ascii="Arial"/>
                <w:sz w:val="21"/>
              </w:rPr>
            </w:pPr>
          </w:p>
          <w:p w14:paraId="1389FBFB">
            <w:pPr>
              <w:spacing w:before="69" w:line="188" w:lineRule="auto"/>
              <w:ind w:left="177"/>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0.7</w:t>
            </w:r>
          </w:p>
          <w:p w14:paraId="6472124B">
            <w:pPr>
              <w:spacing w:before="63" w:line="185" w:lineRule="auto"/>
              <w:ind w:left="268"/>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c>
          <w:tcPr>
            <w:tcW w:w="712" w:type="dxa"/>
            <w:gridSpan w:val="2"/>
            <w:vAlign w:val="top"/>
          </w:tcPr>
          <w:p w14:paraId="5D19DCF3">
            <w:pPr>
              <w:spacing w:line="378" w:lineRule="auto"/>
              <w:rPr>
                <w:rFonts w:ascii="Arial"/>
                <w:sz w:val="21"/>
              </w:rPr>
            </w:pPr>
          </w:p>
          <w:p w14:paraId="4F0691E8">
            <w:pPr>
              <w:spacing w:before="69" w:line="188" w:lineRule="auto"/>
              <w:ind w:left="204"/>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71.5</w:t>
            </w:r>
          </w:p>
          <w:p w14:paraId="4D9B6A98">
            <w:pPr>
              <w:spacing w:before="59" w:line="188" w:lineRule="auto"/>
              <w:ind w:left="348"/>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534" w:type="dxa"/>
            <w:textDirection w:val="tbRlV"/>
            <w:vAlign w:val="top"/>
          </w:tcPr>
          <w:p w14:paraId="14B75D8D">
            <w:pPr>
              <w:pStyle w:val="9"/>
              <w:spacing w:before="92" w:line="209" w:lineRule="auto"/>
              <w:ind w:left="391"/>
            </w:pPr>
            <w:r>
              <w:rPr>
                <w:spacing w:val="34"/>
              </w:rPr>
              <w:t>昼夜</w:t>
            </w:r>
          </w:p>
        </w:tc>
        <w:tc>
          <w:tcPr>
            <w:tcW w:w="726" w:type="dxa"/>
            <w:vAlign w:val="top"/>
          </w:tcPr>
          <w:p w14:paraId="656E15FA">
            <w:pPr>
              <w:spacing w:line="258" w:lineRule="auto"/>
              <w:rPr>
                <w:rFonts w:ascii="Arial"/>
                <w:sz w:val="21"/>
              </w:rPr>
            </w:pPr>
          </w:p>
          <w:p w14:paraId="3988D176">
            <w:pPr>
              <w:spacing w:line="258" w:lineRule="auto"/>
              <w:rPr>
                <w:rFonts w:ascii="Arial"/>
                <w:sz w:val="21"/>
              </w:rPr>
            </w:pPr>
          </w:p>
          <w:p w14:paraId="1CC9C2CC">
            <w:pPr>
              <w:spacing w:before="69" w:line="188" w:lineRule="auto"/>
              <w:ind w:left="298"/>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20</w:t>
            </w:r>
          </w:p>
        </w:tc>
        <w:tc>
          <w:tcPr>
            <w:tcW w:w="700" w:type="dxa"/>
            <w:gridSpan w:val="2"/>
            <w:vAlign w:val="top"/>
          </w:tcPr>
          <w:p w14:paraId="5CAA1A38">
            <w:pPr>
              <w:spacing w:line="378" w:lineRule="auto"/>
              <w:rPr>
                <w:rFonts w:ascii="Arial"/>
                <w:sz w:val="21"/>
              </w:rPr>
            </w:pPr>
          </w:p>
          <w:p w14:paraId="5B870B62">
            <w:pPr>
              <w:spacing w:before="69" w:line="188" w:lineRule="auto"/>
              <w:ind w:left="202"/>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51.5</w:t>
            </w:r>
          </w:p>
          <w:p w14:paraId="4F775FD7">
            <w:pPr>
              <w:spacing w:before="59" w:line="188" w:lineRule="auto"/>
              <w:ind w:left="346"/>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591" w:type="dxa"/>
            <w:vAlign w:val="top"/>
          </w:tcPr>
          <w:p w14:paraId="359CE1A8">
            <w:pPr>
              <w:spacing w:line="258" w:lineRule="auto"/>
              <w:rPr>
                <w:rFonts w:ascii="Arial"/>
                <w:sz w:val="21"/>
              </w:rPr>
            </w:pPr>
          </w:p>
          <w:p w14:paraId="77D8B744">
            <w:pPr>
              <w:spacing w:line="259" w:lineRule="auto"/>
              <w:rPr>
                <w:rFonts w:ascii="Arial"/>
                <w:sz w:val="21"/>
              </w:rPr>
            </w:pPr>
          </w:p>
          <w:p w14:paraId="58EFEAA7">
            <w:pPr>
              <w:spacing w:before="69" w:line="188" w:lineRule="auto"/>
              <w:ind w:left="292"/>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17" w:type="dxa"/>
            <w:tcBorders>
              <w:top w:val="nil"/>
              <w:bottom w:val="nil"/>
              <w:right w:val="single" w:color="000000" w:sz="6" w:space="0"/>
            </w:tcBorders>
            <w:vAlign w:val="top"/>
          </w:tcPr>
          <w:p w14:paraId="21B4086E">
            <w:pPr>
              <w:rPr>
                <w:rFonts w:ascii="Arial"/>
                <w:sz w:val="21"/>
              </w:rPr>
            </w:pPr>
          </w:p>
        </w:tc>
      </w:tr>
      <w:tr w14:paraId="060CD3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599" w:type="dxa"/>
            <w:vMerge w:val="continue"/>
            <w:tcBorders>
              <w:top w:val="nil"/>
              <w:left w:val="single" w:color="000000" w:sz="6" w:space="0"/>
              <w:bottom w:val="nil"/>
            </w:tcBorders>
            <w:vAlign w:val="top"/>
          </w:tcPr>
          <w:p w14:paraId="0625A009">
            <w:pPr>
              <w:rPr>
                <w:rFonts w:ascii="Arial"/>
                <w:sz w:val="21"/>
              </w:rPr>
            </w:pPr>
          </w:p>
        </w:tc>
        <w:tc>
          <w:tcPr>
            <w:tcW w:w="8990" w:type="dxa"/>
            <w:gridSpan w:val="22"/>
            <w:tcBorders>
              <w:right w:val="single" w:color="000000" w:sz="6" w:space="0"/>
            </w:tcBorders>
            <w:vAlign w:val="top"/>
          </w:tcPr>
          <w:p w14:paraId="167DDD53">
            <w:pPr>
              <w:pStyle w:val="9"/>
              <w:spacing w:before="183" w:line="220" w:lineRule="auto"/>
              <w:ind w:left="1596"/>
            </w:pPr>
            <w:r>
              <w:rPr>
                <w:b/>
                <w:bCs/>
                <w:spacing w:val="-2"/>
              </w:rPr>
              <w:t>表</w:t>
            </w:r>
            <w:r>
              <w:rPr>
                <w:spacing w:val="-45"/>
              </w:rPr>
              <w:t xml:space="preserve"> </w:t>
            </w:r>
            <w:r>
              <w:rPr>
                <w:rFonts w:ascii="Times New Roman" w:hAnsi="Times New Roman" w:eastAsia="Times New Roman" w:cs="Times New Roman"/>
                <w:b/>
                <w:bCs/>
                <w:spacing w:val="-2"/>
              </w:rPr>
              <w:t xml:space="preserve">4-3      </w:t>
            </w:r>
            <w:r>
              <w:rPr>
                <w:b/>
                <w:bCs/>
                <w:spacing w:val="-2"/>
              </w:rPr>
              <w:t>升压站主要噪声源强调查清单（室外声源）一览表</w:t>
            </w:r>
          </w:p>
        </w:tc>
      </w:tr>
      <w:tr w14:paraId="3DD85E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599" w:type="dxa"/>
            <w:vMerge w:val="continue"/>
            <w:tcBorders>
              <w:top w:val="nil"/>
              <w:left w:val="single" w:color="000000" w:sz="6" w:space="0"/>
              <w:bottom w:val="nil"/>
            </w:tcBorders>
            <w:vAlign w:val="top"/>
          </w:tcPr>
          <w:p w14:paraId="6B34CBDA">
            <w:pPr>
              <w:rPr>
                <w:rFonts w:ascii="Arial"/>
                <w:sz w:val="21"/>
              </w:rPr>
            </w:pPr>
          </w:p>
        </w:tc>
        <w:tc>
          <w:tcPr>
            <w:tcW w:w="108" w:type="dxa"/>
            <w:tcBorders>
              <w:top w:val="nil"/>
              <w:bottom w:val="nil"/>
            </w:tcBorders>
            <w:vAlign w:val="top"/>
          </w:tcPr>
          <w:p w14:paraId="181D7BA9">
            <w:pPr>
              <w:rPr>
                <w:rFonts w:ascii="Arial"/>
                <w:sz w:val="21"/>
              </w:rPr>
            </w:pPr>
          </w:p>
        </w:tc>
        <w:tc>
          <w:tcPr>
            <w:tcW w:w="1256" w:type="dxa"/>
            <w:gridSpan w:val="3"/>
            <w:vMerge w:val="restart"/>
            <w:tcBorders>
              <w:bottom w:val="nil"/>
            </w:tcBorders>
            <w:vAlign w:val="top"/>
          </w:tcPr>
          <w:p w14:paraId="166C9BE5">
            <w:pPr>
              <w:spacing w:line="289" w:lineRule="auto"/>
              <w:rPr>
                <w:rFonts w:ascii="Arial"/>
                <w:sz w:val="21"/>
              </w:rPr>
            </w:pPr>
          </w:p>
          <w:p w14:paraId="23658542">
            <w:pPr>
              <w:pStyle w:val="9"/>
              <w:spacing w:before="78" w:line="220" w:lineRule="auto"/>
              <w:ind w:left="153"/>
            </w:pPr>
            <w:r>
              <w:rPr>
                <w:spacing w:val="-4"/>
              </w:rPr>
              <w:t>声源名称</w:t>
            </w:r>
          </w:p>
        </w:tc>
        <w:tc>
          <w:tcPr>
            <w:tcW w:w="1030" w:type="dxa"/>
            <w:gridSpan w:val="3"/>
            <w:vMerge w:val="restart"/>
            <w:tcBorders>
              <w:bottom w:val="nil"/>
            </w:tcBorders>
            <w:vAlign w:val="top"/>
          </w:tcPr>
          <w:p w14:paraId="73C65FB3">
            <w:pPr>
              <w:spacing w:line="288" w:lineRule="auto"/>
              <w:rPr>
                <w:rFonts w:ascii="Arial"/>
                <w:sz w:val="21"/>
              </w:rPr>
            </w:pPr>
          </w:p>
          <w:p w14:paraId="38B22512">
            <w:pPr>
              <w:pStyle w:val="9"/>
              <w:spacing w:before="78" w:line="221" w:lineRule="auto"/>
              <w:ind w:left="284"/>
            </w:pPr>
            <w:r>
              <w:rPr>
                <w:spacing w:val="-9"/>
              </w:rPr>
              <w:t>型号</w:t>
            </w:r>
          </w:p>
        </w:tc>
        <w:tc>
          <w:tcPr>
            <w:tcW w:w="2603" w:type="dxa"/>
            <w:gridSpan w:val="5"/>
            <w:vAlign w:val="top"/>
          </w:tcPr>
          <w:p w14:paraId="7932839C">
            <w:pPr>
              <w:pStyle w:val="9"/>
              <w:spacing w:before="123" w:line="221" w:lineRule="auto"/>
              <w:ind w:left="459"/>
              <w:rPr>
                <w:rFonts w:ascii="Times New Roman" w:hAnsi="Times New Roman" w:eastAsia="Times New Roman" w:cs="Times New Roman"/>
              </w:rPr>
            </w:pPr>
            <w:r>
              <w:rPr>
                <w:spacing w:val="-3"/>
              </w:rPr>
              <w:t>空间相对位置</w:t>
            </w:r>
            <w:r>
              <w:rPr>
                <w:rFonts w:ascii="Times New Roman" w:hAnsi="Times New Roman" w:eastAsia="Times New Roman" w:cs="Times New Roman"/>
                <w:spacing w:val="-3"/>
              </w:rPr>
              <w:t>/m</w:t>
            </w:r>
          </w:p>
        </w:tc>
        <w:tc>
          <w:tcPr>
            <w:tcW w:w="1172" w:type="dxa"/>
            <w:gridSpan w:val="3"/>
            <w:vMerge w:val="restart"/>
            <w:tcBorders>
              <w:bottom w:val="nil"/>
            </w:tcBorders>
            <w:vAlign w:val="top"/>
          </w:tcPr>
          <w:p w14:paraId="6DF653F1">
            <w:pPr>
              <w:pStyle w:val="9"/>
              <w:spacing w:before="74" w:line="219" w:lineRule="auto"/>
              <w:ind w:left="222"/>
            </w:pPr>
            <w:r>
              <w:rPr>
                <w:spacing w:val="-5"/>
              </w:rPr>
              <w:t>声功率</w:t>
            </w:r>
          </w:p>
          <w:p w14:paraId="538137AB">
            <w:pPr>
              <w:pStyle w:val="9"/>
              <w:spacing w:before="27" w:line="221" w:lineRule="auto"/>
              <w:ind w:left="461"/>
            </w:pPr>
            <w:r>
              <w:t>级</w:t>
            </w:r>
          </w:p>
          <w:p w14:paraId="5EE31EA8">
            <w:pPr>
              <w:spacing w:before="41" w:line="192" w:lineRule="auto"/>
              <w:ind w:left="227"/>
              <w:rPr>
                <w:rFonts w:ascii="Times New Roman" w:hAnsi="Times New Roman" w:eastAsia="Times New Roman" w:cs="Times New Roman"/>
                <w:sz w:val="24"/>
                <w:szCs w:val="24"/>
              </w:rPr>
            </w:pPr>
            <w:r>
              <w:rPr>
                <w:rFonts w:ascii="Times New Roman" w:hAnsi="Times New Roman" w:eastAsia="Times New Roman" w:cs="Times New Roman"/>
                <w:sz w:val="24"/>
                <w:szCs w:val="24"/>
              </w:rPr>
              <w:t>/dB(A)</w:t>
            </w:r>
          </w:p>
        </w:tc>
        <w:tc>
          <w:tcPr>
            <w:tcW w:w="1874" w:type="dxa"/>
            <w:gridSpan w:val="4"/>
            <w:vMerge w:val="restart"/>
            <w:tcBorders>
              <w:bottom w:val="nil"/>
            </w:tcBorders>
            <w:vAlign w:val="top"/>
          </w:tcPr>
          <w:p w14:paraId="6F3451A7">
            <w:pPr>
              <w:pStyle w:val="9"/>
              <w:spacing w:before="213" w:line="242" w:lineRule="auto"/>
              <w:ind w:left="689" w:right="468" w:hanging="235"/>
            </w:pPr>
            <w:r>
              <w:rPr>
                <w:spacing w:val="-4"/>
              </w:rPr>
              <w:t>声源控制</w:t>
            </w:r>
            <w:r>
              <w:rPr>
                <w:spacing w:val="-5"/>
              </w:rPr>
              <w:t>措施</w:t>
            </w:r>
          </w:p>
        </w:tc>
        <w:tc>
          <w:tcPr>
            <w:tcW w:w="830" w:type="dxa"/>
            <w:gridSpan w:val="2"/>
            <w:vMerge w:val="restart"/>
            <w:tcBorders>
              <w:bottom w:val="nil"/>
            </w:tcBorders>
            <w:vAlign w:val="top"/>
          </w:tcPr>
          <w:p w14:paraId="14D64DAA">
            <w:pPr>
              <w:pStyle w:val="9"/>
              <w:spacing w:before="212" w:line="243" w:lineRule="auto"/>
              <w:ind w:left="189" w:right="175" w:hanging="11"/>
            </w:pPr>
            <w:r>
              <w:rPr>
                <w:spacing w:val="-5"/>
              </w:rPr>
              <w:t>运行</w:t>
            </w:r>
            <w:r>
              <w:rPr>
                <w:spacing w:val="-11"/>
              </w:rPr>
              <w:t>时段</w:t>
            </w:r>
          </w:p>
        </w:tc>
        <w:tc>
          <w:tcPr>
            <w:tcW w:w="117" w:type="dxa"/>
            <w:tcBorders>
              <w:top w:val="nil"/>
              <w:bottom w:val="nil"/>
              <w:right w:val="single" w:color="000000" w:sz="6" w:space="0"/>
            </w:tcBorders>
            <w:vAlign w:val="top"/>
          </w:tcPr>
          <w:p w14:paraId="3FAEBB92">
            <w:pPr>
              <w:rPr>
                <w:rFonts w:ascii="Arial"/>
                <w:sz w:val="21"/>
              </w:rPr>
            </w:pPr>
          </w:p>
        </w:tc>
      </w:tr>
      <w:tr w14:paraId="7D995C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trPr>
        <w:tc>
          <w:tcPr>
            <w:tcW w:w="599" w:type="dxa"/>
            <w:vMerge w:val="continue"/>
            <w:tcBorders>
              <w:top w:val="nil"/>
              <w:left w:val="single" w:color="000000" w:sz="6" w:space="0"/>
              <w:bottom w:val="nil"/>
            </w:tcBorders>
            <w:vAlign w:val="top"/>
          </w:tcPr>
          <w:p w14:paraId="5C1D08FC">
            <w:pPr>
              <w:rPr>
                <w:rFonts w:ascii="Arial"/>
                <w:sz w:val="21"/>
              </w:rPr>
            </w:pPr>
          </w:p>
        </w:tc>
        <w:tc>
          <w:tcPr>
            <w:tcW w:w="108" w:type="dxa"/>
            <w:tcBorders>
              <w:top w:val="nil"/>
              <w:bottom w:val="nil"/>
            </w:tcBorders>
            <w:vAlign w:val="top"/>
          </w:tcPr>
          <w:p w14:paraId="110E5D0D">
            <w:pPr>
              <w:rPr>
                <w:rFonts w:ascii="Arial"/>
                <w:sz w:val="21"/>
              </w:rPr>
            </w:pPr>
          </w:p>
        </w:tc>
        <w:tc>
          <w:tcPr>
            <w:tcW w:w="1256" w:type="dxa"/>
            <w:gridSpan w:val="3"/>
            <w:vMerge w:val="continue"/>
            <w:tcBorders>
              <w:top w:val="nil"/>
            </w:tcBorders>
            <w:vAlign w:val="top"/>
          </w:tcPr>
          <w:p w14:paraId="08E7AA95">
            <w:pPr>
              <w:rPr>
                <w:rFonts w:ascii="Arial"/>
                <w:sz w:val="21"/>
              </w:rPr>
            </w:pPr>
          </w:p>
        </w:tc>
        <w:tc>
          <w:tcPr>
            <w:tcW w:w="1030" w:type="dxa"/>
            <w:gridSpan w:val="3"/>
            <w:vMerge w:val="continue"/>
            <w:tcBorders>
              <w:top w:val="nil"/>
            </w:tcBorders>
            <w:vAlign w:val="top"/>
          </w:tcPr>
          <w:p w14:paraId="671A79EE">
            <w:pPr>
              <w:rPr>
                <w:rFonts w:ascii="Arial"/>
                <w:sz w:val="21"/>
              </w:rPr>
            </w:pPr>
          </w:p>
        </w:tc>
        <w:tc>
          <w:tcPr>
            <w:tcW w:w="867" w:type="dxa"/>
            <w:vAlign w:val="top"/>
          </w:tcPr>
          <w:p w14:paraId="41E461E7">
            <w:pPr>
              <w:spacing w:before="199" w:line="185" w:lineRule="auto"/>
              <w:ind w:left="333"/>
              <w:rPr>
                <w:rFonts w:ascii="Times New Roman" w:hAnsi="Times New Roman" w:eastAsia="Times New Roman" w:cs="Times New Roman"/>
                <w:sz w:val="24"/>
                <w:szCs w:val="24"/>
              </w:rPr>
            </w:pPr>
            <w:r>
              <w:rPr>
                <w:rFonts w:ascii="Times New Roman" w:hAnsi="Times New Roman" w:eastAsia="Times New Roman" w:cs="Times New Roman"/>
                <w:sz w:val="24"/>
                <w:szCs w:val="24"/>
              </w:rPr>
              <w:t>X</w:t>
            </w:r>
          </w:p>
        </w:tc>
        <w:tc>
          <w:tcPr>
            <w:tcW w:w="901" w:type="dxa"/>
            <w:gridSpan w:val="2"/>
            <w:vAlign w:val="top"/>
          </w:tcPr>
          <w:p w14:paraId="2D844212">
            <w:pPr>
              <w:spacing w:before="199" w:line="185" w:lineRule="auto"/>
              <w:ind w:left="343"/>
              <w:rPr>
                <w:rFonts w:ascii="Times New Roman" w:hAnsi="Times New Roman" w:eastAsia="Times New Roman" w:cs="Times New Roman"/>
                <w:sz w:val="24"/>
                <w:szCs w:val="24"/>
              </w:rPr>
            </w:pPr>
            <w:r>
              <w:rPr>
                <w:rFonts w:ascii="Times New Roman" w:hAnsi="Times New Roman" w:eastAsia="Times New Roman" w:cs="Times New Roman"/>
                <w:sz w:val="24"/>
                <w:szCs w:val="24"/>
              </w:rPr>
              <w:t>Y</w:t>
            </w:r>
          </w:p>
        </w:tc>
        <w:tc>
          <w:tcPr>
            <w:tcW w:w="835" w:type="dxa"/>
            <w:gridSpan w:val="2"/>
            <w:vAlign w:val="top"/>
          </w:tcPr>
          <w:p w14:paraId="41513DAD">
            <w:pPr>
              <w:spacing w:before="199" w:line="185" w:lineRule="auto"/>
              <w:ind w:left="326"/>
              <w:rPr>
                <w:rFonts w:ascii="Times New Roman" w:hAnsi="Times New Roman" w:eastAsia="Times New Roman" w:cs="Times New Roman"/>
                <w:sz w:val="24"/>
                <w:szCs w:val="24"/>
              </w:rPr>
            </w:pPr>
            <w:r>
              <w:rPr>
                <w:rFonts w:ascii="Times New Roman" w:hAnsi="Times New Roman" w:eastAsia="Times New Roman" w:cs="Times New Roman"/>
                <w:sz w:val="24"/>
                <w:szCs w:val="24"/>
              </w:rPr>
              <w:t>Z</w:t>
            </w:r>
          </w:p>
        </w:tc>
        <w:tc>
          <w:tcPr>
            <w:tcW w:w="1172" w:type="dxa"/>
            <w:gridSpan w:val="3"/>
            <w:vMerge w:val="continue"/>
            <w:tcBorders>
              <w:top w:val="nil"/>
            </w:tcBorders>
            <w:vAlign w:val="top"/>
          </w:tcPr>
          <w:p w14:paraId="3F53E17E">
            <w:pPr>
              <w:rPr>
                <w:rFonts w:ascii="Arial"/>
                <w:sz w:val="21"/>
              </w:rPr>
            </w:pPr>
          </w:p>
        </w:tc>
        <w:tc>
          <w:tcPr>
            <w:tcW w:w="1874" w:type="dxa"/>
            <w:gridSpan w:val="4"/>
            <w:vMerge w:val="continue"/>
            <w:tcBorders>
              <w:top w:val="nil"/>
            </w:tcBorders>
            <w:vAlign w:val="top"/>
          </w:tcPr>
          <w:p w14:paraId="77F12A03">
            <w:pPr>
              <w:rPr>
                <w:rFonts w:ascii="Arial"/>
                <w:sz w:val="21"/>
              </w:rPr>
            </w:pPr>
          </w:p>
        </w:tc>
        <w:tc>
          <w:tcPr>
            <w:tcW w:w="830" w:type="dxa"/>
            <w:gridSpan w:val="2"/>
            <w:vMerge w:val="continue"/>
            <w:tcBorders>
              <w:top w:val="nil"/>
            </w:tcBorders>
            <w:vAlign w:val="top"/>
          </w:tcPr>
          <w:p w14:paraId="3300130F">
            <w:pPr>
              <w:rPr>
                <w:rFonts w:ascii="Arial"/>
                <w:sz w:val="21"/>
              </w:rPr>
            </w:pPr>
          </w:p>
        </w:tc>
        <w:tc>
          <w:tcPr>
            <w:tcW w:w="117" w:type="dxa"/>
            <w:tcBorders>
              <w:top w:val="nil"/>
              <w:bottom w:val="nil"/>
              <w:right w:val="single" w:color="000000" w:sz="6" w:space="0"/>
            </w:tcBorders>
            <w:vAlign w:val="top"/>
          </w:tcPr>
          <w:p w14:paraId="69EEC37C">
            <w:pPr>
              <w:rPr>
                <w:rFonts w:ascii="Arial"/>
                <w:sz w:val="21"/>
              </w:rPr>
            </w:pPr>
          </w:p>
        </w:tc>
      </w:tr>
      <w:tr w14:paraId="5315A8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3" w:hRule="atLeast"/>
        </w:trPr>
        <w:tc>
          <w:tcPr>
            <w:tcW w:w="599" w:type="dxa"/>
            <w:vMerge w:val="continue"/>
            <w:tcBorders>
              <w:top w:val="nil"/>
              <w:left w:val="single" w:color="000000" w:sz="6" w:space="0"/>
              <w:bottom w:val="nil"/>
            </w:tcBorders>
            <w:vAlign w:val="top"/>
          </w:tcPr>
          <w:p w14:paraId="4C0C6B72">
            <w:pPr>
              <w:rPr>
                <w:rFonts w:ascii="Arial"/>
                <w:sz w:val="21"/>
              </w:rPr>
            </w:pPr>
          </w:p>
        </w:tc>
        <w:tc>
          <w:tcPr>
            <w:tcW w:w="108" w:type="dxa"/>
            <w:tcBorders>
              <w:top w:val="nil"/>
              <w:bottom w:val="nil"/>
            </w:tcBorders>
            <w:vAlign w:val="top"/>
          </w:tcPr>
          <w:p w14:paraId="2E4528CB">
            <w:pPr>
              <w:rPr>
                <w:rFonts w:ascii="Arial"/>
                <w:sz w:val="21"/>
              </w:rPr>
            </w:pPr>
          </w:p>
        </w:tc>
        <w:tc>
          <w:tcPr>
            <w:tcW w:w="1256" w:type="dxa"/>
            <w:gridSpan w:val="3"/>
            <w:vAlign w:val="top"/>
          </w:tcPr>
          <w:p w14:paraId="0987E637">
            <w:pPr>
              <w:spacing w:line="394" w:lineRule="auto"/>
              <w:rPr>
                <w:rFonts w:ascii="Arial"/>
                <w:sz w:val="21"/>
              </w:rPr>
            </w:pPr>
          </w:p>
          <w:p w14:paraId="33A4B2D2">
            <w:pPr>
              <w:pStyle w:val="9"/>
              <w:spacing w:before="78" w:line="221" w:lineRule="auto"/>
              <w:ind w:left="241"/>
              <w:rPr>
                <w:rFonts w:ascii="Times New Roman" w:hAnsi="Times New Roman" w:eastAsia="Times New Roman" w:cs="Times New Roman"/>
              </w:rPr>
            </w:pPr>
            <w:r>
              <w:rPr>
                <w:spacing w:val="-10"/>
              </w:rPr>
              <w:t>主变</w:t>
            </w:r>
            <w:r>
              <w:rPr>
                <w:spacing w:val="-32"/>
              </w:rPr>
              <w:t xml:space="preserve"> </w:t>
            </w:r>
            <w:r>
              <w:rPr>
                <w:rFonts w:ascii="Times New Roman" w:hAnsi="Times New Roman" w:eastAsia="Times New Roman" w:cs="Times New Roman"/>
                <w:spacing w:val="-10"/>
              </w:rPr>
              <w:t>1#</w:t>
            </w:r>
          </w:p>
        </w:tc>
        <w:tc>
          <w:tcPr>
            <w:tcW w:w="1030" w:type="dxa"/>
            <w:gridSpan w:val="3"/>
            <w:vAlign w:val="top"/>
          </w:tcPr>
          <w:p w14:paraId="5FAAC532">
            <w:pPr>
              <w:spacing w:line="440" w:lineRule="auto"/>
              <w:rPr>
                <w:rFonts w:ascii="Arial"/>
                <w:sz w:val="21"/>
              </w:rPr>
            </w:pPr>
          </w:p>
          <w:p w14:paraId="454331E5">
            <w:pPr>
              <w:spacing w:before="69" w:line="192" w:lineRule="auto"/>
              <w:ind w:left="47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867" w:type="dxa"/>
            <w:vAlign w:val="top"/>
          </w:tcPr>
          <w:p w14:paraId="705003E0">
            <w:pPr>
              <w:spacing w:line="444" w:lineRule="auto"/>
              <w:rPr>
                <w:rFonts w:ascii="Arial"/>
                <w:sz w:val="21"/>
              </w:rPr>
            </w:pPr>
          </w:p>
          <w:p w14:paraId="43D87214">
            <w:pPr>
              <w:spacing w:before="69" w:line="188" w:lineRule="auto"/>
              <w:ind w:left="15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93.14</w:t>
            </w:r>
          </w:p>
        </w:tc>
        <w:tc>
          <w:tcPr>
            <w:tcW w:w="901" w:type="dxa"/>
            <w:gridSpan w:val="2"/>
            <w:vAlign w:val="top"/>
          </w:tcPr>
          <w:p w14:paraId="38DF69FC">
            <w:pPr>
              <w:spacing w:line="444" w:lineRule="auto"/>
              <w:rPr>
                <w:rFonts w:ascii="Arial"/>
                <w:sz w:val="21"/>
              </w:rPr>
            </w:pPr>
          </w:p>
          <w:p w14:paraId="5277C465">
            <w:pPr>
              <w:spacing w:before="69" w:line="188" w:lineRule="auto"/>
              <w:ind w:left="166"/>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61.25</w:t>
            </w:r>
          </w:p>
        </w:tc>
        <w:tc>
          <w:tcPr>
            <w:tcW w:w="835" w:type="dxa"/>
            <w:gridSpan w:val="2"/>
            <w:vAlign w:val="top"/>
          </w:tcPr>
          <w:p w14:paraId="253EB7A9">
            <w:pPr>
              <w:spacing w:line="444" w:lineRule="auto"/>
              <w:rPr>
                <w:rFonts w:ascii="Arial"/>
                <w:sz w:val="21"/>
              </w:rPr>
            </w:pPr>
          </w:p>
          <w:p w14:paraId="0458127E">
            <w:pPr>
              <w:spacing w:before="69" w:line="188" w:lineRule="auto"/>
              <w:ind w:left="345"/>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172" w:type="dxa"/>
            <w:gridSpan w:val="3"/>
            <w:vAlign w:val="top"/>
          </w:tcPr>
          <w:p w14:paraId="1A4D2B03">
            <w:pPr>
              <w:spacing w:line="444" w:lineRule="auto"/>
              <w:rPr>
                <w:rFonts w:ascii="Arial"/>
                <w:sz w:val="21"/>
              </w:rPr>
            </w:pPr>
          </w:p>
          <w:p w14:paraId="63F7C385">
            <w:pPr>
              <w:spacing w:before="69" w:line="188" w:lineRule="auto"/>
              <w:ind w:left="369"/>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91.2</w:t>
            </w:r>
          </w:p>
        </w:tc>
        <w:tc>
          <w:tcPr>
            <w:tcW w:w="1874" w:type="dxa"/>
            <w:gridSpan w:val="4"/>
            <w:vAlign w:val="top"/>
          </w:tcPr>
          <w:p w14:paraId="2E037D4B">
            <w:pPr>
              <w:pStyle w:val="9"/>
              <w:spacing w:before="165" w:line="219" w:lineRule="auto"/>
              <w:ind w:left="101"/>
            </w:pPr>
            <w:r>
              <w:rPr>
                <w:spacing w:val="-5"/>
              </w:rPr>
              <w:t>基础降噪、选用</w:t>
            </w:r>
          </w:p>
          <w:p w14:paraId="0C00E2B5">
            <w:pPr>
              <w:pStyle w:val="9"/>
              <w:spacing w:before="24" w:line="220" w:lineRule="auto"/>
              <w:ind w:left="208"/>
            </w:pPr>
            <w:r>
              <w:rPr>
                <w:spacing w:val="-2"/>
              </w:rPr>
              <w:t>低噪声设备加</w:t>
            </w:r>
          </w:p>
          <w:p w14:paraId="298358DC">
            <w:pPr>
              <w:pStyle w:val="9"/>
              <w:spacing w:before="26" w:line="220" w:lineRule="auto"/>
              <w:ind w:left="335"/>
            </w:pPr>
            <w:r>
              <w:rPr>
                <w:spacing w:val="-4"/>
              </w:rPr>
              <w:t>强设备维护</w:t>
            </w:r>
          </w:p>
        </w:tc>
        <w:tc>
          <w:tcPr>
            <w:tcW w:w="830" w:type="dxa"/>
            <w:gridSpan w:val="2"/>
            <w:vAlign w:val="top"/>
          </w:tcPr>
          <w:p w14:paraId="0EA7FA1A">
            <w:pPr>
              <w:spacing w:line="394" w:lineRule="auto"/>
              <w:rPr>
                <w:rFonts w:ascii="Arial"/>
                <w:sz w:val="21"/>
              </w:rPr>
            </w:pPr>
          </w:p>
          <w:p w14:paraId="66FC10A6">
            <w:pPr>
              <w:pStyle w:val="9"/>
              <w:spacing w:before="78" w:line="219" w:lineRule="auto"/>
              <w:ind w:left="178"/>
            </w:pPr>
            <w:r>
              <w:rPr>
                <w:spacing w:val="-5"/>
              </w:rPr>
              <w:t>昼夜</w:t>
            </w:r>
          </w:p>
        </w:tc>
        <w:tc>
          <w:tcPr>
            <w:tcW w:w="117" w:type="dxa"/>
            <w:tcBorders>
              <w:top w:val="nil"/>
              <w:bottom w:val="nil"/>
              <w:right w:val="single" w:color="000000" w:sz="6" w:space="0"/>
            </w:tcBorders>
            <w:vAlign w:val="top"/>
          </w:tcPr>
          <w:p w14:paraId="7B5407C3">
            <w:pPr>
              <w:rPr>
                <w:rFonts w:ascii="Arial"/>
                <w:sz w:val="21"/>
              </w:rPr>
            </w:pPr>
          </w:p>
        </w:tc>
      </w:tr>
      <w:tr w14:paraId="53665C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9" w:hRule="atLeast"/>
        </w:trPr>
        <w:tc>
          <w:tcPr>
            <w:tcW w:w="599" w:type="dxa"/>
            <w:vMerge w:val="continue"/>
            <w:tcBorders>
              <w:top w:val="nil"/>
              <w:left w:val="single" w:color="000000" w:sz="6" w:space="0"/>
              <w:bottom w:val="nil"/>
            </w:tcBorders>
            <w:vAlign w:val="top"/>
          </w:tcPr>
          <w:p w14:paraId="37D3AE54">
            <w:pPr>
              <w:rPr>
                <w:rFonts w:ascii="Arial"/>
                <w:sz w:val="21"/>
              </w:rPr>
            </w:pPr>
          </w:p>
        </w:tc>
        <w:tc>
          <w:tcPr>
            <w:tcW w:w="108" w:type="dxa"/>
            <w:tcBorders>
              <w:top w:val="nil"/>
              <w:bottom w:val="nil"/>
            </w:tcBorders>
            <w:vAlign w:val="top"/>
          </w:tcPr>
          <w:p w14:paraId="225633E2">
            <w:pPr>
              <w:rPr>
                <w:rFonts w:ascii="Arial"/>
                <w:sz w:val="21"/>
              </w:rPr>
            </w:pPr>
          </w:p>
        </w:tc>
        <w:tc>
          <w:tcPr>
            <w:tcW w:w="1256" w:type="dxa"/>
            <w:gridSpan w:val="3"/>
            <w:vAlign w:val="top"/>
          </w:tcPr>
          <w:p w14:paraId="01DB923D">
            <w:pPr>
              <w:spacing w:line="470" w:lineRule="auto"/>
              <w:rPr>
                <w:rFonts w:ascii="Arial"/>
                <w:sz w:val="21"/>
              </w:rPr>
            </w:pPr>
          </w:p>
          <w:p w14:paraId="4685C55A">
            <w:pPr>
              <w:pStyle w:val="9"/>
              <w:spacing w:before="78" w:line="221" w:lineRule="auto"/>
              <w:ind w:left="241"/>
              <w:rPr>
                <w:rFonts w:ascii="Times New Roman" w:hAnsi="Times New Roman" w:eastAsia="Times New Roman" w:cs="Times New Roman"/>
              </w:rPr>
            </w:pPr>
            <w:r>
              <w:rPr>
                <w:spacing w:val="-5"/>
              </w:rPr>
              <w:t>主变</w:t>
            </w:r>
            <w:r>
              <w:rPr>
                <w:spacing w:val="-53"/>
              </w:rPr>
              <w:t xml:space="preserve"> </w:t>
            </w:r>
            <w:r>
              <w:rPr>
                <w:rFonts w:ascii="Times New Roman" w:hAnsi="Times New Roman" w:eastAsia="Times New Roman" w:cs="Times New Roman"/>
                <w:spacing w:val="-5"/>
              </w:rPr>
              <w:t>2#</w:t>
            </w:r>
          </w:p>
        </w:tc>
        <w:tc>
          <w:tcPr>
            <w:tcW w:w="1030" w:type="dxa"/>
            <w:gridSpan w:val="3"/>
            <w:vAlign w:val="top"/>
          </w:tcPr>
          <w:p w14:paraId="0DD8917E">
            <w:pPr>
              <w:spacing w:line="258" w:lineRule="auto"/>
              <w:rPr>
                <w:rFonts w:ascii="Arial"/>
                <w:sz w:val="21"/>
              </w:rPr>
            </w:pPr>
          </w:p>
          <w:p w14:paraId="3D88F2D2">
            <w:pPr>
              <w:spacing w:line="258" w:lineRule="auto"/>
              <w:rPr>
                <w:rFonts w:ascii="Arial"/>
                <w:sz w:val="21"/>
              </w:rPr>
            </w:pPr>
          </w:p>
          <w:p w14:paraId="079AB3C6">
            <w:pPr>
              <w:spacing w:before="69" w:line="192" w:lineRule="auto"/>
              <w:ind w:left="47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867" w:type="dxa"/>
            <w:vAlign w:val="top"/>
          </w:tcPr>
          <w:p w14:paraId="59BEED9E">
            <w:pPr>
              <w:spacing w:line="382" w:lineRule="auto"/>
              <w:rPr>
                <w:rFonts w:ascii="Arial"/>
                <w:sz w:val="21"/>
              </w:rPr>
            </w:pPr>
          </w:p>
          <w:p w14:paraId="59AB14C6">
            <w:pPr>
              <w:spacing w:before="69" w:line="188" w:lineRule="auto"/>
              <w:ind w:left="175"/>
              <w:rPr>
                <w:rFonts w:ascii="Times New Roman" w:hAnsi="Times New Roman" w:eastAsia="Times New Roman" w:cs="Times New Roman"/>
                <w:sz w:val="24"/>
                <w:szCs w:val="24"/>
              </w:rPr>
            </w:pPr>
            <w:r>
              <w:rPr>
                <w:rFonts w:ascii="Times New Roman" w:hAnsi="Times New Roman" w:eastAsia="Times New Roman" w:cs="Times New Roman"/>
                <w:spacing w:val="-6"/>
                <w:sz w:val="24"/>
                <w:szCs w:val="24"/>
              </w:rPr>
              <w:t>134.4</w:t>
            </w:r>
          </w:p>
          <w:p w14:paraId="7DA58DFA">
            <w:pPr>
              <w:spacing w:before="59" w:line="188" w:lineRule="auto"/>
              <w:ind w:left="386"/>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901" w:type="dxa"/>
            <w:gridSpan w:val="2"/>
            <w:vAlign w:val="top"/>
          </w:tcPr>
          <w:p w14:paraId="0599FC7E">
            <w:pPr>
              <w:spacing w:line="260" w:lineRule="auto"/>
              <w:rPr>
                <w:rFonts w:ascii="Arial"/>
                <w:sz w:val="21"/>
              </w:rPr>
            </w:pPr>
          </w:p>
          <w:p w14:paraId="5B22C54D">
            <w:pPr>
              <w:spacing w:line="261" w:lineRule="auto"/>
              <w:rPr>
                <w:rFonts w:ascii="Arial"/>
                <w:sz w:val="21"/>
              </w:rPr>
            </w:pPr>
          </w:p>
          <w:p w14:paraId="2766B6E9">
            <w:pPr>
              <w:spacing w:before="69" w:line="188" w:lineRule="auto"/>
              <w:ind w:left="166"/>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60.95</w:t>
            </w:r>
          </w:p>
        </w:tc>
        <w:tc>
          <w:tcPr>
            <w:tcW w:w="835" w:type="dxa"/>
            <w:gridSpan w:val="2"/>
            <w:vAlign w:val="top"/>
          </w:tcPr>
          <w:p w14:paraId="5A44AB36">
            <w:pPr>
              <w:spacing w:line="260" w:lineRule="auto"/>
              <w:rPr>
                <w:rFonts w:ascii="Arial"/>
                <w:sz w:val="21"/>
              </w:rPr>
            </w:pPr>
          </w:p>
          <w:p w14:paraId="7F634F18">
            <w:pPr>
              <w:spacing w:line="261" w:lineRule="auto"/>
              <w:rPr>
                <w:rFonts w:ascii="Arial"/>
                <w:sz w:val="21"/>
              </w:rPr>
            </w:pPr>
          </w:p>
          <w:p w14:paraId="3A8D41BC">
            <w:pPr>
              <w:spacing w:before="69" w:line="188" w:lineRule="auto"/>
              <w:ind w:left="345"/>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172" w:type="dxa"/>
            <w:gridSpan w:val="3"/>
            <w:vAlign w:val="top"/>
          </w:tcPr>
          <w:p w14:paraId="02CDEDAB">
            <w:pPr>
              <w:spacing w:line="260" w:lineRule="auto"/>
              <w:rPr>
                <w:rFonts w:ascii="Arial"/>
                <w:sz w:val="21"/>
              </w:rPr>
            </w:pPr>
          </w:p>
          <w:p w14:paraId="2D80AE48">
            <w:pPr>
              <w:spacing w:line="261" w:lineRule="auto"/>
              <w:rPr>
                <w:rFonts w:ascii="Arial"/>
                <w:sz w:val="21"/>
              </w:rPr>
            </w:pPr>
          </w:p>
          <w:p w14:paraId="5BC1CBA8">
            <w:pPr>
              <w:spacing w:before="69" w:line="188" w:lineRule="auto"/>
              <w:ind w:left="369"/>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91.2</w:t>
            </w:r>
          </w:p>
        </w:tc>
        <w:tc>
          <w:tcPr>
            <w:tcW w:w="1874" w:type="dxa"/>
            <w:gridSpan w:val="4"/>
            <w:vAlign w:val="top"/>
          </w:tcPr>
          <w:p w14:paraId="66E46589">
            <w:pPr>
              <w:pStyle w:val="9"/>
              <w:spacing w:before="240" w:line="219" w:lineRule="auto"/>
              <w:ind w:left="101"/>
            </w:pPr>
            <w:r>
              <w:rPr>
                <w:spacing w:val="-5"/>
              </w:rPr>
              <w:t>基础降噪、选用</w:t>
            </w:r>
          </w:p>
          <w:p w14:paraId="6A603DBD">
            <w:pPr>
              <w:pStyle w:val="9"/>
              <w:spacing w:before="26" w:line="220" w:lineRule="auto"/>
              <w:ind w:left="208"/>
            </w:pPr>
            <w:r>
              <w:rPr>
                <w:spacing w:val="-2"/>
              </w:rPr>
              <w:t>低噪声设备加</w:t>
            </w:r>
          </w:p>
          <w:p w14:paraId="3928BABE">
            <w:pPr>
              <w:pStyle w:val="9"/>
              <w:spacing w:before="23" w:line="220" w:lineRule="auto"/>
              <w:ind w:left="335"/>
            </w:pPr>
            <w:r>
              <w:rPr>
                <w:spacing w:val="-4"/>
              </w:rPr>
              <w:t>强设备维护</w:t>
            </w:r>
          </w:p>
        </w:tc>
        <w:tc>
          <w:tcPr>
            <w:tcW w:w="830" w:type="dxa"/>
            <w:gridSpan w:val="2"/>
            <w:vAlign w:val="top"/>
          </w:tcPr>
          <w:p w14:paraId="0DC8D84D">
            <w:pPr>
              <w:spacing w:line="471" w:lineRule="auto"/>
              <w:rPr>
                <w:rFonts w:ascii="Arial"/>
                <w:sz w:val="21"/>
              </w:rPr>
            </w:pPr>
          </w:p>
          <w:p w14:paraId="0580024A">
            <w:pPr>
              <w:pStyle w:val="9"/>
              <w:spacing w:before="78" w:line="219" w:lineRule="auto"/>
              <w:ind w:left="178"/>
            </w:pPr>
            <w:r>
              <w:rPr>
                <w:spacing w:val="-5"/>
              </w:rPr>
              <w:t>昼夜</w:t>
            </w:r>
          </w:p>
        </w:tc>
        <w:tc>
          <w:tcPr>
            <w:tcW w:w="117" w:type="dxa"/>
            <w:tcBorders>
              <w:top w:val="nil"/>
              <w:bottom w:val="nil"/>
              <w:right w:val="single" w:color="000000" w:sz="6" w:space="0"/>
            </w:tcBorders>
            <w:vAlign w:val="top"/>
          </w:tcPr>
          <w:p w14:paraId="098091F7">
            <w:pPr>
              <w:rPr>
                <w:rFonts w:ascii="Arial"/>
                <w:sz w:val="21"/>
              </w:rPr>
            </w:pPr>
          </w:p>
        </w:tc>
      </w:tr>
      <w:tr w14:paraId="3AB32D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6" w:hRule="atLeast"/>
        </w:trPr>
        <w:tc>
          <w:tcPr>
            <w:tcW w:w="599" w:type="dxa"/>
            <w:vMerge w:val="continue"/>
            <w:tcBorders>
              <w:top w:val="nil"/>
              <w:left w:val="single" w:color="000000" w:sz="6" w:space="0"/>
              <w:bottom w:val="nil"/>
            </w:tcBorders>
            <w:vAlign w:val="top"/>
          </w:tcPr>
          <w:p w14:paraId="763850BA">
            <w:pPr>
              <w:rPr>
                <w:rFonts w:ascii="Arial"/>
                <w:sz w:val="21"/>
              </w:rPr>
            </w:pPr>
          </w:p>
        </w:tc>
        <w:tc>
          <w:tcPr>
            <w:tcW w:w="108" w:type="dxa"/>
            <w:tcBorders>
              <w:top w:val="nil"/>
              <w:bottom w:val="nil"/>
            </w:tcBorders>
            <w:vAlign w:val="top"/>
          </w:tcPr>
          <w:p w14:paraId="3C6E379E">
            <w:pPr>
              <w:rPr>
                <w:rFonts w:ascii="Arial"/>
                <w:sz w:val="21"/>
              </w:rPr>
            </w:pPr>
          </w:p>
        </w:tc>
        <w:tc>
          <w:tcPr>
            <w:tcW w:w="1256" w:type="dxa"/>
            <w:gridSpan w:val="3"/>
            <w:vAlign w:val="top"/>
          </w:tcPr>
          <w:p w14:paraId="1291EEF6">
            <w:pPr>
              <w:spacing w:line="311" w:lineRule="auto"/>
              <w:rPr>
                <w:rFonts w:ascii="Arial"/>
                <w:sz w:val="21"/>
              </w:rPr>
            </w:pPr>
          </w:p>
          <w:p w14:paraId="5ACADE27">
            <w:pPr>
              <w:pStyle w:val="9"/>
              <w:spacing w:before="78" w:line="221" w:lineRule="auto"/>
              <w:ind w:left="241"/>
              <w:rPr>
                <w:rFonts w:ascii="Times New Roman" w:hAnsi="Times New Roman" w:eastAsia="Times New Roman" w:cs="Times New Roman"/>
              </w:rPr>
            </w:pPr>
            <w:r>
              <w:rPr>
                <w:spacing w:val="-6"/>
              </w:rPr>
              <w:t>主变</w:t>
            </w:r>
            <w:r>
              <w:rPr>
                <w:spacing w:val="-49"/>
              </w:rPr>
              <w:t xml:space="preserve"> </w:t>
            </w:r>
            <w:r>
              <w:rPr>
                <w:rFonts w:ascii="Times New Roman" w:hAnsi="Times New Roman" w:eastAsia="Times New Roman" w:cs="Times New Roman"/>
                <w:spacing w:val="-6"/>
              </w:rPr>
              <w:t>3#</w:t>
            </w:r>
          </w:p>
        </w:tc>
        <w:tc>
          <w:tcPr>
            <w:tcW w:w="1030" w:type="dxa"/>
            <w:gridSpan w:val="3"/>
            <w:vAlign w:val="top"/>
          </w:tcPr>
          <w:p w14:paraId="681902AC">
            <w:pPr>
              <w:spacing w:line="357" w:lineRule="auto"/>
              <w:rPr>
                <w:rFonts w:ascii="Arial"/>
                <w:sz w:val="21"/>
              </w:rPr>
            </w:pPr>
          </w:p>
          <w:p w14:paraId="05E4BC4B">
            <w:pPr>
              <w:spacing w:before="69" w:line="192" w:lineRule="auto"/>
              <w:ind w:left="47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867" w:type="dxa"/>
            <w:vAlign w:val="top"/>
          </w:tcPr>
          <w:p w14:paraId="20894E3A">
            <w:pPr>
              <w:spacing w:before="293" w:line="188" w:lineRule="auto"/>
              <w:ind w:left="175"/>
              <w:rPr>
                <w:rFonts w:ascii="Times New Roman" w:hAnsi="Times New Roman" w:eastAsia="Times New Roman" w:cs="Times New Roman"/>
                <w:sz w:val="24"/>
                <w:szCs w:val="24"/>
              </w:rPr>
            </w:pPr>
            <w:r>
              <w:rPr>
                <w:rFonts w:ascii="Times New Roman" w:hAnsi="Times New Roman" w:eastAsia="Times New Roman" w:cs="Times New Roman"/>
                <w:spacing w:val="-6"/>
                <w:sz w:val="24"/>
                <w:szCs w:val="24"/>
              </w:rPr>
              <w:t>189.3</w:t>
            </w:r>
          </w:p>
          <w:p w14:paraId="5C6B3AB4">
            <w:pPr>
              <w:spacing w:before="59" w:line="188" w:lineRule="auto"/>
              <w:ind w:left="362"/>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901" w:type="dxa"/>
            <w:gridSpan w:val="2"/>
            <w:vAlign w:val="top"/>
          </w:tcPr>
          <w:p w14:paraId="2C21D26B">
            <w:pPr>
              <w:spacing w:line="361" w:lineRule="auto"/>
              <w:rPr>
                <w:rFonts w:ascii="Arial"/>
                <w:sz w:val="21"/>
              </w:rPr>
            </w:pPr>
          </w:p>
          <w:p w14:paraId="550FEE71">
            <w:pPr>
              <w:spacing w:before="69" w:line="188" w:lineRule="auto"/>
              <w:ind w:left="166"/>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61.56</w:t>
            </w:r>
          </w:p>
        </w:tc>
        <w:tc>
          <w:tcPr>
            <w:tcW w:w="835" w:type="dxa"/>
            <w:gridSpan w:val="2"/>
            <w:vAlign w:val="top"/>
          </w:tcPr>
          <w:p w14:paraId="21E4ED9F">
            <w:pPr>
              <w:spacing w:line="361" w:lineRule="auto"/>
              <w:rPr>
                <w:rFonts w:ascii="Arial"/>
                <w:sz w:val="21"/>
              </w:rPr>
            </w:pPr>
          </w:p>
          <w:p w14:paraId="4EF8486C">
            <w:pPr>
              <w:spacing w:before="69" w:line="188" w:lineRule="auto"/>
              <w:ind w:left="345"/>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172" w:type="dxa"/>
            <w:gridSpan w:val="3"/>
            <w:vAlign w:val="top"/>
          </w:tcPr>
          <w:p w14:paraId="45B03051">
            <w:pPr>
              <w:spacing w:line="361" w:lineRule="auto"/>
              <w:rPr>
                <w:rFonts w:ascii="Arial"/>
                <w:sz w:val="21"/>
              </w:rPr>
            </w:pPr>
          </w:p>
          <w:p w14:paraId="356341C2">
            <w:pPr>
              <w:spacing w:before="69" w:line="188" w:lineRule="auto"/>
              <w:ind w:left="369"/>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91.2</w:t>
            </w:r>
          </w:p>
        </w:tc>
        <w:tc>
          <w:tcPr>
            <w:tcW w:w="1874" w:type="dxa"/>
            <w:gridSpan w:val="4"/>
            <w:vAlign w:val="top"/>
          </w:tcPr>
          <w:p w14:paraId="1813C978">
            <w:pPr>
              <w:pStyle w:val="9"/>
              <w:spacing w:before="79" w:line="219" w:lineRule="auto"/>
              <w:ind w:left="101"/>
            </w:pPr>
            <w:r>
              <w:rPr>
                <w:spacing w:val="-5"/>
              </w:rPr>
              <w:t>基础降噪、选用</w:t>
            </w:r>
          </w:p>
          <w:p w14:paraId="73D17878">
            <w:pPr>
              <w:pStyle w:val="9"/>
              <w:spacing w:before="26" w:line="220" w:lineRule="auto"/>
              <w:ind w:left="208"/>
            </w:pPr>
            <w:r>
              <w:rPr>
                <w:spacing w:val="-2"/>
              </w:rPr>
              <w:t>低噪声设备加</w:t>
            </w:r>
          </w:p>
          <w:p w14:paraId="54E3AC04">
            <w:pPr>
              <w:pStyle w:val="9"/>
              <w:spacing w:before="23" w:line="220" w:lineRule="auto"/>
              <w:ind w:left="335"/>
            </w:pPr>
            <w:r>
              <w:rPr>
                <w:spacing w:val="-4"/>
              </w:rPr>
              <w:t>强设备维护</w:t>
            </w:r>
          </w:p>
        </w:tc>
        <w:tc>
          <w:tcPr>
            <w:tcW w:w="830" w:type="dxa"/>
            <w:gridSpan w:val="2"/>
            <w:vAlign w:val="top"/>
          </w:tcPr>
          <w:p w14:paraId="12600D85">
            <w:pPr>
              <w:spacing w:line="311" w:lineRule="auto"/>
              <w:rPr>
                <w:rFonts w:ascii="Arial"/>
                <w:sz w:val="21"/>
              </w:rPr>
            </w:pPr>
          </w:p>
          <w:p w14:paraId="3214E212">
            <w:pPr>
              <w:pStyle w:val="9"/>
              <w:spacing w:before="78" w:line="219" w:lineRule="auto"/>
              <w:ind w:left="178"/>
            </w:pPr>
            <w:r>
              <w:rPr>
                <w:spacing w:val="-5"/>
              </w:rPr>
              <w:t>昼夜</w:t>
            </w:r>
          </w:p>
        </w:tc>
        <w:tc>
          <w:tcPr>
            <w:tcW w:w="117" w:type="dxa"/>
            <w:tcBorders>
              <w:top w:val="nil"/>
              <w:bottom w:val="nil"/>
              <w:right w:val="single" w:color="000000" w:sz="6" w:space="0"/>
            </w:tcBorders>
            <w:vAlign w:val="top"/>
          </w:tcPr>
          <w:p w14:paraId="03C87800">
            <w:pPr>
              <w:rPr>
                <w:rFonts w:ascii="Arial"/>
                <w:sz w:val="21"/>
              </w:rPr>
            </w:pPr>
          </w:p>
        </w:tc>
      </w:tr>
      <w:tr w14:paraId="4AB217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4" w:hRule="atLeast"/>
        </w:trPr>
        <w:tc>
          <w:tcPr>
            <w:tcW w:w="599" w:type="dxa"/>
            <w:vMerge w:val="continue"/>
            <w:tcBorders>
              <w:top w:val="nil"/>
              <w:left w:val="single" w:color="000000" w:sz="6" w:space="0"/>
              <w:bottom w:val="nil"/>
            </w:tcBorders>
            <w:vAlign w:val="top"/>
          </w:tcPr>
          <w:p w14:paraId="071C3618">
            <w:pPr>
              <w:rPr>
                <w:rFonts w:ascii="Arial"/>
                <w:sz w:val="21"/>
              </w:rPr>
            </w:pPr>
          </w:p>
        </w:tc>
        <w:tc>
          <w:tcPr>
            <w:tcW w:w="108" w:type="dxa"/>
            <w:tcBorders>
              <w:top w:val="nil"/>
              <w:bottom w:val="nil"/>
            </w:tcBorders>
            <w:vAlign w:val="top"/>
          </w:tcPr>
          <w:p w14:paraId="074A96FC">
            <w:pPr>
              <w:rPr>
                <w:rFonts w:ascii="Arial"/>
                <w:sz w:val="21"/>
              </w:rPr>
            </w:pPr>
          </w:p>
        </w:tc>
        <w:tc>
          <w:tcPr>
            <w:tcW w:w="1256" w:type="dxa"/>
            <w:gridSpan w:val="3"/>
            <w:vAlign w:val="top"/>
          </w:tcPr>
          <w:p w14:paraId="08EE257B">
            <w:pPr>
              <w:spacing w:line="341" w:lineRule="auto"/>
              <w:rPr>
                <w:rFonts w:ascii="Arial"/>
                <w:sz w:val="21"/>
              </w:rPr>
            </w:pPr>
          </w:p>
          <w:p w14:paraId="68D226AD">
            <w:pPr>
              <w:pStyle w:val="9"/>
              <w:spacing w:before="78" w:line="221" w:lineRule="auto"/>
              <w:ind w:left="241"/>
              <w:rPr>
                <w:rFonts w:ascii="Times New Roman" w:hAnsi="Times New Roman" w:eastAsia="Times New Roman" w:cs="Times New Roman"/>
              </w:rPr>
            </w:pPr>
            <w:r>
              <w:rPr>
                <w:spacing w:val="-6"/>
              </w:rPr>
              <w:t>主变</w:t>
            </w:r>
            <w:r>
              <w:rPr>
                <w:spacing w:val="-49"/>
              </w:rPr>
              <w:t xml:space="preserve"> </w:t>
            </w:r>
            <w:r>
              <w:rPr>
                <w:rFonts w:ascii="Times New Roman" w:hAnsi="Times New Roman" w:eastAsia="Times New Roman" w:cs="Times New Roman"/>
                <w:spacing w:val="-6"/>
              </w:rPr>
              <w:t>5#</w:t>
            </w:r>
          </w:p>
        </w:tc>
        <w:tc>
          <w:tcPr>
            <w:tcW w:w="1030" w:type="dxa"/>
            <w:gridSpan w:val="3"/>
            <w:vAlign w:val="top"/>
          </w:tcPr>
          <w:p w14:paraId="10C31C50">
            <w:pPr>
              <w:spacing w:line="387" w:lineRule="auto"/>
              <w:rPr>
                <w:rFonts w:ascii="Arial"/>
                <w:sz w:val="21"/>
              </w:rPr>
            </w:pPr>
          </w:p>
          <w:p w14:paraId="720BD23C">
            <w:pPr>
              <w:spacing w:before="69" w:line="192" w:lineRule="auto"/>
              <w:ind w:left="47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867" w:type="dxa"/>
            <w:vAlign w:val="top"/>
          </w:tcPr>
          <w:p w14:paraId="24E850FD">
            <w:pPr>
              <w:spacing w:line="253" w:lineRule="auto"/>
              <w:rPr>
                <w:rFonts w:ascii="Arial"/>
                <w:sz w:val="21"/>
              </w:rPr>
            </w:pPr>
          </w:p>
          <w:p w14:paraId="230B3EF6">
            <w:pPr>
              <w:spacing w:before="69" w:line="188" w:lineRule="auto"/>
              <w:ind w:left="152"/>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243.3</w:t>
            </w:r>
          </w:p>
          <w:p w14:paraId="22DAE935">
            <w:pPr>
              <w:spacing w:before="63" w:line="185" w:lineRule="auto"/>
              <w:ind w:left="367"/>
              <w:rPr>
                <w:rFonts w:ascii="Times New Roman" w:hAnsi="Times New Roman" w:eastAsia="Times New Roman" w:cs="Times New Roman"/>
                <w:sz w:val="24"/>
                <w:szCs w:val="24"/>
              </w:rPr>
            </w:pPr>
            <w:r>
              <w:rPr>
                <w:rFonts w:ascii="Times New Roman" w:hAnsi="Times New Roman" w:eastAsia="Times New Roman" w:cs="Times New Roman"/>
                <w:sz w:val="24"/>
                <w:szCs w:val="24"/>
              </w:rPr>
              <w:t>7</w:t>
            </w:r>
          </w:p>
        </w:tc>
        <w:tc>
          <w:tcPr>
            <w:tcW w:w="901" w:type="dxa"/>
            <w:gridSpan w:val="2"/>
            <w:vAlign w:val="top"/>
          </w:tcPr>
          <w:p w14:paraId="1B40E57B">
            <w:pPr>
              <w:spacing w:line="392" w:lineRule="auto"/>
              <w:rPr>
                <w:rFonts w:ascii="Arial"/>
                <w:sz w:val="21"/>
              </w:rPr>
            </w:pPr>
          </w:p>
          <w:p w14:paraId="29232ED1">
            <w:pPr>
              <w:spacing w:before="69" w:line="188" w:lineRule="auto"/>
              <w:ind w:left="166"/>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62.77</w:t>
            </w:r>
          </w:p>
        </w:tc>
        <w:tc>
          <w:tcPr>
            <w:tcW w:w="835" w:type="dxa"/>
            <w:gridSpan w:val="2"/>
            <w:vAlign w:val="top"/>
          </w:tcPr>
          <w:p w14:paraId="655C69FA">
            <w:pPr>
              <w:spacing w:line="392" w:lineRule="auto"/>
              <w:rPr>
                <w:rFonts w:ascii="Arial"/>
                <w:sz w:val="21"/>
              </w:rPr>
            </w:pPr>
          </w:p>
          <w:p w14:paraId="62F43CB0">
            <w:pPr>
              <w:spacing w:before="69" w:line="188" w:lineRule="auto"/>
              <w:ind w:left="345"/>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172" w:type="dxa"/>
            <w:gridSpan w:val="3"/>
            <w:vAlign w:val="top"/>
          </w:tcPr>
          <w:p w14:paraId="34ACB0FC">
            <w:pPr>
              <w:spacing w:line="392" w:lineRule="auto"/>
              <w:rPr>
                <w:rFonts w:ascii="Arial"/>
                <w:sz w:val="21"/>
              </w:rPr>
            </w:pPr>
          </w:p>
          <w:p w14:paraId="6028CCCD">
            <w:pPr>
              <w:spacing w:before="69" w:line="188" w:lineRule="auto"/>
              <w:ind w:left="369"/>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91.2</w:t>
            </w:r>
          </w:p>
        </w:tc>
        <w:tc>
          <w:tcPr>
            <w:tcW w:w="1874" w:type="dxa"/>
            <w:gridSpan w:val="4"/>
            <w:vAlign w:val="top"/>
          </w:tcPr>
          <w:p w14:paraId="626B6862">
            <w:pPr>
              <w:pStyle w:val="9"/>
              <w:spacing w:before="110" w:line="219" w:lineRule="auto"/>
              <w:ind w:left="101"/>
            </w:pPr>
            <w:r>
              <w:rPr>
                <w:spacing w:val="-5"/>
              </w:rPr>
              <w:t>基础降噪、选用</w:t>
            </w:r>
          </w:p>
          <w:p w14:paraId="0B3741AA">
            <w:pPr>
              <w:pStyle w:val="9"/>
              <w:spacing w:before="26" w:line="220" w:lineRule="auto"/>
              <w:ind w:left="208"/>
            </w:pPr>
            <w:r>
              <w:rPr>
                <w:spacing w:val="-2"/>
              </w:rPr>
              <w:t>低噪声设备加</w:t>
            </w:r>
          </w:p>
          <w:p w14:paraId="1FC7F37A">
            <w:pPr>
              <w:pStyle w:val="9"/>
              <w:spacing w:before="23" w:line="220" w:lineRule="auto"/>
              <w:ind w:left="335"/>
            </w:pPr>
            <w:r>
              <w:rPr>
                <w:spacing w:val="-4"/>
              </w:rPr>
              <w:t>强设备维护</w:t>
            </w:r>
          </w:p>
        </w:tc>
        <w:tc>
          <w:tcPr>
            <w:tcW w:w="830" w:type="dxa"/>
            <w:gridSpan w:val="2"/>
            <w:vAlign w:val="top"/>
          </w:tcPr>
          <w:p w14:paraId="684197A4">
            <w:pPr>
              <w:spacing w:line="342" w:lineRule="auto"/>
              <w:rPr>
                <w:rFonts w:ascii="Arial"/>
                <w:sz w:val="21"/>
              </w:rPr>
            </w:pPr>
          </w:p>
          <w:p w14:paraId="0D6C03CF">
            <w:pPr>
              <w:pStyle w:val="9"/>
              <w:spacing w:before="78" w:line="219" w:lineRule="auto"/>
              <w:ind w:left="178"/>
            </w:pPr>
            <w:r>
              <w:rPr>
                <w:spacing w:val="-5"/>
              </w:rPr>
              <w:t>昼夜</w:t>
            </w:r>
          </w:p>
        </w:tc>
        <w:tc>
          <w:tcPr>
            <w:tcW w:w="117" w:type="dxa"/>
            <w:tcBorders>
              <w:top w:val="nil"/>
              <w:bottom w:val="nil"/>
              <w:right w:val="single" w:color="000000" w:sz="6" w:space="0"/>
            </w:tcBorders>
            <w:vAlign w:val="top"/>
          </w:tcPr>
          <w:p w14:paraId="0926571E">
            <w:pPr>
              <w:rPr>
                <w:rFonts w:ascii="Arial"/>
                <w:sz w:val="21"/>
              </w:rPr>
            </w:pPr>
          </w:p>
        </w:tc>
      </w:tr>
      <w:tr w14:paraId="147F2A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5" w:hRule="atLeast"/>
        </w:trPr>
        <w:tc>
          <w:tcPr>
            <w:tcW w:w="599" w:type="dxa"/>
            <w:vMerge w:val="continue"/>
            <w:tcBorders>
              <w:top w:val="nil"/>
              <w:left w:val="single" w:color="000000" w:sz="6" w:space="0"/>
              <w:bottom w:val="nil"/>
            </w:tcBorders>
            <w:vAlign w:val="top"/>
          </w:tcPr>
          <w:p w14:paraId="672A41F3">
            <w:pPr>
              <w:rPr>
                <w:rFonts w:ascii="Arial"/>
                <w:sz w:val="21"/>
              </w:rPr>
            </w:pPr>
          </w:p>
        </w:tc>
        <w:tc>
          <w:tcPr>
            <w:tcW w:w="108" w:type="dxa"/>
            <w:tcBorders>
              <w:top w:val="nil"/>
              <w:bottom w:val="nil"/>
            </w:tcBorders>
            <w:vAlign w:val="top"/>
          </w:tcPr>
          <w:p w14:paraId="33F376E9">
            <w:pPr>
              <w:rPr>
                <w:rFonts w:ascii="Arial"/>
                <w:sz w:val="21"/>
              </w:rPr>
            </w:pPr>
          </w:p>
        </w:tc>
        <w:tc>
          <w:tcPr>
            <w:tcW w:w="1256" w:type="dxa"/>
            <w:gridSpan w:val="3"/>
            <w:vAlign w:val="top"/>
          </w:tcPr>
          <w:p w14:paraId="20A3F9B0">
            <w:pPr>
              <w:pStyle w:val="9"/>
              <w:spacing w:before="237" w:line="242" w:lineRule="auto"/>
              <w:ind w:left="240" w:right="120" w:hanging="119"/>
              <w:rPr>
                <w:rFonts w:ascii="Times New Roman" w:hAnsi="Times New Roman" w:eastAsia="Times New Roman" w:cs="Times New Roman"/>
              </w:rPr>
            </w:pPr>
            <w:r>
              <w:rPr>
                <w:spacing w:val="-8"/>
              </w:rPr>
              <w:t>主变</w:t>
            </w:r>
            <w:r>
              <w:rPr>
                <w:spacing w:val="-32"/>
              </w:rPr>
              <w:t xml:space="preserve"> </w:t>
            </w:r>
            <w:r>
              <w:rPr>
                <w:rFonts w:ascii="Times New Roman" w:hAnsi="Times New Roman" w:eastAsia="Times New Roman" w:cs="Times New Roman"/>
                <w:spacing w:val="-8"/>
              </w:rPr>
              <w:t>1#</w:t>
            </w:r>
            <w:r>
              <w:rPr>
                <w:spacing w:val="-8"/>
              </w:rPr>
              <w:t>配</w:t>
            </w:r>
            <w:r>
              <w:rPr>
                <w:spacing w:val="-7"/>
              </w:rPr>
              <w:t>套</w:t>
            </w:r>
            <w:r>
              <w:rPr>
                <w:spacing w:val="-43"/>
              </w:rPr>
              <w:t xml:space="preserve"> </w:t>
            </w:r>
            <w:r>
              <w:rPr>
                <w:rFonts w:ascii="Times New Roman" w:hAnsi="Times New Roman" w:eastAsia="Times New Roman" w:cs="Times New Roman"/>
                <w:spacing w:val="-7"/>
              </w:rPr>
              <w:t>SVG</w:t>
            </w:r>
          </w:p>
        </w:tc>
        <w:tc>
          <w:tcPr>
            <w:tcW w:w="1030" w:type="dxa"/>
            <w:gridSpan w:val="3"/>
            <w:vAlign w:val="top"/>
          </w:tcPr>
          <w:p w14:paraId="0EC48DC0">
            <w:pPr>
              <w:spacing w:line="357" w:lineRule="auto"/>
              <w:rPr>
                <w:rFonts w:ascii="Arial"/>
                <w:sz w:val="21"/>
              </w:rPr>
            </w:pPr>
          </w:p>
          <w:p w14:paraId="6BE80894">
            <w:pPr>
              <w:spacing w:before="69" w:line="192" w:lineRule="auto"/>
              <w:ind w:left="47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867" w:type="dxa"/>
            <w:vAlign w:val="top"/>
          </w:tcPr>
          <w:p w14:paraId="60491DAA">
            <w:pPr>
              <w:spacing w:line="362" w:lineRule="auto"/>
              <w:rPr>
                <w:rFonts w:ascii="Arial"/>
                <w:sz w:val="21"/>
              </w:rPr>
            </w:pPr>
          </w:p>
          <w:p w14:paraId="215A45F1">
            <w:pPr>
              <w:spacing w:before="69" w:line="188" w:lineRule="auto"/>
              <w:ind w:left="15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94.66</w:t>
            </w:r>
          </w:p>
        </w:tc>
        <w:tc>
          <w:tcPr>
            <w:tcW w:w="901" w:type="dxa"/>
            <w:gridSpan w:val="2"/>
            <w:vAlign w:val="top"/>
          </w:tcPr>
          <w:p w14:paraId="49898992">
            <w:pPr>
              <w:spacing w:line="362" w:lineRule="auto"/>
              <w:rPr>
                <w:rFonts w:ascii="Arial"/>
                <w:sz w:val="21"/>
              </w:rPr>
            </w:pPr>
          </w:p>
          <w:p w14:paraId="59158403">
            <w:pPr>
              <w:spacing w:before="69" w:line="188" w:lineRule="auto"/>
              <w:ind w:left="161"/>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20.58</w:t>
            </w:r>
          </w:p>
        </w:tc>
        <w:tc>
          <w:tcPr>
            <w:tcW w:w="835" w:type="dxa"/>
            <w:gridSpan w:val="2"/>
            <w:vAlign w:val="top"/>
          </w:tcPr>
          <w:p w14:paraId="4C61DFD5">
            <w:pPr>
              <w:spacing w:line="362" w:lineRule="auto"/>
              <w:rPr>
                <w:rFonts w:ascii="Arial"/>
                <w:sz w:val="21"/>
              </w:rPr>
            </w:pPr>
          </w:p>
          <w:p w14:paraId="098D7A11">
            <w:pPr>
              <w:spacing w:before="69" w:line="188" w:lineRule="auto"/>
              <w:ind w:left="274"/>
              <w:rPr>
                <w:rFonts w:ascii="Times New Roman" w:hAnsi="Times New Roman" w:eastAsia="Times New Roman" w:cs="Times New Roman"/>
                <w:sz w:val="24"/>
                <w:szCs w:val="24"/>
              </w:rPr>
            </w:pPr>
            <w:r>
              <w:rPr>
                <w:rFonts w:ascii="Times New Roman" w:hAnsi="Times New Roman" w:eastAsia="Times New Roman" w:cs="Times New Roman"/>
                <w:spacing w:val="-10"/>
                <w:sz w:val="24"/>
                <w:szCs w:val="24"/>
              </w:rPr>
              <w:t>1.5</w:t>
            </w:r>
          </w:p>
        </w:tc>
        <w:tc>
          <w:tcPr>
            <w:tcW w:w="1172" w:type="dxa"/>
            <w:gridSpan w:val="3"/>
            <w:vAlign w:val="top"/>
          </w:tcPr>
          <w:p w14:paraId="76456881">
            <w:pPr>
              <w:spacing w:line="362" w:lineRule="auto"/>
              <w:rPr>
                <w:rFonts w:ascii="Arial"/>
                <w:sz w:val="21"/>
              </w:rPr>
            </w:pPr>
          </w:p>
          <w:p w14:paraId="7EB92E08">
            <w:pPr>
              <w:spacing w:before="69" w:line="188" w:lineRule="auto"/>
              <w:ind w:left="374"/>
              <w:rPr>
                <w:rFonts w:ascii="Times New Roman" w:hAnsi="Times New Roman" w:eastAsia="Times New Roman" w:cs="Times New Roman"/>
                <w:sz w:val="24"/>
                <w:szCs w:val="24"/>
              </w:rPr>
            </w:pPr>
            <w:r>
              <w:rPr>
                <w:rFonts w:ascii="Times New Roman" w:hAnsi="Times New Roman" w:eastAsia="Times New Roman" w:cs="Times New Roman"/>
                <w:spacing w:val="-4"/>
                <w:sz w:val="24"/>
                <w:szCs w:val="24"/>
              </w:rPr>
              <w:t>88.9</w:t>
            </w:r>
          </w:p>
        </w:tc>
        <w:tc>
          <w:tcPr>
            <w:tcW w:w="1874" w:type="dxa"/>
            <w:gridSpan w:val="4"/>
            <w:vAlign w:val="top"/>
          </w:tcPr>
          <w:p w14:paraId="36E4C01B">
            <w:pPr>
              <w:pStyle w:val="9"/>
              <w:spacing w:before="80" w:line="219" w:lineRule="auto"/>
              <w:ind w:left="101"/>
            </w:pPr>
            <w:r>
              <w:rPr>
                <w:spacing w:val="-5"/>
              </w:rPr>
              <w:t>基础降噪、选用</w:t>
            </w:r>
          </w:p>
          <w:p w14:paraId="3EE43633">
            <w:pPr>
              <w:pStyle w:val="9"/>
              <w:spacing w:before="26" w:line="220" w:lineRule="auto"/>
              <w:ind w:left="208"/>
            </w:pPr>
            <w:r>
              <w:rPr>
                <w:spacing w:val="-2"/>
              </w:rPr>
              <w:t>低噪声设备加</w:t>
            </w:r>
          </w:p>
          <w:p w14:paraId="46F1BFC0">
            <w:pPr>
              <w:pStyle w:val="9"/>
              <w:spacing w:before="23" w:line="220" w:lineRule="auto"/>
              <w:ind w:left="335"/>
            </w:pPr>
            <w:r>
              <w:rPr>
                <w:spacing w:val="-4"/>
              </w:rPr>
              <w:t>强设备维护</w:t>
            </w:r>
          </w:p>
        </w:tc>
        <w:tc>
          <w:tcPr>
            <w:tcW w:w="830" w:type="dxa"/>
            <w:gridSpan w:val="2"/>
            <w:vAlign w:val="top"/>
          </w:tcPr>
          <w:p w14:paraId="145338DC">
            <w:pPr>
              <w:spacing w:line="312" w:lineRule="auto"/>
              <w:rPr>
                <w:rFonts w:ascii="Arial"/>
                <w:sz w:val="21"/>
              </w:rPr>
            </w:pPr>
          </w:p>
          <w:p w14:paraId="57027362">
            <w:pPr>
              <w:pStyle w:val="9"/>
              <w:spacing w:before="78" w:line="219" w:lineRule="auto"/>
              <w:ind w:left="178"/>
            </w:pPr>
            <w:r>
              <w:rPr>
                <w:spacing w:val="-5"/>
              </w:rPr>
              <w:t>昼夜</w:t>
            </w:r>
          </w:p>
        </w:tc>
        <w:tc>
          <w:tcPr>
            <w:tcW w:w="117" w:type="dxa"/>
            <w:tcBorders>
              <w:top w:val="nil"/>
              <w:bottom w:val="nil"/>
              <w:right w:val="single" w:color="000000" w:sz="6" w:space="0"/>
            </w:tcBorders>
            <w:vAlign w:val="top"/>
          </w:tcPr>
          <w:p w14:paraId="5A9642F9">
            <w:pPr>
              <w:rPr>
                <w:rFonts w:ascii="Arial"/>
                <w:sz w:val="21"/>
              </w:rPr>
            </w:pPr>
          </w:p>
        </w:tc>
      </w:tr>
      <w:tr w14:paraId="75D2B8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05" w:hRule="atLeast"/>
        </w:trPr>
        <w:tc>
          <w:tcPr>
            <w:tcW w:w="599" w:type="dxa"/>
            <w:vMerge w:val="continue"/>
            <w:tcBorders>
              <w:top w:val="nil"/>
              <w:left w:val="single" w:color="000000" w:sz="6" w:space="0"/>
              <w:bottom w:val="nil"/>
            </w:tcBorders>
            <w:vAlign w:val="top"/>
          </w:tcPr>
          <w:p w14:paraId="67068D66">
            <w:pPr>
              <w:rPr>
                <w:rFonts w:ascii="Arial"/>
                <w:sz w:val="21"/>
              </w:rPr>
            </w:pPr>
          </w:p>
        </w:tc>
        <w:tc>
          <w:tcPr>
            <w:tcW w:w="108" w:type="dxa"/>
            <w:tcBorders>
              <w:top w:val="nil"/>
              <w:bottom w:val="nil"/>
            </w:tcBorders>
            <w:vAlign w:val="top"/>
          </w:tcPr>
          <w:p w14:paraId="1339038C">
            <w:pPr>
              <w:rPr>
                <w:rFonts w:ascii="Arial"/>
                <w:sz w:val="21"/>
              </w:rPr>
            </w:pPr>
          </w:p>
        </w:tc>
        <w:tc>
          <w:tcPr>
            <w:tcW w:w="1256" w:type="dxa"/>
            <w:gridSpan w:val="3"/>
            <w:vAlign w:val="top"/>
          </w:tcPr>
          <w:p w14:paraId="25A62626">
            <w:pPr>
              <w:pStyle w:val="9"/>
              <w:spacing w:before="237" w:line="241" w:lineRule="auto"/>
              <w:ind w:left="240" w:right="120" w:hanging="119"/>
              <w:rPr>
                <w:rFonts w:ascii="Times New Roman" w:hAnsi="Times New Roman" w:eastAsia="Times New Roman" w:cs="Times New Roman"/>
              </w:rPr>
            </w:pPr>
            <w:r>
              <w:rPr>
                <w:spacing w:val="-4"/>
              </w:rPr>
              <w:t>主变</w:t>
            </w:r>
            <w:r>
              <w:rPr>
                <w:spacing w:val="-53"/>
              </w:rPr>
              <w:t xml:space="preserve"> </w:t>
            </w:r>
            <w:r>
              <w:rPr>
                <w:rFonts w:ascii="Times New Roman" w:hAnsi="Times New Roman" w:eastAsia="Times New Roman" w:cs="Times New Roman"/>
                <w:spacing w:val="-4"/>
              </w:rPr>
              <w:t>2#</w:t>
            </w:r>
            <w:r>
              <w:rPr>
                <w:spacing w:val="-4"/>
              </w:rPr>
              <w:t>配</w:t>
            </w:r>
            <w:r>
              <w:rPr>
                <w:spacing w:val="-7"/>
              </w:rPr>
              <w:t>套</w:t>
            </w:r>
            <w:r>
              <w:rPr>
                <w:spacing w:val="-43"/>
              </w:rPr>
              <w:t xml:space="preserve"> </w:t>
            </w:r>
            <w:r>
              <w:rPr>
                <w:rFonts w:ascii="Times New Roman" w:hAnsi="Times New Roman" w:eastAsia="Times New Roman" w:cs="Times New Roman"/>
                <w:spacing w:val="-7"/>
              </w:rPr>
              <w:t>SVG</w:t>
            </w:r>
          </w:p>
        </w:tc>
        <w:tc>
          <w:tcPr>
            <w:tcW w:w="1030" w:type="dxa"/>
            <w:gridSpan w:val="3"/>
            <w:vAlign w:val="top"/>
          </w:tcPr>
          <w:p w14:paraId="7F48F3A3">
            <w:pPr>
              <w:spacing w:line="358" w:lineRule="auto"/>
              <w:rPr>
                <w:rFonts w:ascii="Arial"/>
                <w:sz w:val="21"/>
              </w:rPr>
            </w:pPr>
          </w:p>
          <w:p w14:paraId="78E20BBA">
            <w:pPr>
              <w:spacing w:before="69" w:line="192" w:lineRule="auto"/>
              <w:ind w:left="47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867" w:type="dxa"/>
            <w:vAlign w:val="top"/>
          </w:tcPr>
          <w:p w14:paraId="30B90989">
            <w:pPr>
              <w:spacing w:before="297" w:line="188" w:lineRule="auto"/>
              <w:ind w:left="175"/>
              <w:rPr>
                <w:rFonts w:ascii="Times New Roman" w:hAnsi="Times New Roman" w:eastAsia="Times New Roman" w:cs="Times New Roman"/>
                <w:sz w:val="24"/>
                <w:szCs w:val="24"/>
              </w:rPr>
            </w:pPr>
            <w:r>
              <w:rPr>
                <w:rFonts w:ascii="Times New Roman" w:hAnsi="Times New Roman" w:eastAsia="Times New Roman" w:cs="Times New Roman"/>
                <w:spacing w:val="-6"/>
                <w:sz w:val="24"/>
                <w:szCs w:val="24"/>
              </w:rPr>
              <w:t>142.6</w:t>
            </w:r>
          </w:p>
          <w:p w14:paraId="5771D789">
            <w:pPr>
              <w:spacing w:before="57" w:line="188" w:lineRule="auto"/>
              <w:ind w:left="386"/>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901" w:type="dxa"/>
            <w:gridSpan w:val="2"/>
            <w:vAlign w:val="top"/>
          </w:tcPr>
          <w:p w14:paraId="1237245C">
            <w:pPr>
              <w:spacing w:line="362" w:lineRule="auto"/>
              <w:rPr>
                <w:rFonts w:ascii="Arial"/>
                <w:sz w:val="21"/>
              </w:rPr>
            </w:pPr>
          </w:p>
          <w:p w14:paraId="736C0694">
            <w:pPr>
              <w:spacing w:before="69" w:line="188" w:lineRule="auto"/>
              <w:ind w:left="161"/>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20.89</w:t>
            </w:r>
          </w:p>
        </w:tc>
        <w:tc>
          <w:tcPr>
            <w:tcW w:w="835" w:type="dxa"/>
            <w:gridSpan w:val="2"/>
            <w:vAlign w:val="top"/>
          </w:tcPr>
          <w:p w14:paraId="31CE0A30">
            <w:pPr>
              <w:spacing w:line="362" w:lineRule="auto"/>
              <w:rPr>
                <w:rFonts w:ascii="Arial"/>
                <w:sz w:val="21"/>
              </w:rPr>
            </w:pPr>
          </w:p>
          <w:p w14:paraId="47870D47">
            <w:pPr>
              <w:spacing w:before="69" w:line="188" w:lineRule="auto"/>
              <w:ind w:left="274"/>
              <w:rPr>
                <w:rFonts w:ascii="Times New Roman" w:hAnsi="Times New Roman" w:eastAsia="Times New Roman" w:cs="Times New Roman"/>
                <w:sz w:val="24"/>
                <w:szCs w:val="24"/>
              </w:rPr>
            </w:pPr>
            <w:r>
              <w:rPr>
                <w:rFonts w:ascii="Times New Roman" w:hAnsi="Times New Roman" w:eastAsia="Times New Roman" w:cs="Times New Roman"/>
                <w:spacing w:val="-10"/>
                <w:sz w:val="24"/>
                <w:szCs w:val="24"/>
              </w:rPr>
              <w:t>1.5</w:t>
            </w:r>
          </w:p>
        </w:tc>
        <w:tc>
          <w:tcPr>
            <w:tcW w:w="1172" w:type="dxa"/>
            <w:gridSpan w:val="3"/>
            <w:vAlign w:val="top"/>
          </w:tcPr>
          <w:p w14:paraId="2F272C0F">
            <w:pPr>
              <w:spacing w:line="362" w:lineRule="auto"/>
              <w:rPr>
                <w:rFonts w:ascii="Arial"/>
                <w:sz w:val="21"/>
              </w:rPr>
            </w:pPr>
          </w:p>
          <w:p w14:paraId="27482E3A">
            <w:pPr>
              <w:spacing w:before="69" w:line="188" w:lineRule="auto"/>
              <w:ind w:left="374"/>
              <w:rPr>
                <w:rFonts w:ascii="Times New Roman" w:hAnsi="Times New Roman" w:eastAsia="Times New Roman" w:cs="Times New Roman"/>
                <w:sz w:val="24"/>
                <w:szCs w:val="24"/>
              </w:rPr>
            </w:pPr>
            <w:r>
              <w:rPr>
                <w:rFonts w:ascii="Times New Roman" w:hAnsi="Times New Roman" w:eastAsia="Times New Roman" w:cs="Times New Roman"/>
                <w:spacing w:val="-4"/>
                <w:sz w:val="24"/>
                <w:szCs w:val="24"/>
              </w:rPr>
              <w:t>88.9</w:t>
            </w:r>
          </w:p>
        </w:tc>
        <w:tc>
          <w:tcPr>
            <w:tcW w:w="1874" w:type="dxa"/>
            <w:gridSpan w:val="4"/>
            <w:vAlign w:val="top"/>
          </w:tcPr>
          <w:p w14:paraId="378EA261">
            <w:pPr>
              <w:pStyle w:val="9"/>
              <w:spacing w:before="83" w:line="219" w:lineRule="auto"/>
              <w:ind w:left="101"/>
            </w:pPr>
            <w:r>
              <w:rPr>
                <w:spacing w:val="-5"/>
              </w:rPr>
              <w:t>基础降噪、选用</w:t>
            </w:r>
          </w:p>
          <w:p w14:paraId="0806FB31">
            <w:pPr>
              <w:pStyle w:val="9"/>
              <w:spacing w:before="24" w:line="220" w:lineRule="auto"/>
              <w:ind w:left="208"/>
            </w:pPr>
            <w:r>
              <w:rPr>
                <w:spacing w:val="-2"/>
              </w:rPr>
              <w:t>低噪声设备加</w:t>
            </w:r>
          </w:p>
          <w:p w14:paraId="1B9E19AB">
            <w:pPr>
              <w:pStyle w:val="9"/>
              <w:spacing w:before="25" w:line="220" w:lineRule="auto"/>
              <w:ind w:left="335"/>
            </w:pPr>
            <w:r>
              <w:rPr>
                <w:spacing w:val="-4"/>
              </w:rPr>
              <w:t>强设备维护</w:t>
            </w:r>
          </w:p>
        </w:tc>
        <w:tc>
          <w:tcPr>
            <w:tcW w:w="830" w:type="dxa"/>
            <w:gridSpan w:val="2"/>
            <w:vAlign w:val="top"/>
          </w:tcPr>
          <w:p w14:paraId="0B59CC6C">
            <w:pPr>
              <w:spacing w:line="312" w:lineRule="auto"/>
              <w:rPr>
                <w:rFonts w:ascii="Arial"/>
                <w:sz w:val="21"/>
              </w:rPr>
            </w:pPr>
          </w:p>
          <w:p w14:paraId="628090AB">
            <w:pPr>
              <w:pStyle w:val="9"/>
              <w:spacing w:before="78" w:line="219" w:lineRule="auto"/>
              <w:ind w:left="178"/>
            </w:pPr>
            <w:r>
              <w:rPr>
                <w:spacing w:val="-5"/>
              </w:rPr>
              <w:t>昼夜</w:t>
            </w:r>
          </w:p>
        </w:tc>
        <w:tc>
          <w:tcPr>
            <w:tcW w:w="117" w:type="dxa"/>
            <w:tcBorders>
              <w:top w:val="nil"/>
              <w:bottom w:val="nil"/>
              <w:right w:val="single" w:color="000000" w:sz="6" w:space="0"/>
            </w:tcBorders>
            <w:vAlign w:val="top"/>
          </w:tcPr>
          <w:p w14:paraId="7A5563BD">
            <w:pPr>
              <w:rPr>
                <w:rFonts w:ascii="Arial"/>
                <w:sz w:val="21"/>
              </w:rPr>
            </w:pPr>
          </w:p>
        </w:tc>
      </w:tr>
      <w:tr w14:paraId="1C4695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7" w:hRule="atLeast"/>
        </w:trPr>
        <w:tc>
          <w:tcPr>
            <w:tcW w:w="599" w:type="dxa"/>
            <w:vMerge w:val="continue"/>
            <w:tcBorders>
              <w:top w:val="nil"/>
              <w:left w:val="single" w:color="000000" w:sz="6" w:space="0"/>
              <w:bottom w:val="single" w:color="000000" w:sz="6" w:space="0"/>
            </w:tcBorders>
            <w:vAlign w:val="top"/>
          </w:tcPr>
          <w:p w14:paraId="599020D8">
            <w:pPr>
              <w:rPr>
                <w:rFonts w:ascii="Arial"/>
                <w:sz w:val="21"/>
              </w:rPr>
            </w:pPr>
          </w:p>
        </w:tc>
        <w:tc>
          <w:tcPr>
            <w:tcW w:w="108" w:type="dxa"/>
            <w:tcBorders>
              <w:top w:val="nil"/>
              <w:bottom w:val="single" w:color="000000" w:sz="6" w:space="0"/>
            </w:tcBorders>
            <w:vAlign w:val="top"/>
          </w:tcPr>
          <w:p w14:paraId="3C37F4B9">
            <w:pPr>
              <w:rPr>
                <w:rFonts w:ascii="Arial"/>
                <w:sz w:val="21"/>
              </w:rPr>
            </w:pPr>
          </w:p>
        </w:tc>
        <w:tc>
          <w:tcPr>
            <w:tcW w:w="1256" w:type="dxa"/>
            <w:gridSpan w:val="3"/>
            <w:tcBorders>
              <w:bottom w:val="single" w:color="000000" w:sz="6" w:space="0"/>
            </w:tcBorders>
            <w:vAlign w:val="top"/>
          </w:tcPr>
          <w:p w14:paraId="3CB4F670">
            <w:pPr>
              <w:pStyle w:val="9"/>
              <w:spacing w:before="238" w:line="241" w:lineRule="auto"/>
              <w:ind w:left="240" w:right="120" w:hanging="119"/>
              <w:rPr>
                <w:rFonts w:ascii="Times New Roman" w:hAnsi="Times New Roman" w:eastAsia="Times New Roman" w:cs="Times New Roman"/>
              </w:rPr>
            </w:pPr>
            <w:r>
              <w:rPr>
                <w:spacing w:val="-5"/>
              </w:rPr>
              <w:t>主变</w:t>
            </w:r>
            <w:r>
              <w:rPr>
                <w:spacing w:val="-48"/>
              </w:rPr>
              <w:t xml:space="preserve"> </w:t>
            </w:r>
            <w:r>
              <w:rPr>
                <w:rFonts w:ascii="Times New Roman" w:hAnsi="Times New Roman" w:eastAsia="Times New Roman" w:cs="Times New Roman"/>
                <w:spacing w:val="-5"/>
              </w:rPr>
              <w:t>3#</w:t>
            </w:r>
            <w:r>
              <w:rPr>
                <w:spacing w:val="-5"/>
              </w:rPr>
              <w:t>配</w:t>
            </w:r>
            <w:r>
              <w:rPr>
                <w:spacing w:val="-7"/>
              </w:rPr>
              <w:t>套</w:t>
            </w:r>
            <w:r>
              <w:rPr>
                <w:spacing w:val="-43"/>
              </w:rPr>
              <w:t xml:space="preserve"> </w:t>
            </w:r>
            <w:r>
              <w:rPr>
                <w:rFonts w:ascii="Times New Roman" w:hAnsi="Times New Roman" w:eastAsia="Times New Roman" w:cs="Times New Roman"/>
                <w:spacing w:val="-7"/>
              </w:rPr>
              <w:t>SVG</w:t>
            </w:r>
          </w:p>
        </w:tc>
        <w:tc>
          <w:tcPr>
            <w:tcW w:w="1030" w:type="dxa"/>
            <w:gridSpan w:val="3"/>
            <w:tcBorders>
              <w:bottom w:val="single" w:color="000000" w:sz="6" w:space="0"/>
            </w:tcBorders>
            <w:vAlign w:val="top"/>
          </w:tcPr>
          <w:p w14:paraId="01F291C6">
            <w:pPr>
              <w:spacing w:line="358" w:lineRule="auto"/>
              <w:rPr>
                <w:rFonts w:ascii="Arial"/>
                <w:sz w:val="21"/>
              </w:rPr>
            </w:pPr>
          </w:p>
          <w:p w14:paraId="67ED09E7">
            <w:pPr>
              <w:spacing w:before="69" w:line="192" w:lineRule="auto"/>
              <w:ind w:left="47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867" w:type="dxa"/>
            <w:tcBorders>
              <w:bottom w:val="single" w:color="000000" w:sz="6" w:space="0"/>
            </w:tcBorders>
            <w:vAlign w:val="top"/>
          </w:tcPr>
          <w:p w14:paraId="003B9408">
            <w:pPr>
              <w:spacing w:line="363" w:lineRule="auto"/>
              <w:rPr>
                <w:rFonts w:ascii="Arial"/>
                <w:sz w:val="21"/>
              </w:rPr>
            </w:pPr>
          </w:p>
          <w:p w14:paraId="682BBCDF">
            <w:pPr>
              <w:spacing w:before="69" w:line="188" w:lineRule="auto"/>
              <w:ind w:left="175"/>
              <w:rPr>
                <w:rFonts w:ascii="Times New Roman" w:hAnsi="Times New Roman" w:eastAsia="Times New Roman" w:cs="Times New Roman"/>
                <w:sz w:val="24"/>
                <w:szCs w:val="24"/>
              </w:rPr>
            </w:pPr>
            <w:r>
              <w:rPr>
                <w:rFonts w:ascii="Times New Roman" w:hAnsi="Times New Roman" w:eastAsia="Times New Roman" w:cs="Times New Roman"/>
                <w:spacing w:val="-6"/>
                <w:sz w:val="24"/>
                <w:szCs w:val="24"/>
              </w:rPr>
              <w:t>185.4</w:t>
            </w:r>
          </w:p>
        </w:tc>
        <w:tc>
          <w:tcPr>
            <w:tcW w:w="901" w:type="dxa"/>
            <w:gridSpan w:val="2"/>
            <w:tcBorders>
              <w:bottom w:val="single" w:color="000000" w:sz="6" w:space="0"/>
            </w:tcBorders>
            <w:vAlign w:val="top"/>
          </w:tcPr>
          <w:p w14:paraId="708EE8A3">
            <w:pPr>
              <w:spacing w:line="363" w:lineRule="auto"/>
              <w:rPr>
                <w:rFonts w:ascii="Arial"/>
                <w:sz w:val="21"/>
              </w:rPr>
            </w:pPr>
          </w:p>
          <w:p w14:paraId="259E77A0">
            <w:pPr>
              <w:spacing w:before="69" w:line="188" w:lineRule="auto"/>
              <w:ind w:left="161"/>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26.35</w:t>
            </w:r>
          </w:p>
        </w:tc>
        <w:tc>
          <w:tcPr>
            <w:tcW w:w="835" w:type="dxa"/>
            <w:gridSpan w:val="2"/>
            <w:tcBorders>
              <w:bottom w:val="single" w:color="000000" w:sz="6" w:space="0"/>
            </w:tcBorders>
            <w:vAlign w:val="top"/>
          </w:tcPr>
          <w:p w14:paraId="65722CFA">
            <w:pPr>
              <w:spacing w:line="363" w:lineRule="auto"/>
              <w:rPr>
                <w:rFonts w:ascii="Arial"/>
                <w:sz w:val="21"/>
              </w:rPr>
            </w:pPr>
          </w:p>
          <w:p w14:paraId="5797F9D6">
            <w:pPr>
              <w:spacing w:before="69" w:line="188" w:lineRule="auto"/>
              <w:ind w:left="274"/>
              <w:rPr>
                <w:rFonts w:ascii="Times New Roman" w:hAnsi="Times New Roman" w:eastAsia="Times New Roman" w:cs="Times New Roman"/>
                <w:sz w:val="24"/>
                <w:szCs w:val="24"/>
              </w:rPr>
            </w:pPr>
            <w:r>
              <w:rPr>
                <w:rFonts w:ascii="Times New Roman" w:hAnsi="Times New Roman" w:eastAsia="Times New Roman" w:cs="Times New Roman"/>
                <w:spacing w:val="-10"/>
                <w:sz w:val="24"/>
                <w:szCs w:val="24"/>
              </w:rPr>
              <w:t>1.5</w:t>
            </w:r>
          </w:p>
        </w:tc>
        <w:tc>
          <w:tcPr>
            <w:tcW w:w="1172" w:type="dxa"/>
            <w:gridSpan w:val="3"/>
            <w:tcBorders>
              <w:bottom w:val="single" w:color="000000" w:sz="6" w:space="0"/>
            </w:tcBorders>
            <w:vAlign w:val="top"/>
          </w:tcPr>
          <w:p w14:paraId="6E7E47A7">
            <w:pPr>
              <w:spacing w:line="363" w:lineRule="auto"/>
              <w:rPr>
                <w:rFonts w:ascii="Arial"/>
                <w:sz w:val="21"/>
              </w:rPr>
            </w:pPr>
          </w:p>
          <w:p w14:paraId="5F6B7077">
            <w:pPr>
              <w:spacing w:before="69" w:line="188" w:lineRule="auto"/>
              <w:ind w:left="374"/>
              <w:rPr>
                <w:rFonts w:ascii="Times New Roman" w:hAnsi="Times New Roman" w:eastAsia="Times New Roman" w:cs="Times New Roman"/>
                <w:sz w:val="24"/>
                <w:szCs w:val="24"/>
              </w:rPr>
            </w:pPr>
            <w:r>
              <w:rPr>
                <w:rFonts w:ascii="Times New Roman" w:hAnsi="Times New Roman" w:eastAsia="Times New Roman" w:cs="Times New Roman"/>
                <w:spacing w:val="-4"/>
                <w:sz w:val="24"/>
                <w:szCs w:val="24"/>
              </w:rPr>
              <w:t>83.9</w:t>
            </w:r>
          </w:p>
        </w:tc>
        <w:tc>
          <w:tcPr>
            <w:tcW w:w="1874" w:type="dxa"/>
            <w:gridSpan w:val="4"/>
            <w:tcBorders>
              <w:bottom w:val="single" w:color="000000" w:sz="6" w:space="0"/>
            </w:tcBorders>
            <w:vAlign w:val="top"/>
          </w:tcPr>
          <w:p w14:paraId="54A938EA">
            <w:pPr>
              <w:pStyle w:val="9"/>
              <w:spacing w:before="83" w:line="219" w:lineRule="auto"/>
              <w:ind w:left="101"/>
            </w:pPr>
            <w:r>
              <w:rPr>
                <w:spacing w:val="-5"/>
              </w:rPr>
              <w:t>基础降噪、选用</w:t>
            </w:r>
          </w:p>
          <w:p w14:paraId="4B94C091">
            <w:pPr>
              <w:pStyle w:val="9"/>
              <w:spacing w:before="24" w:line="220" w:lineRule="auto"/>
              <w:ind w:left="208"/>
            </w:pPr>
            <w:r>
              <w:rPr>
                <w:spacing w:val="-2"/>
              </w:rPr>
              <w:t>低噪声设备加</w:t>
            </w:r>
          </w:p>
          <w:p w14:paraId="597B0E76">
            <w:pPr>
              <w:pStyle w:val="9"/>
              <w:spacing w:before="25" w:line="220" w:lineRule="auto"/>
              <w:ind w:left="335"/>
            </w:pPr>
            <w:r>
              <w:rPr>
                <w:spacing w:val="-4"/>
              </w:rPr>
              <w:t>强设备维护</w:t>
            </w:r>
          </w:p>
        </w:tc>
        <w:tc>
          <w:tcPr>
            <w:tcW w:w="830" w:type="dxa"/>
            <w:gridSpan w:val="2"/>
            <w:tcBorders>
              <w:bottom w:val="single" w:color="000000" w:sz="6" w:space="0"/>
            </w:tcBorders>
            <w:vAlign w:val="top"/>
          </w:tcPr>
          <w:p w14:paraId="736C86BB">
            <w:pPr>
              <w:spacing w:line="313" w:lineRule="auto"/>
              <w:rPr>
                <w:rFonts w:ascii="Arial"/>
                <w:sz w:val="21"/>
              </w:rPr>
            </w:pPr>
          </w:p>
          <w:p w14:paraId="0F8CBE8A">
            <w:pPr>
              <w:pStyle w:val="9"/>
              <w:spacing w:before="78" w:line="219" w:lineRule="auto"/>
              <w:ind w:left="178"/>
            </w:pPr>
            <w:r>
              <w:rPr>
                <w:spacing w:val="-5"/>
              </w:rPr>
              <w:t>昼夜</w:t>
            </w:r>
          </w:p>
        </w:tc>
        <w:tc>
          <w:tcPr>
            <w:tcW w:w="117" w:type="dxa"/>
            <w:tcBorders>
              <w:top w:val="nil"/>
              <w:bottom w:val="single" w:color="000000" w:sz="6" w:space="0"/>
              <w:right w:val="single" w:color="000000" w:sz="6" w:space="0"/>
            </w:tcBorders>
            <w:vAlign w:val="top"/>
          </w:tcPr>
          <w:p w14:paraId="2833D009">
            <w:pPr>
              <w:rPr>
                <w:rFonts w:ascii="Arial"/>
                <w:sz w:val="21"/>
              </w:rPr>
            </w:pPr>
          </w:p>
        </w:tc>
      </w:tr>
    </w:tbl>
    <w:p w14:paraId="5690643C">
      <w:pPr>
        <w:pStyle w:val="3"/>
      </w:pPr>
    </w:p>
    <w:p w14:paraId="1AC39BE7">
      <w:pPr>
        <w:sectPr>
          <w:footerReference r:id="rId64" w:type="default"/>
          <w:pgSz w:w="11906" w:h="16838"/>
          <w:pgMar w:top="1416" w:right="1151" w:bottom="1295" w:left="1150" w:header="0" w:footer="1133" w:gutter="0"/>
          <w:cols w:space="720" w:num="1"/>
        </w:sectPr>
      </w:pPr>
    </w:p>
    <w:tbl>
      <w:tblPr>
        <w:tblStyle w:val="8"/>
        <w:tblW w:w="9589"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99"/>
        <w:gridCol w:w="108"/>
        <w:gridCol w:w="1256"/>
        <w:gridCol w:w="1029"/>
        <w:gridCol w:w="849"/>
        <w:gridCol w:w="900"/>
        <w:gridCol w:w="838"/>
        <w:gridCol w:w="1172"/>
        <w:gridCol w:w="1874"/>
        <w:gridCol w:w="847"/>
        <w:gridCol w:w="117"/>
      </w:tblGrid>
      <w:tr w14:paraId="3ECFC9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0" w:hRule="atLeast"/>
        </w:trPr>
        <w:tc>
          <w:tcPr>
            <w:tcW w:w="599" w:type="dxa"/>
            <w:vMerge w:val="restart"/>
            <w:tcBorders>
              <w:top w:val="single" w:color="000000" w:sz="6" w:space="0"/>
              <w:left w:val="single" w:color="000000" w:sz="6" w:space="0"/>
              <w:bottom w:val="nil"/>
            </w:tcBorders>
            <w:vAlign w:val="top"/>
          </w:tcPr>
          <w:p w14:paraId="51942B59">
            <w:pPr>
              <w:rPr>
                <w:rFonts w:ascii="Arial"/>
                <w:sz w:val="21"/>
              </w:rPr>
            </w:pPr>
          </w:p>
        </w:tc>
        <w:tc>
          <w:tcPr>
            <w:tcW w:w="108" w:type="dxa"/>
            <w:tcBorders>
              <w:top w:val="single" w:color="000000" w:sz="6" w:space="0"/>
            </w:tcBorders>
            <w:vAlign w:val="top"/>
          </w:tcPr>
          <w:p w14:paraId="61BC68CF">
            <w:pPr>
              <w:rPr>
                <w:rFonts w:ascii="Arial"/>
                <w:sz w:val="21"/>
              </w:rPr>
            </w:pPr>
          </w:p>
        </w:tc>
        <w:tc>
          <w:tcPr>
            <w:tcW w:w="1256" w:type="dxa"/>
            <w:tcBorders>
              <w:top w:val="single" w:color="000000" w:sz="6" w:space="0"/>
            </w:tcBorders>
            <w:vAlign w:val="top"/>
          </w:tcPr>
          <w:p w14:paraId="62D3E354">
            <w:pPr>
              <w:pStyle w:val="9"/>
              <w:spacing w:before="229" w:line="241" w:lineRule="auto"/>
              <w:ind w:left="240" w:right="120" w:hanging="119"/>
              <w:rPr>
                <w:rFonts w:ascii="Times New Roman" w:hAnsi="Times New Roman" w:eastAsia="Times New Roman" w:cs="Times New Roman"/>
              </w:rPr>
            </w:pPr>
            <w:r>
              <w:rPr>
                <w:spacing w:val="9"/>
              </w:rPr>
              <w:t>主变</w:t>
            </w:r>
            <w:r>
              <w:rPr>
                <w:rFonts w:ascii="Times New Roman" w:hAnsi="Times New Roman" w:eastAsia="Times New Roman" w:cs="Times New Roman"/>
                <w:spacing w:val="9"/>
              </w:rPr>
              <w:t>5#</w:t>
            </w:r>
            <w:r>
              <w:rPr>
                <w:spacing w:val="9"/>
              </w:rPr>
              <w:t>配</w:t>
            </w:r>
            <w:r>
              <w:rPr>
                <w:spacing w:val="-7"/>
              </w:rPr>
              <w:t>套</w:t>
            </w:r>
            <w:r>
              <w:rPr>
                <w:spacing w:val="-43"/>
              </w:rPr>
              <w:t xml:space="preserve"> </w:t>
            </w:r>
            <w:r>
              <w:rPr>
                <w:rFonts w:ascii="Times New Roman" w:hAnsi="Times New Roman" w:eastAsia="Times New Roman" w:cs="Times New Roman"/>
                <w:spacing w:val="-7"/>
              </w:rPr>
              <w:t>SVG</w:t>
            </w:r>
          </w:p>
        </w:tc>
        <w:tc>
          <w:tcPr>
            <w:tcW w:w="1029" w:type="dxa"/>
            <w:tcBorders>
              <w:top w:val="single" w:color="000000" w:sz="6" w:space="0"/>
            </w:tcBorders>
            <w:vAlign w:val="top"/>
          </w:tcPr>
          <w:p w14:paraId="78B96158">
            <w:pPr>
              <w:spacing w:line="349" w:lineRule="auto"/>
              <w:rPr>
                <w:rFonts w:ascii="Arial"/>
                <w:sz w:val="21"/>
              </w:rPr>
            </w:pPr>
          </w:p>
          <w:p w14:paraId="123A8E60">
            <w:pPr>
              <w:spacing w:before="69" w:line="192" w:lineRule="auto"/>
              <w:ind w:left="474"/>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c>
          <w:tcPr>
            <w:tcW w:w="849" w:type="dxa"/>
            <w:tcBorders>
              <w:top w:val="single" w:color="000000" w:sz="6" w:space="0"/>
            </w:tcBorders>
            <w:vAlign w:val="top"/>
          </w:tcPr>
          <w:p w14:paraId="636D09CF">
            <w:pPr>
              <w:spacing w:before="288" w:line="188" w:lineRule="auto"/>
              <w:ind w:left="153"/>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257.9</w:t>
            </w:r>
          </w:p>
          <w:p w14:paraId="4F211645">
            <w:pPr>
              <w:spacing w:before="59" w:line="188" w:lineRule="auto"/>
              <w:ind w:left="369"/>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900" w:type="dxa"/>
            <w:tcBorders>
              <w:top w:val="single" w:color="000000" w:sz="6" w:space="0"/>
            </w:tcBorders>
            <w:vAlign w:val="top"/>
          </w:tcPr>
          <w:p w14:paraId="0B6A030C">
            <w:pPr>
              <w:spacing w:line="354" w:lineRule="auto"/>
              <w:rPr>
                <w:rFonts w:ascii="Arial"/>
                <w:sz w:val="21"/>
              </w:rPr>
            </w:pPr>
          </w:p>
          <w:p w14:paraId="7BAFB872">
            <w:pPr>
              <w:spacing w:before="69" w:line="188" w:lineRule="auto"/>
              <w:ind w:left="240"/>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22.1</w:t>
            </w:r>
          </w:p>
        </w:tc>
        <w:tc>
          <w:tcPr>
            <w:tcW w:w="838" w:type="dxa"/>
            <w:tcBorders>
              <w:top w:val="single" w:color="000000" w:sz="6" w:space="0"/>
            </w:tcBorders>
            <w:vAlign w:val="top"/>
          </w:tcPr>
          <w:p w14:paraId="527F0212">
            <w:pPr>
              <w:spacing w:line="354" w:lineRule="auto"/>
              <w:rPr>
                <w:rFonts w:ascii="Arial"/>
                <w:sz w:val="21"/>
              </w:rPr>
            </w:pPr>
          </w:p>
          <w:p w14:paraId="09ADB131">
            <w:pPr>
              <w:spacing w:before="69" w:line="188" w:lineRule="auto"/>
              <w:ind w:left="294"/>
              <w:rPr>
                <w:rFonts w:ascii="Times New Roman" w:hAnsi="Times New Roman" w:eastAsia="Times New Roman" w:cs="Times New Roman"/>
                <w:sz w:val="24"/>
                <w:szCs w:val="24"/>
              </w:rPr>
            </w:pPr>
            <w:r>
              <w:rPr>
                <w:rFonts w:ascii="Times New Roman" w:hAnsi="Times New Roman" w:eastAsia="Times New Roman" w:cs="Times New Roman"/>
                <w:spacing w:val="-10"/>
                <w:sz w:val="24"/>
                <w:szCs w:val="24"/>
              </w:rPr>
              <w:t>1.5</w:t>
            </w:r>
          </w:p>
        </w:tc>
        <w:tc>
          <w:tcPr>
            <w:tcW w:w="1172" w:type="dxa"/>
            <w:tcBorders>
              <w:top w:val="single" w:color="000000" w:sz="6" w:space="0"/>
            </w:tcBorders>
            <w:vAlign w:val="top"/>
          </w:tcPr>
          <w:p w14:paraId="50F54559">
            <w:pPr>
              <w:spacing w:line="354" w:lineRule="auto"/>
              <w:rPr>
                <w:rFonts w:ascii="Arial"/>
                <w:sz w:val="21"/>
              </w:rPr>
            </w:pPr>
          </w:p>
          <w:p w14:paraId="001C271A">
            <w:pPr>
              <w:spacing w:before="69" w:line="188" w:lineRule="auto"/>
              <w:ind w:left="391"/>
              <w:rPr>
                <w:rFonts w:ascii="Times New Roman" w:hAnsi="Times New Roman" w:eastAsia="Times New Roman" w:cs="Times New Roman"/>
                <w:sz w:val="24"/>
                <w:szCs w:val="24"/>
              </w:rPr>
            </w:pPr>
            <w:r>
              <w:rPr>
                <w:rFonts w:ascii="Times New Roman" w:hAnsi="Times New Roman" w:eastAsia="Times New Roman" w:cs="Times New Roman"/>
                <w:spacing w:val="-4"/>
                <w:sz w:val="24"/>
                <w:szCs w:val="24"/>
              </w:rPr>
              <w:t>88.9</w:t>
            </w:r>
          </w:p>
        </w:tc>
        <w:tc>
          <w:tcPr>
            <w:tcW w:w="1874" w:type="dxa"/>
            <w:tcBorders>
              <w:top w:val="single" w:color="000000" w:sz="6" w:space="0"/>
            </w:tcBorders>
            <w:vAlign w:val="top"/>
          </w:tcPr>
          <w:p w14:paraId="458F49AB">
            <w:pPr>
              <w:pStyle w:val="9"/>
              <w:spacing w:before="74" w:line="219" w:lineRule="auto"/>
              <w:ind w:left="118"/>
            </w:pPr>
            <w:r>
              <w:rPr>
                <w:spacing w:val="-5"/>
              </w:rPr>
              <w:t>基础降噪、选用</w:t>
            </w:r>
          </w:p>
          <w:p w14:paraId="2A10F528">
            <w:pPr>
              <w:pStyle w:val="9"/>
              <w:spacing w:before="24" w:line="220" w:lineRule="auto"/>
              <w:ind w:left="225"/>
            </w:pPr>
            <w:r>
              <w:rPr>
                <w:spacing w:val="-2"/>
              </w:rPr>
              <w:t>低噪声设备加</w:t>
            </w:r>
          </w:p>
          <w:p w14:paraId="36EFAE2D">
            <w:pPr>
              <w:pStyle w:val="9"/>
              <w:spacing w:before="26" w:line="220" w:lineRule="auto"/>
              <w:ind w:left="352"/>
            </w:pPr>
            <w:r>
              <w:rPr>
                <w:spacing w:val="-4"/>
              </w:rPr>
              <w:t>强设备维护</w:t>
            </w:r>
          </w:p>
        </w:tc>
        <w:tc>
          <w:tcPr>
            <w:tcW w:w="847" w:type="dxa"/>
            <w:tcBorders>
              <w:top w:val="single" w:color="000000" w:sz="6" w:space="0"/>
            </w:tcBorders>
            <w:vAlign w:val="top"/>
          </w:tcPr>
          <w:p w14:paraId="64D8341C">
            <w:pPr>
              <w:spacing w:line="304" w:lineRule="auto"/>
              <w:rPr>
                <w:rFonts w:ascii="Arial"/>
                <w:sz w:val="21"/>
              </w:rPr>
            </w:pPr>
          </w:p>
          <w:p w14:paraId="4ED63033">
            <w:pPr>
              <w:pStyle w:val="9"/>
              <w:spacing w:before="78" w:line="219" w:lineRule="auto"/>
              <w:ind w:left="195"/>
            </w:pPr>
            <w:r>
              <w:rPr>
                <w:spacing w:val="-5"/>
              </w:rPr>
              <w:t>昼夜</w:t>
            </w:r>
          </w:p>
        </w:tc>
        <w:tc>
          <w:tcPr>
            <w:tcW w:w="117" w:type="dxa"/>
            <w:tcBorders>
              <w:top w:val="single" w:color="000000" w:sz="6" w:space="0"/>
              <w:right w:val="single" w:color="000000" w:sz="6" w:space="0"/>
            </w:tcBorders>
            <w:vAlign w:val="top"/>
          </w:tcPr>
          <w:p w14:paraId="2A948434">
            <w:pPr>
              <w:rPr>
                <w:rFonts w:ascii="Arial"/>
                <w:sz w:val="21"/>
              </w:rPr>
            </w:pPr>
          </w:p>
        </w:tc>
      </w:tr>
      <w:tr w14:paraId="005639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82" w:hRule="atLeast"/>
        </w:trPr>
        <w:tc>
          <w:tcPr>
            <w:tcW w:w="599" w:type="dxa"/>
            <w:vMerge w:val="continue"/>
            <w:tcBorders>
              <w:top w:val="nil"/>
              <w:left w:val="single" w:color="000000" w:sz="6" w:space="0"/>
              <w:bottom w:val="single" w:color="000000" w:sz="6" w:space="0"/>
            </w:tcBorders>
            <w:vAlign w:val="top"/>
          </w:tcPr>
          <w:p w14:paraId="41A22975">
            <w:pPr>
              <w:rPr>
                <w:rFonts w:ascii="Arial"/>
                <w:sz w:val="21"/>
              </w:rPr>
            </w:pPr>
          </w:p>
        </w:tc>
        <w:tc>
          <w:tcPr>
            <w:tcW w:w="8990" w:type="dxa"/>
            <w:gridSpan w:val="10"/>
            <w:tcBorders>
              <w:bottom w:val="single" w:color="000000" w:sz="6" w:space="0"/>
              <w:right w:val="single" w:color="000000" w:sz="6" w:space="0"/>
            </w:tcBorders>
            <w:vAlign w:val="top"/>
          </w:tcPr>
          <w:p w14:paraId="6B638C15">
            <w:pPr>
              <w:pStyle w:val="9"/>
              <w:spacing w:before="163" w:line="219" w:lineRule="auto"/>
              <w:ind w:left="583"/>
            </w:pPr>
            <w:r>
              <w:rPr>
                <w:rFonts w:ascii="Times New Roman" w:hAnsi="Times New Roman" w:eastAsia="Times New Roman" w:cs="Times New Roman"/>
                <w:spacing w:val="-2"/>
              </w:rPr>
              <w:t>2</w:t>
            </w:r>
            <w:r>
              <w:rPr>
                <w:rFonts w:ascii="Times New Roman" w:hAnsi="Times New Roman" w:eastAsia="Times New Roman" w:cs="Times New Roman"/>
                <w:spacing w:val="-34"/>
              </w:rPr>
              <w:t xml:space="preserve"> </w:t>
            </w:r>
            <w:r>
              <w:rPr>
                <w:spacing w:val="-2"/>
              </w:rPr>
              <w:t>、升压站运行时厂界噪声预测模式</w:t>
            </w:r>
          </w:p>
          <w:p w14:paraId="44D0B2EC">
            <w:pPr>
              <w:pStyle w:val="9"/>
              <w:spacing w:before="182" w:line="362" w:lineRule="auto"/>
              <w:ind w:left="112" w:right="102" w:firstLine="477"/>
            </w:pPr>
            <w:r>
              <w:rPr>
                <w:spacing w:val="2"/>
              </w:rPr>
              <w:t>预测采用《环境影响评价技术导则 声环境》（</w:t>
            </w:r>
            <w:r>
              <w:rPr>
                <w:rFonts w:ascii="Times New Roman" w:hAnsi="Times New Roman" w:eastAsia="Times New Roman" w:cs="Times New Roman"/>
              </w:rPr>
              <w:t>HJ</w:t>
            </w:r>
            <w:r>
              <w:rPr>
                <w:rFonts w:ascii="Times New Roman" w:hAnsi="Times New Roman" w:eastAsia="Times New Roman" w:cs="Times New Roman"/>
                <w:spacing w:val="2"/>
              </w:rPr>
              <w:t>2.4-2021</w:t>
            </w:r>
            <w:r>
              <w:rPr>
                <w:spacing w:val="2"/>
              </w:rPr>
              <w:t>）中推荐的噪声在室</w:t>
            </w:r>
            <w:r>
              <w:rPr>
                <w:spacing w:val="-3"/>
              </w:rPr>
              <w:t>外传播过程中的衰减预测模式。计算中考虑了距离衰减和建筑物屏蔽效应</w:t>
            </w:r>
            <w:r>
              <w:rPr>
                <w:spacing w:val="-4"/>
              </w:rPr>
              <w:t>，以及空气</w:t>
            </w:r>
            <w:r>
              <w:rPr>
                <w:spacing w:val="-2"/>
              </w:rPr>
              <w:t>的吸收衰减。预测模式如下。</w:t>
            </w:r>
          </w:p>
          <w:p w14:paraId="223AE412">
            <w:pPr>
              <w:pStyle w:val="9"/>
              <w:spacing w:line="219" w:lineRule="auto"/>
              <w:ind w:left="599"/>
            </w:pPr>
            <w:r>
              <w:rPr>
                <w:spacing w:val="-3"/>
              </w:rPr>
              <w:t>（</w:t>
            </w:r>
            <w:r>
              <w:rPr>
                <w:rFonts w:ascii="Times New Roman" w:hAnsi="Times New Roman" w:eastAsia="Times New Roman" w:cs="Times New Roman"/>
                <w:spacing w:val="-3"/>
              </w:rPr>
              <w:t>1</w:t>
            </w:r>
            <w:r>
              <w:rPr>
                <w:spacing w:val="-3"/>
              </w:rPr>
              <w:t>）声级的计算</w:t>
            </w:r>
          </w:p>
          <w:p w14:paraId="6FE9EE28">
            <w:pPr>
              <w:pStyle w:val="9"/>
              <w:spacing w:before="175" w:line="212" w:lineRule="auto"/>
              <w:ind w:left="589"/>
            </w:pPr>
            <w:r>
              <w:rPr>
                <w:spacing w:val="-1"/>
              </w:rPr>
              <w:t>预测点的预测等效声级（</w:t>
            </w:r>
            <w:r>
              <w:rPr>
                <w:rFonts w:ascii="Times New Roman" w:hAnsi="Times New Roman" w:eastAsia="Times New Roman" w:cs="Times New Roman"/>
                <w:spacing w:val="-1"/>
              </w:rPr>
              <w:t>Leq</w:t>
            </w:r>
            <w:r>
              <w:rPr>
                <w:spacing w:val="-1"/>
              </w:rPr>
              <w:t>）计算公式：</w:t>
            </w:r>
          </w:p>
          <w:p w14:paraId="6E32DB44">
            <w:pPr>
              <w:spacing w:before="23" w:line="386" w:lineRule="exact"/>
              <w:ind w:firstLine="3175"/>
            </w:pPr>
            <w:r>
              <w:rPr>
                <w:position w:val="-7"/>
              </w:rPr>
              <w:drawing>
                <wp:inline distT="0" distB="0" distL="0" distR="0">
                  <wp:extent cx="1665605" cy="245110"/>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253"/>
                          <a:stretch>
                            <a:fillRect/>
                          </a:stretch>
                        </pic:blipFill>
                        <pic:spPr>
                          <a:xfrm>
                            <a:off x="0" y="0"/>
                            <a:ext cx="1665732" cy="245364"/>
                          </a:xfrm>
                          <a:prstGeom prst="rect">
                            <a:avLst/>
                          </a:prstGeom>
                        </pic:spPr>
                      </pic:pic>
                    </a:graphicData>
                  </a:graphic>
                </wp:inline>
              </w:drawing>
            </w:r>
          </w:p>
          <w:p w14:paraId="2CCA58FF">
            <w:pPr>
              <w:pStyle w:val="9"/>
              <w:spacing w:before="299" w:line="218" w:lineRule="auto"/>
              <w:ind w:left="592"/>
            </w:pPr>
            <w:r>
              <w:t>式中：</w:t>
            </w:r>
            <w:r>
              <w:rPr>
                <w:rFonts w:ascii="Times New Roman" w:hAnsi="Times New Roman" w:eastAsia="Times New Roman" w:cs="Times New Roman"/>
              </w:rPr>
              <w:t>L</w:t>
            </w:r>
            <w:r>
              <w:rPr>
                <w:rFonts w:ascii="Times New Roman" w:hAnsi="Times New Roman" w:eastAsia="Times New Roman" w:cs="Times New Roman"/>
                <w:position w:val="-1"/>
                <w:sz w:val="15"/>
                <w:szCs w:val="15"/>
              </w:rPr>
              <w:t>eqg</w:t>
            </w:r>
            <w:r>
              <w:rPr>
                <w:rFonts w:ascii="Times New Roman" w:hAnsi="Times New Roman" w:eastAsia="Times New Roman" w:cs="Times New Roman"/>
              </w:rPr>
              <w:t>—</w:t>
            </w:r>
            <w:r>
              <w:t>建设项目声源在预测点的等效声</w:t>
            </w:r>
            <w:r>
              <w:rPr>
                <w:spacing w:val="-1"/>
              </w:rPr>
              <w:t>级贡献值，</w:t>
            </w:r>
            <w:r>
              <w:rPr>
                <w:rFonts w:ascii="Times New Roman" w:hAnsi="Times New Roman" w:eastAsia="Times New Roman" w:cs="Times New Roman"/>
                <w:spacing w:val="-1"/>
              </w:rPr>
              <w:t>dB</w:t>
            </w:r>
            <w:r>
              <w:rPr>
                <w:spacing w:val="-1"/>
              </w:rPr>
              <w:t>（</w:t>
            </w:r>
            <w:r>
              <w:rPr>
                <w:rFonts w:ascii="Times New Roman" w:hAnsi="Times New Roman" w:eastAsia="Times New Roman" w:cs="Times New Roman"/>
                <w:spacing w:val="-1"/>
              </w:rPr>
              <w:t>A</w:t>
            </w:r>
            <w:r>
              <w:t>）；</w:t>
            </w:r>
          </w:p>
          <w:p w14:paraId="5DEB98AD">
            <w:pPr>
              <w:pStyle w:val="9"/>
              <w:spacing w:before="178" w:line="218" w:lineRule="auto"/>
              <w:ind w:left="1303"/>
            </w:pPr>
            <w:r>
              <w:rPr>
                <w:rFonts w:ascii="Times New Roman" w:hAnsi="Times New Roman" w:eastAsia="Times New Roman" w:cs="Times New Roman"/>
                <w:spacing w:val="-1"/>
              </w:rPr>
              <w:t>L</w:t>
            </w:r>
            <w:r>
              <w:rPr>
                <w:rFonts w:ascii="Times New Roman" w:hAnsi="Times New Roman" w:eastAsia="Times New Roman" w:cs="Times New Roman"/>
                <w:spacing w:val="-1"/>
                <w:position w:val="-1"/>
                <w:sz w:val="15"/>
                <w:szCs w:val="15"/>
              </w:rPr>
              <w:t>eq</w:t>
            </w:r>
            <w:r>
              <w:rPr>
                <w:rFonts w:ascii="Times New Roman" w:hAnsi="Times New Roman" w:eastAsia="Times New Roman" w:cs="Times New Roman"/>
                <w:spacing w:val="-1"/>
              </w:rPr>
              <w:t>b—</w:t>
            </w:r>
            <w:r>
              <w:rPr>
                <w:spacing w:val="-1"/>
              </w:rPr>
              <w:t>预测点的背景值，</w:t>
            </w:r>
            <w:r>
              <w:rPr>
                <w:rFonts w:ascii="Times New Roman" w:hAnsi="Times New Roman" w:eastAsia="Times New Roman" w:cs="Times New Roman"/>
                <w:spacing w:val="-1"/>
              </w:rPr>
              <w:t>dB</w:t>
            </w:r>
            <w:r>
              <w:rPr>
                <w:spacing w:val="-1"/>
              </w:rPr>
              <w:t>（</w:t>
            </w:r>
            <w:r>
              <w:rPr>
                <w:rFonts w:ascii="Times New Roman" w:hAnsi="Times New Roman" w:eastAsia="Times New Roman" w:cs="Times New Roman"/>
                <w:spacing w:val="-1"/>
              </w:rPr>
              <w:t>A</w:t>
            </w:r>
            <w:r>
              <w:rPr>
                <w:spacing w:val="-1"/>
              </w:rPr>
              <w:t>）。</w:t>
            </w:r>
          </w:p>
          <w:p w14:paraId="63DDE934">
            <w:pPr>
              <w:pStyle w:val="9"/>
              <w:spacing w:before="176" w:line="219" w:lineRule="auto"/>
              <w:ind w:left="599"/>
            </w:pPr>
            <w:r>
              <w:rPr>
                <w:spacing w:val="-2"/>
              </w:rPr>
              <w:t>（</w:t>
            </w:r>
            <w:r>
              <w:rPr>
                <w:rFonts w:ascii="Times New Roman" w:hAnsi="Times New Roman" w:eastAsia="Times New Roman" w:cs="Times New Roman"/>
                <w:spacing w:val="-2"/>
              </w:rPr>
              <w:t>2</w:t>
            </w:r>
            <w:r>
              <w:rPr>
                <w:spacing w:val="-2"/>
              </w:rPr>
              <w:t>）户外声传播衰减计算</w:t>
            </w:r>
          </w:p>
          <w:p w14:paraId="70190BE9">
            <w:pPr>
              <w:pStyle w:val="9"/>
              <w:spacing w:before="174" w:line="356" w:lineRule="auto"/>
              <w:ind w:left="107" w:right="22" w:firstLine="480"/>
            </w:pPr>
            <w:r>
              <w:rPr>
                <w:spacing w:val="-8"/>
              </w:rPr>
              <w:t>户外声传播衰减包括几何发散（</w:t>
            </w:r>
            <w:r>
              <w:rPr>
                <w:rFonts w:ascii="Times New Roman" w:hAnsi="Times New Roman" w:eastAsia="Times New Roman" w:cs="Times New Roman"/>
                <w:spacing w:val="-8"/>
              </w:rPr>
              <w:t>Adiv</w:t>
            </w:r>
            <w:r>
              <w:rPr>
                <w:spacing w:val="-8"/>
              </w:rPr>
              <w:t>）、大气吸收（</w:t>
            </w:r>
            <w:r>
              <w:rPr>
                <w:rFonts w:ascii="Times New Roman" w:hAnsi="Times New Roman" w:eastAsia="Times New Roman" w:cs="Times New Roman"/>
                <w:spacing w:val="-8"/>
              </w:rPr>
              <w:t>Aatm</w:t>
            </w:r>
            <w:r>
              <w:rPr>
                <w:spacing w:val="-8"/>
              </w:rPr>
              <w:t>）、屏障屏蔽（</w:t>
            </w:r>
            <w:r>
              <w:rPr>
                <w:rFonts w:ascii="Times New Roman" w:hAnsi="Times New Roman" w:eastAsia="Times New Roman" w:cs="Times New Roman"/>
                <w:spacing w:val="-8"/>
              </w:rPr>
              <w:t>Abar</w:t>
            </w:r>
            <w:r>
              <w:rPr>
                <w:spacing w:val="-8"/>
              </w:rPr>
              <w:t>）、</w:t>
            </w:r>
            <w:r>
              <w:rPr>
                <w:spacing w:val="-1"/>
              </w:rPr>
              <w:t>地面效应（</w:t>
            </w:r>
            <w:r>
              <w:rPr>
                <w:rFonts w:ascii="Times New Roman" w:hAnsi="Times New Roman" w:eastAsia="Times New Roman" w:cs="Times New Roman"/>
                <w:spacing w:val="-1"/>
              </w:rPr>
              <w:t>Agr</w:t>
            </w:r>
            <w:r>
              <w:rPr>
                <w:spacing w:val="-1"/>
              </w:rPr>
              <w:t>）、其他多方面效应（</w:t>
            </w:r>
            <w:r>
              <w:rPr>
                <w:rFonts w:ascii="Times New Roman" w:hAnsi="Times New Roman" w:eastAsia="Times New Roman" w:cs="Times New Roman"/>
                <w:spacing w:val="-1"/>
              </w:rPr>
              <w:t>Amisc</w:t>
            </w:r>
            <w:r>
              <w:rPr>
                <w:spacing w:val="-1"/>
              </w:rPr>
              <w:t>）引起的衰减。</w:t>
            </w:r>
          </w:p>
          <w:p w14:paraId="554003D2">
            <w:pPr>
              <w:pStyle w:val="9"/>
              <w:spacing w:before="4" w:line="217" w:lineRule="auto"/>
              <w:ind w:left="586"/>
            </w:pPr>
            <w:r>
              <w:rPr>
                <w:spacing w:val="-2"/>
              </w:rPr>
              <w:t>①基本公式</w:t>
            </w:r>
          </w:p>
          <w:p w14:paraId="6E9EE4DC">
            <w:pPr>
              <w:pStyle w:val="9"/>
              <w:spacing w:before="188" w:line="361" w:lineRule="auto"/>
              <w:ind w:left="108" w:right="102" w:firstLine="478"/>
            </w:pPr>
            <w:r>
              <w:rPr>
                <w:rFonts w:ascii="Times New Roman" w:hAnsi="Times New Roman" w:eastAsia="Times New Roman" w:cs="Times New Roman"/>
                <w:spacing w:val="-2"/>
              </w:rPr>
              <w:t>a</w:t>
            </w:r>
            <w:r>
              <w:rPr>
                <w:rFonts w:ascii="Times New Roman" w:hAnsi="Times New Roman" w:eastAsia="Times New Roman" w:cs="Times New Roman"/>
                <w:spacing w:val="-32"/>
              </w:rPr>
              <w:t xml:space="preserve"> </w:t>
            </w:r>
            <w:r>
              <w:rPr>
                <w:spacing w:val="-2"/>
              </w:rPr>
              <w:t>、在已知距离无指向性点声源参考点</w:t>
            </w:r>
            <w:r>
              <w:rPr>
                <w:spacing w:val="-56"/>
              </w:rPr>
              <w:t xml:space="preserve"> </w:t>
            </w:r>
            <w:r>
              <w:rPr>
                <w:rFonts w:ascii="Times New Roman" w:hAnsi="Times New Roman" w:eastAsia="Times New Roman" w:cs="Times New Roman"/>
                <w:spacing w:val="-2"/>
              </w:rPr>
              <w:t>r0</w:t>
            </w:r>
            <w:r>
              <w:rPr>
                <w:rFonts w:ascii="Times New Roman" w:hAnsi="Times New Roman" w:eastAsia="Times New Roman" w:cs="Times New Roman"/>
                <w:spacing w:val="19"/>
              </w:rPr>
              <w:t xml:space="preserve"> </w:t>
            </w:r>
            <w:r>
              <w:rPr>
                <w:spacing w:val="-2"/>
              </w:rPr>
              <w:t>处的</w:t>
            </w:r>
            <w:r>
              <w:rPr>
                <w:spacing w:val="-3"/>
              </w:rPr>
              <w:t>倍频带（用</w:t>
            </w:r>
            <w:r>
              <w:rPr>
                <w:spacing w:val="-50"/>
              </w:rPr>
              <w:t xml:space="preserve"> </w:t>
            </w:r>
            <w:r>
              <w:rPr>
                <w:rFonts w:ascii="Times New Roman" w:hAnsi="Times New Roman" w:eastAsia="Times New Roman" w:cs="Times New Roman"/>
                <w:spacing w:val="-3"/>
              </w:rPr>
              <w:t>63Hz</w:t>
            </w:r>
            <w:r>
              <w:rPr>
                <w:rFonts w:ascii="Times New Roman" w:hAnsi="Times New Roman" w:eastAsia="Times New Roman" w:cs="Times New Roman"/>
                <w:spacing w:val="20"/>
              </w:rPr>
              <w:t xml:space="preserve"> </w:t>
            </w:r>
            <w:r>
              <w:rPr>
                <w:spacing w:val="-3"/>
              </w:rPr>
              <w:t>到</w:t>
            </w:r>
            <w:r>
              <w:rPr>
                <w:spacing w:val="-43"/>
              </w:rPr>
              <w:t xml:space="preserve"> </w:t>
            </w:r>
            <w:r>
              <w:rPr>
                <w:rFonts w:ascii="Times New Roman" w:hAnsi="Times New Roman" w:eastAsia="Times New Roman" w:cs="Times New Roman"/>
                <w:spacing w:val="-3"/>
              </w:rPr>
              <w:t>8KHz</w:t>
            </w:r>
            <w:r>
              <w:rPr>
                <w:rFonts w:ascii="Times New Roman" w:hAnsi="Times New Roman" w:eastAsia="Times New Roman" w:cs="Times New Roman"/>
                <w:spacing w:val="31"/>
              </w:rPr>
              <w:t xml:space="preserve"> </w:t>
            </w:r>
            <w:r>
              <w:rPr>
                <w:spacing w:val="-3"/>
              </w:rPr>
              <w:t>的</w:t>
            </w:r>
            <w:r>
              <w:rPr>
                <w:spacing w:val="-43"/>
              </w:rPr>
              <w:t xml:space="preserve"> </w:t>
            </w:r>
            <w:r>
              <w:rPr>
                <w:rFonts w:ascii="Times New Roman" w:hAnsi="Times New Roman" w:eastAsia="Times New Roman" w:cs="Times New Roman"/>
                <w:spacing w:val="-3"/>
              </w:rPr>
              <w:t xml:space="preserve">8 </w:t>
            </w:r>
            <w:r>
              <w:rPr>
                <w:spacing w:val="-3"/>
              </w:rPr>
              <w:t>个</w:t>
            </w:r>
            <w:r>
              <w:rPr>
                <w:spacing w:val="1"/>
              </w:rPr>
              <w:t>标称倍频带中心频率）声压级</w:t>
            </w:r>
            <w:r>
              <w:rPr>
                <w:spacing w:val="-53"/>
              </w:rPr>
              <w:t xml:space="preserve"> </w:t>
            </w:r>
            <w:r>
              <w:rPr>
                <w:rFonts w:ascii="Times New Roman" w:hAnsi="Times New Roman" w:eastAsia="Times New Roman" w:cs="Times New Roman"/>
              </w:rPr>
              <w:t>Lp</w:t>
            </w:r>
            <w:r>
              <w:rPr>
                <w:spacing w:val="1"/>
              </w:rPr>
              <w:t>（</w:t>
            </w:r>
            <w:r>
              <w:rPr>
                <w:rFonts w:ascii="Times New Roman" w:hAnsi="Times New Roman" w:eastAsia="Times New Roman" w:cs="Times New Roman"/>
                <w:spacing w:val="1"/>
              </w:rPr>
              <w:t>r0</w:t>
            </w:r>
            <w:r>
              <w:rPr>
                <w:spacing w:val="1"/>
              </w:rPr>
              <w:t>）和计算出参考点（</w:t>
            </w:r>
            <w:r>
              <w:rPr>
                <w:rFonts w:ascii="Times New Roman" w:hAnsi="Times New Roman" w:eastAsia="Times New Roman" w:cs="Times New Roman"/>
                <w:spacing w:val="1"/>
              </w:rPr>
              <w:t>r0</w:t>
            </w:r>
            <w:r>
              <w:rPr>
                <w:spacing w:val="1"/>
              </w:rPr>
              <w:t>）和预测点（</w:t>
            </w:r>
            <w:r>
              <w:rPr>
                <w:rFonts w:ascii="Times New Roman" w:hAnsi="Times New Roman" w:eastAsia="Times New Roman" w:cs="Times New Roman"/>
                <w:spacing w:val="1"/>
              </w:rPr>
              <w:t>r</w:t>
            </w:r>
            <w:r>
              <w:t>）处之间</w:t>
            </w:r>
          </w:p>
          <w:p w14:paraId="15BDB5D9">
            <w:pPr>
              <w:pStyle w:val="9"/>
              <w:spacing w:line="218" w:lineRule="auto"/>
              <w:ind w:left="127"/>
            </w:pPr>
            <w:r>
              <w:rPr>
                <w:spacing w:val="-2"/>
              </w:rPr>
              <w:t>的户外声传播衰减后，预测点</w:t>
            </w:r>
            <w:r>
              <w:rPr>
                <w:spacing w:val="-29"/>
              </w:rPr>
              <w:t xml:space="preserve"> </w:t>
            </w:r>
            <w:r>
              <w:rPr>
                <w:rFonts w:ascii="Times New Roman" w:hAnsi="Times New Roman" w:eastAsia="Times New Roman" w:cs="Times New Roman"/>
                <w:spacing w:val="-2"/>
              </w:rPr>
              <w:t xml:space="preserve">8 </w:t>
            </w:r>
            <w:r>
              <w:rPr>
                <w:spacing w:val="-2"/>
              </w:rPr>
              <w:t>个倍频带声压级可用下列公式计算。</w:t>
            </w:r>
          </w:p>
          <w:p w14:paraId="055FDB7E">
            <w:pPr>
              <w:spacing w:before="17" w:line="173" w:lineRule="auto"/>
              <w:ind w:left="1588"/>
              <w:rPr>
                <w:rFonts w:ascii="微软雅黑" w:hAnsi="微软雅黑" w:eastAsia="微软雅黑" w:cs="微软雅黑"/>
                <w:sz w:val="28"/>
                <w:szCs w:val="28"/>
              </w:rPr>
            </w:pPr>
            <w:r>
              <w:rPr>
                <w:rFonts w:ascii="微软雅黑" w:hAnsi="微软雅黑" w:eastAsia="微软雅黑" w:cs="微软雅黑"/>
                <w:color w:val="D7D9D7"/>
                <w:spacing w:val="-21"/>
                <w:sz w:val="28"/>
                <w:szCs w:val="28"/>
              </w:rPr>
              <w:t>LP(r)—LW+DC一(da</w:t>
            </w:r>
            <w:r>
              <w:rPr>
                <w:rFonts w:ascii="微软雅黑" w:hAnsi="微软雅黑" w:eastAsia="微软雅黑" w:cs="微软雅黑"/>
                <w:color w:val="D7D9D7"/>
                <w:spacing w:val="-29"/>
                <w:sz w:val="28"/>
                <w:szCs w:val="28"/>
              </w:rPr>
              <w:t xml:space="preserve"> </w:t>
            </w:r>
            <w:r>
              <w:rPr>
                <w:rFonts w:ascii="微软雅黑" w:hAnsi="微软雅黑" w:eastAsia="微软雅黑" w:cs="微软雅黑"/>
                <w:color w:val="D7D9D7"/>
                <w:spacing w:val="-21"/>
                <w:sz w:val="28"/>
                <w:szCs w:val="28"/>
              </w:rPr>
              <w:t>iv十A</w:t>
            </w:r>
            <w:r>
              <w:rPr>
                <w:rFonts w:ascii="微软雅黑" w:hAnsi="微软雅黑" w:eastAsia="微软雅黑" w:cs="微软雅黑"/>
                <w:color w:val="D7D9D7"/>
                <w:spacing w:val="-43"/>
                <w:sz w:val="28"/>
                <w:szCs w:val="28"/>
              </w:rPr>
              <w:t xml:space="preserve"> </w:t>
            </w:r>
            <w:r>
              <w:rPr>
                <w:rFonts w:ascii="微软雅黑" w:hAnsi="微软雅黑" w:eastAsia="微软雅黑" w:cs="微软雅黑"/>
                <w:color w:val="D7D9D7"/>
                <w:spacing w:val="-21"/>
                <w:sz w:val="28"/>
                <w:szCs w:val="28"/>
              </w:rPr>
              <w:t>am十Ag十Abu</w:t>
            </w:r>
            <w:r>
              <w:rPr>
                <w:rFonts w:ascii="微软雅黑" w:hAnsi="微软雅黑" w:eastAsia="微软雅黑" w:cs="微软雅黑"/>
                <w:color w:val="D7D9D7"/>
                <w:spacing w:val="-43"/>
                <w:sz w:val="28"/>
                <w:szCs w:val="28"/>
              </w:rPr>
              <w:t xml:space="preserve"> </w:t>
            </w:r>
            <w:r>
              <w:rPr>
                <w:rFonts w:ascii="微软雅黑" w:hAnsi="微软雅黑" w:eastAsia="微软雅黑" w:cs="微软雅黑"/>
                <w:color w:val="D7D9D7"/>
                <w:spacing w:val="-21"/>
                <w:sz w:val="28"/>
                <w:szCs w:val="28"/>
              </w:rPr>
              <w:t>r十Amie)</w:t>
            </w:r>
          </w:p>
          <w:p w14:paraId="78D3CD12">
            <w:pPr>
              <w:pStyle w:val="9"/>
              <w:spacing w:before="308" w:line="219" w:lineRule="auto"/>
              <w:ind w:left="577"/>
            </w:pPr>
            <w:r>
              <w:rPr>
                <w:rFonts w:ascii="Times New Roman" w:hAnsi="Times New Roman" w:eastAsia="Times New Roman" w:cs="Times New Roman"/>
                <w:spacing w:val="-1"/>
              </w:rPr>
              <w:t>b</w:t>
            </w:r>
            <w:r>
              <w:rPr>
                <w:rFonts w:ascii="Times New Roman" w:hAnsi="Times New Roman" w:eastAsia="Times New Roman" w:cs="Times New Roman"/>
                <w:spacing w:val="-34"/>
              </w:rPr>
              <w:t xml:space="preserve"> </w:t>
            </w:r>
            <w:r>
              <w:rPr>
                <w:spacing w:val="-1"/>
              </w:rPr>
              <w:t>、在只考虑几何发散衰减时，可用如下公</w:t>
            </w:r>
            <w:r>
              <w:rPr>
                <w:spacing w:val="-2"/>
              </w:rPr>
              <w:t>式计算：</w:t>
            </w:r>
          </w:p>
          <w:p w14:paraId="55CA399A">
            <w:pPr>
              <w:pStyle w:val="9"/>
              <w:spacing w:before="140" w:line="323" w:lineRule="exact"/>
              <w:ind w:left="3364"/>
              <w:rPr>
                <w:rFonts w:ascii="Times New Roman" w:hAnsi="Times New Roman" w:eastAsia="Times New Roman" w:cs="Times New Roman"/>
              </w:rPr>
            </w:pPr>
            <w:r>
              <w:rPr>
                <w:rFonts w:ascii="Times New Roman" w:hAnsi="Times New Roman" w:eastAsia="Times New Roman" w:cs="Times New Roman"/>
                <w:position w:val="1"/>
              </w:rPr>
              <w:t>LA</w:t>
            </w:r>
            <w:r>
              <w:rPr>
                <w:spacing w:val="3"/>
                <w:position w:val="1"/>
              </w:rPr>
              <w:t>（</w:t>
            </w:r>
            <w:r>
              <w:rPr>
                <w:rFonts w:ascii="Times New Roman" w:hAnsi="Times New Roman" w:eastAsia="Times New Roman" w:cs="Times New Roman"/>
                <w:spacing w:val="3"/>
                <w:position w:val="1"/>
              </w:rPr>
              <w:t>r</w:t>
            </w:r>
            <w:r>
              <w:rPr>
                <w:spacing w:val="3"/>
                <w:position w:val="1"/>
              </w:rPr>
              <w:t>）</w:t>
            </w:r>
            <w:r>
              <w:rPr>
                <w:rFonts w:ascii="Times New Roman" w:hAnsi="Times New Roman" w:eastAsia="Times New Roman" w:cs="Times New Roman"/>
                <w:spacing w:val="3"/>
                <w:position w:val="1"/>
              </w:rPr>
              <w:t>=</w:t>
            </w:r>
            <w:r>
              <w:rPr>
                <w:rFonts w:ascii="Times New Roman" w:hAnsi="Times New Roman" w:eastAsia="Times New Roman" w:cs="Times New Roman"/>
                <w:position w:val="1"/>
              </w:rPr>
              <w:t>LA</w:t>
            </w:r>
            <w:r>
              <w:rPr>
                <w:spacing w:val="3"/>
                <w:position w:val="1"/>
              </w:rPr>
              <w:t>（</w:t>
            </w:r>
            <w:r>
              <w:rPr>
                <w:rFonts w:ascii="Times New Roman" w:hAnsi="Times New Roman" w:eastAsia="Times New Roman" w:cs="Times New Roman"/>
                <w:spacing w:val="3"/>
                <w:position w:val="1"/>
              </w:rPr>
              <w:t>r0</w:t>
            </w:r>
            <w:r>
              <w:rPr>
                <w:spacing w:val="-13"/>
                <w:position w:val="1"/>
              </w:rPr>
              <w:t>）－</w:t>
            </w:r>
            <w:r>
              <w:rPr>
                <w:rFonts w:ascii="Times New Roman" w:hAnsi="Times New Roman" w:eastAsia="Times New Roman" w:cs="Times New Roman"/>
                <w:position w:val="1"/>
              </w:rPr>
              <w:t>Adiv</w:t>
            </w:r>
          </w:p>
          <w:p w14:paraId="4F1267B7">
            <w:pPr>
              <w:pStyle w:val="9"/>
              <w:spacing w:before="193" w:line="217" w:lineRule="auto"/>
              <w:ind w:left="585"/>
            </w:pPr>
            <w:r>
              <w:rPr>
                <w:spacing w:val="-1"/>
              </w:rPr>
              <w:t>②点声源的几何发散衰减（</w:t>
            </w:r>
            <w:r>
              <w:rPr>
                <w:rFonts w:ascii="Times New Roman" w:hAnsi="Times New Roman" w:eastAsia="Times New Roman" w:cs="Times New Roman"/>
                <w:spacing w:val="-1"/>
              </w:rPr>
              <w:t>Adiv</w:t>
            </w:r>
            <w:r>
              <w:rPr>
                <w:spacing w:val="-1"/>
              </w:rPr>
              <w:t>）</w:t>
            </w:r>
          </w:p>
          <w:p w14:paraId="03E76E01">
            <w:pPr>
              <w:pStyle w:val="9"/>
              <w:spacing w:before="186" w:line="219" w:lineRule="auto"/>
              <w:ind w:left="589"/>
            </w:pPr>
            <w:r>
              <w:rPr>
                <w:spacing w:val="-1"/>
              </w:rPr>
              <w:t>无指向性点声源几何发散衰减的基本公式是：</w:t>
            </w:r>
          </w:p>
          <w:p w14:paraId="721336F1">
            <w:pPr>
              <w:pStyle w:val="9"/>
              <w:spacing w:before="143" w:line="322" w:lineRule="exact"/>
              <w:ind w:left="3031"/>
            </w:pPr>
            <w:r>
              <w:rPr>
                <w:rFonts w:ascii="Times New Roman" w:hAnsi="Times New Roman" w:eastAsia="Times New Roman" w:cs="Times New Roman"/>
                <w:position w:val="3"/>
              </w:rPr>
              <w:t>Lp</w:t>
            </w:r>
            <w:r>
              <w:rPr>
                <w:spacing w:val="1"/>
                <w:position w:val="3"/>
              </w:rPr>
              <w:t>（</w:t>
            </w:r>
            <w:r>
              <w:rPr>
                <w:rFonts w:ascii="Times New Roman" w:hAnsi="Times New Roman" w:eastAsia="Times New Roman" w:cs="Times New Roman"/>
                <w:spacing w:val="1"/>
                <w:position w:val="3"/>
              </w:rPr>
              <w:t>r</w:t>
            </w:r>
            <w:r>
              <w:rPr>
                <w:spacing w:val="1"/>
                <w:position w:val="3"/>
              </w:rPr>
              <w:t>）</w:t>
            </w:r>
            <w:r>
              <w:rPr>
                <w:rFonts w:ascii="Times New Roman" w:hAnsi="Times New Roman" w:eastAsia="Times New Roman" w:cs="Times New Roman"/>
                <w:spacing w:val="1"/>
                <w:position w:val="3"/>
              </w:rPr>
              <w:t>=</w:t>
            </w:r>
            <w:r>
              <w:rPr>
                <w:rFonts w:ascii="Times New Roman" w:hAnsi="Times New Roman" w:eastAsia="Times New Roman" w:cs="Times New Roman"/>
                <w:position w:val="3"/>
              </w:rPr>
              <w:t>Lp</w:t>
            </w:r>
            <w:r>
              <w:rPr>
                <w:spacing w:val="1"/>
                <w:position w:val="3"/>
              </w:rPr>
              <w:t>（</w:t>
            </w:r>
            <w:r>
              <w:rPr>
                <w:rFonts w:ascii="Times New Roman" w:hAnsi="Times New Roman" w:eastAsia="Times New Roman" w:cs="Times New Roman"/>
                <w:spacing w:val="1"/>
                <w:position w:val="3"/>
              </w:rPr>
              <w:t>r0</w:t>
            </w:r>
            <w:r>
              <w:rPr>
                <w:spacing w:val="-11"/>
                <w:position w:val="3"/>
              </w:rPr>
              <w:t>）－</w:t>
            </w:r>
            <w:r>
              <w:rPr>
                <w:rFonts w:ascii="Times New Roman" w:hAnsi="Times New Roman" w:eastAsia="Times New Roman" w:cs="Times New Roman"/>
                <w:spacing w:val="1"/>
                <w:position w:val="3"/>
              </w:rPr>
              <w:t>20</w:t>
            </w:r>
            <w:r>
              <w:rPr>
                <w:rFonts w:ascii="Times New Roman" w:hAnsi="Times New Roman" w:eastAsia="Times New Roman" w:cs="Times New Roman"/>
                <w:position w:val="3"/>
              </w:rPr>
              <w:t>lg</w:t>
            </w:r>
            <w:r>
              <w:rPr>
                <w:spacing w:val="1"/>
                <w:position w:val="3"/>
              </w:rPr>
              <w:t>（</w:t>
            </w:r>
            <w:r>
              <w:rPr>
                <w:rFonts w:ascii="Times New Roman" w:hAnsi="Times New Roman" w:eastAsia="Times New Roman" w:cs="Times New Roman"/>
                <w:spacing w:val="1"/>
                <w:position w:val="3"/>
              </w:rPr>
              <w:t>r/r0</w:t>
            </w:r>
            <w:r>
              <w:rPr>
                <w:spacing w:val="1"/>
                <w:position w:val="3"/>
              </w:rPr>
              <w:t>）</w:t>
            </w:r>
          </w:p>
          <w:p w14:paraId="7362E077">
            <w:pPr>
              <w:pStyle w:val="9"/>
              <w:spacing w:before="148" w:line="323" w:lineRule="exact"/>
              <w:ind w:left="614"/>
            </w:pPr>
            <w:r>
              <w:rPr>
                <w:spacing w:val="-1"/>
                <w:position w:val="2"/>
              </w:rPr>
              <w:t>以上公式中第二项表示了点声源的几何发散衰减：</w:t>
            </w:r>
            <w:r>
              <w:rPr>
                <w:rFonts w:ascii="Times New Roman" w:hAnsi="Times New Roman" w:eastAsia="Times New Roman" w:cs="Times New Roman"/>
                <w:spacing w:val="-1"/>
                <w:position w:val="2"/>
              </w:rPr>
              <w:t>Adiv=20lg</w:t>
            </w:r>
            <w:r>
              <w:rPr>
                <w:spacing w:val="-1"/>
                <w:position w:val="2"/>
              </w:rPr>
              <w:t>（</w:t>
            </w:r>
            <w:r>
              <w:rPr>
                <w:rFonts w:ascii="Times New Roman" w:hAnsi="Times New Roman" w:eastAsia="Times New Roman" w:cs="Times New Roman"/>
                <w:spacing w:val="-1"/>
                <w:position w:val="2"/>
              </w:rPr>
              <w:t>r/r</w:t>
            </w:r>
            <w:r>
              <w:rPr>
                <w:rFonts w:ascii="Times New Roman" w:hAnsi="Times New Roman" w:eastAsia="Times New Roman" w:cs="Times New Roman"/>
                <w:spacing w:val="-2"/>
                <w:position w:val="2"/>
              </w:rPr>
              <w:t>0</w:t>
            </w:r>
            <w:r>
              <w:rPr>
                <w:spacing w:val="-2"/>
                <w:position w:val="2"/>
              </w:rPr>
              <w:t>）</w:t>
            </w:r>
          </w:p>
          <w:p w14:paraId="724A59B5">
            <w:pPr>
              <w:pStyle w:val="9"/>
              <w:spacing w:before="191" w:line="344" w:lineRule="auto"/>
              <w:ind w:left="112" w:right="102" w:firstLine="479"/>
            </w:pPr>
            <w:r>
              <w:rPr>
                <w:spacing w:val="-3"/>
              </w:rPr>
              <w:t>如果已知点声源的倍频带声功率级</w:t>
            </w:r>
            <w:r>
              <w:rPr>
                <w:spacing w:val="-55"/>
              </w:rPr>
              <w:t xml:space="preserve"> </w:t>
            </w:r>
            <w:r>
              <w:rPr>
                <w:rFonts w:ascii="Times New Roman" w:hAnsi="Times New Roman" w:eastAsia="Times New Roman" w:cs="Times New Roman"/>
                <w:spacing w:val="-3"/>
              </w:rPr>
              <w:t>Lw</w:t>
            </w:r>
            <w:r>
              <w:rPr>
                <w:rFonts w:ascii="Times New Roman" w:hAnsi="Times New Roman" w:eastAsia="Times New Roman" w:cs="Times New Roman"/>
                <w:spacing w:val="14"/>
              </w:rPr>
              <w:t xml:space="preserve"> </w:t>
            </w:r>
            <w:r>
              <w:rPr>
                <w:spacing w:val="-3"/>
              </w:rPr>
              <w:t>或</w:t>
            </w:r>
            <w:r>
              <w:rPr>
                <w:spacing w:val="-58"/>
              </w:rPr>
              <w:t xml:space="preserve"> </w:t>
            </w:r>
            <w:r>
              <w:rPr>
                <w:rFonts w:ascii="Times New Roman" w:hAnsi="Times New Roman" w:eastAsia="Times New Roman" w:cs="Times New Roman"/>
                <w:spacing w:val="-3"/>
              </w:rPr>
              <w:t>A</w:t>
            </w:r>
            <w:r>
              <w:rPr>
                <w:rFonts w:ascii="Times New Roman" w:hAnsi="Times New Roman" w:eastAsia="Times New Roman" w:cs="Times New Roman"/>
                <w:spacing w:val="16"/>
              </w:rPr>
              <w:t xml:space="preserve"> </w:t>
            </w:r>
            <w:r>
              <w:rPr>
                <w:spacing w:val="-3"/>
              </w:rPr>
              <w:t>声功率级</w:t>
            </w:r>
            <w:r>
              <w:rPr>
                <w:spacing w:val="-4"/>
              </w:rPr>
              <w:t>（</w:t>
            </w:r>
            <w:r>
              <w:rPr>
                <w:rFonts w:ascii="Times New Roman" w:hAnsi="Times New Roman" w:eastAsia="Times New Roman" w:cs="Times New Roman"/>
                <w:spacing w:val="-4"/>
              </w:rPr>
              <w:t>LAw</w:t>
            </w:r>
            <w:r>
              <w:rPr>
                <w:spacing w:val="-33"/>
              </w:rPr>
              <w:t>），</w:t>
            </w:r>
            <w:r>
              <w:rPr>
                <w:spacing w:val="-4"/>
              </w:rPr>
              <w:t>且声源处于自由</w:t>
            </w:r>
            <w:r>
              <w:rPr>
                <w:spacing w:val="-1"/>
              </w:rPr>
              <w:t>声场，则无指向性点声源几何发散衰减的基本公式等效为：</w:t>
            </w:r>
          </w:p>
          <w:p w14:paraId="3D851BE0">
            <w:pPr>
              <w:pStyle w:val="9"/>
              <w:spacing w:line="323" w:lineRule="exact"/>
              <w:ind w:left="2174"/>
              <w:rPr>
                <w:rFonts w:ascii="Times New Roman" w:hAnsi="Times New Roman" w:eastAsia="Times New Roman" w:cs="Times New Roman"/>
              </w:rPr>
            </w:pPr>
            <w:r>
              <w:rPr>
                <w:rFonts w:ascii="Times New Roman" w:hAnsi="Times New Roman" w:eastAsia="Times New Roman" w:cs="Times New Roman"/>
                <w:spacing w:val="-2"/>
                <w:position w:val="3"/>
              </w:rPr>
              <w:t>Lp</w:t>
            </w:r>
            <w:r>
              <w:rPr>
                <w:spacing w:val="-2"/>
                <w:position w:val="3"/>
              </w:rPr>
              <w:t>（</w:t>
            </w:r>
            <w:r>
              <w:rPr>
                <w:rFonts w:ascii="Times New Roman" w:hAnsi="Times New Roman" w:eastAsia="Times New Roman" w:cs="Times New Roman"/>
                <w:spacing w:val="-2"/>
                <w:position w:val="3"/>
              </w:rPr>
              <w:t>r</w:t>
            </w:r>
            <w:r>
              <w:rPr>
                <w:spacing w:val="-2"/>
                <w:position w:val="3"/>
              </w:rPr>
              <w:t>）</w:t>
            </w:r>
            <w:r>
              <w:rPr>
                <w:rFonts w:ascii="Times New Roman" w:hAnsi="Times New Roman" w:eastAsia="Times New Roman" w:cs="Times New Roman"/>
                <w:spacing w:val="-2"/>
                <w:position w:val="3"/>
              </w:rPr>
              <w:t>=Lw-20lg</w:t>
            </w:r>
            <w:r>
              <w:rPr>
                <w:spacing w:val="-2"/>
                <w:position w:val="3"/>
              </w:rPr>
              <w:t>（</w:t>
            </w:r>
            <w:r>
              <w:rPr>
                <w:rFonts w:ascii="Times New Roman" w:hAnsi="Times New Roman" w:eastAsia="Times New Roman" w:cs="Times New Roman"/>
                <w:spacing w:val="-2"/>
                <w:position w:val="3"/>
              </w:rPr>
              <w:t>r</w:t>
            </w:r>
            <w:r>
              <w:rPr>
                <w:spacing w:val="-2"/>
                <w:position w:val="3"/>
              </w:rPr>
              <w:t>）</w:t>
            </w:r>
            <w:r>
              <w:rPr>
                <w:rFonts w:ascii="Times New Roman" w:hAnsi="Times New Roman" w:eastAsia="Times New Roman" w:cs="Times New Roman"/>
                <w:spacing w:val="-2"/>
                <w:position w:val="3"/>
              </w:rPr>
              <w:t>-</w:t>
            </w:r>
            <w:r>
              <w:rPr>
                <w:rFonts w:ascii="Times New Roman" w:hAnsi="Times New Roman" w:eastAsia="Times New Roman" w:cs="Times New Roman"/>
                <w:spacing w:val="-33"/>
                <w:position w:val="3"/>
              </w:rPr>
              <w:t xml:space="preserve"> </w:t>
            </w:r>
            <w:r>
              <w:rPr>
                <w:rFonts w:ascii="Times New Roman" w:hAnsi="Times New Roman" w:eastAsia="Times New Roman" w:cs="Times New Roman"/>
                <w:spacing w:val="-2"/>
                <w:position w:val="3"/>
              </w:rPr>
              <w:t>11</w:t>
            </w:r>
            <w:r>
              <w:rPr>
                <w:spacing w:val="-2"/>
                <w:position w:val="3"/>
              </w:rPr>
              <w:t>；</w:t>
            </w:r>
            <w:r>
              <w:rPr>
                <w:rFonts w:ascii="Times New Roman" w:hAnsi="Times New Roman" w:eastAsia="Times New Roman" w:cs="Times New Roman"/>
                <w:spacing w:val="-2"/>
                <w:position w:val="3"/>
              </w:rPr>
              <w:t>LA</w:t>
            </w:r>
            <w:r>
              <w:rPr>
                <w:spacing w:val="-2"/>
                <w:position w:val="3"/>
              </w:rPr>
              <w:t>（</w:t>
            </w:r>
            <w:r>
              <w:rPr>
                <w:rFonts w:ascii="Times New Roman" w:hAnsi="Times New Roman" w:eastAsia="Times New Roman" w:cs="Times New Roman"/>
                <w:spacing w:val="-2"/>
                <w:position w:val="3"/>
              </w:rPr>
              <w:t>r</w:t>
            </w:r>
            <w:r>
              <w:rPr>
                <w:spacing w:val="-2"/>
                <w:position w:val="3"/>
              </w:rPr>
              <w:t>）</w:t>
            </w:r>
            <w:r>
              <w:rPr>
                <w:rFonts w:ascii="Times New Roman" w:hAnsi="Times New Roman" w:eastAsia="Times New Roman" w:cs="Times New Roman"/>
                <w:spacing w:val="-2"/>
                <w:position w:val="3"/>
              </w:rPr>
              <w:t>=LA</w:t>
            </w:r>
            <w:r>
              <w:rPr>
                <w:rFonts w:ascii="Times New Roman" w:hAnsi="Times New Roman" w:eastAsia="Times New Roman" w:cs="Times New Roman"/>
                <w:spacing w:val="-3"/>
                <w:position w:val="3"/>
              </w:rPr>
              <w:t>w-20lg</w:t>
            </w:r>
            <w:r>
              <w:rPr>
                <w:spacing w:val="-3"/>
                <w:position w:val="3"/>
              </w:rPr>
              <w:t>（</w:t>
            </w:r>
            <w:r>
              <w:rPr>
                <w:rFonts w:ascii="Times New Roman" w:hAnsi="Times New Roman" w:eastAsia="Times New Roman" w:cs="Times New Roman"/>
                <w:spacing w:val="-3"/>
                <w:position w:val="3"/>
              </w:rPr>
              <w:t>r</w:t>
            </w:r>
            <w:r>
              <w:rPr>
                <w:spacing w:val="-3"/>
                <w:position w:val="3"/>
              </w:rPr>
              <w:t>）</w:t>
            </w:r>
            <w:r>
              <w:rPr>
                <w:rFonts w:ascii="Times New Roman" w:hAnsi="Times New Roman" w:eastAsia="Times New Roman" w:cs="Times New Roman"/>
                <w:spacing w:val="-3"/>
                <w:position w:val="3"/>
              </w:rPr>
              <w:t>-</w:t>
            </w:r>
            <w:r>
              <w:rPr>
                <w:rFonts w:ascii="Times New Roman" w:hAnsi="Times New Roman" w:eastAsia="Times New Roman" w:cs="Times New Roman"/>
                <w:spacing w:val="-32"/>
                <w:position w:val="3"/>
              </w:rPr>
              <w:t xml:space="preserve"> </w:t>
            </w:r>
            <w:r>
              <w:rPr>
                <w:rFonts w:ascii="Times New Roman" w:hAnsi="Times New Roman" w:eastAsia="Times New Roman" w:cs="Times New Roman"/>
                <w:spacing w:val="-3"/>
                <w:position w:val="3"/>
              </w:rPr>
              <w:t>11</w:t>
            </w:r>
          </w:p>
          <w:p w14:paraId="10D3078D">
            <w:pPr>
              <w:pStyle w:val="9"/>
              <w:spacing w:before="184" w:line="220" w:lineRule="auto"/>
              <w:ind w:left="582"/>
            </w:pPr>
            <w:r>
              <w:rPr>
                <w:rFonts w:ascii="Times New Roman" w:hAnsi="Times New Roman" w:eastAsia="Times New Roman" w:cs="Times New Roman"/>
                <w:b/>
                <w:bCs/>
                <w:spacing w:val="-7"/>
              </w:rPr>
              <w:t>3</w:t>
            </w:r>
            <w:r>
              <w:rPr>
                <w:rFonts w:ascii="Times New Roman" w:hAnsi="Times New Roman" w:eastAsia="Times New Roman" w:cs="Times New Roman"/>
                <w:b/>
                <w:bCs/>
                <w:spacing w:val="-31"/>
              </w:rPr>
              <w:t xml:space="preserve"> </w:t>
            </w:r>
            <w:r>
              <w:rPr>
                <w:b/>
                <w:bCs/>
                <w:spacing w:val="-7"/>
              </w:rPr>
              <w:t>、预测结果</w:t>
            </w:r>
          </w:p>
        </w:tc>
      </w:tr>
    </w:tbl>
    <w:p w14:paraId="56B9C344">
      <w:pPr>
        <w:pStyle w:val="3"/>
      </w:pPr>
    </w:p>
    <w:p w14:paraId="482741DA">
      <w:pPr>
        <w:sectPr>
          <w:footerReference r:id="rId65" w:type="default"/>
          <w:pgSz w:w="11906" w:h="16838"/>
          <w:pgMar w:top="1416" w:right="1151" w:bottom="1295" w:left="1150" w:header="0" w:footer="1133" w:gutter="0"/>
          <w:cols w:space="720" w:num="1"/>
        </w:sectPr>
      </w:pPr>
    </w:p>
    <w:tbl>
      <w:tblPr>
        <w:tblStyle w:val="8"/>
        <w:tblW w:w="958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99"/>
        <w:gridCol w:w="8990"/>
      </w:tblGrid>
      <w:tr w14:paraId="4081BB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73" w:hRule="atLeast"/>
        </w:trPr>
        <w:tc>
          <w:tcPr>
            <w:tcW w:w="599" w:type="dxa"/>
            <w:tcBorders>
              <w:right w:val="single" w:color="000000" w:sz="2" w:space="0"/>
            </w:tcBorders>
            <w:vAlign w:val="top"/>
          </w:tcPr>
          <w:p w14:paraId="70249A85">
            <w:pPr>
              <w:rPr>
                <w:rFonts w:ascii="Arial"/>
                <w:sz w:val="21"/>
              </w:rPr>
            </w:pPr>
          </w:p>
        </w:tc>
        <w:tc>
          <w:tcPr>
            <w:tcW w:w="8990" w:type="dxa"/>
            <w:tcBorders>
              <w:left w:val="single" w:color="000000" w:sz="2" w:space="0"/>
            </w:tcBorders>
            <w:vAlign w:val="top"/>
          </w:tcPr>
          <w:p w14:paraId="51F4B3EA">
            <w:pPr>
              <w:pStyle w:val="9"/>
              <w:spacing w:before="165" w:line="364" w:lineRule="auto"/>
              <w:ind w:left="111" w:right="102" w:firstLine="476"/>
            </w:pPr>
            <w:r>
              <w:rPr>
                <w:spacing w:val="-3"/>
              </w:rPr>
              <w:t>根据对本项目厂界各受声点的噪声预测，通过计算，厂界各受声</w:t>
            </w:r>
            <w:r>
              <w:rPr>
                <w:spacing w:val="-4"/>
              </w:rPr>
              <w:t>点的噪声贡献值</w:t>
            </w:r>
            <w:r>
              <w:rPr>
                <w:spacing w:val="-3"/>
              </w:rPr>
              <w:t>见表</w:t>
            </w:r>
            <w:r>
              <w:rPr>
                <w:spacing w:val="-57"/>
              </w:rPr>
              <w:t xml:space="preserve"> </w:t>
            </w:r>
            <w:r>
              <w:rPr>
                <w:rFonts w:ascii="Times New Roman" w:hAnsi="Times New Roman" w:eastAsia="Times New Roman" w:cs="Times New Roman"/>
                <w:spacing w:val="-3"/>
              </w:rPr>
              <w:t>4-4</w:t>
            </w:r>
            <w:r>
              <w:rPr>
                <w:spacing w:val="-3"/>
              </w:rPr>
              <w:t>。</w:t>
            </w:r>
          </w:p>
          <w:p w14:paraId="7359838B">
            <w:pPr>
              <w:pStyle w:val="9"/>
              <w:spacing w:before="18" w:line="210" w:lineRule="auto"/>
              <w:ind w:left="1705"/>
              <w:outlineLvl w:val="3"/>
            </w:pPr>
            <w:r>
              <w:rPr>
                <w:b/>
                <w:bCs/>
                <w:spacing w:val="-1"/>
              </w:rPr>
              <w:t>表</w:t>
            </w:r>
            <w:r>
              <w:rPr>
                <w:spacing w:val="-54"/>
              </w:rPr>
              <w:t xml:space="preserve"> </w:t>
            </w:r>
            <w:r>
              <w:rPr>
                <w:rFonts w:ascii="Times New Roman" w:hAnsi="Times New Roman" w:eastAsia="Times New Roman" w:cs="Times New Roman"/>
                <w:b/>
                <w:bCs/>
                <w:spacing w:val="-1"/>
              </w:rPr>
              <w:t xml:space="preserve">4-4        </w:t>
            </w:r>
            <w:r>
              <w:rPr>
                <w:b/>
                <w:bCs/>
                <w:spacing w:val="-1"/>
              </w:rPr>
              <w:t>厂界噪声预测结果</w:t>
            </w:r>
            <w:r>
              <w:rPr>
                <w:spacing w:val="-1"/>
              </w:rPr>
              <w:t xml:space="preserve">  </w:t>
            </w:r>
            <w:r>
              <w:rPr>
                <w:b/>
                <w:bCs/>
                <w:spacing w:val="-1"/>
              </w:rPr>
              <w:t>单位：</w:t>
            </w:r>
            <w:r>
              <w:rPr>
                <w:rFonts w:ascii="Times New Roman" w:hAnsi="Times New Roman" w:eastAsia="Times New Roman" w:cs="Times New Roman"/>
                <w:b/>
                <w:bCs/>
                <w:spacing w:val="-1"/>
              </w:rPr>
              <w:t>Leq    dB</w:t>
            </w:r>
            <w:r>
              <w:rPr>
                <w:b/>
                <w:bCs/>
                <w:spacing w:val="-2"/>
              </w:rPr>
              <w:t>（</w:t>
            </w:r>
            <w:r>
              <w:rPr>
                <w:rFonts w:ascii="Times New Roman" w:hAnsi="Times New Roman" w:eastAsia="Times New Roman" w:cs="Times New Roman"/>
                <w:b/>
                <w:bCs/>
                <w:spacing w:val="-2"/>
              </w:rPr>
              <w:t>A</w:t>
            </w:r>
            <w:r>
              <w:rPr>
                <w:b/>
                <w:bCs/>
                <w:spacing w:val="-2"/>
              </w:rPr>
              <w:t>）</w:t>
            </w:r>
          </w:p>
          <w:p w14:paraId="0602A4A3">
            <w:pPr>
              <w:spacing w:line="17" w:lineRule="auto"/>
              <w:rPr>
                <w:rFonts w:ascii="Arial"/>
                <w:sz w:val="2"/>
              </w:rPr>
            </w:pPr>
          </w:p>
          <w:tbl>
            <w:tblPr>
              <w:tblStyle w:val="8"/>
              <w:tblW w:w="8773" w:type="dxa"/>
              <w:tblInd w:w="10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1"/>
              <w:gridCol w:w="658"/>
              <w:gridCol w:w="964"/>
              <w:gridCol w:w="1832"/>
              <w:gridCol w:w="1667"/>
              <w:gridCol w:w="1223"/>
              <w:gridCol w:w="1448"/>
            </w:tblGrid>
            <w:tr w14:paraId="1FAF39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2" w:hRule="atLeast"/>
              </w:trPr>
              <w:tc>
                <w:tcPr>
                  <w:tcW w:w="981" w:type="dxa"/>
                  <w:vAlign w:val="top"/>
                </w:tcPr>
                <w:p w14:paraId="7C542AF1">
                  <w:pPr>
                    <w:spacing w:line="468" w:lineRule="auto"/>
                    <w:rPr>
                      <w:rFonts w:ascii="Arial"/>
                      <w:sz w:val="21"/>
                    </w:rPr>
                  </w:pPr>
                </w:p>
                <w:p w14:paraId="74297B81">
                  <w:pPr>
                    <w:pStyle w:val="9"/>
                    <w:spacing w:before="65" w:line="229" w:lineRule="auto"/>
                    <w:ind w:left="284"/>
                    <w:rPr>
                      <w:sz w:val="20"/>
                      <w:szCs w:val="20"/>
                    </w:rPr>
                  </w:pPr>
                  <w:r>
                    <w:rPr>
                      <w:b/>
                      <w:bCs/>
                      <w:spacing w:val="4"/>
                      <w:sz w:val="20"/>
                      <w:szCs w:val="20"/>
                    </w:rPr>
                    <w:t>序号</w:t>
                  </w:r>
                </w:p>
              </w:tc>
              <w:tc>
                <w:tcPr>
                  <w:tcW w:w="1622" w:type="dxa"/>
                  <w:gridSpan w:val="2"/>
                  <w:vAlign w:val="top"/>
                </w:tcPr>
                <w:p w14:paraId="5168AC25">
                  <w:pPr>
                    <w:spacing w:line="468" w:lineRule="auto"/>
                    <w:rPr>
                      <w:rFonts w:ascii="Arial"/>
                      <w:sz w:val="21"/>
                    </w:rPr>
                  </w:pPr>
                </w:p>
                <w:p w14:paraId="635ACA6F">
                  <w:pPr>
                    <w:pStyle w:val="9"/>
                    <w:spacing w:before="65" w:line="230" w:lineRule="auto"/>
                    <w:ind w:left="605"/>
                    <w:rPr>
                      <w:sz w:val="20"/>
                      <w:szCs w:val="20"/>
                    </w:rPr>
                  </w:pPr>
                  <w:r>
                    <w:rPr>
                      <w:b/>
                      <w:bCs/>
                      <w:spacing w:val="2"/>
                      <w:sz w:val="20"/>
                      <w:szCs w:val="20"/>
                    </w:rPr>
                    <w:t>名称</w:t>
                  </w:r>
                </w:p>
              </w:tc>
              <w:tc>
                <w:tcPr>
                  <w:tcW w:w="1832" w:type="dxa"/>
                  <w:vAlign w:val="top"/>
                </w:tcPr>
                <w:p w14:paraId="303B6403">
                  <w:pPr>
                    <w:spacing w:line="467" w:lineRule="auto"/>
                    <w:rPr>
                      <w:rFonts w:ascii="Arial"/>
                      <w:sz w:val="21"/>
                    </w:rPr>
                  </w:pPr>
                </w:p>
                <w:p w14:paraId="072AC8FD">
                  <w:pPr>
                    <w:pStyle w:val="9"/>
                    <w:spacing w:before="65" w:line="228" w:lineRule="auto"/>
                    <w:ind w:left="267"/>
                    <w:rPr>
                      <w:sz w:val="20"/>
                      <w:szCs w:val="20"/>
                    </w:rPr>
                  </w:pPr>
                  <w:r>
                    <w:rPr>
                      <w:b/>
                      <w:bCs/>
                      <w:spacing w:val="6"/>
                      <w:sz w:val="20"/>
                      <w:szCs w:val="20"/>
                    </w:rPr>
                    <w:t>贡献值（</w:t>
                  </w:r>
                  <w:r>
                    <w:rPr>
                      <w:rFonts w:ascii="Times New Roman" w:hAnsi="Times New Roman" w:eastAsia="Times New Roman" w:cs="Times New Roman"/>
                      <w:b/>
                      <w:bCs/>
                      <w:sz w:val="20"/>
                      <w:szCs w:val="20"/>
                    </w:rPr>
                    <w:t>dB</w:t>
                  </w:r>
                  <w:r>
                    <w:rPr>
                      <w:b/>
                      <w:bCs/>
                      <w:spacing w:val="6"/>
                      <w:sz w:val="20"/>
                      <w:szCs w:val="20"/>
                    </w:rPr>
                    <w:t>）</w:t>
                  </w:r>
                </w:p>
              </w:tc>
              <w:tc>
                <w:tcPr>
                  <w:tcW w:w="1667" w:type="dxa"/>
                  <w:vAlign w:val="top"/>
                </w:tcPr>
                <w:p w14:paraId="7D54527B">
                  <w:pPr>
                    <w:spacing w:line="467" w:lineRule="auto"/>
                    <w:rPr>
                      <w:rFonts w:ascii="Arial"/>
                      <w:sz w:val="21"/>
                    </w:rPr>
                  </w:pPr>
                </w:p>
                <w:p w14:paraId="08DC01D7">
                  <w:pPr>
                    <w:pStyle w:val="9"/>
                    <w:spacing w:before="65" w:line="228" w:lineRule="auto"/>
                    <w:ind w:left="315"/>
                    <w:rPr>
                      <w:sz w:val="20"/>
                      <w:szCs w:val="20"/>
                    </w:rPr>
                  </w:pPr>
                  <w:r>
                    <w:rPr>
                      <w:b/>
                      <w:bCs/>
                      <w:spacing w:val="5"/>
                      <w:sz w:val="20"/>
                      <w:szCs w:val="20"/>
                    </w:rPr>
                    <w:t>功能区类型</w:t>
                  </w:r>
                </w:p>
              </w:tc>
              <w:tc>
                <w:tcPr>
                  <w:tcW w:w="1223" w:type="dxa"/>
                  <w:vAlign w:val="top"/>
                </w:tcPr>
                <w:p w14:paraId="2F1E08BD">
                  <w:pPr>
                    <w:spacing w:line="467" w:lineRule="auto"/>
                    <w:rPr>
                      <w:rFonts w:ascii="Arial"/>
                      <w:sz w:val="21"/>
                    </w:rPr>
                  </w:pPr>
                </w:p>
                <w:p w14:paraId="64122BAC">
                  <w:pPr>
                    <w:pStyle w:val="9"/>
                    <w:spacing w:before="65" w:line="228" w:lineRule="auto"/>
                    <w:ind w:left="304"/>
                    <w:rPr>
                      <w:sz w:val="20"/>
                      <w:szCs w:val="20"/>
                    </w:rPr>
                  </w:pPr>
                  <w:r>
                    <w:rPr>
                      <w:b/>
                      <w:bCs/>
                      <w:spacing w:val="5"/>
                      <w:sz w:val="20"/>
                      <w:szCs w:val="20"/>
                    </w:rPr>
                    <w:t>标准值</w:t>
                  </w:r>
                </w:p>
              </w:tc>
              <w:tc>
                <w:tcPr>
                  <w:tcW w:w="1448" w:type="dxa"/>
                  <w:vAlign w:val="top"/>
                </w:tcPr>
                <w:p w14:paraId="326BD00C">
                  <w:pPr>
                    <w:spacing w:line="468" w:lineRule="auto"/>
                    <w:rPr>
                      <w:rFonts w:ascii="Arial"/>
                      <w:sz w:val="21"/>
                    </w:rPr>
                  </w:pPr>
                </w:p>
                <w:p w14:paraId="78EDFA65">
                  <w:pPr>
                    <w:pStyle w:val="9"/>
                    <w:spacing w:before="65" w:line="228" w:lineRule="auto"/>
                    <w:ind w:left="310"/>
                    <w:rPr>
                      <w:sz w:val="20"/>
                      <w:szCs w:val="20"/>
                    </w:rPr>
                  </w:pPr>
                  <w:r>
                    <w:rPr>
                      <w:b/>
                      <w:bCs/>
                      <w:spacing w:val="5"/>
                      <w:sz w:val="20"/>
                      <w:szCs w:val="20"/>
                    </w:rPr>
                    <w:t>是否达标</w:t>
                  </w:r>
                </w:p>
              </w:tc>
            </w:tr>
            <w:tr w14:paraId="1EA479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7" w:hRule="atLeast"/>
              </w:trPr>
              <w:tc>
                <w:tcPr>
                  <w:tcW w:w="981" w:type="dxa"/>
                  <w:vAlign w:val="top"/>
                </w:tcPr>
                <w:p w14:paraId="580A60E2">
                  <w:pPr>
                    <w:spacing w:before="233" w:line="195" w:lineRule="auto"/>
                    <w:ind w:left="460"/>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658" w:type="dxa"/>
                  <w:vMerge w:val="restart"/>
                  <w:tcBorders>
                    <w:bottom w:val="nil"/>
                  </w:tcBorders>
                  <w:vAlign w:val="top"/>
                </w:tcPr>
                <w:p w14:paraId="470F4F2E">
                  <w:pPr>
                    <w:spacing w:line="311" w:lineRule="auto"/>
                    <w:rPr>
                      <w:rFonts w:ascii="Arial"/>
                      <w:sz w:val="21"/>
                    </w:rPr>
                  </w:pPr>
                </w:p>
                <w:p w14:paraId="081A2725">
                  <w:pPr>
                    <w:spacing w:line="311" w:lineRule="auto"/>
                    <w:rPr>
                      <w:rFonts w:ascii="Arial"/>
                      <w:sz w:val="21"/>
                    </w:rPr>
                  </w:pPr>
                </w:p>
                <w:p w14:paraId="67E2B122">
                  <w:pPr>
                    <w:spacing w:line="312" w:lineRule="auto"/>
                    <w:rPr>
                      <w:rFonts w:ascii="Arial"/>
                      <w:sz w:val="21"/>
                    </w:rPr>
                  </w:pPr>
                </w:p>
                <w:p w14:paraId="5B3FF5A6">
                  <w:pPr>
                    <w:pStyle w:val="9"/>
                    <w:spacing w:before="65" w:line="231" w:lineRule="auto"/>
                    <w:ind w:left="122"/>
                    <w:rPr>
                      <w:sz w:val="20"/>
                      <w:szCs w:val="20"/>
                    </w:rPr>
                  </w:pPr>
                  <w:r>
                    <w:rPr>
                      <w:spacing w:val="5"/>
                      <w:sz w:val="20"/>
                      <w:szCs w:val="20"/>
                    </w:rPr>
                    <w:t>昼间</w:t>
                  </w:r>
                </w:p>
              </w:tc>
              <w:tc>
                <w:tcPr>
                  <w:tcW w:w="964" w:type="dxa"/>
                  <w:vAlign w:val="top"/>
                </w:tcPr>
                <w:p w14:paraId="6826005A">
                  <w:pPr>
                    <w:pStyle w:val="9"/>
                    <w:spacing w:before="196" w:line="228" w:lineRule="auto"/>
                    <w:ind w:left="279"/>
                    <w:rPr>
                      <w:sz w:val="20"/>
                      <w:szCs w:val="20"/>
                    </w:rPr>
                  </w:pPr>
                  <w:r>
                    <w:rPr>
                      <w:spacing w:val="3"/>
                      <w:sz w:val="20"/>
                      <w:szCs w:val="20"/>
                    </w:rPr>
                    <w:t>北侧</w:t>
                  </w:r>
                </w:p>
              </w:tc>
              <w:tc>
                <w:tcPr>
                  <w:tcW w:w="1832" w:type="dxa"/>
                  <w:vAlign w:val="top"/>
                </w:tcPr>
                <w:p w14:paraId="63FD46BB">
                  <w:pPr>
                    <w:spacing w:before="233" w:line="195" w:lineRule="auto"/>
                    <w:ind w:left="68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38.38</w:t>
                  </w:r>
                </w:p>
              </w:tc>
              <w:tc>
                <w:tcPr>
                  <w:tcW w:w="1667" w:type="dxa"/>
                  <w:vAlign w:val="top"/>
                </w:tcPr>
                <w:p w14:paraId="01630C0B">
                  <w:pPr>
                    <w:pStyle w:val="9"/>
                    <w:spacing w:before="196" w:line="228" w:lineRule="auto"/>
                    <w:ind w:left="651"/>
                    <w:rPr>
                      <w:sz w:val="20"/>
                      <w:szCs w:val="20"/>
                    </w:rPr>
                  </w:pPr>
                  <w:r>
                    <w:rPr>
                      <w:rFonts w:ascii="Times New Roman" w:hAnsi="Times New Roman" w:eastAsia="Times New Roman" w:cs="Times New Roman"/>
                      <w:sz w:val="20"/>
                      <w:szCs w:val="20"/>
                    </w:rPr>
                    <w:t>2</w:t>
                  </w:r>
                  <w:r>
                    <w:rPr>
                      <w:rFonts w:ascii="Times New Roman" w:hAnsi="Times New Roman" w:eastAsia="Times New Roman" w:cs="Times New Roman"/>
                      <w:spacing w:val="12"/>
                      <w:sz w:val="20"/>
                      <w:szCs w:val="20"/>
                    </w:rPr>
                    <w:t xml:space="preserve"> </w:t>
                  </w:r>
                  <w:r>
                    <w:rPr>
                      <w:sz w:val="20"/>
                      <w:szCs w:val="20"/>
                    </w:rPr>
                    <w:t>类</w:t>
                  </w:r>
                </w:p>
              </w:tc>
              <w:tc>
                <w:tcPr>
                  <w:tcW w:w="1223" w:type="dxa"/>
                  <w:vMerge w:val="restart"/>
                  <w:tcBorders>
                    <w:bottom w:val="nil"/>
                  </w:tcBorders>
                  <w:vAlign w:val="top"/>
                </w:tcPr>
                <w:p w14:paraId="0BDB7C76">
                  <w:pPr>
                    <w:spacing w:line="244" w:lineRule="auto"/>
                    <w:rPr>
                      <w:rFonts w:ascii="Arial"/>
                      <w:sz w:val="21"/>
                    </w:rPr>
                  </w:pPr>
                </w:p>
                <w:p w14:paraId="76EC96BB">
                  <w:pPr>
                    <w:spacing w:line="244" w:lineRule="auto"/>
                    <w:rPr>
                      <w:rFonts w:ascii="Arial"/>
                      <w:sz w:val="21"/>
                    </w:rPr>
                  </w:pPr>
                </w:p>
                <w:p w14:paraId="27FBFBCC">
                  <w:pPr>
                    <w:spacing w:line="245" w:lineRule="auto"/>
                    <w:rPr>
                      <w:rFonts w:ascii="Arial"/>
                      <w:sz w:val="21"/>
                    </w:rPr>
                  </w:pPr>
                </w:p>
                <w:p w14:paraId="2855A596">
                  <w:pPr>
                    <w:spacing w:line="245" w:lineRule="auto"/>
                    <w:rPr>
                      <w:rFonts w:ascii="Arial"/>
                      <w:sz w:val="21"/>
                    </w:rPr>
                  </w:pPr>
                </w:p>
                <w:p w14:paraId="0F46E2D3">
                  <w:pPr>
                    <w:spacing w:before="57" w:line="195" w:lineRule="auto"/>
                    <w:ind w:left="515"/>
                    <w:rPr>
                      <w:rFonts w:ascii="Times New Roman" w:hAnsi="Times New Roman" w:eastAsia="Times New Roman" w:cs="Times New Roman"/>
                      <w:sz w:val="20"/>
                      <w:szCs w:val="20"/>
                    </w:rPr>
                  </w:pPr>
                  <w:r>
                    <w:rPr>
                      <w:rFonts w:ascii="Times New Roman" w:hAnsi="Times New Roman" w:eastAsia="Times New Roman" w:cs="Times New Roman"/>
                      <w:sz w:val="20"/>
                      <w:szCs w:val="20"/>
                    </w:rPr>
                    <w:t>60</w:t>
                  </w:r>
                </w:p>
              </w:tc>
              <w:tc>
                <w:tcPr>
                  <w:tcW w:w="1448" w:type="dxa"/>
                  <w:vAlign w:val="top"/>
                </w:tcPr>
                <w:p w14:paraId="7B1CF0C0">
                  <w:pPr>
                    <w:pStyle w:val="9"/>
                    <w:spacing w:before="197" w:line="231" w:lineRule="auto"/>
                    <w:ind w:left="627"/>
                    <w:rPr>
                      <w:sz w:val="20"/>
                      <w:szCs w:val="20"/>
                    </w:rPr>
                  </w:pPr>
                  <w:r>
                    <w:rPr>
                      <w:sz w:val="20"/>
                      <w:szCs w:val="20"/>
                    </w:rPr>
                    <w:t>是</w:t>
                  </w:r>
                </w:p>
              </w:tc>
            </w:tr>
            <w:tr w14:paraId="3DEBFB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981" w:type="dxa"/>
                  <w:vAlign w:val="top"/>
                </w:tcPr>
                <w:p w14:paraId="2CC69108">
                  <w:pPr>
                    <w:spacing w:before="156" w:line="195" w:lineRule="auto"/>
                    <w:ind w:left="440"/>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658" w:type="dxa"/>
                  <w:vMerge w:val="continue"/>
                  <w:tcBorders>
                    <w:top w:val="nil"/>
                    <w:bottom w:val="nil"/>
                  </w:tcBorders>
                  <w:vAlign w:val="top"/>
                </w:tcPr>
                <w:p w14:paraId="4E77AE99">
                  <w:pPr>
                    <w:rPr>
                      <w:rFonts w:ascii="Arial"/>
                      <w:sz w:val="21"/>
                    </w:rPr>
                  </w:pPr>
                </w:p>
              </w:tc>
              <w:tc>
                <w:tcPr>
                  <w:tcW w:w="964" w:type="dxa"/>
                  <w:vAlign w:val="top"/>
                </w:tcPr>
                <w:p w14:paraId="32CC3D78">
                  <w:pPr>
                    <w:pStyle w:val="9"/>
                    <w:spacing w:before="120" w:line="228" w:lineRule="auto"/>
                    <w:ind w:left="283"/>
                    <w:rPr>
                      <w:sz w:val="20"/>
                      <w:szCs w:val="20"/>
                    </w:rPr>
                  </w:pPr>
                  <w:r>
                    <w:rPr>
                      <w:spacing w:val="1"/>
                      <w:sz w:val="20"/>
                      <w:szCs w:val="20"/>
                    </w:rPr>
                    <w:t>东侧</w:t>
                  </w:r>
                </w:p>
              </w:tc>
              <w:tc>
                <w:tcPr>
                  <w:tcW w:w="1832" w:type="dxa"/>
                  <w:vAlign w:val="top"/>
                </w:tcPr>
                <w:p w14:paraId="08CB8EBE">
                  <w:pPr>
                    <w:spacing w:before="156" w:line="195" w:lineRule="auto"/>
                    <w:ind w:left="68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36.13</w:t>
                  </w:r>
                </w:p>
              </w:tc>
              <w:tc>
                <w:tcPr>
                  <w:tcW w:w="1667" w:type="dxa"/>
                  <w:vAlign w:val="top"/>
                </w:tcPr>
                <w:p w14:paraId="2866FB38">
                  <w:pPr>
                    <w:pStyle w:val="9"/>
                    <w:spacing w:before="120" w:line="228" w:lineRule="auto"/>
                    <w:ind w:left="651"/>
                    <w:rPr>
                      <w:sz w:val="20"/>
                      <w:szCs w:val="20"/>
                    </w:rPr>
                  </w:pPr>
                  <w:r>
                    <w:rPr>
                      <w:rFonts w:ascii="Times New Roman" w:hAnsi="Times New Roman" w:eastAsia="Times New Roman" w:cs="Times New Roman"/>
                      <w:sz w:val="20"/>
                      <w:szCs w:val="20"/>
                    </w:rPr>
                    <w:t>2</w:t>
                  </w:r>
                  <w:r>
                    <w:rPr>
                      <w:rFonts w:ascii="Times New Roman" w:hAnsi="Times New Roman" w:eastAsia="Times New Roman" w:cs="Times New Roman"/>
                      <w:spacing w:val="12"/>
                      <w:sz w:val="20"/>
                      <w:szCs w:val="20"/>
                    </w:rPr>
                    <w:t xml:space="preserve"> </w:t>
                  </w:r>
                  <w:r>
                    <w:rPr>
                      <w:sz w:val="20"/>
                      <w:szCs w:val="20"/>
                    </w:rPr>
                    <w:t>类</w:t>
                  </w:r>
                </w:p>
              </w:tc>
              <w:tc>
                <w:tcPr>
                  <w:tcW w:w="1223" w:type="dxa"/>
                  <w:vMerge w:val="continue"/>
                  <w:tcBorders>
                    <w:top w:val="nil"/>
                    <w:bottom w:val="nil"/>
                  </w:tcBorders>
                  <w:vAlign w:val="top"/>
                </w:tcPr>
                <w:p w14:paraId="0563C4B6">
                  <w:pPr>
                    <w:rPr>
                      <w:rFonts w:ascii="Arial"/>
                      <w:sz w:val="21"/>
                    </w:rPr>
                  </w:pPr>
                </w:p>
              </w:tc>
              <w:tc>
                <w:tcPr>
                  <w:tcW w:w="1448" w:type="dxa"/>
                  <w:vAlign w:val="top"/>
                </w:tcPr>
                <w:p w14:paraId="31B7E3DF">
                  <w:pPr>
                    <w:pStyle w:val="9"/>
                    <w:spacing w:before="120" w:line="231" w:lineRule="auto"/>
                    <w:ind w:left="627"/>
                    <w:rPr>
                      <w:sz w:val="20"/>
                      <w:szCs w:val="20"/>
                    </w:rPr>
                  </w:pPr>
                  <w:r>
                    <w:rPr>
                      <w:sz w:val="20"/>
                      <w:szCs w:val="20"/>
                    </w:rPr>
                    <w:t>是</w:t>
                  </w:r>
                </w:p>
              </w:tc>
            </w:tr>
            <w:tr w14:paraId="239AA5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981" w:type="dxa"/>
                  <w:vAlign w:val="top"/>
                </w:tcPr>
                <w:p w14:paraId="4314E2A9">
                  <w:pPr>
                    <w:spacing w:before="217" w:line="195" w:lineRule="auto"/>
                    <w:ind w:left="444"/>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658" w:type="dxa"/>
                  <w:vMerge w:val="continue"/>
                  <w:tcBorders>
                    <w:top w:val="nil"/>
                    <w:bottom w:val="nil"/>
                  </w:tcBorders>
                  <w:vAlign w:val="top"/>
                </w:tcPr>
                <w:p w14:paraId="76C98693">
                  <w:pPr>
                    <w:rPr>
                      <w:rFonts w:ascii="Arial"/>
                      <w:sz w:val="21"/>
                    </w:rPr>
                  </w:pPr>
                </w:p>
              </w:tc>
              <w:tc>
                <w:tcPr>
                  <w:tcW w:w="964" w:type="dxa"/>
                  <w:vAlign w:val="top"/>
                </w:tcPr>
                <w:p w14:paraId="09B735DC">
                  <w:pPr>
                    <w:pStyle w:val="9"/>
                    <w:spacing w:before="181" w:line="228" w:lineRule="auto"/>
                    <w:ind w:left="278"/>
                    <w:rPr>
                      <w:sz w:val="20"/>
                      <w:szCs w:val="20"/>
                    </w:rPr>
                  </w:pPr>
                  <w:r>
                    <w:rPr>
                      <w:spacing w:val="3"/>
                      <w:sz w:val="20"/>
                      <w:szCs w:val="20"/>
                    </w:rPr>
                    <w:t>南侧</w:t>
                  </w:r>
                </w:p>
              </w:tc>
              <w:tc>
                <w:tcPr>
                  <w:tcW w:w="1832" w:type="dxa"/>
                  <w:vAlign w:val="top"/>
                </w:tcPr>
                <w:p w14:paraId="2037F75F">
                  <w:pPr>
                    <w:spacing w:before="217" w:line="195" w:lineRule="auto"/>
                    <w:ind w:left="68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44.68</w:t>
                  </w:r>
                </w:p>
              </w:tc>
              <w:tc>
                <w:tcPr>
                  <w:tcW w:w="1667" w:type="dxa"/>
                  <w:vAlign w:val="top"/>
                </w:tcPr>
                <w:p w14:paraId="5C9899FC">
                  <w:pPr>
                    <w:pStyle w:val="9"/>
                    <w:spacing w:before="181" w:line="228" w:lineRule="auto"/>
                    <w:ind w:left="651"/>
                    <w:rPr>
                      <w:sz w:val="20"/>
                      <w:szCs w:val="20"/>
                    </w:rPr>
                  </w:pPr>
                  <w:r>
                    <w:rPr>
                      <w:rFonts w:ascii="Times New Roman" w:hAnsi="Times New Roman" w:eastAsia="Times New Roman" w:cs="Times New Roman"/>
                      <w:sz w:val="20"/>
                      <w:szCs w:val="20"/>
                    </w:rPr>
                    <w:t>2</w:t>
                  </w:r>
                  <w:r>
                    <w:rPr>
                      <w:rFonts w:ascii="Times New Roman" w:hAnsi="Times New Roman" w:eastAsia="Times New Roman" w:cs="Times New Roman"/>
                      <w:spacing w:val="12"/>
                      <w:sz w:val="20"/>
                      <w:szCs w:val="20"/>
                    </w:rPr>
                    <w:t xml:space="preserve"> </w:t>
                  </w:r>
                  <w:r>
                    <w:rPr>
                      <w:sz w:val="20"/>
                      <w:szCs w:val="20"/>
                    </w:rPr>
                    <w:t>类</w:t>
                  </w:r>
                </w:p>
              </w:tc>
              <w:tc>
                <w:tcPr>
                  <w:tcW w:w="1223" w:type="dxa"/>
                  <w:vMerge w:val="continue"/>
                  <w:tcBorders>
                    <w:top w:val="nil"/>
                    <w:bottom w:val="nil"/>
                  </w:tcBorders>
                  <w:vAlign w:val="top"/>
                </w:tcPr>
                <w:p w14:paraId="3B0771C7">
                  <w:pPr>
                    <w:rPr>
                      <w:rFonts w:ascii="Arial"/>
                      <w:sz w:val="21"/>
                    </w:rPr>
                  </w:pPr>
                </w:p>
              </w:tc>
              <w:tc>
                <w:tcPr>
                  <w:tcW w:w="1448" w:type="dxa"/>
                  <w:vAlign w:val="top"/>
                </w:tcPr>
                <w:p w14:paraId="6B7F03FA">
                  <w:pPr>
                    <w:pStyle w:val="9"/>
                    <w:spacing w:before="181" w:line="231" w:lineRule="auto"/>
                    <w:ind w:left="627"/>
                    <w:rPr>
                      <w:sz w:val="20"/>
                      <w:szCs w:val="20"/>
                    </w:rPr>
                  </w:pPr>
                  <w:r>
                    <w:rPr>
                      <w:sz w:val="20"/>
                      <w:szCs w:val="20"/>
                    </w:rPr>
                    <w:t>是</w:t>
                  </w:r>
                </w:p>
              </w:tc>
            </w:tr>
            <w:tr w14:paraId="047BB3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981" w:type="dxa"/>
                  <w:vAlign w:val="top"/>
                </w:tcPr>
                <w:p w14:paraId="418F946F">
                  <w:pPr>
                    <w:spacing w:before="218" w:line="195" w:lineRule="auto"/>
                    <w:ind w:left="43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658" w:type="dxa"/>
                  <w:vMerge w:val="continue"/>
                  <w:tcBorders>
                    <w:top w:val="nil"/>
                  </w:tcBorders>
                  <w:vAlign w:val="top"/>
                </w:tcPr>
                <w:p w14:paraId="7C9ECD1A">
                  <w:pPr>
                    <w:rPr>
                      <w:rFonts w:ascii="Arial"/>
                      <w:sz w:val="21"/>
                    </w:rPr>
                  </w:pPr>
                </w:p>
              </w:tc>
              <w:tc>
                <w:tcPr>
                  <w:tcW w:w="964" w:type="dxa"/>
                  <w:vAlign w:val="top"/>
                </w:tcPr>
                <w:p w14:paraId="42265AA2">
                  <w:pPr>
                    <w:pStyle w:val="9"/>
                    <w:spacing w:before="181" w:line="228" w:lineRule="auto"/>
                    <w:ind w:left="281"/>
                    <w:rPr>
                      <w:sz w:val="20"/>
                      <w:szCs w:val="20"/>
                    </w:rPr>
                  </w:pPr>
                  <w:r>
                    <w:rPr>
                      <w:spacing w:val="2"/>
                      <w:sz w:val="20"/>
                      <w:szCs w:val="20"/>
                    </w:rPr>
                    <w:t>西侧</w:t>
                  </w:r>
                </w:p>
              </w:tc>
              <w:tc>
                <w:tcPr>
                  <w:tcW w:w="1832" w:type="dxa"/>
                  <w:vAlign w:val="top"/>
                </w:tcPr>
                <w:p w14:paraId="1D010174">
                  <w:pPr>
                    <w:spacing w:before="218" w:line="195" w:lineRule="auto"/>
                    <w:ind w:left="68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36.33</w:t>
                  </w:r>
                </w:p>
              </w:tc>
              <w:tc>
                <w:tcPr>
                  <w:tcW w:w="1667" w:type="dxa"/>
                  <w:vAlign w:val="top"/>
                </w:tcPr>
                <w:p w14:paraId="6E265619">
                  <w:pPr>
                    <w:pStyle w:val="9"/>
                    <w:spacing w:before="181" w:line="228" w:lineRule="auto"/>
                    <w:ind w:left="651"/>
                    <w:rPr>
                      <w:sz w:val="20"/>
                      <w:szCs w:val="20"/>
                    </w:rPr>
                  </w:pPr>
                  <w:r>
                    <w:rPr>
                      <w:rFonts w:ascii="Times New Roman" w:hAnsi="Times New Roman" w:eastAsia="Times New Roman" w:cs="Times New Roman"/>
                      <w:sz w:val="20"/>
                      <w:szCs w:val="20"/>
                    </w:rPr>
                    <w:t>2</w:t>
                  </w:r>
                  <w:r>
                    <w:rPr>
                      <w:rFonts w:ascii="Times New Roman" w:hAnsi="Times New Roman" w:eastAsia="Times New Roman" w:cs="Times New Roman"/>
                      <w:spacing w:val="12"/>
                      <w:sz w:val="20"/>
                      <w:szCs w:val="20"/>
                    </w:rPr>
                    <w:t xml:space="preserve"> </w:t>
                  </w:r>
                  <w:r>
                    <w:rPr>
                      <w:sz w:val="20"/>
                      <w:szCs w:val="20"/>
                    </w:rPr>
                    <w:t>类</w:t>
                  </w:r>
                </w:p>
              </w:tc>
              <w:tc>
                <w:tcPr>
                  <w:tcW w:w="1223" w:type="dxa"/>
                  <w:vMerge w:val="continue"/>
                  <w:tcBorders>
                    <w:top w:val="nil"/>
                  </w:tcBorders>
                  <w:vAlign w:val="top"/>
                </w:tcPr>
                <w:p w14:paraId="1D927EFC">
                  <w:pPr>
                    <w:rPr>
                      <w:rFonts w:ascii="Arial"/>
                      <w:sz w:val="21"/>
                    </w:rPr>
                  </w:pPr>
                </w:p>
              </w:tc>
              <w:tc>
                <w:tcPr>
                  <w:tcW w:w="1448" w:type="dxa"/>
                  <w:vAlign w:val="top"/>
                </w:tcPr>
                <w:p w14:paraId="24D96E74">
                  <w:pPr>
                    <w:pStyle w:val="9"/>
                    <w:spacing w:before="182" w:line="231" w:lineRule="auto"/>
                    <w:ind w:left="627"/>
                    <w:rPr>
                      <w:sz w:val="20"/>
                      <w:szCs w:val="20"/>
                    </w:rPr>
                  </w:pPr>
                  <w:r>
                    <w:rPr>
                      <w:sz w:val="20"/>
                      <w:szCs w:val="20"/>
                    </w:rPr>
                    <w:t>是</w:t>
                  </w:r>
                </w:p>
              </w:tc>
            </w:tr>
            <w:tr w14:paraId="270F91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981" w:type="dxa"/>
                  <w:vAlign w:val="top"/>
                </w:tcPr>
                <w:p w14:paraId="376FD1F7">
                  <w:pPr>
                    <w:spacing w:before="185" w:line="195" w:lineRule="auto"/>
                    <w:ind w:left="460"/>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658" w:type="dxa"/>
                  <w:vMerge w:val="restart"/>
                  <w:tcBorders>
                    <w:bottom w:val="nil"/>
                  </w:tcBorders>
                  <w:vAlign w:val="top"/>
                </w:tcPr>
                <w:p w14:paraId="375235AD">
                  <w:pPr>
                    <w:spacing w:line="283" w:lineRule="auto"/>
                    <w:rPr>
                      <w:rFonts w:ascii="Arial"/>
                      <w:sz w:val="21"/>
                    </w:rPr>
                  </w:pPr>
                </w:p>
                <w:p w14:paraId="13B7257F">
                  <w:pPr>
                    <w:spacing w:line="283" w:lineRule="auto"/>
                    <w:rPr>
                      <w:rFonts w:ascii="Arial"/>
                      <w:sz w:val="21"/>
                    </w:rPr>
                  </w:pPr>
                </w:p>
                <w:p w14:paraId="5B83916B">
                  <w:pPr>
                    <w:spacing w:line="283" w:lineRule="auto"/>
                    <w:rPr>
                      <w:rFonts w:ascii="Arial"/>
                      <w:sz w:val="21"/>
                    </w:rPr>
                  </w:pPr>
                </w:p>
                <w:p w14:paraId="4795407E">
                  <w:pPr>
                    <w:pStyle w:val="9"/>
                    <w:spacing w:before="65" w:line="228" w:lineRule="auto"/>
                    <w:ind w:left="126"/>
                    <w:rPr>
                      <w:sz w:val="20"/>
                      <w:szCs w:val="20"/>
                    </w:rPr>
                  </w:pPr>
                  <w:r>
                    <w:rPr>
                      <w:spacing w:val="3"/>
                      <w:sz w:val="20"/>
                      <w:szCs w:val="20"/>
                    </w:rPr>
                    <w:t>夜间</w:t>
                  </w:r>
                </w:p>
              </w:tc>
              <w:tc>
                <w:tcPr>
                  <w:tcW w:w="964" w:type="dxa"/>
                  <w:vAlign w:val="top"/>
                </w:tcPr>
                <w:p w14:paraId="528F8CEE">
                  <w:pPr>
                    <w:pStyle w:val="9"/>
                    <w:spacing w:before="149" w:line="228" w:lineRule="auto"/>
                    <w:ind w:left="279"/>
                    <w:rPr>
                      <w:sz w:val="20"/>
                      <w:szCs w:val="20"/>
                    </w:rPr>
                  </w:pPr>
                  <w:r>
                    <w:rPr>
                      <w:spacing w:val="3"/>
                      <w:sz w:val="20"/>
                      <w:szCs w:val="20"/>
                    </w:rPr>
                    <w:t>北侧</w:t>
                  </w:r>
                </w:p>
              </w:tc>
              <w:tc>
                <w:tcPr>
                  <w:tcW w:w="1832" w:type="dxa"/>
                  <w:vAlign w:val="top"/>
                </w:tcPr>
                <w:p w14:paraId="6C670498">
                  <w:pPr>
                    <w:spacing w:before="185" w:line="195" w:lineRule="auto"/>
                    <w:ind w:left="68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38.38</w:t>
                  </w:r>
                </w:p>
              </w:tc>
              <w:tc>
                <w:tcPr>
                  <w:tcW w:w="1667" w:type="dxa"/>
                  <w:vAlign w:val="top"/>
                </w:tcPr>
                <w:p w14:paraId="78813CE7">
                  <w:pPr>
                    <w:pStyle w:val="9"/>
                    <w:spacing w:before="149" w:line="228" w:lineRule="auto"/>
                    <w:ind w:left="651"/>
                    <w:rPr>
                      <w:sz w:val="20"/>
                      <w:szCs w:val="20"/>
                    </w:rPr>
                  </w:pPr>
                  <w:r>
                    <w:rPr>
                      <w:rFonts w:ascii="Times New Roman" w:hAnsi="Times New Roman" w:eastAsia="Times New Roman" w:cs="Times New Roman"/>
                      <w:sz w:val="20"/>
                      <w:szCs w:val="20"/>
                    </w:rPr>
                    <w:t>2</w:t>
                  </w:r>
                  <w:r>
                    <w:rPr>
                      <w:rFonts w:ascii="Times New Roman" w:hAnsi="Times New Roman" w:eastAsia="Times New Roman" w:cs="Times New Roman"/>
                      <w:spacing w:val="12"/>
                      <w:sz w:val="20"/>
                      <w:szCs w:val="20"/>
                    </w:rPr>
                    <w:t xml:space="preserve"> </w:t>
                  </w:r>
                  <w:r>
                    <w:rPr>
                      <w:sz w:val="20"/>
                      <w:szCs w:val="20"/>
                    </w:rPr>
                    <w:t>类</w:t>
                  </w:r>
                </w:p>
              </w:tc>
              <w:tc>
                <w:tcPr>
                  <w:tcW w:w="1223" w:type="dxa"/>
                  <w:vMerge w:val="restart"/>
                  <w:tcBorders>
                    <w:bottom w:val="nil"/>
                  </w:tcBorders>
                  <w:vAlign w:val="top"/>
                </w:tcPr>
                <w:p w14:paraId="12FED319">
                  <w:pPr>
                    <w:spacing w:line="298" w:lineRule="auto"/>
                    <w:rPr>
                      <w:rFonts w:ascii="Arial"/>
                      <w:sz w:val="21"/>
                    </w:rPr>
                  </w:pPr>
                </w:p>
                <w:p w14:paraId="5D862302">
                  <w:pPr>
                    <w:spacing w:line="298" w:lineRule="auto"/>
                    <w:rPr>
                      <w:rFonts w:ascii="Arial"/>
                      <w:sz w:val="21"/>
                    </w:rPr>
                  </w:pPr>
                </w:p>
                <w:p w14:paraId="608ED5ED">
                  <w:pPr>
                    <w:spacing w:line="299" w:lineRule="auto"/>
                    <w:rPr>
                      <w:rFonts w:ascii="Arial"/>
                      <w:sz w:val="21"/>
                    </w:rPr>
                  </w:pPr>
                </w:p>
                <w:p w14:paraId="1B1B64D2">
                  <w:pPr>
                    <w:spacing w:before="57" w:line="195" w:lineRule="auto"/>
                    <w:ind w:left="516"/>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c>
                <w:tcPr>
                  <w:tcW w:w="1448" w:type="dxa"/>
                  <w:vAlign w:val="top"/>
                </w:tcPr>
                <w:p w14:paraId="295B7AB6">
                  <w:pPr>
                    <w:pStyle w:val="9"/>
                    <w:spacing w:before="149" w:line="231" w:lineRule="auto"/>
                    <w:ind w:left="627"/>
                    <w:rPr>
                      <w:sz w:val="20"/>
                      <w:szCs w:val="20"/>
                    </w:rPr>
                  </w:pPr>
                  <w:r>
                    <w:rPr>
                      <w:sz w:val="20"/>
                      <w:szCs w:val="20"/>
                    </w:rPr>
                    <w:t>是</w:t>
                  </w:r>
                </w:p>
              </w:tc>
            </w:tr>
            <w:tr w14:paraId="403901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trPr>
              <w:tc>
                <w:tcPr>
                  <w:tcW w:w="981" w:type="dxa"/>
                  <w:vAlign w:val="top"/>
                </w:tcPr>
                <w:p w14:paraId="4247CF30">
                  <w:pPr>
                    <w:spacing w:before="185" w:line="195" w:lineRule="auto"/>
                    <w:ind w:left="440"/>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658" w:type="dxa"/>
                  <w:vMerge w:val="continue"/>
                  <w:tcBorders>
                    <w:top w:val="nil"/>
                    <w:bottom w:val="nil"/>
                  </w:tcBorders>
                  <w:vAlign w:val="top"/>
                </w:tcPr>
                <w:p w14:paraId="628FAD3F">
                  <w:pPr>
                    <w:rPr>
                      <w:rFonts w:ascii="Arial"/>
                      <w:sz w:val="21"/>
                    </w:rPr>
                  </w:pPr>
                </w:p>
              </w:tc>
              <w:tc>
                <w:tcPr>
                  <w:tcW w:w="964" w:type="dxa"/>
                  <w:vAlign w:val="top"/>
                </w:tcPr>
                <w:p w14:paraId="09EA4E03">
                  <w:pPr>
                    <w:pStyle w:val="9"/>
                    <w:spacing w:before="148" w:line="228" w:lineRule="auto"/>
                    <w:ind w:left="283"/>
                    <w:rPr>
                      <w:sz w:val="20"/>
                      <w:szCs w:val="20"/>
                    </w:rPr>
                  </w:pPr>
                  <w:r>
                    <w:rPr>
                      <w:spacing w:val="1"/>
                      <w:sz w:val="20"/>
                      <w:szCs w:val="20"/>
                    </w:rPr>
                    <w:t>东侧</w:t>
                  </w:r>
                </w:p>
              </w:tc>
              <w:tc>
                <w:tcPr>
                  <w:tcW w:w="1832" w:type="dxa"/>
                  <w:vAlign w:val="top"/>
                </w:tcPr>
                <w:p w14:paraId="18885751">
                  <w:pPr>
                    <w:spacing w:before="185" w:line="195" w:lineRule="auto"/>
                    <w:ind w:left="68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36.13</w:t>
                  </w:r>
                </w:p>
              </w:tc>
              <w:tc>
                <w:tcPr>
                  <w:tcW w:w="1667" w:type="dxa"/>
                  <w:vAlign w:val="top"/>
                </w:tcPr>
                <w:p w14:paraId="734E25E1">
                  <w:pPr>
                    <w:pStyle w:val="9"/>
                    <w:spacing w:before="148" w:line="228" w:lineRule="auto"/>
                    <w:ind w:left="651"/>
                    <w:rPr>
                      <w:sz w:val="20"/>
                      <w:szCs w:val="20"/>
                    </w:rPr>
                  </w:pPr>
                  <w:r>
                    <w:rPr>
                      <w:rFonts w:ascii="Times New Roman" w:hAnsi="Times New Roman" w:eastAsia="Times New Roman" w:cs="Times New Roman"/>
                      <w:sz w:val="20"/>
                      <w:szCs w:val="20"/>
                    </w:rPr>
                    <w:t>2</w:t>
                  </w:r>
                  <w:r>
                    <w:rPr>
                      <w:rFonts w:ascii="Times New Roman" w:hAnsi="Times New Roman" w:eastAsia="Times New Roman" w:cs="Times New Roman"/>
                      <w:spacing w:val="12"/>
                      <w:sz w:val="20"/>
                      <w:szCs w:val="20"/>
                    </w:rPr>
                    <w:t xml:space="preserve"> </w:t>
                  </w:r>
                  <w:r>
                    <w:rPr>
                      <w:sz w:val="20"/>
                      <w:szCs w:val="20"/>
                    </w:rPr>
                    <w:t>类</w:t>
                  </w:r>
                </w:p>
              </w:tc>
              <w:tc>
                <w:tcPr>
                  <w:tcW w:w="1223" w:type="dxa"/>
                  <w:vMerge w:val="continue"/>
                  <w:tcBorders>
                    <w:top w:val="nil"/>
                    <w:bottom w:val="nil"/>
                  </w:tcBorders>
                  <w:vAlign w:val="top"/>
                </w:tcPr>
                <w:p w14:paraId="1C6A80A7">
                  <w:pPr>
                    <w:rPr>
                      <w:rFonts w:ascii="Arial"/>
                      <w:sz w:val="21"/>
                    </w:rPr>
                  </w:pPr>
                </w:p>
              </w:tc>
              <w:tc>
                <w:tcPr>
                  <w:tcW w:w="1448" w:type="dxa"/>
                  <w:vAlign w:val="top"/>
                </w:tcPr>
                <w:p w14:paraId="40299A33">
                  <w:pPr>
                    <w:pStyle w:val="9"/>
                    <w:spacing w:before="149" w:line="231" w:lineRule="auto"/>
                    <w:ind w:left="627"/>
                    <w:rPr>
                      <w:sz w:val="20"/>
                      <w:szCs w:val="20"/>
                    </w:rPr>
                  </w:pPr>
                  <w:r>
                    <w:rPr>
                      <w:sz w:val="20"/>
                      <w:szCs w:val="20"/>
                    </w:rPr>
                    <w:t>是</w:t>
                  </w:r>
                </w:p>
              </w:tc>
            </w:tr>
            <w:tr w14:paraId="0A9AC2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981" w:type="dxa"/>
                  <w:vAlign w:val="top"/>
                </w:tcPr>
                <w:p w14:paraId="306B9D8F">
                  <w:pPr>
                    <w:spacing w:before="192" w:line="195" w:lineRule="auto"/>
                    <w:ind w:left="444"/>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658" w:type="dxa"/>
                  <w:vMerge w:val="continue"/>
                  <w:tcBorders>
                    <w:top w:val="nil"/>
                    <w:bottom w:val="nil"/>
                  </w:tcBorders>
                  <w:vAlign w:val="top"/>
                </w:tcPr>
                <w:p w14:paraId="3AE44058">
                  <w:pPr>
                    <w:rPr>
                      <w:rFonts w:ascii="Arial"/>
                      <w:sz w:val="21"/>
                    </w:rPr>
                  </w:pPr>
                </w:p>
              </w:tc>
              <w:tc>
                <w:tcPr>
                  <w:tcW w:w="964" w:type="dxa"/>
                  <w:vAlign w:val="top"/>
                </w:tcPr>
                <w:p w14:paraId="1D0367B7">
                  <w:pPr>
                    <w:pStyle w:val="9"/>
                    <w:spacing w:before="155" w:line="228" w:lineRule="auto"/>
                    <w:ind w:left="278"/>
                    <w:rPr>
                      <w:sz w:val="20"/>
                      <w:szCs w:val="20"/>
                    </w:rPr>
                  </w:pPr>
                  <w:r>
                    <w:rPr>
                      <w:spacing w:val="3"/>
                      <w:sz w:val="20"/>
                      <w:szCs w:val="20"/>
                    </w:rPr>
                    <w:t>南侧</w:t>
                  </w:r>
                </w:p>
              </w:tc>
              <w:tc>
                <w:tcPr>
                  <w:tcW w:w="1832" w:type="dxa"/>
                  <w:vAlign w:val="top"/>
                </w:tcPr>
                <w:p w14:paraId="4EE08E4F">
                  <w:pPr>
                    <w:spacing w:before="192" w:line="195" w:lineRule="auto"/>
                    <w:ind w:left="680"/>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44.68</w:t>
                  </w:r>
                </w:p>
              </w:tc>
              <w:tc>
                <w:tcPr>
                  <w:tcW w:w="1667" w:type="dxa"/>
                  <w:vAlign w:val="top"/>
                </w:tcPr>
                <w:p w14:paraId="76B8757E">
                  <w:pPr>
                    <w:pStyle w:val="9"/>
                    <w:spacing w:before="155" w:line="228" w:lineRule="auto"/>
                    <w:ind w:left="651"/>
                    <w:rPr>
                      <w:sz w:val="20"/>
                      <w:szCs w:val="20"/>
                    </w:rPr>
                  </w:pPr>
                  <w:r>
                    <w:rPr>
                      <w:rFonts w:ascii="Times New Roman" w:hAnsi="Times New Roman" w:eastAsia="Times New Roman" w:cs="Times New Roman"/>
                      <w:sz w:val="20"/>
                      <w:szCs w:val="20"/>
                    </w:rPr>
                    <w:t>2</w:t>
                  </w:r>
                  <w:r>
                    <w:rPr>
                      <w:rFonts w:ascii="Times New Roman" w:hAnsi="Times New Roman" w:eastAsia="Times New Roman" w:cs="Times New Roman"/>
                      <w:spacing w:val="12"/>
                      <w:sz w:val="20"/>
                      <w:szCs w:val="20"/>
                    </w:rPr>
                    <w:t xml:space="preserve"> </w:t>
                  </w:r>
                  <w:r>
                    <w:rPr>
                      <w:sz w:val="20"/>
                      <w:szCs w:val="20"/>
                    </w:rPr>
                    <w:t>类</w:t>
                  </w:r>
                </w:p>
              </w:tc>
              <w:tc>
                <w:tcPr>
                  <w:tcW w:w="1223" w:type="dxa"/>
                  <w:vMerge w:val="continue"/>
                  <w:tcBorders>
                    <w:top w:val="nil"/>
                    <w:bottom w:val="nil"/>
                  </w:tcBorders>
                  <w:vAlign w:val="top"/>
                </w:tcPr>
                <w:p w14:paraId="52404403">
                  <w:pPr>
                    <w:rPr>
                      <w:rFonts w:ascii="Arial"/>
                      <w:sz w:val="21"/>
                    </w:rPr>
                  </w:pPr>
                </w:p>
              </w:tc>
              <w:tc>
                <w:tcPr>
                  <w:tcW w:w="1448" w:type="dxa"/>
                  <w:vAlign w:val="top"/>
                </w:tcPr>
                <w:p w14:paraId="02131637">
                  <w:pPr>
                    <w:pStyle w:val="9"/>
                    <w:spacing w:before="156" w:line="231" w:lineRule="auto"/>
                    <w:ind w:left="627"/>
                    <w:rPr>
                      <w:sz w:val="20"/>
                      <w:szCs w:val="20"/>
                    </w:rPr>
                  </w:pPr>
                  <w:r>
                    <w:rPr>
                      <w:sz w:val="20"/>
                      <w:szCs w:val="20"/>
                    </w:rPr>
                    <w:t>是</w:t>
                  </w:r>
                </w:p>
              </w:tc>
            </w:tr>
            <w:tr w14:paraId="509F76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981" w:type="dxa"/>
                  <w:vAlign w:val="top"/>
                </w:tcPr>
                <w:p w14:paraId="155DD623">
                  <w:pPr>
                    <w:spacing w:before="184" w:line="195" w:lineRule="auto"/>
                    <w:ind w:left="43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658" w:type="dxa"/>
                  <w:vMerge w:val="continue"/>
                  <w:tcBorders>
                    <w:top w:val="nil"/>
                  </w:tcBorders>
                  <w:vAlign w:val="top"/>
                </w:tcPr>
                <w:p w14:paraId="73D9E26A">
                  <w:pPr>
                    <w:rPr>
                      <w:rFonts w:ascii="Arial"/>
                      <w:sz w:val="21"/>
                    </w:rPr>
                  </w:pPr>
                </w:p>
              </w:tc>
              <w:tc>
                <w:tcPr>
                  <w:tcW w:w="964" w:type="dxa"/>
                  <w:vAlign w:val="top"/>
                </w:tcPr>
                <w:p w14:paraId="397034E5">
                  <w:pPr>
                    <w:pStyle w:val="9"/>
                    <w:spacing w:before="148" w:line="228" w:lineRule="auto"/>
                    <w:ind w:left="281"/>
                    <w:rPr>
                      <w:sz w:val="20"/>
                      <w:szCs w:val="20"/>
                    </w:rPr>
                  </w:pPr>
                  <w:r>
                    <w:rPr>
                      <w:spacing w:val="2"/>
                      <w:sz w:val="20"/>
                      <w:szCs w:val="20"/>
                    </w:rPr>
                    <w:t>西侧</w:t>
                  </w:r>
                </w:p>
              </w:tc>
              <w:tc>
                <w:tcPr>
                  <w:tcW w:w="1832" w:type="dxa"/>
                  <w:vAlign w:val="top"/>
                </w:tcPr>
                <w:p w14:paraId="5318890C">
                  <w:pPr>
                    <w:spacing w:before="184" w:line="195" w:lineRule="auto"/>
                    <w:ind w:left="685"/>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36.33</w:t>
                  </w:r>
                </w:p>
              </w:tc>
              <w:tc>
                <w:tcPr>
                  <w:tcW w:w="1667" w:type="dxa"/>
                  <w:vAlign w:val="top"/>
                </w:tcPr>
                <w:p w14:paraId="312E8E15">
                  <w:pPr>
                    <w:pStyle w:val="9"/>
                    <w:spacing w:before="148" w:line="228" w:lineRule="auto"/>
                    <w:ind w:left="651"/>
                    <w:rPr>
                      <w:sz w:val="20"/>
                      <w:szCs w:val="20"/>
                    </w:rPr>
                  </w:pPr>
                  <w:r>
                    <w:rPr>
                      <w:rFonts w:ascii="Times New Roman" w:hAnsi="Times New Roman" w:eastAsia="Times New Roman" w:cs="Times New Roman"/>
                      <w:sz w:val="20"/>
                      <w:szCs w:val="20"/>
                    </w:rPr>
                    <w:t>2</w:t>
                  </w:r>
                  <w:r>
                    <w:rPr>
                      <w:rFonts w:ascii="Times New Roman" w:hAnsi="Times New Roman" w:eastAsia="Times New Roman" w:cs="Times New Roman"/>
                      <w:spacing w:val="12"/>
                      <w:sz w:val="20"/>
                      <w:szCs w:val="20"/>
                    </w:rPr>
                    <w:t xml:space="preserve"> </w:t>
                  </w:r>
                  <w:r>
                    <w:rPr>
                      <w:sz w:val="20"/>
                      <w:szCs w:val="20"/>
                    </w:rPr>
                    <w:t>类</w:t>
                  </w:r>
                </w:p>
              </w:tc>
              <w:tc>
                <w:tcPr>
                  <w:tcW w:w="1223" w:type="dxa"/>
                  <w:vMerge w:val="continue"/>
                  <w:tcBorders>
                    <w:top w:val="nil"/>
                  </w:tcBorders>
                  <w:vAlign w:val="top"/>
                </w:tcPr>
                <w:p w14:paraId="5AD9FFEF">
                  <w:pPr>
                    <w:rPr>
                      <w:rFonts w:ascii="Arial"/>
                      <w:sz w:val="21"/>
                    </w:rPr>
                  </w:pPr>
                </w:p>
              </w:tc>
              <w:tc>
                <w:tcPr>
                  <w:tcW w:w="1448" w:type="dxa"/>
                  <w:vAlign w:val="top"/>
                </w:tcPr>
                <w:p w14:paraId="6B770296">
                  <w:pPr>
                    <w:pStyle w:val="9"/>
                    <w:spacing w:before="148" w:line="231" w:lineRule="auto"/>
                    <w:ind w:left="627"/>
                    <w:rPr>
                      <w:sz w:val="20"/>
                      <w:szCs w:val="20"/>
                    </w:rPr>
                  </w:pPr>
                  <w:r>
                    <w:rPr>
                      <w:sz w:val="20"/>
                      <w:szCs w:val="20"/>
                    </w:rPr>
                    <w:t>是</w:t>
                  </w:r>
                </w:p>
              </w:tc>
            </w:tr>
          </w:tbl>
          <w:p w14:paraId="1828F5E2">
            <w:pPr>
              <w:pStyle w:val="9"/>
              <w:spacing w:before="164" w:line="312" w:lineRule="auto"/>
              <w:ind w:left="110" w:right="41" w:firstLine="479"/>
              <w:jc w:val="both"/>
            </w:pPr>
            <w:r>
              <w:rPr>
                <w:spacing w:val="-8"/>
              </w:rPr>
              <w:t>预测结果表明：本项目投入运行后，厂界噪声贡献值昼夜均为</w:t>
            </w:r>
            <w:r>
              <w:rPr>
                <w:rFonts w:ascii="Times New Roman" w:hAnsi="Times New Roman" w:eastAsia="Times New Roman" w:cs="Times New Roman"/>
                <w:spacing w:val="-8"/>
              </w:rPr>
              <w:t>36.13~44.68dB</w:t>
            </w:r>
            <w:r>
              <w:rPr>
                <w:spacing w:val="-8"/>
              </w:rPr>
              <w:t>（</w:t>
            </w:r>
            <w:r>
              <w:rPr>
                <w:rFonts w:ascii="Times New Roman" w:hAnsi="Times New Roman" w:eastAsia="Times New Roman" w:cs="Times New Roman"/>
                <w:spacing w:val="-8"/>
              </w:rPr>
              <w:t>A</w:t>
            </w:r>
            <w:r>
              <w:rPr>
                <w:spacing w:val="-53"/>
                <w:w w:val="84"/>
              </w:rPr>
              <w:t>），</w:t>
            </w:r>
            <w:r>
              <w:rPr>
                <w:spacing w:val="24"/>
              </w:rPr>
              <w:t>厂界各测点的噪声预测值昼</w:t>
            </w:r>
            <w:r>
              <w:rPr>
                <w:spacing w:val="-67"/>
              </w:rPr>
              <w:t xml:space="preserve"> </w:t>
            </w:r>
            <w:r>
              <w:rPr>
                <w:spacing w:val="24"/>
              </w:rPr>
              <w:t>、夜均小于《工业企业厂界</w:t>
            </w:r>
            <w:r>
              <w:rPr>
                <w:spacing w:val="23"/>
              </w:rPr>
              <w:t>环境噪声排放标准》</w:t>
            </w:r>
            <w:r>
              <w:t xml:space="preserve"> </w:t>
            </w:r>
            <w:r>
              <w:rPr>
                <w:spacing w:val="-1"/>
              </w:rPr>
              <w:t>（</w:t>
            </w:r>
            <w:r>
              <w:rPr>
                <w:rFonts w:ascii="Times New Roman" w:hAnsi="Times New Roman" w:eastAsia="Times New Roman" w:cs="Times New Roman"/>
                <w:spacing w:val="-1"/>
              </w:rPr>
              <w:t>GB12348-2008</w:t>
            </w:r>
            <w:r>
              <w:rPr>
                <w:spacing w:val="-1"/>
              </w:rPr>
              <w:t>）</w:t>
            </w:r>
            <w:r>
              <w:rPr>
                <w:rFonts w:ascii="Times New Roman" w:hAnsi="Times New Roman" w:eastAsia="Times New Roman" w:cs="Times New Roman"/>
                <w:spacing w:val="-1"/>
              </w:rPr>
              <w:t xml:space="preserve">2 </w:t>
            </w:r>
            <w:r>
              <w:rPr>
                <w:spacing w:val="-1"/>
              </w:rPr>
              <w:t>类标准，对周围环境影响较小。</w:t>
            </w:r>
          </w:p>
          <w:p w14:paraId="4D4F2E4E">
            <w:pPr>
              <w:spacing w:line="4504" w:lineRule="exact"/>
              <w:ind w:firstLine="98"/>
            </w:pPr>
            <w:r>
              <w:rPr>
                <w:position w:val="-90"/>
              </w:rPr>
              <w:drawing>
                <wp:inline distT="0" distB="0" distL="0" distR="0">
                  <wp:extent cx="5565140" cy="2860040"/>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254"/>
                          <a:stretch>
                            <a:fillRect/>
                          </a:stretch>
                        </pic:blipFill>
                        <pic:spPr>
                          <a:xfrm>
                            <a:off x="0" y="0"/>
                            <a:ext cx="5565648" cy="2860548"/>
                          </a:xfrm>
                          <a:prstGeom prst="rect">
                            <a:avLst/>
                          </a:prstGeom>
                        </pic:spPr>
                      </pic:pic>
                    </a:graphicData>
                  </a:graphic>
                </wp:inline>
              </w:drawing>
            </w:r>
          </w:p>
          <w:p w14:paraId="6F0E2779">
            <w:pPr>
              <w:pStyle w:val="9"/>
              <w:spacing w:before="171" w:line="220" w:lineRule="auto"/>
              <w:ind w:left="3486"/>
            </w:pPr>
            <w:r>
              <w:rPr>
                <w:b/>
                <w:bCs/>
                <w:spacing w:val="-7"/>
              </w:rPr>
              <w:t>图</w:t>
            </w:r>
            <w:r>
              <w:rPr>
                <w:spacing w:val="-54"/>
              </w:rPr>
              <w:t xml:space="preserve"> </w:t>
            </w:r>
            <w:r>
              <w:rPr>
                <w:rFonts w:ascii="Times New Roman" w:hAnsi="Times New Roman" w:eastAsia="Times New Roman" w:cs="Times New Roman"/>
                <w:b/>
                <w:bCs/>
                <w:spacing w:val="-7"/>
              </w:rPr>
              <w:t>4-1</w:t>
            </w:r>
            <w:r>
              <w:rPr>
                <w:rFonts w:ascii="Times New Roman" w:hAnsi="Times New Roman" w:eastAsia="Times New Roman" w:cs="Times New Roman"/>
                <w:b/>
                <w:bCs/>
                <w:spacing w:val="5"/>
              </w:rPr>
              <w:t xml:space="preserve">    </w:t>
            </w:r>
            <w:r>
              <w:rPr>
                <w:b/>
                <w:bCs/>
                <w:spacing w:val="-7"/>
              </w:rPr>
              <w:t>噪声预测结果图</w:t>
            </w:r>
          </w:p>
        </w:tc>
      </w:tr>
    </w:tbl>
    <w:p w14:paraId="0E583690">
      <w:pPr>
        <w:pStyle w:val="3"/>
      </w:pPr>
    </w:p>
    <w:p w14:paraId="080C4855">
      <w:pPr>
        <w:sectPr>
          <w:footerReference r:id="rId66" w:type="default"/>
          <w:pgSz w:w="11906" w:h="16838"/>
          <w:pgMar w:top="1416" w:right="1151" w:bottom="1295" w:left="1150" w:header="0" w:footer="1133" w:gutter="0"/>
          <w:cols w:space="720" w:num="1"/>
        </w:sectPr>
      </w:pPr>
    </w:p>
    <w:tbl>
      <w:tblPr>
        <w:tblStyle w:val="8"/>
        <w:tblW w:w="9589"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99"/>
        <w:gridCol w:w="104"/>
        <w:gridCol w:w="986"/>
        <w:gridCol w:w="1724"/>
        <w:gridCol w:w="815"/>
        <w:gridCol w:w="624"/>
        <w:gridCol w:w="281"/>
        <w:gridCol w:w="1106"/>
        <w:gridCol w:w="1085"/>
        <w:gridCol w:w="390"/>
        <w:gridCol w:w="597"/>
        <w:gridCol w:w="75"/>
        <w:gridCol w:w="1090"/>
        <w:gridCol w:w="113"/>
      </w:tblGrid>
      <w:tr w14:paraId="251637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trPr>
        <w:tc>
          <w:tcPr>
            <w:tcW w:w="599" w:type="dxa"/>
            <w:vMerge w:val="restart"/>
            <w:tcBorders>
              <w:top w:val="single" w:color="000000" w:sz="6" w:space="0"/>
              <w:left w:val="single" w:color="000000" w:sz="6" w:space="0"/>
              <w:bottom w:val="nil"/>
            </w:tcBorders>
            <w:vAlign w:val="top"/>
          </w:tcPr>
          <w:p w14:paraId="4820E8D0">
            <w:pPr>
              <w:rPr>
                <w:rFonts w:ascii="Arial"/>
                <w:sz w:val="21"/>
              </w:rPr>
            </w:pPr>
          </w:p>
        </w:tc>
        <w:tc>
          <w:tcPr>
            <w:tcW w:w="8990" w:type="dxa"/>
            <w:gridSpan w:val="13"/>
            <w:tcBorders>
              <w:top w:val="single" w:color="000000" w:sz="6" w:space="0"/>
              <w:right w:val="single" w:color="000000" w:sz="6" w:space="0"/>
            </w:tcBorders>
            <w:vAlign w:val="top"/>
          </w:tcPr>
          <w:p w14:paraId="5DE06809">
            <w:pPr>
              <w:pStyle w:val="9"/>
              <w:spacing w:before="162" w:line="205" w:lineRule="auto"/>
              <w:ind w:left="2499"/>
            </w:pPr>
            <w:r>
              <w:rPr>
                <w:b/>
                <w:bCs/>
                <w:spacing w:val="-2"/>
              </w:rPr>
              <w:t>表</w:t>
            </w:r>
            <w:r>
              <w:rPr>
                <w:spacing w:val="-44"/>
              </w:rPr>
              <w:t xml:space="preserve"> </w:t>
            </w:r>
            <w:r>
              <w:rPr>
                <w:rFonts w:ascii="Times New Roman" w:hAnsi="Times New Roman" w:eastAsia="Times New Roman" w:cs="Times New Roman"/>
                <w:b/>
                <w:bCs/>
                <w:spacing w:val="-2"/>
              </w:rPr>
              <w:t xml:space="preserve">4-5        </w:t>
            </w:r>
            <w:r>
              <w:rPr>
                <w:b/>
                <w:bCs/>
                <w:spacing w:val="-2"/>
              </w:rPr>
              <w:t>建设项目声环境影响评价自查表</w:t>
            </w:r>
          </w:p>
        </w:tc>
      </w:tr>
      <w:tr w14:paraId="7335ED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599" w:type="dxa"/>
            <w:vMerge w:val="continue"/>
            <w:tcBorders>
              <w:top w:val="nil"/>
              <w:left w:val="single" w:color="000000" w:sz="6" w:space="0"/>
              <w:bottom w:val="nil"/>
            </w:tcBorders>
            <w:vAlign w:val="top"/>
          </w:tcPr>
          <w:p w14:paraId="0990AF28">
            <w:pPr>
              <w:rPr>
                <w:rFonts w:ascii="Arial"/>
                <w:sz w:val="21"/>
              </w:rPr>
            </w:pPr>
          </w:p>
        </w:tc>
        <w:tc>
          <w:tcPr>
            <w:tcW w:w="104" w:type="dxa"/>
            <w:tcBorders>
              <w:top w:val="nil"/>
              <w:bottom w:val="nil"/>
            </w:tcBorders>
            <w:vAlign w:val="top"/>
          </w:tcPr>
          <w:p w14:paraId="78BD9800">
            <w:pPr>
              <w:rPr>
                <w:rFonts w:ascii="Arial"/>
                <w:sz w:val="21"/>
              </w:rPr>
            </w:pPr>
          </w:p>
        </w:tc>
        <w:tc>
          <w:tcPr>
            <w:tcW w:w="2710" w:type="dxa"/>
            <w:gridSpan w:val="2"/>
            <w:vAlign w:val="top"/>
          </w:tcPr>
          <w:p w14:paraId="534E0BA8">
            <w:pPr>
              <w:pStyle w:val="9"/>
              <w:spacing w:before="49" w:line="228" w:lineRule="auto"/>
              <w:ind w:left="909"/>
              <w:rPr>
                <w:sz w:val="20"/>
                <w:szCs w:val="20"/>
              </w:rPr>
            </w:pPr>
            <w:r>
              <w:rPr>
                <w:b/>
                <w:bCs/>
                <w:spacing w:val="16"/>
                <w:sz w:val="20"/>
                <w:szCs w:val="20"/>
              </w:rPr>
              <w:t>工作内容</w:t>
            </w:r>
          </w:p>
        </w:tc>
        <w:tc>
          <w:tcPr>
            <w:tcW w:w="6063" w:type="dxa"/>
            <w:gridSpan w:val="9"/>
            <w:vAlign w:val="top"/>
          </w:tcPr>
          <w:p w14:paraId="03D56E96">
            <w:pPr>
              <w:pStyle w:val="9"/>
              <w:spacing w:before="50" w:line="228" w:lineRule="auto"/>
              <w:ind w:left="2657"/>
              <w:rPr>
                <w:sz w:val="20"/>
                <w:szCs w:val="20"/>
              </w:rPr>
            </w:pPr>
            <w:r>
              <w:rPr>
                <w:b/>
                <w:bCs/>
                <w:spacing w:val="-5"/>
                <w:sz w:val="20"/>
                <w:szCs w:val="20"/>
              </w:rPr>
              <w:t>自查项目</w:t>
            </w:r>
          </w:p>
        </w:tc>
        <w:tc>
          <w:tcPr>
            <w:tcW w:w="113" w:type="dxa"/>
            <w:tcBorders>
              <w:top w:val="nil"/>
              <w:bottom w:val="nil"/>
              <w:right w:val="single" w:color="000000" w:sz="6" w:space="0"/>
            </w:tcBorders>
            <w:vAlign w:val="top"/>
          </w:tcPr>
          <w:p w14:paraId="23ED1F14">
            <w:pPr>
              <w:rPr>
                <w:rFonts w:ascii="Arial"/>
                <w:sz w:val="21"/>
              </w:rPr>
            </w:pPr>
          </w:p>
        </w:tc>
      </w:tr>
      <w:tr w14:paraId="77B61C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 w:hRule="atLeast"/>
        </w:trPr>
        <w:tc>
          <w:tcPr>
            <w:tcW w:w="599" w:type="dxa"/>
            <w:vMerge w:val="continue"/>
            <w:tcBorders>
              <w:top w:val="nil"/>
              <w:left w:val="single" w:color="000000" w:sz="6" w:space="0"/>
              <w:bottom w:val="nil"/>
            </w:tcBorders>
            <w:vAlign w:val="top"/>
          </w:tcPr>
          <w:p w14:paraId="62108F12">
            <w:pPr>
              <w:rPr>
                <w:rFonts w:ascii="Arial"/>
                <w:sz w:val="21"/>
              </w:rPr>
            </w:pPr>
          </w:p>
        </w:tc>
        <w:tc>
          <w:tcPr>
            <w:tcW w:w="104" w:type="dxa"/>
            <w:tcBorders>
              <w:top w:val="nil"/>
              <w:bottom w:val="nil"/>
            </w:tcBorders>
            <w:vAlign w:val="top"/>
          </w:tcPr>
          <w:p w14:paraId="31A2DB85">
            <w:pPr>
              <w:rPr>
                <w:rFonts w:ascii="Arial"/>
                <w:sz w:val="21"/>
              </w:rPr>
            </w:pPr>
          </w:p>
        </w:tc>
        <w:tc>
          <w:tcPr>
            <w:tcW w:w="986" w:type="dxa"/>
            <w:vMerge w:val="restart"/>
            <w:tcBorders>
              <w:bottom w:val="nil"/>
            </w:tcBorders>
            <w:vAlign w:val="top"/>
          </w:tcPr>
          <w:p w14:paraId="656170D3">
            <w:pPr>
              <w:pStyle w:val="9"/>
              <w:spacing w:before="50" w:line="254" w:lineRule="auto"/>
              <w:ind w:left="164" w:right="62" w:hanging="125"/>
              <w:rPr>
                <w:sz w:val="20"/>
                <w:szCs w:val="20"/>
              </w:rPr>
            </w:pPr>
            <w:r>
              <w:rPr>
                <w:spacing w:val="19"/>
                <w:sz w:val="20"/>
                <w:szCs w:val="20"/>
              </w:rPr>
              <w:t>评价等级</w:t>
            </w:r>
            <w:r>
              <w:rPr>
                <w:spacing w:val="12"/>
                <w:sz w:val="20"/>
                <w:szCs w:val="20"/>
              </w:rPr>
              <w:t>与范围</w:t>
            </w:r>
          </w:p>
        </w:tc>
        <w:tc>
          <w:tcPr>
            <w:tcW w:w="1724" w:type="dxa"/>
            <w:vAlign w:val="top"/>
          </w:tcPr>
          <w:p w14:paraId="25014E48">
            <w:pPr>
              <w:pStyle w:val="9"/>
              <w:spacing w:before="46" w:line="224" w:lineRule="auto"/>
              <w:ind w:left="412"/>
              <w:rPr>
                <w:sz w:val="20"/>
                <w:szCs w:val="20"/>
              </w:rPr>
            </w:pPr>
            <w:r>
              <w:rPr>
                <w:spacing w:val="19"/>
                <w:sz w:val="20"/>
                <w:szCs w:val="20"/>
              </w:rPr>
              <w:t>评价等级</w:t>
            </w:r>
          </w:p>
        </w:tc>
        <w:tc>
          <w:tcPr>
            <w:tcW w:w="6063" w:type="dxa"/>
            <w:gridSpan w:val="9"/>
            <w:vAlign w:val="top"/>
          </w:tcPr>
          <w:p w14:paraId="11289AC9">
            <w:pPr>
              <w:pStyle w:val="9"/>
              <w:spacing w:before="31" w:line="219" w:lineRule="auto"/>
              <w:ind w:left="355"/>
              <w:rPr>
                <w:rFonts w:ascii="Times New Roman" w:hAnsi="Times New Roman" w:eastAsia="Times New Roman" w:cs="Times New Roman"/>
                <w:sz w:val="20"/>
                <w:szCs w:val="20"/>
              </w:rPr>
            </w:pPr>
            <w:r>
              <w:rPr>
                <w:spacing w:val="12"/>
                <w:position w:val="1"/>
                <w:sz w:val="20"/>
                <w:szCs w:val="20"/>
              </w:rPr>
              <w:t>一级</w:t>
            </w:r>
            <w:r>
              <w:rPr>
                <w:rFonts w:ascii="Times New Roman" w:hAnsi="Times New Roman" w:eastAsia="Times New Roman" w:cs="Times New Roman"/>
                <w:spacing w:val="12"/>
                <w:position w:val="1"/>
                <w:sz w:val="20"/>
                <w:szCs w:val="20"/>
              </w:rPr>
              <w:t>□</w:t>
            </w:r>
            <w:r>
              <w:rPr>
                <w:rFonts w:ascii="Times New Roman" w:hAnsi="Times New Roman" w:eastAsia="Times New Roman" w:cs="Times New Roman"/>
                <w:position w:val="1"/>
                <w:sz w:val="20"/>
                <w:szCs w:val="20"/>
              </w:rPr>
              <w:t xml:space="preserve">                                    </w:t>
            </w:r>
            <w:r>
              <w:rPr>
                <w:spacing w:val="12"/>
                <w:sz w:val="20"/>
                <w:szCs w:val="20"/>
              </w:rPr>
              <w:t>二级</w:t>
            </w:r>
            <w:r>
              <w:rPr>
                <w:rFonts w:ascii="MS UI Gothic" w:hAnsi="MS UI Gothic" w:eastAsia="MS UI Gothic" w:cs="MS UI Gothic"/>
                <w:spacing w:val="12"/>
                <w:sz w:val="20"/>
                <w:szCs w:val="20"/>
              </w:rPr>
              <w:t>☑</w:t>
            </w:r>
            <w:r>
              <w:rPr>
                <w:rFonts w:ascii="MS UI Gothic" w:hAnsi="MS UI Gothic" w:eastAsia="MS UI Gothic" w:cs="MS UI Gothic"/>
                <w:spacing w:val="1"/>
                <w:sz w:val="20"/>
                <w:szCs w:val="20"/>
              </w:rPr>
              <w:t xml:space="preserve">                             </w:t>
            </w:r>
            <w:r>
              <w:rPr>
                <w:spacing w:val="12"/>
                <w:position w:val="-1"/>
                <w:sz w:val="20"/>
                <w:szCs w:val="20"/>
              </w:rPr>
              <w:t>三级</w:t>
            </w:r>
            <w:r>
              <w:rPr>
                <w:rFonts w:ascii="Times New Roman" w:hAnsi="Times New Roman" w:eastAsia="Times New Roman" w:cs="Times New Roman"/>
                <w:spacing w:val="12"/>
                <w:position w:val="1"/>
                <w:sz w:val="20"/>
                <w:szCs w:val="20"/>
              </w:rPr>
              <w:t>□</w:t>
            </w:r>
          </w:p>
        </w:tc>
        <w:tc>
          <w:tcPr>
            <w:tcW w:w="113" w:type="dxa"/>
            <w:tcBorders>
              <w:top w:val="nil"/>
              <w:bottom w:val="nil"/>
              <w:right w:val="single" w:color="000000" w:sz="6" w:space="0"/>
            </w:tcBorders>
            <w:vAlign w:val="top"/>
          </w:tcPr>
          <w:p w14:paraId="48478B03">
            <w:pPr>
              <w:rPr>
                <w:rFonts w:ascii="Arial"/>
                <w:sz w:val="21"/>
              </w:rPr>
            </w:pPr>
          </w:p>
        </w:tc>
      </w:tr>
      <w:tr w14:paraId="51B055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599" w:type="dxa"/>
            <w:vMerge w:val="continue"/>
            <w:tcBorders>
              <w:top w:val="nil"/>
              <w:left w:val="single" w:color="000000" w:sz="6" w:space="0"/>
              <w:bottom w:val="nil"/>
            </w:tcBorders>
            <w:vAlign w:val="top"/>
          </w:tcPr>
          <w:p w14:paraId="318D1075">
            <w:pPr>
              <w:rPr>
                <w:rFonts w:ascii="Arial"/>
                <w:sz w:val="21"/>
              </w:rPr>
            </w:pPr>
          </w:p>
        </w:tc>
        <w:tc>
          <w:tcPr>
            <w:tcW w:w="104" w:type="dxa"/>
            <w:tcBorders>
              <w:top w:val="nil"/>
              <w:bottom w:val="nil"/>
            </w:tcBorders>
            <w:vAlign w:val="top"/>
          </w:tcPr>
          <w:p w14:paraId="2D04CECB">
            <w:pPr>
              <w:rPr>
                <w:rFonts w:ascii="Arial"/>
                <w:sz w:val="21"/>
              </w:rPr>
            </w:pPr>
          </w:p>
        </w:tc>
        <w:tc>
          <w:tcPr>
            <w:tcW w:w="986" w:type="dxa"/>
            <w:vMerge w:val="continue"/>
            <w:tcBorders>
              <w:top w:val="nil"/>
            </w:tcBorders>
            <w:vAlign w:val="top"/>
          </w:tcPr>
          <w:p w14:paraId="5A1EB2FD">
            <w:pPr>
              <w:rPr>
                <w:rFonts w:ascii="Arial"/>
                <w:sz w:val="21"/>
              </w:rPr>
            </w:pPr>
          </w:p>
        </w:tc>
        <w:tc>
          <w:tcPr>
            <w:tcW w:w="1724" w:type="dxa"/>
            <w:vAlign w:val="top"/>
          </w:tcPr>
          <w:p w14:paraId="358D36C5">
            <w:pPr>
              <w:pStyle w:val="9"/>
              <w:spacing w:before="52" w:line="226" w:lineRule="auto"/>
              <w:ind w:left="412"/>
              <w:rPr>
                <w:sz w:val="20"/>
                <w:szCs w:val="20"/>
              </w:rPr>
            </w:pPr>
            <w:r>
              <w:rPr>
                <w:spacing w:val="19"/>
                <w:sz w:val="20"/>
                <w:szCs w:val="20"/>
              </w:rPr>
              <w:t>评价范围</w:t>
            </w:r>
          </w:p>
        </w:tc>
        <w:tc>
          <w:tcPr>
            <w:tcW w:w="6063" w:type="dxa"/>
            <w:gridSpan w:val="9"/>
            <w:vAlign w:val="top"/>
          </w:tcPr>
          <w:p w14:paraId="195E93F0">
            <w:pPr>
              <w:pStyle w:val="9"/>
              <w:spacing w:before="35" w:line="232" w:lineRule="auto"/>
              <w:ind w:left="35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200m</w:t>
            </w:r>
            <w:r>
              <w:rPr>
                <w:rFonts w:ascii="MS UI Gothic" w:hAnsi="MS UI Gothic" w:eastAsia="MS UI Gothic" w:cs="MS UI Gothic"/>
                <w:spacing w:val="2"/>
                <w:position w:val="1"/>
                <w:sz w:val="20"/>
                <w:szCs w:val="20"/>
              </w:rPr>
              <w:t xml:space="preserve">☑                     </w:t>
            </w:r>
            <w:r>
              <w:rPr>
                <w:spacing w:val="1"/>
                <w:sz w:val="20"/>
                <w:szCs w:val="20"/>
              </w:rPr>
              <w:t>大于</w:t>
            </w:r>
            <w:r>
              <w:rPr>
                <w:spacing w:val="-57"/>
                <w:sz w:val="20"/>
                <w:szCs w:val="20"/>
              </w:rPr>
              <w:t xml:space="preserve"> </w:t>
            </w:r>
            <w:r>
              <w:rPr>
                <w:rFonts w:ascii="Times New Roman" w:hAnsi="Times New Roman" w:eastAsia="Times New Roman" w:cs="Times New Roman"/>
                <w:spacing w:val="1"/>
                <w:sz w:val="20"/>
                <w:szCs w:val="20"/>
              </w:rPr>
              <w:t xml:space="preserve">200m□                          </w:t>
            </w:r>
            <w:r>
              <w:rPr>
                <w:spacing w:val="1"/>
                <w:sz w:val="20"/>
                <w:szCs w:val="20"/>
              </w:rPr>
              <w:t>小于</w:t>
            </w:r>
            <w:r>
              <w:rPr>
                <w:spacing w:val="-58"/>
                <w:sz w:val="20"/>
                <w:szCs w:val="20"/>
              </w:rPr>
              <w:t xml:space="preserve"> </w:t>
            </w:r>
            <w:r>
              <w:rPr>
                <w:rFonts w:ascii="Times New Roman" w:hAnsi="Times New Roman" w:eastAsia="Times New Roman" w:cs="Times New Roman"/>
                <w:spacing w:val="1"/>
                <w:sz w:val="20"/>
                <w:szCs w:val="20"/>
              </w:rPr>
              <w:t>200m□</w:t>
            </w:r>
          </w:p>
        </w:tc>
        <w:tc>
          <w:tcPr>
            <w:tcW w:w="113" w:type="dxa"/>
            <w:tcBorders>
              <w:top w:val="nil"/>
              <w:bottom w:val="nil"/>
              <w:right w:val="single" w:color="000000" w:sz="6" w:space="0"/>
            </w:tcBorders>
            <w:vAlign w:val="top"/>
          </w:tcPr>
          <w:p w14:paraId="7B6D189C">
            <w:pPr>
              <w:rPr>
                <w:rFonts w:ascii="Arial"/>
                <w:sz w:val="21"/>
              </w:rPr>
            </w:pPr>
          </w:p>
        </w:tc>
      </w:tr>
      <w:tr w14:paraId="040F09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9" w:hRule="atLeast"/>
        </w:trPr>
        <w:tc>
          <w:tcPr>
            <w:tcW w:w="599" w:type="dxa"/>
            <w:vMerge w:val="continue"/>
            <w:tcBorders>
              <w:top w:val="nil"/>
              <w:left w:val="single" w:color="000000" w:sz="6" w:space="0"/>
              <w:bottom w:val="nil"/>
            </w:tcBorders>
            <w:vAlign w:val="top"/>
          </w:tcPr>
          <w:p w14:paraId="090566EA">
            <w:pPr>
              <w:rPr>
                <w:rFonts w:ascii="Arial"/>
                <w:sz w:val="21"/>
              </w:rPr>
            </w:pPr>
          </w:p>
        </w:tc>
        <w:tc>
          <w:tcPr>
            <w:tcW w:w="104" w:type="dxa"/>
            <w:tcBorders>
              <w:top w:val="nil"/>
              <w:bottom w:val="nil"/>
            </w:tcBorders>
            <w:vAlign w:val="top"/>
          </w:tcPr>
          <w:p w14:paraId="1A4B6050">
            <w:pPr>
              <w:rPr>
                <w:rFonts w:ascii="Arial"/>
                <w:sz w:val="21"/>
              </w:rPr>
            </w:pPr>
          </w:p>
        </w:tc>
        <w:tc>
          <w:tcPr>
            <w:tcW w:w="986" w:type="dxa"/>
            <w:vAlign w:val="top"/>
          </w:tcPr>
          <w:p w14:paraId="617C9556">
            <w:pPr>
              <w:spacing w:line="264" w:lineRule="auto"/>
              <w:rPr>
                <w:rFonts w:ascii="Arial"/>
                <w:sz w:val="21"/>
              </w:rPr>
            </w:pPr>
          </w:p>
          <w:p w14:paraId="7F4BC77B">
            <w:pPr>
              <w:pStyle w:val="9"/>
              <w:spacing w:before="65" w:line="226" w:lineRule="auto"/>
              <w:ind w:left="39"/>
              <w:rPr>
                <w:sz w:val="20"/>
                <w:szCs w:val="20"/>
              </w:rPr>
            </w:pPr>
            <w:r>
              <w:rPr>
                <w:spacing w:val="19"/>
                <w:sz w:val="20"/>
                <w:szCs w:val="20"/>
              </w:rPr>
              <w:t>评价因子</w:t>
            </w:r>
          </w:p>
        </w:tc>
        <w:tc>
          <w:tcPr>
            <w:tcW w:w="1724" w:type="dxa"/>
            <w:vAlign w:val="top"/>
          </w:tcPr>
          <w:p w14:paraId="06054F92">
            <w:pPr>
              <w:spacing w:line="264" w:lineRule="auto"/>
              <w:rPr>
                <w:rFonts w:ascii="Arial"/>
                <w:sz w:val="21"/>
              </w:rPr>
            </w:pPr>
          </w:p>
          <w:p w14:paraId="2D9D4B2D">
            <w:pPr>
              <w:pStyle w:val="9"/>
              <w:spacing w:before="65" w:line="226" w:lineRule="auto"/>
              <w:ind w:left="412"/>
              <w:rPr>
                <w:sz w:val="20"/>
                <w:szCs w:val="20"/>
              </w:rPr>
            </w:pPr>
            <w:r>
              <w:rPr>
                <w:spacing w:val="19"/>
                <w:sz w:val="20"/>
                <w:szCs w:val="20"/>
              </w:rPr>
              <w:t>评价因子</w:t>
            </w:r>
          </w:p>
        </w:tc>
        <w:tc>
          <w:tcPr>
            <w:tcW w:w="6063" w:type="dxa"/>
            <w:gridSpan w:val="9"/>
            <w:vAlign w:val="top"/>
          </w:tcPr>
          <w:p w14:paraId="40A2D468">
            <w:pPr>
              <w:pStyle w:val="9"/>
              <w:spacing w:before="35" w:line="275" w:lineRule="exact"/>
              <w:ind w:left="8"/>
              <w:rPr>
                <w:rFonts w:ascii="MS UI Gothic" w:hAnsi="MS UI Gothic" w:eastAsia="MS UI Gothic" w:cs="MS UI Gothic"/>
                <w:sz w:val="20"/>
                <w:szCs w:val="20"/>
              </w:rPr>
            </w:pPr>
            <w:r>
              <w:rPr>
                <w:spacing w:val="11"/>
                <w:position w:val="1"/>
                <w:sz w:val="20"/>
                <w:szCs w:val="20"/>
              </w:rPr>
              <w:t>等效连续</w:t>
            </w:r>
            <w:r>
              <w:rPr>
                <w:spacing w:val="-27"/>
                <w:position w:val="1"/>
                <w:sz w:val="20"/>
                <w:szCs w:val="20"/>
              </w:rPr>
              <w:t xml:space="preserve"> </w:t>
            </w:r>
            <w:r>
              <w:rPr>
                <w:rFonts w:ascii="Times New Roman" w:hAnsi="Times New Roman" w:eastAsia="Times New Roman" w:cs="Times New Roman"/>
                <w:spacing w:val="11"/>
                <w:position w:val="1"/>
                <w:sz w:val="20"/>
                <w:szCs w:val="20"/>
              </w:rPr>
              <w:t xml:space="preserve">A </w:t>
            </w:r>
            <w:r>
              <w:rPr>
                <w:spacing w:val="11"/>
                <w:position w:val="1"/>
                <w:sz w:val="20"/>
                <w:szCs w:val="20"/>
              </w:rPr>
              <w:t>声级</w:t>
            </w:r>
            <w:r>
              <w:rPr>
                <w:rFonts w:ascii="MS UI Gothic" w:hAnsi="MS UI Gothic" w:eastAsia="MS UI Gothic" w:cs="MS UI Gothic"/>
                <w:spacing w:val="11"/>
                <w:position w:val="1"/>
                <w:sz w:val="20"/>
                <w:szCs w:val="20"/>
              </w:rPr>
              <w:t>☑</w:t>
            </w:r>
          </w:p>
          <w:p w14:paraId="6B253C49">
            <w:pPr>
              <w:pStyle w:val="9"/>
              <w:spacing w:before="24" w:line="228" w:lineRule="auto"/>
              <w:ind w:left="9"/>
              <w:rPr>
                <w:rFonts w:ascii="Times New Roman" w:hAnsi="Times New Roman" w:eastAsia="Times New Roman" w:cs="Times New Roman"/>
                <w:sz w:val="20"/>
                <w:szCs w:val="20"/>
              </w:rPr>
            </w:pPr>
            <w:r>
              <w:rPr>
                <w:spacing w:val="8"/>
                <w:sz w:val="20"/>
                <w:szCs w:val="20"/>
              </w:rPr>
              <w:t>最大</w:t>
            </w:r>
            <w:r>
              <w:rPr>
                <w:spacing w:val="-34"/>
                <w:sz w:val="20"/>
                <w:szCs w:val="20"/>
              </w:rPr>
              <w:t xml:space="preserve"> </w:t>
            </w:r>
            <w:r>
              <w:rPr>
                <w:rFonts w:ascii="Times New Roman" w:hAnsi="Times New Roman" w:eastAsia="Times New Roman" w:cs="Times New Roman"/>
                <w:spacing w:val="8"/>
                <w:sz w:val="20"/>
                <w:szCs w:val="20"/>
              </w:rPr>
              <w:t>A</w:t>
            </w:r>
            <w:r>
              <w:rPr>
                <w:rFonts w:ascii="Times New Roman" w:hAnsi="Times New Roman" w:eastAsia="Times New Roman" w:cs="Times New Roman"/>
                <w:spacing w:val="15"/>
                <w:w w:val="101"/>
                <w:sz w:val="20"/>
                <w:szCs w:val="20"/>
              </w:rPr>
              <w:t xml:space="preserve"> </w:t>
            </w:r>
            <w:r>
              <w:rPr>
                <w:spacing w:val="8"/>
                <w:sz w:val="20"/>
                <w:szCs w:val="20"/>
              </w:rPr>
              <w:t>声级</w:t>
            </w:r>
            <w:r>
              <w:rPr>
                <w:rFonts w:ascii="Times New Roman" w:hAnsi="Times New Roman" w:eastAsia="Times New Roman" w:cs="Times New Roman"/>
                <w:spacing w:val="8"/>
                <w:sz w:val="20"/>
                <w:szCs w:val="20"/>
              </w:rPr>
              <w:t>□</w:t>
            </w:r>
          </w:p>
          <w:p w14:paraId="7FD4445C">
            <w:pPr>
              <w:pStyle w:val="9"/>
              <w:spacing w:before="26" w:line="228" w:lineRule="auto"/>
              <w:ind w:left="6"/>
              <w:rPr>
                <w:rFonts w:ascii="Times New Roman" w:hAnsi="Times New Roman" w:eastAsia="Times New Roman" w:cs="Times New Roman"/>
                <w:sz w:val="20"/>
                <w:szCs w:val="20"/>
              </w:rPr>
            </w:pPr>
            <w:r>
              <w:rPr>
                <w:spacing w:val="16"/>
                <w:sz w:val="20"/>
                <w:szCs w:val="20"/>
              </w:rPr>
              <w:t>计权等效连续感觉噪声级</w:t>
            </w:r>
            <w:r>
              <w:rPr>
                <w:rFonts w:ascii="Times New Roman" w:hAnsi="Times New Roman" w:eastAsia="Times New Roman" w:cs="Times New Roman"/>
                <w:spacing w:val="16"/>
                <w:sz w:val="20"/>
                <w:szCs w:val="20"/>
              </w:rPr>
              <w:t>□</w:t>
            </w:r>
          </w:p>
        </w:tc>
        <w:tc>
          <w:tcPr>
            <w:tcW w:w="113" w:type="dxa"/>
            <w:tcBorders>
              <w:top w:val="nil"/>
              <w:bottom w:val="nil"/>
              <w:right w:val="single" w:color="000000" w:sz="6" w:space="0"/>
            </w:tcBorders>
            <w:vAlign w:val="top"/>
          </w:tcPr>
          <w:p w14:paraId="5CE59433">
            <w:pPr>
              <w:rPr>
                <w:rFonts w:ascii="Arial"/>
                <w:sz w:val="21"/>
              </w:rPr>
            </w:pPr>
          </w:p>
        </w:tc>
      </w:tr>
      <w:tr w14:paraId="2A6056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599" w:type="dxa"/>
            <w:vMerge w:val="continue"/>
            <w:tcBorders>
              <w:top w:val="nil"/>
              <w:left w:val="single" w:color="000000" w:sz="6" w:space="0"/>
              <w:bottom w:val="nil"/>
            </w:tcBorders>
            <w:vAlign w:val="top"/>
          </w:tcPr>
          <w:p w14:paraId="568E2C36">
            <w:pPr>
              <w:rPr>
                <w:rFonts w:ascii="Arial"/>
                <w:sz w:val="21"/>
              </w:rPr>
            </w:pPr>
          </w:p>
        </w:tc>
        <w:tc>
          <w:tcPr>
            <w:tcW w:w="104" w:type="dxa"/>
            <w:tcBorders>
              <w:top w:val="nil"/>
              <w:bottom w:val="nil"/>
            </w:tcBorders>
            <w:vAlign w:val="top"/>
          </w:tcPr>
          <w:p w14:paraId="1C060E92">
            <w:pPr>
              <w:rPr>
                <w:rFonts w:ascii="Arial"/>
                <w:sz w:val="21"/>
              </w:rPr>
            </w:pPr>
          </w:p>
        </w:tc>
        <w:tc>
          <w:tcPr>
            <w:tcW w:w="986" w:type="dxa"/>
            <w:vAlign w:val="top"/>
          </w:tcPr>
          <w:p w14:paraId="0DA559D7">
            <w:pPr>
              <w:pStyle w:val="9"/>
              <w:spacing w:before="71" w:line="226" w:lineRule="auto"/>
              <w:ind w:left="39"/>
              <w:rPr>
                <w:sz w:val="20"/>
                <w:szCs w:val="20"/>
              </w:rPr>
            </w:pPr>
            <w:r>
              <w:rPr>
                <w:spacing w:val="19"/>
                <w:sz w:val="20"/>
                <w:szCs w:val="20"/>
              </w:rPr>
              <w:t>评价标准</w:t>
            </w:r>
          </w:p>
        </w:tc>
        <w:tc>
          <w:tcPr>
            <w:tcW w:w="1724" w:type="dxa"/>
            <w:vAlign w:val="top"/>
          </w:tcPr>
          <w:p w14:paraId="5B8E068D">
            <w:pPr>
              <w:pStyle w:val="9"/>
              <w:spacing w:before="71" w:line="226" w:lineRule="auto"/>
              <w:ind w:left="412"/>
              <w:rPr>
                <w:sz w:val="20"/>
                <w:szCs w:val="20"/>
              </w:rPr>
            </w:pPr>
            <w:r>
              <w:rPr>
                <w:spacing w:val="19"/>
                <w:sz w:val="20"/>
                <w:szCs w:val="20"/>
              </w:rPr>
              <w:t>评价标准</w:t>
            </w:r>
          </w:p>
        </w:tc>
        <w:tc>
          <w:tcPr>
            <w:tcW w:w="6063" w:type="dxa"/>
            <w:gridSpan w:val="9"/>
            <w:vAlign w:val="top"/>
          </w:tcPr>
          <w:p w14:paraId="052468A0">
            <w:pPr>
              <w:pStyle w:val="9"/>
              <w:spacing w:before="49" w:line="276" w:lineRule="exact"/>
              <w:ind w:left="296"/>
              <w:rPr>
                <w:rFonts w:ascii="Times New Roman" w:hAnsi="Times New Roman" w:eastAsia="Times New Roman" w:cs="Times New Roman"/>
                <w:sz w:val="20"/>
                <w:szCs w:val="20"/>
              </w:rPr>
            </w:pPr>
            <w:r>
              <w:rPr>
                <w:spacing w:val="7"/>
                <w:position w:val="1"/>
                <w:sz w:val="20"/>
                <w:szCs w:val="20"/>
              </w:rPr>
              <w:t>国家标准</w:t>
            </w:r>
            <w:r>
              <w:rPr>
                <w:rFonts w:ascii="MS UI Gothic" w:hAnsi="MS UI Gothic" w:eastAsia="MS UI Gothic" w:cs="MS UI Gothic"/>
                <w:spacing w:val="7"/>
                <w:position w:val="1"/>
                <w:sz w:val="20"/>
                <w:szCs w:val="20"/>
              </w:rPr>
              <w:t xml:space="preserve">☑                  </w:t>
            </w:r>
            <w:r>
              <w:rPr>
                <w:spacing w:val="7"/>
                <w:position w:val="1"/>
                <w:sz w:val="20"/>
                <w:szCs w:val="20"/>
              </w:rPr>
              <w:t>地方标准</w:t>
            </w:r>
            <w:r>
              <w:rPr>
                <w:rFonts w:ascii="Times New Roman" w:hAnsi="Times New Roman" w:eastAsia="Times New Roman" w:cs="Times New Roman"/>
                <w:spacing w:val="7"/>
                <w:position w:val="3"/>
                <w:sz w:val="20"/>
                <w:szCs w:val="20"/>
              </w:rPr>
              <w:t xml:space="preserve">□                       </w:t>
            </w:r>
            <w:r>
              <w:rPr>
                <w:spacing w:val="7"/>
                <w:position w:val="1"/>
                <w:sz w:val="20"/>
                <w:szCs w:val="20"/>
              </w:rPr>
              <w:t>国外标准</w:t>
            </w:r>
            <w:r>
              <w:rPr>
                <w:rFonts w:ascii="Times New Roman" w:hAnsi="Times New Roman" w:eastAsia="Times New Roman" w:cs="Times New Roman"/>
                <w:spacing w:val="7"/>
                <w:position w:val="1"/>
                <w:sz w:val="20"/>
                <w:szCs w:val="20"/>
              </w:rPr>
              <w:t>□</w:t>
            </w:r>
          </w:p>
        </w:tc>
        <w:tc>
          <w:tcPr>
            <w:tcW w:w="113" w:type="dxa"/>
            <w:tcBorders>
              <w:top w:val="nil"/>
              <w:bottom w:val="nil"/>
              <w:right w:val="single" w:color="000000" w:sz="6" w:space="0"/>
            </w:tcBorders>
            <w:vAlign w:val="top"/>
          </w:tcPr>
          <w:p w14:paraId="58BBB84E">
            <w:pPr>
              <w:rPr>
                <w:rFonts w:ascii="Arial"/>
                <w:sz w:val="21"/>
              </w:rPr>
            </w:pPr>
          </w:p>
        </w:tc>
      </w:tr>
      <w:tr w14:paraId="3BB745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599" w:type="dxa"/>
            <w:vMerge w:val="continue"/>
            <w:tcBorders>
              <w:top w:val="nil"/>
              <w:left w:val="single" w:color="000000" w:sz="6" w:space="0"/>
              <w:bottom w:val="nil"/>
            </w:tcBorders>
            <w:vAlign w:val="top"/>
          </w:tcPr>
          <w:p w14:paraId="6A3F1F5E">
            <w:pPr>
              <w:rPr>
                <w:rFonts w:ascii="Arial"/>
                <w:sz w:val="21"/>
              </w:rPr>
            </w:pPr>
          </w:p>
        </w:tc>
        <w:tc>
          <w:tcPr>
            <w:tcW w:w="104" w:type="dxa"/>
            <w:tcBorders>
              <w:top w:val="nil"/>
              <w:bottom w:val="nil"/>
            </w:tcBorders>
            <w:vAlign w:val="top"/>
          </w:tcPr>
          <w:p w14:paraId="5EB699C2">
            <w:pPr>
              <w:rPr>
                <w:rFonts w:ascii="Arial"/>
                <w:sz w:val="21"/>
              </w:rPr>
            </w:pPr>
          </w:p>
        </w:tc>
        <w:tc>
          <w:tcPr>
            <w:tcW w:w="986" w:type="dxa"/>
            <w:vMerge w:val="restart"/>
            <w:tcBorders>
              <w:bottom w:val="nil"/>
            </w:tcBorders>
            <w:vAlign w:val="top"/>
          </w:tcPr>
          <w:p w14:paraId="0D7CB5FC">
            <w:pPr>
              <w:spacing w:line="409" w:lineRule="auto"/>
              <w:rPr>
                <w:rFonts w:ascii="Arial"/>
                <w:sz w:val="21"/>
              </w:rPr>
            </w:pPr>
          </w:p>
          <w:p w14:paraId="546857B3">
            <w:pPr>
              <w:pStyle w:val="9"/>
              <w:spacing w:before="65" w:line="271" w:lineRule="auto"/>
              <w:ind w:left="270" w:right="288" w:firstLine="4"/>
              <w:rPr>
                <w:sz w:val="20"/>
                <w:szCs w:val="20"/>
              </w:rPr>
            </w:pPr>
            <w:r>
              <w:rPr>
                <w:spacing w:val="8"/>
                <w:sz w:val="20"/>
                <w:szCs w:val="20"/>
              </w:rPr>
              <w:t>现状</w:t>
            </w:r>
            <w:r>
              <w:rPr>
                <w:spacing w:val="11"/>
                <w:sz w:val="20"/>
                <w:szCs w:val="20"/>
              </w:rPr>
              <w:t>评价</w:t>
            </w:r>
          </w:p>
        </w:tc>
        <w:tc>
          <w:tcPr>
            <w:tcW w:w="1724" w:type="dxa"/>
            <w:vAlign w:val="top"/>
          </w:tcPr>
          <w:p w14:paraId="52E5F196">
            <w:pPr>
              <w:pStyle w:val="9"/>
              <w:spacing w:before="44" w:line="224" w:lineRule="auto"/>
              <w:ind w:left="297"/>
              <w:rPr>
                <w:sz w:val="20"/>
                <w:szCs w:val="20"/>
              </w:rPr>
            </w:pPr>
            <w:r>
              <w:rPr>
                <w:spacing w:val="21"/>
                <w:sz w:val="20"/>
                <w:szCs w:val="20"/>
              </w:rPr>
              <w:t>环境功能区</w:t>
            </w:r>
          </w:p>
        </w:tc>
        <w:tc>
          <w:tcPr>
            <w:tcW w:w="815" w:type="dxa"/>
            <w:vAlign w:val="top"/>
          </w:tcPr>
          <w:p w14:paraId="4DEF5FA3">
            <w:pPr>
              <w:pStyle w:val="9"/>
              <w:spacing w:before="44" w:line="224" w:lineRule="auto"/>
              <w:ind w:left="46"/>
              <w:rPr>
                <w:rFonts w:ascii="Times New Roman" w:hAnsi="Times New Roman" w:eastAsia="Times New Roman" w:cs="Times New Roman"/>
                <w:sz w:val="20"/>
                <w:szCs w:val="20"/>
              </w:rPr>
            </w:pPr>
            <w:r>
              <w:rPr>
                <w:rFonts w:ascii="Times New Roman" w:hAnsi="Times New Roman" w:eastAsia="Times New Roman" w:cs="Times New Roman"/>
                <w:spacing w:val="6"/>
                <w:sz w:val="20"/>
                <w:szCs w:val="20"/>
              </w:rPr>
              <w:t>0</w:t>
            </w:r>
            <w:r>
              <w:rPr>
                <w:rFonts w:ascii="Times New Roman" w:hAnsi="Times New Roman" w:eastAsia="Times New Roman" w:cs="Times New Roman"/>
                <w:spacing w:val="18"/>
                <w:sz w:val="20"/>
                <w:szCs w:val="20"/>
              </w:rPr>
              <w:t xml:space="preserve"> </w:t>
            </w:r>
            <w:r>
              <w:rPr>
                <w:spacing w:val="6"/>
                <w:sz w:val="20"/>
                <w:szCs w:val="20"/>
              </w:rPr>
              <w:t>类区</w:t>
            </w:r>
            <w:r>
              <w:rPr>
                <w:rFonts w:ascii="Times New Roman" w:hAnsi="Times New Roman" w:eastAsia="Times New Roman" w:cs="Times New Roman"/>
                <w:spacing w:val="6"/>
                <w:sz w:val="20"/>
                <w:szCs w:val="20"/>
              </w:rPr>
              <w:t>□</w:t>
            </w:r>
          </w:p>
        </w:tc>
        <w:tc>
          <w:tcPr>
            <w:tcW w:w="905" w:type="dxa"/>
            <w:gridSpan w:val="2"/>
            <w:vAlign w:val="top"/>
          </w:tcPr>
          <w:p w14:paraId="2FADA806">
            <w:pPr>
              <w:pStyle w:val="9"/>
              <w:spacing w:before="54" w:line="210" w:lineRule="auto"/>
              <w:ind w:left="112"/>
              <w:rPr>
                <w:rFonts w:ascii="Times New Roman" w:hAnsi="Times New Roman" w:eastAsia="Times New Roman" w:cs="Times New Roman"/>
                <w:sz w:val="20"/>
                <w:szCs w:val="20"/>
              </w:rPr>
            </w:pPr>
            <w:r>
              <w:rPr>
                <w:rFonts w:ascii="Times New Roman" w:hAnsi="Times New Roman" w:eastAsia="Times New Roman" w:cs="Times New Roman"/>
                <w:sz w:val="20"/>
                <w:szCs w:val="20"/>
              </w:rPr>
              <w:t>1</w:t>
            </w:r>
            <w:r>
              <w:rPr>
                <w:rFonts w:ascii="Times New Roman" w:hAnsi="Times New Roman" w:eastAsia="Times New Roman" w:cs="Times New Roman"/>
                <w:spacing w:val="15"/>
                <w:w w:val="101"/>
                <w:sz w:val="20"/>
                <w:szCs w:val="20"/>
              </w:rPr>
              <w:t xml:space="preserve"> </w:t>
            </w:r>
            <w:r>
              <w:rPr>
                <w:sz w:val="20"/>
                <w:szCs w:val="20"/>
              </w:rPr>
              <w:t>类区</w:t>
            </w:r>
            <w:r>
              <w:rPr>
                <w:rFonts w:ascii="Times New Roman" w:hAnsi="Times New Roman" w:eastAsia="Times New Roman" w:cs="Times New Roman"/>
                <w:position w:val="2"/>
                <w:sz w:val="20"/>
                <w:szCs w:val="20"/>
              </w:rPr>
              <w:t>□</w:t>
            </w:r>
          </w:p>
        </w:tc>
        <w:tc>
          <w:tcPr>
            <w:tcW w:w="1106" w:type="dxa"/>
            <w:vAlign w:val="top"/>
          </w:tcPr>
          <w:p w14:paraId="5F1752DB">
            <w:pPr>
              <w:pStyle w:val="9"/>
              <w:spacing w:before="44" w:line="224" w:lineRule="auto"/>
              <w:ind w:left="152"/>
              <w:rPr>
                <w:rFonts w:ascii="MS UI Gothic" w:hAnsi="MS UI Gothic" w:eastAsia="MS UI Gothic" w:cs="MS UI Gothic"/>
                <w:sz w:val="20"/>
                <w:szCs w:val="20"/>
              </w:rPr>
            </w:pPr>
            <w:r>
              <w:rPr>
                <w:rFonts w:ascii="Times New Roman" w:hAnsi="Times New Roman" w:eastAsia="Times New Roman" w:cs="Times New Roman"/>
                <w:spacing w:val="8"/>
                <w:sz w:val="20"/>
                <w:szCs w:val="20"/>
              </w:rPr>
              <w:t>2</w:t>
            </w:r>
            <w:r>
              <w:rPr>
                <w:rFonts w:ascii="Times New Roman" w:hAnsi="Times New Roman" w:eastAsia="Times New Roman" w:cs="Times New Roman"/>
                <w:spacing w:val="16"/>
                <w:sz w:val="20"/>
                <w:szCs w:val="20"/>
              </w:rPr>
              <w:t xml:space="preserve"> </w:t>
            </w:r>
            <w:r>
              <w:rPr>
                <w:spacing w:val="8"/>
                <w:sz w:val="20"/>
                <w:szCs w:val="20"/>
              </w:rPr>
              <w:t>类区</w:t>
            </w:r>
            <w:r>
              <w:rPr>
                <w:rFonts w:ascii="MS UI Gothic" w:hAnsi="MS UI Gothic" w:eastAsia="MS UI Gothic" w:cs="MS UI Gothic"/>
                <w:spacing w:val="8"/>
                <w:sz w:val="20"/>
                <w:szCs w:val="20"/>
              </w:rPr>
              <w:t>☑</w:t>
            </w:r>
          </w:p>
        </w:tc>
        <w:tc>
          <w:tcPr>
            <w:tcW w:w="1085" w:type="dxa"/>
            <w:vAlign w:val="top"/>
          </w:tcPr>
          <w:p w14:paraId="6D623A34">
            <w:pPr>
              <w:pStyle w:val="9"/>
              <w:spacing w:before="44" w:line="224" w:lineRule="auto"/>
              <w:ind w:left="190"/>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3</w:t>
            </w:r>
            <w:r>
              <w:rPr>
                <w:rFonts w:ascii="Times New Roman" w:hAnsi="Times New Roman" w:eastAsia="Times New Roman" w:cs="Times New Roman"/>
                <w:spacing w:val="16"/>
                <w:w w:val="101"/>
                <w:sz w:val="20"/>
                <w:szCs w:val="20"/>
              </w:rPr>
              <w:t xml:space="preserve"> </w:t>
            </w:r>
            <w:r>
              <w:rPr>
                <w:spacing w:val="5"/>
                <w:sz w:val="20"/>
                <w:szCs w:val="20"/>
              </w:rPr>
              <w:t>类区</w:t>
            </w:r>
            <w:r>
              <w:rPr>
                <w:rFonts w:ascii="Times New Roman" w:hAnsi="Times New Roman" w:eastAsia="Times New Roman" w:cs="Times New Roman"/>
                <w:spacing w:val="5"/>
                <w:sz w:val="20"/>
                <w:szCs w:val="20"/>
              </w:rPr>
              <w:t>□</w:t>
            </w:r>
          </w:p>
        </w:tc>
        <w:tc>
          <w:tcPr>
            <w:tcW w:w="1062" w:type="dxa"/>
            <w:gridSpan w:val="3"/>
            <w:vAlign w:val="top"/>
          </w:tcPr>
          <w:p w14:paraId="2FC932A0">
            <w:pPr>
              <w:pStyle w:val="9"/>
              <w:spacing w:before="44" w:line="224" w:lineRule="auto"/>
              <w:ind w:left="120"/>
              <w:rPr>
                <w:rFonts w:ascii="Times New Roman" w:hAnsi="Times New Roman" w:eastAsia="Times New Roman" w:cs="Times New Roman"/>
                <w:sz w:val="20"/>
                <w:szCs w:val="20"/>
              </w:rPr>
            </w:pPr>
            <w:r>
              <w:rPr>
                <w:rFonts w:ascii="Times New Roman" w:hAnsi="Times New Roman" w:eastAsia="Times New Roman" w:cs="Times New Roman"/>
                <w:spacing w:val="10"/>
                <w:sz w:val="20"/>
                <w:szCs w:val="20"/>
              </w:rPr>
              <w:t>4a</w:t>
            </w:r>
            <w:r>
              <w:rPr>
                <w:rFonts w:ascii="Times New Roman" w:hAnsi="Times New Roman" w:eastAsia="Times New Roman" w:cs="Times New Roman"/>
                <w:spacing w:val="13"/>
                <w:sz w:val="20"/>
                <w:szCs w:val="20"/>
              </w:rPr>
              <w:t xml:space="preserve"> </w:t>
            </w:r>
            <w:r>
              <w:rPr>
                <w:spacing w:val="10"/>
                <w:sz w:val="20"/>
                <w:szCs w:val="20"/>
              </w:rPr>
              <w:t>类区</w:t>
            </w:r>
            <w:r>
              <w:rPr>
                <w:rFonts w:ascii="Times New Roman" w:hAnsi="Times New Roman" w:eastAsia="Times New Roman" w:cs="Times New Roman"/>
                <w:spacing w:val="10"/>
                <w:sz w:val="20"/>
                <w:szCs w:val="20"/>
              </w:rPr>
              <w:t>□</w:t>
            </w:r>
          </w:p>
        </w:tc>
        <w:tc>
          <w:tcPr>
            <w:tcW w:w="1090" w:type="dxa"/>
            <w:vAlign w:val="top"/>
          </w:tcPr>
          <w:p w14:paraId="780D83F2">
            <w:pPr>
              <w:pStyle w:val="9"/>
              <w:spacing w:before="44" w:line="224" w:lineRule="auto"/>
              <w:ind w:left="128"/>
              <w:rPr>
                <w:rFonts w:ascii="Times New Roman" w:hAnsi="Times New Roman" w:eastAsia="Times New Roman" w:cs="Times New Roman"/>
                <w:sz w:val="20"/>
                <w:szCs w:val="20"/>
              </w:rPr>
            </w:pPr>
            <w:r>
              <w:rPr>
                <w:rFonts w:ascii="Times New Roman" w:hAnsi="Times New Roman" w:eastAsia="Times New Roman" w:cs="Times New Roman"/>
                <w:spacing w:val="10"/>
                <w:sz w:val="20"/>
                <w:szCs w:val="20"/>
              </w:rPr>
              <w:t>4b</w:t>
            </w:r>
            <w:r>
              <w:rPr>
                <w:rFonts w:ascii="Times New Roman" w:hAnsi="Times New Roman" w:eastAsia="Times New Roman" w:cs="Times New Roman"/>
                <w:spacing w:val="13"/>
                <w:w w:val="101"/>
                <w:sz w:val="20"/>
                <w:szCs w:val="20"/>
              </w:rPr>
              <w:t xml:space="preserve"> </w:t>
            </w:r>
            <w:r>
              <w:rPr>
                <w:spacing w:val="10"/>
                <w:sz w:val="20"/>
                <w:szCs w:val="20"/>
              </w:rPr>
              <w:t>类区</w:t>
            </w:r>
            <w:r>
              <w:rPr>
                <w:rFonts w:ascii="Times New Roman" w:hAnsi="Times New Roman" w:eastAsia="Times New Roman" w:cs="Times New Roman"/>
                <w:spacing w:val="10"/>
                <w:sz w:val="20"/>
                <w:szCs w:val="20"/>
              </w:rPr>
              <w:t>□</w:t>
            </w:r>
          </w:p>
        </w:tc>
        <w:tc>
          <w:tcPr>
            <w:tcW w:w="113" w:type="dxa"/>
            <w:tcBorders>
              <w:top w:val="nil"/>
              <w:bottom w:val="nil"/>
              <w:right w:val="single" w:color="000000" w:sz="6" w:space="0"/>
            </w:tcBorders>
            <w:vAlign w:val="top"/>
          </w:tcPr>
          <w:p w14:paraId="6D1270E6">
            <w:pPr>
              <w:rPr>
                <w:rFonts w:ascii="Arial"/>
                <w:sz w:val="21"/>
              </w:rPr>
            </w:pPr>
          </w:p>
        </w:tc>
      </w:tr>
      <w:tr w14:paraId="3DE5B6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599" w:type="dxa"/>
            <w:vMerge w:val="continue"/>
            <w:tcBorders>
              <w:top w:val="nil"/>
              <w:left w:val="single" w:color="000000" w:sz="6" w:space="0"/>
              <w:bottom w:val="nil"/>
            </w:tcBorders>
            <w:vAlign w:val="top"/>
          </w:tcPr>
          <w:p w14:paraId="511D3E46">
            <w:pPr>
              <w:rPr>
                <w:rFonts w:ascii="Arial"/>
                <w:sz w:val="21"/>
              </w:rPr>
            </w:pPr>
          </w:p>
        </w:tc>
        <w:tc>
          <w:tcPr>
            <w:tcW w:w="104" w:type="dxa"/>
            <w:tcBorders>
              <w:top w:val="nil"/>
              <w:bottom w:val="nil"/>
            </w:tcBorders>
            <w:vAlign w:val="top"/>
          </w:tcPr>
          <w:p w14:paraId="23539C28">
            <w:pPr>
              <w:rPr>
                <w:rFonts w:ascii="Arial"/>
                <w:sz w:val="21"/>
              </w:rPr>
            </w:pPr>
          </w:p>
        </w:tc>
        <w:tc>
          <w:tcPr>
            <w:tcW w:w="986" w:type="dxa"/>
            <w:vMerge w:val="continue"/>
            <w:tcBorders>
              <w:top w:val="nil"/>
              <w:bottom w:val="nil"/>
            </w:tcBorders>
            <w:vAlign w:val="top"/>
          </w:tcPr>
          <w:p w14:paraId="6489EA1F">
            <w:pPr>
              <w:rPr>
                <w:rFonts w:ascii="Arial"/>
                <w:sz w:val="21"/>
              </w:rPr>
            </w:pPr>
          </w:p>
        </w:tc>
        <w:tc>
          <w:tcPr>
            <w:tcW w:w="1724" w:type="dxa"/>
            <w:vAlign w:val="top"/>
          </w:tcPr>
          <w:p w14:paraId="0847B883">
            <w:pPr>
              <w:pStyle w:val="9"/>
              <w:spacing w:before="47" w:line="217" w:lineRule="auto"/>
              <w:ind w:left="412"/>
              <w:rPr>
                <w:sz w:val="20"/>
                <w:szCs w:val="20"/>
              </w:rPr>
            </w:pPr>
            <w:r>
              <w:rPr>
                <w:spacing w:val="19"/>
                <w:sz w:val="20"/>
                <w:szCs w:val="20"/>
              </w:rPr>
              <w:t>评价年度</w:t>
            </w:r>
          </w:p>
        </w:tc>
        <w:tc>
          <w:tcPr>
            <w:tcW w:w="1439" w:type="dxa"/>
            <w:gridSpan w:val="2"/>
            <w:vAlign w:val="top"/>
          </w:tcPr>
          <w:p w14:paraId="69C22A51">
            <w:pPr>
              <w:pStyle w:val="9"/>
              <w:spacing w:before="26" w:line="237" w:lineRule="auto"/>
              <w:ind w:left="392"/>
              <w:rPr>
                <w:rFonts w:ascii="MS UI Gothic" w:hAnsi="MS UI Gothic" w:eastAsia="MS UI Gothic" w:cs="MS UI Gothic"/>
                <w:sz w:val="20"/>
                <w:szCs w:val="20"/>
              </w:rPr>
            </w:pPr>
            <w:r>
              <w:rPr>
                <w:spacing w:val="15"/>
                <w:sz w:val="20"/>
                <w:szCs w:val="20"/>
              </w:rPr>
              <w:t>初期</w:t>
            </w:r>
            <w:r>
              <w:rPr>
                <w:rFonts w:ascii="MS UI Gothic" w:hAnsi="MS UI Gothic" w:eastAsia="MS UI Gothic" w:cs="MS UI Gothic"/>
                <w:spacing w:val="15"/>
                <w:sz w:val="20"/>
                <w:szCs w:val="20"/>
              </w:rPr>
              <w:t>☑</w:t>
            </w:r>
          </w:p>
        </w:tc>
        <w:tc>
          <w:tcPr>
            <w:tcW w:w="1387" w:type="dxa"/>
            <w:gridSpan w:val="2"/>
            <w:vAlign w:val="top"/>
          </w:tcPr>
          <w:p w14:paraId="50E320BD">
            <w:pPr>
              <w:pStyle w:val="9"/>
              <w:spacing w:before="57" w:line="204" w:lineRule="auto"/>
              <w:ind w:left="414"/>
              <w:rPr>
                <w:rFonts w:ascii="Times New Roman" w:hAnsi="Times New Roman" w:eastAsia="Times New Roman" w:cs="Times New Roman"/>
                <w:sz w:val="20"/>
                <w:szCs w:val="20"/>
              </w:rPr>
            </w:pPr>
            <w:r>
              <w:rPr>
                <w:spacing w:val="10"/>
                <w:sz w:val="20"/>
                <w:szCs w:val="20"/>
              </w:rPr>
              <w:t>近期</w:t>
            </w:r>
            <w:r>
              <w:rPr>
                <w:rFonts w:ascii="Times New Roman" w:hAnsi="Times New Roman" w:eastAsia="Times New Roman" w:cs="Times New Roman"/>
                <w:spacing w:val="10"/>
                <w:position w:val="2"/>
                <w:sz w:val="20"/>
                <w:szCs w:val="20"/>
              </w:rPr>
              <w:t>□</w:t>
            </w:r>
          </w:p>
        </w:tc>
        <w:tc>
          <w:tcPr>
            <w:tcW w:w="1475" w:type="dxa"/>
            <w:gridSpan w:val="2"/>
            <w:vAlign w:val="top"/>
          </w:tcPr>
          <w:p w14:paraId="6D04E2E9">
            <w:pPr>
              <w:pStyle w:val="9"/>
              <w:spacing w:before="47" w:line="217" w:lineRule="auto"/>
              <w:ind w:left="493"/>
              <w:rPr>
                <w:rFonts w:ascii="Times New Roman" w:hAnsi="Times New Roman" w:eastAsia="Times New Roman" w:cs="Times New Roman"/>
                <w:sz w:val="20"/>
                <w:szCs w:val="20"/>
              </w:rPr>
            </w:pPr>
            <w:r>
              <w:rPr>
                <w:spacing w:val="-2"/>
                <w:sz w:val="20"/>
                <w:szCs w:val="20"/>
              </w:rPr>
              <w:t>中期</w:t>
            </w:r>
            <w:r>
              <w:rPr>
                <w:rFonts w:ascii="Times New Roman" w:hAnsi="Times New Roman" w:eastAsia="Times New Roman" w:cs="Times New Roman"/>
                <w:spacing w:val="-2"/>
                <w:sz w:val="20"/>
                <w:szCs w:val="20"/>
              </w:rPr>
              <w:t>□</w:t>
            </w:r>
          </w:p>
        </w:tc>
        <w:tc>
          <w:tcPr>
            <w:tcW w:w="1762" w:type="dxa"/>
            <w:gridSpan w:val="3"/>
            <w:vAlign w:val="top"/>
          </w:tcPr>
          <w:p w14:paraId="0D9E14E8">
            <w:pPr>
              <w:pStyle w:val="9"/>
              <w:spacing w:before="57" w:line="204" w:lineRule="auto"/>
              <w:ind w:left="606"/>
              <w:rPr>
                <w:rFonts w:ascii="Times New Roman" w:hAnsi="Times New Roman" w:eastAsia="Times New Roman" w:cs="Times New Roman"/>
                <w:sz w:val="20"/>
                <w:szCs w:val="20"/>
              </w:rPr>
            </w:pPr>
            <w:r>
              <w:rPr>
                <w:spacing w:val="11"/>
                <w:sz w:val="20"/>
                <w:szCs w:val="20"/>
              </w:rPr>
              <w:t>远期</w:t>
            </w:r>
            <w:r>
              <w:rPr>
                <w:rFonts w:ascii="Times New Roman" w:hAnsi="Times New Roman" w:eastAsia="Times New Roman" w:cs="Times New Roman"/>
                <w:spacing w:val="11"/>
                <w:position w:val="2"/>
                <w:sz w:val="20"/>
                <w:szCs w:val="20"/>
              </w:rPr>
              <w:t>□</w:t>
            </w:r>
          </w:p>
        </w:tc>
        <w:tc>
          <w:tcPr>
            <w:tcW w:w="113" w:type="dxa"/>
            <w:tcBorders>
              <w:top w:val="nil"/>
              <w:bottom w:val="nil"/>
              <w:right w:val="single" w:color="000000" w:sz="6" w:space="0"/>
            </w:tcBorders>
            <w:vAlign w:val="top"/>
          </w:tcPr>
          <w:p w14:paraId="32E2D4DA">
            <w:pPr>
              <w:rPr>
                <w:rFonts w:ascii="Arial"/>
                <w:sz w:val="21"/>
              </w:rPr>
            </w:pPr>
          </w:p>
        </w:tc>
      </w:tr>
      <w:tr w14:paraId="5ABA84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599" w:type="dxa"/>
            <w:vMerge w:val="continue"/>
            <w:tcBorders>
              <w:top w:val="nil"/>
              <w:left w:val="single" w:color="000000" w:sz="6" w:space="0"/>
              <w:bottom w:val="nil"/>
            </w:tcBorders>
            <w:vAlign w:val="top"/>
          </w:tcPr>
          <w:p w14:paraId="51E2F36D">
            <w:pPr>
              <w:rPr>
                <w:rFonts w:ascii="Arial"/>
                <w:sz w:val="21"/>
              </w:rPr>
            </w:pPr>
          </w:p>
        </w:tc>
        <w:tc>
          <w:tcPr>
            <w:tcW w:w="104" w:type="dxa"/>
            <w:tcBorders>
              <w:top w:val="nil"/>
              <w:bottom w:val="nil"/>
            </w:tcBorders>
            <w:vAlign w:val="top"/>
          </w:tcPr>
          <w:p w14:paraId="1268FE27">
            <w:pPr>
              <w:rPr>
                <w:rFonts w:ascii="Arial"/>
                <w:sz w:val="21"/>
              </w:rPr>
            </w:pPr>
          </w:p>
        </w:tc>
        <w:tc>
          <w:tcPr>
            <w:tcW w:w="986" w:type="dxa"/>
            <w:vMerge w:val="continue"/>
            <w:tcBorders>
              <w:top w:val="nil"/>
              <w:bottom w:val="nil"/>
            </w:tcBorders>
            <w:vAlign w:val="top"/>
          </w:tcPr>
          <w:p w14:paraId="49DDCABD">
            <w:pPr>
              <w:rPr>
                <w:rFonts w:ascii="Arial"/>
                <w:sz w:val="21"/>
              </w:rPr>
            </w:pPr>
          </w:p>
        </w:tc>
        <w:tc>
          <w:tcPr>
            <w:tcW w:w="1724" w:type="dxa"/>
            <w:vAlign w:val="top"/>
          </w:tcPr>
          <w:p w14:paraId="6606F506">
            <w:pPr>
              <w:pStyle w:val="9"/>
              <w:spacing w:before="54" w:line="219" w:lineRule="auto"/>
              <w:ind w:left="186"/>
              <w:rPr>
                <w:sz w:val="20"/>
                <w:szCs w:val="20"/>
              </w:rPr>
            </w:pPr>
            <w:r>
              <w:rPr>
                <w:spacing w:val="21"/>
                <w:sz w:val="20"/>
                <w:szCs w:val="20"/>
              </w:rPr>
              <w:t>现状调查方法</w:t>
            </w:r>
          </w:p>
        </w:tc>
        <w:tc>
          <w:tcPr>
            <w:tcW w:w="6063" w:type="dxa"/>
            <w:gridSpan w:val="9"/>
            <w:vAlign w:val="top"/>
          </w:tcPr>
          <w:p w14:paraId="2FBC06A8">
            <w:pPr>
              <w:pStyle w:val="9"/>
              <w:spacing w:before="33" w:line="239" w:lineRule="auto"/>
              <w:ind w:left="236"/>
              <w:rPr>
                <w:rFonts w:ascii="Times New Roman" w:hAnsi="Times New Roman" w:eastAsia="Times New Roman" w:cs="Times New Roman"/>
                <w:sz w:val="20"/>
                <w:szCs w:val="20"/>
              </w:rPr>
            </w:pPr>
            <w:r>
              <w:rPr>
                <w:spacing w:val="12"/>
                <w:sz w:val="20"/>
                <w:szCs w:val="20"/>
              </w:rPr>
              <w:t>现场实测法</w:t>
            </w:r>
            <w:r>
              <w:rPr>
                <w:rFonts w:ascii="MS UI Gothic" w:hAnsi="MS UI Gothic" w:eastAsia="MS UI Gothic" w:cs="MS UI Gothic"/>
                <w:spacing w:val="12"/>
                <w:sz w:val="20"/>
                <w:szCs w:val="20"/>
              </w:rPr>
              <w:t xml:space="preserve">☑       </w:t>
            </w:r>
            <w:r>
              <w:rPr>
                <w:spacing w:val="12"/>
                <w:sz w:val="20"/>
                <w:szCs w:val="20"/>
              </w:rPr>
              <w:t>现场实测加模型计算法</w:t>
            </w:r>
            <w:r>
              <w:rPr>
                <w:rFonts w:ascii="Times New Roman" w:hAnsi="Times New Roman" w:eastAsia="Times New Roman" w:cs="Times New Roman"/>
                <w:spacing w:val="12"/>
                <w:sz w:val="20"/>
                <w:szCs w:val="20"/>
              </w:rPr>
              <w:t xml:space="preserve">□         </w:t>
            </w:r>
            <w:r>
              <w:rPr>
                <w:spacing w:val="12"/>
                <w:sz w:val="20"/>
                <w:szCs w:val="20"/>
              </w:rPr>
              <w:t>收集资料</w:t>
            </w:r>
            <w:r>
              <w:rPr>
                <w:rFonts w:ascii="Times New Roman" w:hAnsi="Times New Roman" w:eastAsia="Times New Roman" w:cs="Times New Roman"/>
                <w:spacing w:val="12"/>
                <w:sz w:val="20"/>
                <w:szCs w:val="20"/>
              </w:rPr>
              <w:t>□</w:t>
            </w:r>
          </w:p>
        </w:tc>
        <w:tc>
          <w:tcPr>
            <w:tcW w:w="113" w:type="dxa"/>
            <w:tcBorders>
              <w:top w:val="nil"/>
              <w:bottom w:val="nil"/>
              <w:right w:val="single" w:color="000000" w:sz="6" w:space="0"/>
            </w:tcBorders>
            <w:vAlign w:val="top"/>
          </w:tcPr>
          <w:p w14:paraId="56C4B42B">
            <w:pPr>
              <w:rPr>
                <w:rFonts w:ascii="Arial"/>
                <w:sz w:val="21"/>
              </w:rPr>
            </w:pPr>
          </w:p>
        </w:tc>
      </w:tr>
      <w:tr w14:paraId="5950C4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 w:hRule="atLeast"/>
        </w:trPr>
        <w:tc>
          <w:tcPr>
            <w:tcW w:w="599" w:type="dxa"/>
            <w:vMerge w:val="continue"/>
            <w:tcBorders>
              <w:top w:val="nil"/>
              <w:left w:val="single" w:color="000000" w:sz="6" w:space="0"/>
              <w:bottom w:val="nil"/>
            </w:tcBorders>
            <w:vAlign w:val="top"/>
          </w:tcPr>
          <w:p w14:paraId="01A7B556">
            <w:pPr>
              <w:rPr>
                <w:rFonts w:ascii="Arial"/>
                <w:sz w:val="21"/>
              </w:rPr>
            </w:pPr>
          </w:p>
        </w:tc>
        <w:tc>
          <w:tcPr>
            <w:tcW w:w="104" w:type="dxa"/>
            <w:tcBorders>
              <w:top w:val="nil"/>
              <w:bottom w:val="nil"/>
            </w:tcBorders>
            <w:vAlign w:val="top"/>
          </w:tcPr>
          <w:p w14:paraId="5CFB5E41">
            <w:pPr>
              <w:rPr>
                <w:rFonts w:ascii="Arial"/>
                <w:sz w:val="21"/>
              </w:rPr>
            </w:pPr>
          </w:p>
        </w:tc>
        <w:tc>
          <w:tcPr>
            <w:tcW w:w="986" w:type="dxa"/>
            <w:vMerge w:val="continue"/>
            <w:tcBorders>
              <w:top w:val="nil"/>
            </w:tcBorders>
            <w:vAlign w:val="top"/>
          </w:tcPr>
          <w:p w14:paraId="747AAD1D">
            <w:pPr>
              <w:rPr>
                <w:rFonts w:ascii="Arial"/>
                <w:sz w:val="21"/>
              </w:rPr>
            </w:pPr>
          </w:p>
        </w:tc>
        <w:tc>
          <w:tcPr>
            <w:tcW w:w="1724" w:type="dxa"/>
            <w:vAlign w:val="top"/>
          </w:tcPr>
          <w:p w14:paraId="21E86F90">
            <w:pPr>
              <w:pStyle w:val="9"/>
              <w:spacing w:before="54" w:line="223" w:lineRule="auto"/>
              <w:ind w:left="417"/>
              <w:rPr>
                <w:sz w:val="20"/>
                <w:szCs w:val="20"/>
              </w:rPr>
            </w:pPr>
            <w:r>
              <w:rPr>
                <w:spacing w:val="17"/>
                <w:sz w:val="20"/>
                <w:szCs w:val="20"/>
              </w:rPr>
              <w:t>现状评价</w:t>
            </w:r>
          </w:p>
        </w:tc>
        <w:tc>
          <w:tcPr>
            <w:tcW w:w="1439" w:type="dxa"/>
            <w:gridSpan w:val="2"/>
            <w:vAlign w:val="top"/>
          </w:tcPr>
          <w:p w14:paraId="7DF9A690">
            <w:pPr>
              <w:pStyle w:val="9"/>
              <w:spacing w:before="54" w:line="223" w:lineRule="auto"/>
              <w:ind w:left="154"/>
              <w:rPr>
                <w:sz w:val="20"/>
                <w:szCs w:val="20"/>
              </w:rPr>
            </w:pPr>
            <w:r>
              <w:rPr>
                <w:spacing w:val="21"/>
                <w:sz w:val="20"/>
                <w:szCs w:val="20"/>
              </w:rPr>
              <w:t>达标百分比</w:t>
            </w:r>
          </w:p>
        </w:tc>
        <w:tc>
          <w:tcPr>
            <w:tcW w:w="4624" w:type="dxa"/>
            <w:gridSpan w:val="7"/>
            <w:vAlign w:val="top"/>
          </w:tcPr>
          <w:p w14:paraId="40B1845C">
            <w:pPr>
              <w:spacing w:before="90" w:line="195" w:lineRule="auto"/>
              <w:ind w:left="209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c>
          <w:tcPr>
            <w:tcW w:w="113" w:type="dxa"/>
            <w:tcBorders>
              <w:top w:val="nil"/>
              <w:bottom w:val="nil"/>
              <w:right w:val="single" w:color="000000" w:sz="6" w:space="0"/>
            </w:tcBorders>
            <w:vAlign w:val="top"/>
          </w:tcPr>
          <w:p w14:paraId="4AC923DC">
            <w:pPr>
              <w:rPr>
                <w:rFonts w:ascii="Arial"/>
                <w:sz w:val="21"/>
              </w:rPr>
            </w:pPr>
          </w:p>
        </w:tc>
      </w:tr>
      <w:tr w14:paraId="4FC55C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599" w:type="dxa"/>
            <w:vMerge w:val="continue"/>
            <w:tcBorders>
              <w:top w:val="nil"/>
              <w:left w:val="single" w:color="000000" w:sz="6" w:space="0"/>
              <w:bottom w:val="nil"/>
            </w:tcBorders>
            <w:vAlign w:val="top"/>
          </w:tcPr>
          <w:p w14:paraId="6D4CCC5F">
            <w:pPr>
              <w:rPr>
                <w:rFonts w:ascii="Arial"/>
                <w:sz w:val="21"/>
              </w:rPr>
            </w:pPr>
          </w:p>
        </w:tc>
        <w:tc>
          <w:tcPr>
            <w:tcW w:w="104" w:type="dxa"/>
            <w:tcBorders>
              <w:top w:val="nil"/>
              <w:bottom w:val="nil"/>
            </w:tcBorders>
            <w:vAlign w:val="top"/>
          </w:tcPr>
          <w:p w14:paraId="76845B42">
            <w:pPr>
              <w:rPr>
                <w:rFonts w:ascii="Arial"/>
                <w:sz w:val="21"/>
              </w:rPr>
            </w:pPr>
          </w:p>
        </w:tc>
        <w:tc>
          <w:tcPr>
            <w:tcW w:w="986" w:type="dxa"/>
            <w:vAlign w:val="top"/>
          </w:tcPr>
          <w:p w14:paraId="36A68997">
            <w:pPr>
              <w:pStyle w:val="9"/>
              <w:spacing w:before="54"/>
              <w:ind w:left="383" w:right="67" w:hanging="326"/>
              <w:rPr>
                <w:sz w:val="20"/>
                <w:szCs w:val="20"/>
              </w:rPr>
            </w:pPr>
            <w:r>
              <w:rPr>
                <w:spacing w:val="13"/>
                <w:sz w:val="20"/>
                <w:szCs w:val="20"/>
              </w:rPr>
              <w:t>噪声源调</w:t>
            </w:r>
            <w:r>
              <w:rPr>
                <w:sz w:val="20"/>
                <w:szCs w:val="20"/>
              </w:rPr>
              <w:t>查</w:t>
            </w:r>
          </w:p>
        </w:tc>
        <w:tc>
          <w:tcPr>
            <w:tcW w:w="1724" w:type="dxa"/>
            <w:vAlign w:val="top"/>
          </w:tcPr>
          <w:p w14:paraId="22250EA8">
            <w:pPr>
              <w:pStyle w:val="9"/>
              <w:spacing w:before="190" w:line="228" w:lineRule="auto"/>
              <w:ind w:left="86"/>
              <w:rPr>
                <w:sz w:val="20"/>
                <w:szCs w:val="20"/>
              </w:rPr>
            </w:pPr>
            <w:r>
              <w:rPr>
                <w:spacing w:val="19"/>
                <w:sz w:val="20"/>
                <w:szCs w:val="20"/>
              </w:rPr>
              <w:t>噪声源调查方法</w:t>
            </w:r>
          </w:p>
        </w:tc>
        <w:tc>
          <w:tcPr>
            <w:tcW w:w="6063" w:type="dxa"/>
            <w:gridSpan w:val="9"/>
            <w:vAlign w:val="top"/>
          </w:tcPr>
          <w:p w14:paraId="406A80F2">
            <w:pPr>
              <w:pStyle w:val="9"/>
              <w:spacing w:before="168" w:line="274" w:lineRule="exact"/>
              <w:ind w:left="258"/>
              <w:rPr>
                <w:rFonts w:ascii="Times New Roman" w:hAnsi="Times New Roman" w:eastAsia="Times New Roman" w:cs="Times New Roman"/>
                <w:sz w:val="20"/>
                <w:szCs w:val="20"/>
              </w:rPr>
            </w:pPr>
            <w:r>
              <w:rPr>
                <w:spacing w:val="9"/>
                <w:position w:val="1"/>
                <w:sz w:val="20"/>
                <w:szCs w:val="20"/>
              </w:rPr>
              <w:t>现场实测</w:t>
            </w:r>
            <w:r>
              <w:rPr>
                <w:rFonts w:ascii="MS UI Gothic" w:hAnsi="MS UI Gothic" w:eastAsia="MS UI Gothic" w:cs="MS UI Gothic"/>
                <w:spacing w:val="9"/>
                <w:position w:val="1"/>
                <w:sz w:val="20"/>
                <w:szCs w:val="20"/>
              </w:rPr>
              <w:t>☑</w:t>
            </w:r>
            <w:r>
              <w:rPr>
                <w:rFonts w:ascii="MS UI Gothic" w:hAnsi="MS UI Gothic" w:eastAsia="MS UI Gothic" w:cs="MS UI Gothic"/>
                <w:position w:val="1"/>
                <w:sz w:val="20"/>
                <w:szCs w:val="20"/>
              </w:rPr>
              <w:t xml:space="preserve">                      </w:t>
            </w:r>
            <w:r>
              <w:rPr>
                <w:spacing w:val="9"/>
                <w:position w:val="1"/>
                <w:sz w:val="20"/>
                <w:szCs w:val="20"/>
              </w:rPr>
              <w:t>已有资料</w:t>
            </w:r>
            <w:r>
              <w:rPr>
                <w:rFonts w:ascii="Times New Roman" w:hAnsi="Times New Roman" w:eastAsia="Times New Roman" w:cs="Times New Roman"/>
                <w:spacing w:val="9"/>
                <w:position w:val="3"/>
                <w:sz w:val="20"/>
                <w:szCs w:val="20"/>
              </w:rPr>
              <w:t xml:space="preserve">□            </w:t>
            </w:r>
            <w:r>
              <w:rPr>
                <w:rFonts w:ascii="Times New Roman" w:hAnsi="Times New Roman" w:eastAsia="Times New Roman" w:cs="Times New Roman"/>
                <w:spacing w:val="8"/>
                <w:position w:val="3"/>
                <w:sz w:val="20"/>
                <w:szCs w:val="20"/>
              </w:rPr>
              <w:t xml:space="preserve">         </w:t>
            </w:r>
            <w:r>
              <w:rPr>
                <w:spacing w:val="8"/>
                <w:position w:val="1"/>
                <w:sz w:val="20"/>
                <w:szCs w:val="20"/>
              </w:rPr>
              <w:t>研究成果</w:t>
            </w:r>
            <w:r>
              <w:rPr>
                <w:rFonts w:ascii="Times New Roman" w:hAnsi="Times New Roman" w:eastAsia="Times New Roman" w:cs="Times New Roman"/>
                <w:spacing w:val="8"/>
                <w:position w:val="1"/>
                <w:sz w:val="20"/>
                <w:szCs w:val="20"/>
              </w:rPr>
              <w:t>□</w:t>
            </w:r>
          </w:p>
        </w:tc>
        <w:tc>
          <w:tcPr>
            <w:tcW w:w="113" w:type="dxa"/>
            <w:tcBorders>
              <w:top w:val="nil"/>
              <w:bottom w:val="nil"/>
              <w:right w:val="single" w:color="000000" w:sz="6" w:space="0"/>
            </w:tcBorders>
            <w:vAlign w:val="top"/>
          </w:tcPr>
          <w:p w14:paraId="188C9DEE">
            <w:pPr>
              <w:rPr>
                <w:rFonts w:ascii="Arial"/>
                <w:sz w:val="21"/>
              </w:rPr>
            </w:pPr>
          </w:p>
        </w:tc>
      </w:tr>
      <w:tr w14:paraId="2937F4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599" w:type="dxa"/>
            <w:vMerge w:val="continue"/>
            <w:tcBorders>
              <w:top w:val="nil"/>
              <w:left w:val="single" w:color="000000" w:sz="6" w:space="0"/>
              <w:bottom w:val="nil"/>
            </w:tcBorders>
            <w:vAlign w:val="top"/>
          </w:tcPr>
          <w:p w14:paraId="39C3952B">
            <w:pPr>
              <w:rPr>
                <w:rFonts w:ascii="Arial"/>
                <w:sz w:val="21"/>
              </w:rPr>
            </w:pPr>
          </w:p>
        </w:tc>
        <w:tc>
          <w:tcPr>
            <w:tcW w:w="104" w:type="dxa"/>
            <w:tcBorders>
              <w:top w:val="nil"/>
              <w:bottom w:val="nil"/>
            </w:tcBorders>
            <w:vAlign w:val="top"/>
          </w:tcPr>
          <w:p w14:paraId="32CD1C5B">
            <w:pPr>
              <w:rPr>
                <w:rFonts w:ascii="Arial"/>
                <w:sz w:val="21"/>
              </w:rPr>
            </w:pPr>
          </w:p>
        </w:tc>
        <w:tc>
          <w:tcPr>
            <w:tcW w:w="986" w:type="dxa"/>
            <w:vMerge w:val="restart"/>
            <w:tcBorders>
              <w:bottom w:val="nil"/>
            </w:tcBorders>
            <w:vAlign w:val="top"/>
          </w:tcPr>
          <w:p w14:paraId="39D7681C">
            <w:pPr>
              <w:spacing w:line="287" w:lineRule="auto"/>
              <w:rPr>
                <w:rFonts w:ascii="Arial"/>
                <w:sz w:val="21"/>
              </w:rPr>
            </w:pPr>
          </w:p>
          <w:p w14:paraId="5B7D28A0">
            <w:pPr>
              <w:spacing w:line="287" w:lineRule="auto"/>
              <w:rPr>
                <w:rFonts w:ascii="Arial"/>
                <w:sz w:val="21"/>
              </w:rPr>
            </w:pPr>
          </w:p>
          <w:p w14:paraId="3613FECA">
            <w:pPr>
              <w:spacing w:line="288" w:lineRule="auto"/>
              <w:rPr>
                <w:rFonts w:ascii="Arial"/>
                <w:sz w:val="21"/>
              </w:rPr>
            </w:pPr>
          </w:p>
          <w:p w14:paraId="5F55CFD4">
            <w:pPr>
              <w:pStyle w:val="9"/>
              <w:spacing w:before="65" w:line="228" w:lineRule="auto"/>
              <w:ind w:left="49"/>
              <w:rPr>
                <w:sz w:val="20"/>
                <w:szCs w:val="20"/>
              </w:rPr>
            </w:pPr>
            <w:r>
              <w:rPr>
                <w:spacing w:val="16"/>
                <w:sz w:val="20"/>
                <w:szCs w:val="20"/>
              </w:rPr>
              <w:t>声环境影</w:t>
            </w:r>
          </w:p>
          <w:p w14:paraId="3FC6CFF2">
            <w:pPr>
              <w:pStyle w:val="9"/>
              <w:spacing w:before="26" w:line="228" w:lineRule="auto"/>
              <w:ind w:left="63"/>
              <w:rPr>
                <w:sz w:val="20"/>
                <w:szCs w:val="20"/>
              </w:rPr>
            </w:pPr>
            <w:r>
              <w:rPr>
                <w:spacing w:val="12"/>
                <w:sz w:val="20"/>
                <w:szCs w:val="20"/>
              </w:rPr>
              <w:t>响预测与</w:t>
            </w:r>
          </w:p>
          <w:p w14:paraId="451ECF24">
            <w:pPr>
              <w:pStyle w:val="9"/>
              <w:spacing w:before="24" w:line="226" w:lineRule="auto"/>
              <w:ind w:left="270"/>
              <w:rPr>
                <w:sz w:val="20"/>
                <w:szCs w:val="20"/>
              </w:rPr>
            </w:pPr>
            <w:r>
              <w:rPr>
                <w:spacing w:val="11"/>
                <w:sz w:val="20"/>
                <w:szCs w:val="20"/>
              </w:rPr>
              <w:t>评价</w:t>
            </w:r>
          </w:p>
        </w:tc>
        <w:tc>
          <w:tcPr>
            <w:tcW w:w="1724" w:type="dxa"/>
            <w:vAlign w:val="top"/>
          </w:tcPr>
          <w:p w14:paraId="690D5A71">
            <w:pPr>
              <w:pStyle w:val="9"/>
              <w:spacing w:before="47" w:line="219" w:lineRule="auto"/>
              <w:ind w:left="417"/>
              <w:rPr>
                <w:sz w:val="20"/>
                <w:szCs w:val="20"/>
              </w:rPr>
            </w:pPr>
            <w:r>
              <w:rPr>
                <w:spacing w:val="17"/>
                <w:sz w:val="20"/>
                <w:szCs w:val="20"/>
              </w:rPr>
              <w:t>预测模型</w:t>
            </w:r>
          </w:p>
        </w:tc>
        <w:tc>
          <w:tcPr>
            <w:tcW w:w="6063" w:type="dxa"/>
            <w:gridSpan w:val="9"/>
            <w:vAlign w:val="top"/>
          </w:tcPr>
          <w:p w14:paraId="57BCDAB6">
            <w:pPr>
              <w:pStyle w:val="9"/>
              <w:spacing w:before="26" w:line="239" w:lineRule="auto"/>
              <w:ind w:left="554"/>
              <w:rPr>
                <w:rFonts w:ascii="Times New Roman" w:hAnsi="Times New Roman" w:eastAsia="Times New Roman" w:cs="Times New Roman"/>
                <w:sz w:val="20"/>
                <w:szCs w:val="20"/>
              </w:rPr>
            </w:pPr>
            <w:r>
              <w:rPr>
                <w:spacing w:val="16"/>
                <w:sz w:val="20"/>
                <w:szCs w:val="20"/>
              </w:rPr>
              <w:t>导则推荐模型</w:t>
            </w:r>
            <w:r>
              <w:rPr>
                <w:rFonts w:ascii="MS UI Gothic" w:hAnsi="MS UI Gothic" w:eastAsia="MS UI Gothic" w:cs="MS UI Gothic"/>
                <w:spacing w:val="16"/>
                <w:sz w:val="20"/>
                <w:szCs w:val="20"/>
              </w:rPr>
              <w:t>☑</w:t>
            </w:r>
            <w:r>
              <w:rPr>
                <w:rFonts w:ascii="MS UI Gothic" w:hAnsi="MS UI Gothic" w:eastAsia="MS UI Gothic" w:cs="MS UI Gothic"/>
                <w:sz w:val="20"/>
                <w:szCs w:val="20"/>
              </w:rPr>
              <w:t xml:space="preserve">                                               </w:t>
            </w:r>
            <w:r>
              <w:rPr>
                <w:spacing w:val="16"/>
                <w:sz w:val="20"/>
                <w:szCs w:val="20"/>
              </w:rPr>
              <w:t>其他</w:t>
            </w:r>
            <w:r>
              <w:rPr>
                <w:rFonts w:ascii="Times New Roman" w:hAnsi="Times New Roman" w:eastAsia="Times New Roman" w:cs="Times New Roman"/>
                <w:spacing w:val="16"/>
                <w:sz w:val="20"/>
                <w:szCs w:val="20"/>
              </w:rPr>
              <w:t>□</w:t>
            </w:r>
          </w:p>
        </w:tc>
        <w:tc>
          <w:tcPr>
            <w:tcW w:w="113" w:type="dxa"/>
            <w:tcBorders>
              <w:top w:val="nil"/>
              <w:bottom w:val="nil"/>
              <w:right w:val="single" w:color="000000" w:sz="6" w:space="0"/>
            </w:tcBorders>
            <w:vAlign w:val="top"/>
          </w:tcPr>
          <w:p w14:paraId="41CB13EB">
            <w:pPr>
              <w:rPr>
                <w:rFonts w:ascii="Arial"/>
                <w:sz w:val="21"/>
              </w:rPr>
            </w:pPr>
          </w:p>
        </w:tc>
      </w:tr>
      <w:tr w14:paraId="60651E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2" w:hRule="atLeast"/>
        </w:trPr>
        <w:tc>
          <w:tcPr>
            <w:tcW w:w="599" w:type="dxa"/>
            <w:vMerge w:val="continue"/>
            <w:tcBorders>
              <w:top w:val="nil"/>
              <w:left w:val="single" w:color="000000" w:sz="6" w:space="0"/>
              <w:bottom w:val="nil"/>
            </w:tcBorders>
            <w:vAlign w:val="top"/>
          </w:tcPr>
          <w:p w14:paraId="67D6EF1D">
            <w:pPr>
              <w:rPr>
                <w:rFonts w:ascii="Arial"/>
                <w:sz w:val="21"/>
              </w:rPr>
            </w:pPr>
          </w:p>
        </w:tc>
        <w:tc>
          <w:tcPr>
            <w:tcW w:w="104" w:type="dxa"/>
            <w:tcBorders>
              <w:top w:val="nil"/>
              <w:bottom w:val="nil"/>
            </w:tcBorders>
            <w:vAlign w:val="top"/>
          </w:tcPr>
          <w:p w14:paraId="4D413022">
            <w:pPr>
              <w:rPr>
                <w:rFonts w:ascii="Arial"/>
                <w:sz w:val="21"/>
              </w:rPr>
            </w:pPr>
          </w:p>
        </w:tc>
        <w:tc>
          <w:tcPr>
            <w:tcW w:w="986" w:type="dxa"/>
            <w:vMerge w:val="continue"/>
            <w:tcBorders>
              <w:top w:val="nil"/>
              <w:bottom w:val="nil"/>
            </w:tcBorders>
            <w:vAlign w:val="top"/>
          </w:tcPr>
          <w:p w14:paraId="368057AA">
            <w:pPr>
              <w:rPr>
                <w:rFonts w:ascii="Arial"/>
                <w:sz w:val="21"/>
              </w:rPr>
            </w:pPr>
          </w:p>
        </w:tc>
        <w:tc>
          <w:tcPr>
            <w:tcW w:w="1724" w:type="dxa"/>
            <w:vAlign w:val="top"/>
          </w:tcPr>
          <w:p w14:paraId="15890055">
            <w:pPr>
              <w:pStyle w:val="9"/>
              <w:spacing w:before="54" w:line="219" w:lineRule="auto"/>
              <w:ind w:left="417"/>
              <w:rPr>
                <w:sz w:val="20"/>
                <w:szCs w:val="20"/>
              </w:rPr>
            </w:pPr>
            <w:r>
              <w:rPr>
                <w:spacing w:val="17"/>
                <w:sz w:val="20"/>
                <w:szCs w:val="20"/>
              </w:rPr>
              <w:t>预测范围</w:t>
            </w:r>
          </w:p>
        </w:tc>
        <w:tc>
          <w:tcPr>
            <w:tcW w:w="6063" w:type="dxa"/>
            <w:gridSpan w:val="9"/>
            <w:vAlign w:val="top"/>
          </w:tcPr>
          <w:p w14:paraId="365C2208">
            <w:pPr>
              <w:pStyle w:val="9"/>
              <w:spacing w:before="30" w:line="223" w:lineRule="auto"/>
              <w:ind w:left="52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200m</w:t>
            </w:r>
            <w:r>
              <w:rPr>
                <w:rFonts w:ascii="MS UI Gothic" w:hAnsi="MS UI Gothic" w:eastAsia="MS UI Gothic" w:cs="MS UI Gothic"/>
                <w:spacing w:val="1"/>
                <w:position w:val="2"/>
                <w:sz w:val="20"/>
                <w:szCs w:val="20"/>
              </w:rPr>
              <w:t>☑</w:t>
            </w:r>
            <w:r>
              <w:rPr>
                <w:rFonts w:ascii="MS UI Gothic" w:hAnsi="MS UI Gothic" w:eastAsia="MS UI Gothic" w:cs="MS UI Gothic"/>
                <w:spacing w:val="3"/>
                <w:position w:val="2"/>
                <w:sz w:val="20"/>
                <w:szCs w:val="20"/>
              </w:rPr>
              <w:t xml:space="preserve">                   </w:t>
            </w:r>
            <w:r>
              <w:rPr>
                <w:spacing w:val="1"/>
                <w:sz w:val="20"/>
                <w:szCs w:val="20"/>
              </w:rPr>
              <w:t>大于</w:t>
            </w:r>
            <w:r>
              <w:rPr>
                <w:spacing w:val="-47"/>
                <w:sz w:val="20"/>
                <w:szCs w:val="20"/>
              </w:rPr>
              <w:t xml:space="preserve"> </w:t>
            </w:r>
            <w:r>
              <w:rPr>
                <w:rFonts w:ascii="Times New Roman" w:hAnsi="Times New Roman" w:eastAsia="Times New Roman" w:cs="Times New Roman"/>
                <w:spacing w:val="1"/>
                <w:sz w:val="20"/>
                <w:szCs w:val="20"/>
              </w:rPr>
              <w:t xml:space="preserve">200m□                     </w:t>
            </w:r>
            <w:r>
              <w:rPr>
                <w:spacing w:val="1"/>
                <w:sz w:val="20"/>
                <w:szCs w:val="20"/>
              </w:rPr>
              <w:t>小于</w:t>
            </w:r>
            <w:r>
              <w:rPr>
                <w:spacing w:val="-52"/>
                <w:sz w:val="20"/>
                <w:szCs w:val="20"/>
              </w:rPr>
              <w:t xml:space="preserve"> </w:t>
            </w:r>
            <w:r>
              <w:rPr>
                <w:rFonts w:ascii="Times New Roman" w:hAnsi="Times New Roman" w:eastAsia="Times New Roman" w:cs="Times New Roman"/>
                <w:spacing w:val="1"/>
                <w:sz w:val="20"/>
                <w:szCs w:val="20"/>
              </w:rPr>
              <w:t>200m□</w:t>
            </w:r>
          </w:p>
        </w:tc>
        <w:tc>
          <w:tcPr>
            <w:tcW w:w="113" w:type="dxa"/>
            <w:tcBorders>
              <w:top w:val="nil"/>
              <w:bottom w:val="nil"/>
              <w:right w:val="single" w:color="000000" w:sz="6" w:space="0"/>
            </w:tcBorders>
            <w:vAlign w:val="top"/>
          </w:tcPr>
          <w:p w14:paraId="3338EDDC">
            <w:pPr>
              <w:rPr>
                <w:rFonts w:ascii="Arial"/>
                <w:sz w:val="21"/>
              </w:rPr>
            </w:pPr>
          </w:p>
        </w:tc>
      </w:tr>
      <w:tr w14:paraId="10EA89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0" w:hRule="atLeast"/>
        </w:trPr>
        <w:tc>
          <w:tcPr>
            <w:tcW w:w="599" w:type="dxa"/>
            <w:vMerge w:val="continue"/>
            <w:tcBorders>
              <w:top w:val="nil"/>
              <w:left w:val="single" w:color="000000" w:sz="6" w:space="0"/>
              <w:bottom w:val="nil"/>
            </w:tcBorders>
            <w:vAlign w:val="top"/>
          </w:tcPr>
          <w:p w14:paraId="6C105A7A">
            <w:pPr>
              <w:rPr>
                <w:rFonts w:ascii="Arial"/>
                <w:sz w:val="21"/>
              </w:rPr>
            </w:pPr>
          </w:p>
        </w:tc>
        <w:tc>
          <w:tcPr>
            <w:tcW w:w="104" w:type="dxa"/>
            <w:tcBorders>
              <w:top w:val="nil"/>
              <w:bottom w:val="nil"/>
            </w:tcBorders>
            <w:vAlign w:val="top"/>
          </w:tcPr>
          <w:p w14:paraId="571E6096">
            <w:pPr>
              <w:rPr>
                <w:rFonts w:ascii="Arial"/>
                <w:sz w:val="21"/>
              </w:rPr>
            </w:pPr>
          </w:p>
        </w:tc>
        <w:tc>
          <w:tcPr>
            <w:tcW w:w="986" w:type="dxa"/>
            <w:vMerge w:val="continue"/>
            <w:tcBorders>
              <w:top w:val="nil"/>
              <w:bottom w:val="nil"/>
            </w:tcBorders>
            <w:vAlign w:val="top"/>
          </w:tcPr>
          <w:p w14:paraId="5393D423">
            <w:pPr>
              <w:rPr>
                <w:rFonts w:ascii="Arial"/>
                <w:sz w:val="21"/>
              </w:rPr>
            </w:pPr>
          </w:p>
        </w:tc>
        <w:tc>
          <w:tcPr>
            <w:tcW w:w="1724" w:type="dxa"/>
            <w:vAlign w:val="top"/>
          </w:tcPr>
          <w:p w14:paraId="694853F7">
            <w:pPr>
              <w:spacing w:line="269" w:lineRule="auto"/>
              <w:rPr>
                <w:rFonts w:ascii="Arial"/>
                <w:sz w:val="21"/>
              </w:rPr>
            </w:pPr>
          </w:p>
          <w:p w14:paraId="308D5EE6">
            <w:pPr>
              <w:pStyle w:val="9"/>
              <w:spacing w:before="65" w:line="228" w:lineRule="auto"/>
              <w:ind w:left="417"/>
              <w:rPr>
                <w:sz w:val="20"/>
                <w:szCs w:val="20"/>
              </w:rPr>
            </w:pPr>
            <w:r>
              <w:rPr>
                <w:spacing w:val="17"/>
                <w:sz w:val="20"/>
                <w:szCs w:val="20"/>
              </w:rPr>
              <w:t>预测因子</w:t>
            </w:r>
          </w:p>
        </w:tc>
        <w:tc>
          <w:tcPr>
            <w:tcW w:w="6063" w:type="dxa"/>
            <w:gridSpan w:val="9"/>
            <w:vAlign w:val="top"/>
          </w:tcPr>
          <w:p w14:paraId="62DF18EB">
            <w:pPr>
              <w:pStyle w:val="9"/>
              <w:spacing w:before="40" w:line="278" w:lineRule="exact"/>
              <w:ind w:left="8"/>
              <w:rPr>
                <w:rFonts w:ascii="MS UI Gothic" w:hAnsi="MS UI Gothic" w:eastAsia="MS UI Gothic" w:cs="MS UI Gothic"/>
                <w:sz w:val="20"/>
                <w:szCs w:val="20"/>
              </w:rPr>
            </w:pPr>
            <w:r>
              <w:rPr>
                <w:spacing w:val="11"/>
                <w:position w:val="1"/>
                <w:sz w:val="20"/>
                <w:szCs w:val="20"/>
              </w:rPr>
              <w:t>等效连续</w:t>
            </w:r>
            <w:r>
              <w:rPr>
                <w:spacing w:val="-27"/>
                <w:position w:val="1"/>
                <w:sz w:val="20"/>
                <w:szCs w:val="20"/>
              </w:rPr>
              <w:t xml:space="preserve"> </w:t>
            </w:r>
            <w:r>
              <w:rPr>
                <w:rFonts w:ascii="Times New Roman" w:hAnsi="Times New Roman" w:eastAsia="Times New Roman" w:cs="Times New Roman"/>
                <w:spacing w:val="11"/>
                <w:position w:val="1"/>
                <w:sz w:val="20"/>
                <w:szCs w:val="20"/>
              </w:rPr>
              <w:t xml:space="preserve">A </w:t>
            </w:r>
            <w:r>
              <w:rPr>
                <w:spacing w:val="11"/>
                <w:position w:val="1"/>
                <w:sz w:val="20"/>
                <w:szCs w:val="20"/>
              </w:rPr>
              <w:t>声级</w:t>
            </w:r>
            <w:r>
              <w:rPr>
                <w:rFonts w:ascii="MS UI Gothic" w:hAnsi="MS UI Gothic" w:eastAsia="MS UI Gothic" w:cs="MS UI Gothic"/>
                <w:spacing w:val="11"/>
                <w:position w:val="1"/>
                <w:sz w:val="20"/>
                <w:szCs w:val="20"/>
              </w:rPr>
              <w:t>☑</w:t>
            </w:r>
          </w:p>
          <w:p w14:paraId="4C9AA341">
            <w:pPr>
              <w:pStyle w:val="9"/>
              <w:spacing w:before="24" w:line="228" w:lineRule="auto"/>
              <w:ind w:left="9"/>
              <w:rPr>
                <w:rFonts w:ascii="Times New Roman" w:hAnsi="Times New Roman" w:eastAsia="Times New Roman" w:cs="Times New Roman"/>
                <w:sz w:val="20"/>
                <w:szCs w:val="20"/>
              </w:rPr>
            </w:pPr>
            <w:r>
              <w:rPr>
                <w:spacing w:val="8"/>
                <w:sz w:val="20"/>
                <w:szCs w:val="20"/>
              </w:rPr>
              <w:t>最大</w:t>
            </w:r>
            <w:r>
              <w:rPr>
                <w:spacing w:val="-34"/>
                <w:sz w:val="20"/>
                <w:szCs w:val="20"/>
              </w:rPr>
              <w:t xml:space="preserve"> </w:t>
            </w:r>
            <w:r>
              <w:rPr>
                <w:rFonts w:ascii="Times New Roman" w:hAnsi="Times New Roman" w:eastAsia="Times New Roman" w:cs="Times New Roman"/>
                <w:spacing w:val="8"/>
                <w:sz w:val="20"/>
                <w:szCs w:val="20"/>
              </w:rPr>
              <w:t>A</w:t>
            </w:r>
            <w:r>
              <w:rPr>
                <w:rFonts w:ascii="Times New Roman" w:hAnsi="Times New Roman" w:eastAsia="Times New Roman" w:cs="Times New Roman"/>
                <w:spacing w:val="15"/>
                <w:w w:val="101"/>
                <w:sz w:val="20"/>
                <w:szCs w:val="20"/>
              </w:rPr>
              <w:t xml:space="preserve"> </w:t>
            </w:r>
            <w:r>
              <w:rPr>
                <w:spacing w:val="8"/>
                <w:sz w:val="20"/>
                <w:szCs w:val="20"/>
              </w:rPr>
              <w:t>声级</w:t>
            </w:r>
            <w:r>
              <w:rPr>
                <w:rFonts w:ascii="Times New Roman" w:hAnsi="Times New Roman" w:eastAsia="Times New Roman" w:cs="Times New Roman"/>
                <w:spacing w:val="8"/>
                <w:sz w:val="20"/>
                <w:szCs w:val="20"/>
              </w:rPr>
              <w:t>□</w:t>
            </w:r>
          </w:p>
          <w:p w14:paraId="175BA128">
            <w:pPr>
              <w:pStyle w:val="9"/>
              <w:spacing w:before="26" w:line="225" w:lineRule="auto"/>
              <w:ind w:left="6"/>
              <w:rPr>
                <w:rFonts w:ascii="Times New Roman" w:hAnsi="Times New Roman" w:eastAsia="Times New Roman" w:cs="Times New Roman"/>
                <w:sz w:val="20"/>
                <w:szCs w:val="20"/>
              </w:rPr>
            </w:pPr>
            <w:r>
              <w:rPr>
                <w:spacing w:val="16"/>
                <w:sz w:val="20"/>
                <w:szCs w:val="20"/>
              </w:rPr>
              <w:t>计权等效连续感觉噪声级</w:t>
            </w:r>
            <w:r>
              <w:rPr>
                <w:rFonts w:ascii="Times New Roman" w:hAnsi="Times New Roman" w:eastAsia="Times New Roman" w:cs="Times New Roman"/>
                <w:spacing w:val="16"/>
                <w:sz w:val="20"/>
                <w:szCs w:val="20"/>
              </w:rPr>
              <w:t>□</w:t>
            </w:r>
          </w:p>
        </w:tc>
        <w:tc>
          <w:tcPr>
            <w:tcW w:w="113" w:type="dxa"/>
            <w:tcBorders>
              <w:top w:val="nil"/>
              <w:bottom w:val="nil"/>
              <w:right w:val="single" w:color="000000" w:sz="6" w:space="0"/>
            </w:tcBorders>
            <w:vAlign w:val="top"/>
          </w:tcPr>
          <w:p w14:paraId="77C1B0AF">
            <w:pPr>
              <w:rPr>
                <w:rFonts w:ascii="Arial"/>
                <w:sz w:val="21"/>
              </w:rPr>
            </w:pPr>
          </w:p>
        </w:tc>
      </w:tr>
      <w:tr w14:paraId="45963F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599" w:type="dxa"/>
            <w:vMerge w:val="continue"/>
            <w:tcBorders>
              <w:top w:val="nil"/>
              <w:left w:val="single" w:color="000000" w:sz="6" w:space="0"/>
              <w:bottom w:val="nil"/>
            </w:tcBorders>
            <w:vAlign w:val="top"/>
          </w:tcPr>
          <w:p w14:paraId="2C5F6F02">
            <w:pPr>
              <w:rPr>
                <w:rFonts w:ascii="Arial"/>
                <w:sz w:val="21"/>
              </w:rPr>
            </w:pPr>
          </w:p>
        </w:tc>
        <w:tc>
          <w:tcPr>
            <w:tcW w:w="104" w:type="dxa"/>
            <w:tcBorders>
              <w:top w:val="nil"/>
              <w:bottom w:val="nil"/>
            </w:tcBorders>
            <w:vAlign w:val="top"/>
          </w:tcPr>
          <w:p w14:paraId="5241D599">
            <w:pPr>
              <w:rPr>
                <w:rFonts w:ascii="Arial"/>
                <w:sz w:val="21"/>
              </w:rPr>
            </w:pPr>
          </w:p>
        </w:tc>
        <w:tc>
          <w:tcPr>
            <w:tcW w:w="986" w:type="dxa"/>
            <w:vMerge w:val="continue"/>
            <w:tcBorders>
              <w:top w:val="nil"/>
              <w:bottom w:val="nil"/>
            </w:tcBorders>
            <w:vAlign w:val="top"/>
          </w:tcPr>
          <w:p w14:paraId="6421F307">
            <w:pPr>
              <w:rPr>
                <w:rFonts w:ascii="Arial"/>
                <w:sz w:val="21"/>
              </w:rPr>
            </w:pPr>
          </w:p>
        </w:tc>
        <w:tc>
          <w:tcPr>
            <w:tcW w:w="1724" w:type="dxa"/>
            <w:vAlign w:val="top"/>
          </w:tcPr>
          <w:p w14:paraId="4F6FEBDD">
            <w:pPr>
              <w:pStyle w:val="9"/>
              <w:spacing w:before="51" w:line="214" w:lineRule="auto"/>
              <w:ind w:left="72"/>
              <w:rPr>
                <w:sz w:val="20"/>
                <w:szCs w:val="20"/>
              </w:rPr>
            </w:pPr>
            <w:r>
              <w:rPr>
                <w:spacing w:val="22"/>
                <w:sz w:val="20"/>
                <w:szCs w:val="20"/>
              </w:rPr>
              <w:t>厂界噪声贡献值</w:t>
            </w:r>
          </w:p>
        </w:tc>
        <w:tc>
          <w:tcPr>
            <w:tcW w:w="6063" w:type="dxa"/>
            <w:gridSpan w:val="9"/>
            <w:vAlign w:val="top"/>
          </w:tcPr>
          <w:p w14:paraId="463A15AF">
            <w:pPr>
              <w:pStyle w:val="9"/>
              <w:spacing w:before="29" w:line="234" w:lineRule="auto"/>
              <w:ind w:left="409"/>
              <w:rPr>
                <w:rFonts w:ascii="Times New Roman" w:hAnsi="Times New Roman" w:eastAsia="Times New Roman" w:cs="Times New Roman"/>
                <w:sz w:val="20"/>
                <w:szCs w:val="20"/>
              </w:rPr>
            </w:pPr>
            <w:r>
              <w:rPr>
                <w:spacing w:val="14"/>
                <w:sz w:val="20"/>
                <w:szCs w:val="20"/>
              </w:rPr>
              <w:t>达标</w:t>
            </w:r>
            <w:r>
              <w:rPr>
                <w:rFonts w:ascii="MS UI Gothic" w:hAnsi="MS UI Gothic" w:eastAsia="MS UI Gothic" w:cs="MS UI Gothic"/>
                <w:spacing w:val="14"/>
                <w:sz w:val="20"/>
                <w:szCs w:val="20"/>
              </w:rPr>
              <w:t>☑</w:t>
            </w:r>
            <w:r>
              <w:rPr>
                <w:rFonts w:ascii="MS UI Gothic" w:hAnsi="MS UI Gothic" w:eastAsia="MS UI Gothic" w:cs="MS UI Gothic"/>
                <w:spacing w:val="1"/>
                <w:sz w:val="20"/>
                <w:szCs w:val="20"/>
              </w:rPr>
              <w:t xml:space="preserve">                                              </w:t>
            </w:r>
            <w:r>
              <w:rPr>
                <w:rFonts w:ascii="MS UI Gothic" w:hAnsi="MS UI Gothic" w:eastAsia="MS UI Gothic" w:cs="MS UI Gothic"/>
                <w:sz w:val="20"/>
                <w:szCs w:val="20"/>
              </w:rPr>
              <w:t xml:space="preserve">                </w:t>
            </w:r>
            <w:r>
              <w:rPr>
                <w:spacing w:val="14"/>
                <w:sz w:val="20"/>
                <w:szCs w:val="20"/>
              </w:rPr>
              <w:t>不达标</w:t>
            </w:r>
            <w:r>
              <w:rPr>
                <w:rFonts w:ascii="Times New Roman" w:hAnsi="Times New Roman" w:eastAsia="Times New Roman" w:cs="Times New Roman"/>
                <w:spacing w:val="14"/>
                <w:sz w:val="20"/>
                <w:szCs w:val="20"/>
              </w:rPr>
              <w:t>□</w:t>
            </w:r>
          </w:p>
        </w:tc>
        <w:tc>
          <w:tcPr>
            <w:tcW w:w="113" w:type="dxa"/>
            <w:tcBorders>
              <w:top w:val="nil"/>
              <w:bottom w:val="nil"/>
              <w:right w:val="single" w:color="000000" w:sz="6" w:space="0"/>
            </w:tcBorders>
            <w:vAlign w:val="top"/>
          </w:tcPr>
          <w:p w14:paraId="265BF9AA">
            <w:pPr>
              <w:rPr>
                <w:rFonts w:ascii="Arial"/>
                <w:sz w:val="21"/>
              </w:rPr>
            </w:pPr>
          </w:p>
        </w:tc>
      </w:tr>
      <w:tr w14:paraId="293A3B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2" w:hRule="atLeast"/>
        </w:trPr>
        <w:tc>
          <w:tcPr>
            <w:tcW w:w="599" w:type="dxa"/>
            <w:vMerge w:val="continue"/>
            <w:tcBorders>
              <w:top w:val="nil"/>
              <w:left w:val="single" w:color="000000" w:sz="6" w:space="0"/>
              <w:bottom w:val="nil"/>
            </w:tcBorders>
            <w:vAlign w:val="top"/>
          </w:tcPr>
          <w:p w14:paraId="3A2398FC">
            <w:pPr>
              <w:rPr>
                <w:rFonts w:ascii="Arial"/>
                <w:sz w:val="21"/>
              </w:rPr>
            </w:pPr>
          </w:p>
        </w:tc>
        <w:tc>
          <w:tcPr>
            <w:tcW w:w="104" w:type="dxa"/>
            <w:tcBorders>
              <w:top w:val="nil"/>
              <w:bottom w:val="nil"/>
            </w:tcBorders>
            <w:vAlign w:val="top"/>
          </w:tcPr>
          <w:p w14:paraId="453E8175">
            <w:pPr>
              <w:rPr>
                <w:rFonts w:ascii="Arial"/>
                <w:sz w:val="21"/>
              </w:rPr>
            </w:pPr>
          </w:p>
        </w:tc>
        <w:tc>
          <w:tcPr>
            <w:tcW w:w="986" w:type="dxa"/>
            <w:vMerge w:val="continue"/>
            <w:tcBorders>
              <w:top w:val="nil"/>
            </w:tcBorders>
            <w:vAlign w:val="top"/>
          </w:tcPr>
          <w:p w14:paraId="5F4ECFB8">
            <w:pPr>
              <w:rPr>
                <w:rFonts w:ascii="Arial"/>
                <w:sz w:val="21"/>
              </w:rPr>
            </w:pPr>
          </w:p>
        </w:tc>
        <w:tc>
          <w:tcPr>
            <w:tcW w:w="1724" w:type="dxa"/>
            <w:vAlign w:val="top"/>
          </w:tcPr>
          <w:p w14:paraId="5ADEBCF0">
            <w:pPr>
              <w:pStyle w:val="9"/>
              <w:spacing w:before="64" w:line="239" w:lineRule="auto"/>
              <w:ind w:left="414" w:right="82" w:hanging="348"/>
              <w:rPr>
                <w:sz w:val="20"/>
                <w:szCs w:val="20"/>
              </w:rPr>
            </w:pPr>
            <w:r>
              <w:rPr>
                <w:spacing w:val="8"/>
                <w:sz w:val="20"/>
                <w:szCs w:val="20"/>
              </w:rPr>
              <w:t>声</w:t>
            </w:r>
            <w:r>
              <w:rPr>
                <w:spacing w:val="-55"/>
                <w:sz w:val="20"/>
                <w:szCs w:val="20"/>
              </w:rPr>
              <w:t xml:space="preserve"> </w:t>
            </w:r>
            <w:r>
              <w:rPr>
                <w:spacing w:val="8"/>
                <w:sz w:val="20"/>
                <w:szCs w:val="20"/>
              </w:rPr>
              <w:t>环境保护</w:t>
            </w:r>
            <w:r>
              <w:rPr>
                <w:spacing w:val="-33"/>
                <w:sz w:val="20"/>
                <w:szCs w:val="20"/>
              </w:rPr>
              <w:t xml:space="preserve"> </w:t>
            </w:r>
            <w:r>
              <w:rPr>
                <w:spacing w:val="8"/>
                <w:sz w:val="20"/>
                <w:szCs w:val="20"/>
              </w:rPr>
              <w:t>目标</w:t>
            </w:r>
            <w:r>
              <w:rPr>
                <w:spacing w:val="18"/>
                <w:sz w:val="20"/>
                <w:szCs w:val="20"/>
              </w:rPr>
              <w:t>处噪声值</w:t>
            </w:r>
          </w:p>
        </w:tc>
        <w:tc>
          <w:tcPr>
            <w:tcW w:w="6063" w:type="dxa"/>
            <w:gridSpan w:val="9"/>
            <w:vAlign w:val="top"/>
          </w:tcPr>
          <w:p w14:paraId="7C5F08C3">
            <w:pPr>
              <w:pStyle w:val="9"/>
              <w:spacing w:before="199" w:line="228" w:lineRule="auto"/>
              <w:ind w:left="377"/>
              <w:rPr>
                <w:rFonts w:ascii="Times New Roman" w:hAnsi="Times New Roman" w:eastAsia="Times New Roman" w:cs="Times New Roman"/>
                <w:sz w:val="20"/>
                <w:szCs w:val="20"/>
              </w:rPr>
            </w:pPr>
            <w:r>
              <w:rPr>
                <w:spacing w:val="12"/>
                <w:sz w:val="20"/>
                <w:szCs w:val="20"/>
              </w:rPr>
              <w:t>达标</w:t>
            </w:r>
            <w:r>
              <w:rPr>
                <w:spacing w:val="-65"/>
                <w:sz w:val="20"/>
                <w:szCs w:val="20"/>
              </w:rPr>
              <w:t xml:space="preserve"> </w:t>
            </w:r>
            <w:r>
              <w:rPr>
                <w:rFonts w:ascii="Times New Roman" w:hAnsi="Times New Roman" w:eastAsia="Times New Roman" w:cs="Times New Roman"/>
                <w:spacing w:val="12"/>
                <w:sz w:val="20"/>
                <w:szCs w:val="20"/>
              </w:rPr>
              <w:t>□</w:t>
            </w:r>
            <w:r>
              <w:rPr>
                <w:rFonts w:ascii="Times New Roman" w:hAnsi="Times New Roman" w:eastAsia="Times New Roman" w:cs="Times New Roman"/>
                <w:spacing w:val="1"/>
                <w:sz w:val="20"/>
                <w:szCs w:val="20"/>
              </w:rPr>
              <w:t xml:space="preserve">                                          </w:t>
            </w:r>
            <w:r>
              <w:rPr>
                <w:rFonts w:ascii="Times New Roman" w:hAnsi="Times New Roman" w:eastAsia="Times New Roman" w:cs="Times New Roman"/>
                <w:sz w:val="20"/>
                <w:szCs w:val="20"/>
              </w:rPr>
              <w:t xml:space="preserve">                                    </w:t>
            </w:r>
            <w:r>
              <w:rPr>
                <w:spacing w:val="12"/>
                <w:sz w:val="20"/>
                <w:szCs w:val="20"/>
              </w:rPr>
              <w:t>不达标</w:t>
            </w:r>
            <w:r>
              <w:rPr>
                <w:rFonts w:ascii="Times New Roman" w:hAnsi="Times New Roman" w:eastAsia="Times New Roman" w:cs="Times New Roman"/>
                <w:spacing w:val="12"/>
                <w:sz w:val="20"/>
                <w:szCs w:val="20"/>
              </w:rPr>
              <w:t>□</w:t>
            </w:r>
          </w:p>
        </w:tc>
        <w:tc>
          <w:tcPr>
            <w:tcW w:w="113" w:type="dxa"/>
            <w:tcBorders>
              <w:top w:val="nil"/>
              <w:bottom w:val="nil"/>
              <w:right w:val="single" w:color="000000" w:sz="6" w:space="0"/>
            </w:tcBorders>
            <w:vAlign w:val="top"/>
          </w:tcPr>
          <w:p w14:paraId="4FDA1DFA">
            <w:pPr>
              <w:rPr>
                <w:rFonts w:ascii="Arial"/>
                <w:sz w:val="21"/>
              </w:rPr>
            </w:pPr>
          </w:p>
        </w:tc>
      </w:tr>
      <w:tr w14:paraId="2F350A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599" w:type="dxa"/>
            <w:vMerge w:val="continue"/>
            <w:tcBorders>
              <w:top w:val="nil"/>
              <w:left w:val="single" w:color="000000" w:sz="6" w:space="0"/>
              <w:bottom w:val="nil"/>
            </w:tcBorders>
            <w:vAlign w:val="top"/>
          </w:tcPr>
          <w:p w14:paraId="58EC8DBA">
            <w:pPr>
              <w:rPr>
                <w:rFonts w:ascii="Arial"/>
                <w:sz w:val="21"/>
              </w:rPr>
            </w:pPr>
          </w:p>
        </w:tc>
        <w:tc>
          <w:tcPr>
            <w:tcW w:w="104" w:type="dxa"/>
            <w:tcBorders>
              <w:top w:val="nil"/>
              <w:bottom w:val="nil"/>
            </w:tcBorders>
            <w:vAlign w:val="top"/>
          </w:tcPr>
          <w:p w14:paraId="0280EDD3">
            <w:pPr>
              <w:rPr>
                <w:rFonts w:ascii="Arial"/>
                <w:sz w:val="21"/>
              </w:rPr>
            </w:pPr>
          </w:p>
        </w:tc>
        <w:tc>
          <w:tcPr>
            <w:tcW w:w="986" w:type="dxa"/>
            <w:vMerge w:val="restart"/>
            <w:tcBorders>
              <w:bottom w:val="nil"/>
            </w:tcBorders>
            <w:vAlign w:val="top"/>
          </w:tcPr>
          <w:p w14:paraId="6A36E0CB">
            <w:pPr>
              <w:spacing w:line="277" w:lineRule="auto"/>
              <w:rPr>
                <w:rFonts w:ascii="Arial"/>
                <w:sz w:val="21"/>
              </w:rPr>
            </w:pPr>
          </w:p>
          <w:p w14:paraId="4D48BB0A">
            <w:pPr>
              <w:pStyle w:val="9"/>
              <w:spacing w:before="65" w:line="270" w:lineRule="auto"/>
              <w:ind w:left="273" w:right="62" w:hanging="230"/>
              <w:rPr>
                <w:sz w:val="20"/>
                <w:szCs w:val="20"/>
              </w:rPr>
            </w:pPr>
            <w:r>
              <w:rPr>
                <w:spacing w:val="18"/>
                <w:sz w:val="20"/>
                <w:szCs w:val="20"/>
              </w:rPr>
              <w:t>环境监测</w:t>
            </w:r>
            <w:r>
              <w:rPr>
                <w:spacing w:val="9"/>
                <w:sz w:val="20"/>
                <w:szCs w:val="20"/>
              </w:rPr>
              <w:t>计划</w:t>
            </w:r>
          </w:p>
        </w:tc>
        <w:tc>
          <w:tcPr>
            <w:tcW w:w="1724" w:type="dxa"/>
            <w:vAlign w:val="top"/>
          </w:tcPr>
          <w:p w14:paraId="2D40638B">
            <w:pPr>
              <w:pStyle w:val="9"/>
              <w:spacing w:before="192" w:line="229" w:lineRule="auto"/>
              <w:ind w:left="413"/>
              <w:rPr>
                <w:sz w:val="20"/>
                <w:szCs w:val="20"/>
              </w:rPr>
            </w:pPr>
            <w:r>
              <w:rPr>
                <w:spacing w:val="18"/>
                <w:sz w:val="20"/>
                <w:szCs w:val="20"/>
              </w:rPr>
              <w:t>排放监测</w:t>
            </w:r>
          </w:p>
        </w:tc>
        <w:tc>
          <w:tcPr>
            <w:tcW w:w="6063" w:type="dxa"/>
            <w:gridSpan w:val="9"/>
            <w:vAlign w:val="top"/>
          </w:tcPr>
          <w:p w14:paraId="0B27131E">
            <w:pPr>
              <w:spacing w:line="34" w:lineRule="exact"/>
            </w:pPr>
          </w:p>
          <w:tbl>
            <w:tblPr>
              <w:tblStyle w:val="8"/>
              <w:tblW w:w="5575" w:type="dxa"/>
              <w:tblInd w:w="6"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643"/>
              <w:gridCol w:w="2485"/>
              <w:gridCol w:w="1447"/>
            </w:tblGrid>
            <w:tr w14:paraId="26F719C9">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71" w:hRule="atLeast"/>
              </w:trPr>
              <w:tc>
                <w:tcPr>
                  <w:tcW w:w="1643" w:type="dxa"/>
                  <w:vAlign w:val="top"/>
                </w:tcPr>
                <w:p w14:paraId="486B23DF">
                  <w:pPr>
                    <w:pStyle w:val="9"/>
                    <w:ind w:left="2"/>
                    <w:rPr>
                      <w:rFonts w:ascii="MS UI Gothic" w:hAnsi="MS UI Gothic" w:eastAsia="MS UI Gothic" w:cs="MS UI Gothic"/>
                      <w:sz w:val="20"/>
                      <w:szCs w:val="20"/>
                    </w:rPr>
                  </w:pPr>
                  <w:r>
                    <w:rPr>
                      <w:spacing w:val="23"/>
                      <w:sz w:val="20"/>
                      <w:szCs w:val="20"/>
                    </w:rPr>
                    <w:t>厂界监测</w:t>
                  </w:r>
                  <w:r>
                    <w:rPr>
                      <w:rFonts w:ascii="MS UI Gothic" w:hAnsi="MS UI Gothic" w:eastAsia="MS UI Gothic" w:cs="MS UI Gothic"/>
                      <w:spacing w:val="23"/>
                      <w:sz w:val="20"/>
                      <w:szCs w:val="20"/>
                    </w:rPr>
                    <w:t>☑</w:t>
                  </w:r>
                </w:p>
              </w:tc>
              <w:tc>
                <w:tcPr>
                  <w:tcW w:w="2485" w:type="dxa"/>
                  <w:vAlign w:val="top"/>
                </w:tcPr>
                <w:p w14:paraId="2D377D93">
                  <w:pPr>
                    <w:pStyle w:val="9"/>
                    <w:spacing w:before="31" w:line="212" w:lineRule="auto"/>
                    <w:ind w:left="582"/>
                    <w:rPr>
                      <w:rFonts w:ascii="Times New Roman" w:hAnsi="Times New Roman" w:eastAsia="Times New Roman" w:cs="Times New Roman"/>
                      <w:sz w:val="20"/>
                      <w:szCs w:val="20"/>
                    </w:rPr>
                  </w:pPr>
                  <w:r>
                    <w:rPr>
                      <w:spacing w:val="14"/>
                      <w:sz w:val="20"/>
                      <w:szCs w:val="20"/>
                    </w:rPr>
                    <w:t>固定位置监测</w:t>
                  </w:r>
                  <w:r>
                    <w:rPr>
                      <w:rFonts w:ascii="Times New Roman" w:hAnsi="Times New Roman" w:eastAsia="Times New Roman" w:cs="Times New Roman"/>
                      <w:spacing w:val="14"/>
                      <w:sz w:val="20"/>
                      <w:szCs w:val="20"/>
                    </w:rPr>
                    <w:t>□</w:t>
                  </w:r>
                </w:p>
              </w:tc>
              <w:tc>
                <w:tcPr>
                  <w:tcW w:w="1447" w:type="dxa"/>
                  <w:vAlign w:val="top"/>
                </w:tcPr>
                <w:p w14:paraId="67472389">
                  <w:pPr>
                    <w:pStyle w:val="9"/>
                    <w:spacing w:before="31" w:line="212" w:lineRule="auto"/>
                    <w:jc w:val="right"/>
                    <w:rPr>
                      <w:rFonts w:ascii="Times New Roman" w:hAnsi="Times New Roman" w:eastAsia="Times New Roman" w:cs="Times New Roman"/>
                      <w:sz w:val="20"/>
                      <w:szCs w:val="20"/>
                    </w:rPr>
                  </w:pPr>
                  <w:r>
                    <w:rPr>
                      <w:spacing w:val="8"/>
                      <w:sz w:val="20"/>
                      <w:szCs w:val="20"/>
                    </w:rPr>
                    <w:t>自动监测</w:t>
                  </w:r>
                  <w:r>
                    <w:rPr>
                      <w:rFonts w:ascii="Times New Roman" w:hAnsi="Times New Roman" w:eastAsia="Times New Roman" w:cs="Times New Roman"/>
                      <w:spacing w:val="8"/>
                      <w:sz w:val="20"/>
                      <w:szCs w:val="20"/>
                    </w:rPr>
                    <w:t>□</w:t>
                  </w:r>
                </w:p>
              </w:tc>
            </w:tr>
            <w:tr w14:paraId="5ACA0EBA">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40" w:hRule="atLeast"/>
              </w:trPr>
              <w:tc>
                <w:tcPr>
                  <w:tcW w:w="1643" w:type="dxa"/>
                  <w:vAlign w:val="top"/>
                </w:tcPr>
                <w:p w14:paraId="0C147B0A">
                  <w:pPr>
                    <w:pStyle w:val="9"/>
                    <w:spacing w:before="31" w:line="183" w:lineRule="auto"/>
                    <w:rPr>
                      <w:rFonts w:ascii="Times New Roman" w:hAnsi="Times New Roman" w:eastAsia="Times New Roman" w:cs="Times New Roman"/>
                      <w:sz w:val="20"/>
                      <w:szCs w:val="20"/>
                    </w:rPr>
                  </w:pPr>
                  <w:r>
                    <w:rPr>
                      <w:spacing w:val="15"/>
                      <w:sz w:val="20"/>
                      <w:szCs w:val="20"/>
                    </w:rPr>
                    <w:t>手动监测</w:t>
                  </w:r>
                  <w:r>
                    <w:rPr>
                      <w:rFonts w:ascii="Times New Roman" w:hAnsi="Times New Roman" w:eastAsia="Times New Roman" w:cs="Times New Roman"/>
                      <w:spacing w:val="15"/>
                      <w:sz w:val="20"/>
                      <w:szCs w:val="20"/>
                    </w:rPr>
                    <w:t>□</w:t>
                  </w:r>
                </w:p>
              </w:tc>
              <w:tc>
                <w:tcPr>
                  <w:tcW w:w="2485" w:type="dxa"/>
                  <w:vAlign w:val="top"/>
                </w:tcPr>
                <w:p w14:paraId="515837E3">
                  <w:pPr>
                    <w:pStyle w:val="9"/>
                    <w:spacing w:before="31" w:line="183" w:lineRule="auto"/>
                    <w:ind w:left="521"/>
                    <w:rPr>
                      <w:rFonts w:ascii="Times New Roman" w:hAnsi="Times New Roman" w:eastAsia="Times New Roman" w:cs="Times New Roman"/>
                      <w:sz w:val="20"/>
                      <w:szCs w:val="20"/>
                    </w:rPr>
                  </w:pPr>
                  <w:r>
                    <w:rPr>
                      <w:spacing w:val="13"/>
                      <w:sz w:val="20"/>
                      <w:szCs w:val="20"/>
                    </w:rPr>
                    <w:t>无监测</w:t>
                  </w:r>
                  <w:r>
                    <w:rPr>
                      <w:rFonts w:ascii="Times New Roman" w:hAnsi="Times New Roman" w:eastAsia="Times New Roman" w:cs="Times New Roman"/>
                      <w:spacing w:val="13"/>
                      <w:sz w:val="20"/>
                      <w:szCs w:val="20"/>
                    </w:rPr>
                    <w:t>□</w:t>
                  </w:r>
                </w:p>
              </w:tc>
              <w:tc>
                <w:tcPr>
                  <w:tcW w:w="1447" w:type="dxa"/>
                  <w:vAlign w:val="top"/>
                </w:tcPr>
                <w:p w14:paraId="6C710A9E">
                  <w:pPr>
                    <w:spacing w:line="230" w:lineRule="exact"/>
                    <w:rPr>
                      <w:rFonts w:ascii="Arial"/>
                      <w:sz w:val="20"/>
                    </w:rPr>
                  </w:pPr>
                </w:p>
              </w:tc>
            </w:tr>
          </w:tbl>
          <w:p w14:paraId="067188B6">
            <w:pPr>
              <w:spacing w:line="25" w:lineRule="exact"/>
              <w:rPr>
                <w:rFonts w:ascii="Arial"/>
                <w:sz w:val="2"/>
              </w:rPr>
            </w:pPr>
          </w:p>
        </w:tc>
        <w:tc>
          <w:tcPr>
            <w:tcW w:w="113" w:type="dxa"/>
            <w:tcBorders>
              <w:top w:val="nil"/>
              <w:bottom w:val="nil"/>
              <w:right w:val="single" w:color="000000" w:sz="6" w:space="0"/>
            </w:tcBorders>
            <w:vAlign w:val="top"/>
          </w:tcPr>
          <w:p w14:paraId="76EDF5F2">
            <w:pPr>
              <w:rPr>
                <w:rFonts w:ascii="Arial"/>
                <w:sz w:val="21"/>
              </w:rPr>
            </w:pPr>
          </w:p>
        </w:tc>
      </w:tr>
      <w:tr w14:paraId="5694AD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8" w:hRule="atLeast"/>
        </w:trPr>
        <w:tc>
          <w:tcPr>
            <w:tcW w:w="599" w:type="dxa"/>
            <w:vMerge w:val="continue"/>
            <w:tcBorders>
              <w:top w:val="nil"/>
              <w:left w:val="single" w:color="000000" w:sz="6" w:space="0"/>
              <w:bottom w:val="nil"/>
            </w:tcBorders>
            <w:vAlign w:val="top"/>
          </w:tcPr>
          <w:p w14:paraId="54709C5F">
            <w:pPr>
              <w:rPr>
                <w:rFonts w:ascii="Arial"/>
                <w:sz w:val="21"/>
              </w:rPr>
            </w:pPr>
          </w:p>
        </w:tc>
        <w:tc>
          <w:tcPr>
            <w:tcW w:w="104" w:type="dxa"/>
            <w:tcBorders>
              <w:top w:val="nil"/>
              <w:bottom w:val="nil"/>
            </w:tcBorders>
            <w:vAlign w:val="top"/>
          </w:tcPr>
          <w:p w14:paraId="5FB070C5">
            <w:pPr>
              <w:rPr>
                <w:rFonts w:ascii="Arial"/>
                <w:sz w:val="21"/>
              </w:rPr>
            </w:pPr>
          </w:p>
        </w:tc>
        <w:tc>
          <w:tcPr>
            <w:tcW w:w="986" w:type="dxa"/>
            <w:vMerge w:val="continue"/>
            <w:tcBorders>
              <w:top w:val="nil"/>
            </w:tcBorders>
            <w:vAlign w:val="top"/>
          </w:tcPr>
          <w:p w14:paraId="4BB4CC91">
            <w:pPr>
              <w:rPr>
                <w:rFonts w:ascii="Arial"/>
                <w:sz w:val="21"/>
              </w:rPr>
            </w:pPr>
          </w:p>
        </w:tc>
        <w:tc>
          <w:tcPr>
            <w:tcW w:w="1724" w:type="dxa"/>
            <w:vAlign w:val="top"/>
          </w:tcPr>
          <w:p w14:paraId="3E60BF21">
            <w:pPr>
              <w:pStyle w:val="9"/>
              <w:spacing w:before="60" w:line="239" w:lineRule="auto"/>
              <w:ind w:left="301" w:right="80" w:hanging="235"/>
              <w:rPr>
                <w:sz w:val="20"/>
                <w:szCs w:val="20"/>
              </w:rPr>
            </w:pPr>
            <w:r>
              <w:rPr>
                <w:spacing w:val="9"/>
                <w:sz w:val="20"/>
                <w:szCs w:val="20"/>
              </w:rPr>
              <w:t>声</w:t>
            </w:r>
            <w:r>
              <w:rPr>
                <w:spacing w:val="-57"/>
                <w:sz w:val="20"/>
                <w:szCs w:val="20"/>
              </w:rPr>
              <w:t xml:space="preserve"> </w:t>
            </w:r>
            <w:r>
              <w:rPr>
                <w:spacing w:val="9"/>
                <w:sz w:val="20"/>
                <w:szCs w:val="20"/>
              </w:rPr>
              <w:t>环境保护</w:t>
            </w:r>
            <w:r>
              <w:rPr>
                <w:spacing w:val="-36"/>
                <w:sz w:val="20"/>
                <w:szCs w:val="20"/>
              </w:rPr>
              <w:t xml:space="preserve"> </w:t>
            </w:r>
            <w:r>
              <w:rPr>
                <w:spacing w:val="9"/>
                <w:sz w:val="20"/>
                <w:szCs w:val="20"/>
              </w:rPr>
              <w:t>目标</w:t>
            </w:r>
            <w:r>
              <w:rPr>
                <w:spacing w:val="20"/>
                <w:sz w:val="20"/>
                <w:szCs w:val="20"/>
              </w:rPr>
              <w:t>处噪声监测</w:t>
            </w:r>
          </w:p>
        </w:tc>
        <w:tc>
          <w:tcPr>
            <w:tcW w:w="2826" w:type="dxa"/>
            <w:gridSpan w:val="4"/>
            <w:vAlign w:val="top"/>
          </w:tcPr>
          <w:p w14:paraId="7CC3F829">
            <w:pPr>
              <w:pStyle w:val="9"/>
              <w:spacing w:before="196" w:line="228" w:lineRule="auto"/>
              <w:jc w:val="right"/>
              <w:rPr>
                <w:sz w:val="20"/>
                <w:szCs w:val="20"/>
              </w:rPr>
            </w:pPr>
            <w:r>
              <w:rPr>
                <w:sz w:val="20"/>
                <w:szCs w:val="20"/>
              </w:rPr>
              <w:t>监测因子</w:t>
            </w:r>
            <w:r>
              <w:rPr>
                <w:spacing w:val="-30"/>
                <w:sz w:val="20"/>
                <w:szCs w:val="20"/>
              </w:rPr>
              <w:t>：（</w:t>
            </w:r>
            <w:r>
              <w:rPr>
                <w:sz w:val="20"/>
                <w:szCs w:val="20"/>
              </w:rPr>
              <w:t>等效连续</w:t>
            </w:r>
            <w:r>
              <w:rPr>
                <w:spacing w:val="-36"/>
                <w:sz w:val="20"/>
                <w:szCs w:val="20"/>
              </w:rPr>
              <w:t xml:space="preserve"> </w:t>
            </w:r>
            <w:r>
              <w:rPr>
                <w:rFonts w:ascii="Times New Roman" w:hAnsi="Times New Roman" w:eastAsia="Times New Roman" w:cs="Times New Roman"/>
                <w:sz w:val="20"/>
                <w:szCs w:val="20"/>
              </w:rPr>
              <w:t>A</w:t>
            </w:r>
            <w:r>
              <w:rPr>
                <w:rFonts w:ascii="Times New Roman" w:hAnsi="Times New Roman" w:eastAsia="Times New Roman" w:cs="Times New Roman"/>
                <w:spacing w:val="13"/>
                <w:w w:val="101"/>
                <w:sz w:val="20"/>
                <w:szCs w:val="20"/>
              </w:rPr>
              <w:t xml:space="preserve"> </w:t>
            </w:r>
            <w:r>
              <w:rPr>
                <w:sz w:val="20"/>
                <w:szCs w:val="20"/>
              </w:rPr>
              <w:t>声级）</w:t>
            </w:r>
          </w:p>
        </w:tc>
        <w:tc>
          <w:tcPr>
            <w:tcW w:w="2072" w:type="dxa"/>
            <w:gridSpan w:val="3"/>
            <w:vAlign w:val="top"/>
          </w:tcPr>
          <w:p w14:paraId="65BAF1DC">
            <w:pPr>
              <w:pStyle w:val="9"/>
              <w:spacing w:before="196" w:line="228" w:lineRule="auto"/>
              <w:ind w:left="219"/>
              <w:rPr>
                <w:sz w:val="20"/>
                <w:szCs w:val="20"/>
              </w:rPr>
            </w:pPr>
            <w:r>
              <w:rPr>
                <w:spacing w:val="14"/>
                <w:sz w:val="20"/>
                <w:szCs w:val="20"/>
              </w:rPr>
              <w:t>监测点位数（</w:t>
            </w:r>
            <w:r>
              <w:rPr>
                <w:rFonts w:ascii="Times New Roman" w:hAnsi="Times New Roman" w:eastAsia="Times New Roman" w:cs="Times New Roman"/>
                <w:spacing w:val="14"/>
                <w:sz w:val="20"/>
                <w:szCs w:val="20"/>
              </w:rPr>
              <w:t>4</w:t>
            </w:r>
            <w:r>
              <w:rPr>
                <w:spacing w:val="14"/>
                <w:sz w:val="20"/>
                <w:szCs w:val="20"/>
              </w:rPr>
              <w:t>）</w:t>
            </w:r>
          </w:p>
        </w:tc>
        <w:tc>
          <w:tcPr>
            <w:tcW w:w="1165" w:type="dxa"/>
            <w:gridSpan w:val="2"/>
            <w:vAlign w:val="top"/>
          </w:tcPr>
          <w:p w14:paraId="2966C6BF">
            <w:pPr>
              <w:pStyle w:val="9"/>
              <w:spacing w:before="197" w:line="228" w:lineRule="auto"/>
              <w:ind w:left="196"/>
              <w:rPr>
                <w:rFonts w:ascii="Times New Roman" w:hAnsi="Times New Roman" w:eastAsia="Times New Roman" w:cs="Times New Roman"/>
                <w:sz w:val="20"/>
                <w:szCs w:val="20"/>
              </w:rPr>
            </w:pPr>
            <w:r>
              <w:rPr>
                <w:spacing w:val="15"/>
                <w:sz w:val="20"/>
                <w:szCs w:val="20"/>
              </w:rPr>
              <w:t>无监测</w:t>
            </w:r>
            <w:r>
              <w:rPr>
                <w:rFonts w:ascii="Times New Roman" w:hAnsi="Times New Roman" w:eastAsia="Times New Roman" w:cs="Times New Roman"/>
                <w:spacing w:val="15"/>
                <w:sz w:val="20"/>
                <w:szCs w:val="20"/>
              </w:rPr>
              <w:t>□</w:t>
            </w:r>
          </w:p>
        </w:tc>
        <w:tc>
          <w:tcPr>
            <w:tcW w:w="113" w:type="dxa"/>
            <w:tcBorders>
              <w:top w:val="nil"/>
              <w:bottom w:val="nil"/>
              <w:right w:val="single" w:color="000000" w:sz="6" w:space="0"/>
            </w:tcBorders>
            <w:vAlign w:val="top"/>
          </w:tcPr>
          <w:p w14:paraId="44659EF1">
            <w:pPr>
              <w:rPr>
                <w:rFonts w:ascii="Arial"/>
                <w:sz w:val="21"/>
              </w:rPr>
            </w:pPr>
          </w:p>
        </w:tc>
      </w:tr>
      <w:tr w14:paraId="6A9D47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 w:hRule="atLeast"/>
        </w:trPr>
        <w:tc>
          <w:tcPr>
            <w:tcW w:w="599" w:type="dxa"/>
            <w:vMerge w:val="continue"/>
            <w:tcBorders>
              <w:top w:val="nil"/>
              <w:left w:val="single" w:color="000000" w:sz="6" w:space="0"/>
              <w:bottom w:val="nil"/>
            </w:tcBorders>
            <w:vAlign w:val="top"/>
          </w:tcPr>
          <w:p w14:paraId="46C1DDC5">
            <w:pPr>
              <w:rPr>
                <w:rFonts w:ascii="Arial"/>
                <w:sz w:val="21"/>
              </w:rPr>
            </w:pPr>
          </w:p>
        </w:tc>
        <w:tc>
          <w:tcPr>
            <w:tcW w:w="104" w:type="dxa"/>
            <w:tcBorders>
              <w:top w:val="nil"/>
              <w:bottom w:val="nil"/>
            </w:tcBorders>
            <w:vAlign w:val="top"/>
          </w:tcPr>
          <w:p w14:paraId="3E36149A">
            <w:pPr>
              <w:rPr>
                <w:rFonts w:ascii="Arial"/>
                <w:sz w:val="21"/>
              </w:rPr>
            </w:pPr>
          </w:p>
        </w:tc>
        <w:tc>
          <w:tcPr>
            <w:tcW w:w="986" w:type="dxa"/>
            <w:vAlign w:val="top"/>
          </w:tcPr>
          <w:p w14:paraId="4A6D691F">
            <w:pPr>
              <w:pStyle w:val="9"/>
              <w:spacing w:before="52" w:line="219" w:lineRule="auto"/>
              <w:ind w:left="39"/>
              <w:rPr>
                <w:sz w:val="20"/>
                <w:szCs w:val="20"/>
              </w:rPr>
            </w:pPr>
            <w:r>
              <w:rPr>
                <w:spacing w:val="19"/>
                <w:sz w:val="20"/>
                <w:szCs w:val="20"/>
              </w:rPr>
              <w:t>评价结论</w:t>
            </w:r>
          </w:p>
        </w:tc>
        <w:tc>
          <w:tcPr>
            <w:tcW w:w="1724" w:type="dxa"/>
            <w:vAlign w:val="top"/>
          </w:tcPr>
          <w:p w14:paraId="07FA1E12">
            <w:pPr>
              <w:pStyle w:val="9"/>
              <w:spacing w:before="52" w:line="219" w:lineRule="auto"/>
              <w:ind w:left="413"/>
              <w:rPr>
                <w:sz w:val="20"/>
                <w:szCs w:val="20"/>
              </w:rPr>
            </w:pPr>
            <w:r>
              <w:rPr>
                <w:spacing w:val="18"/>
                <w:sz w:val="20"/>
                <w:szCs w:val="20"/>
              </w:rPr>
              <w:t>环境影响</w:t>
            </w:r>
          </w:p>
        </w:tc>
        <w:tc>
          <w:tcPr>
            <w:tcW w:w="6063" w:type="dxa"/>
            <w:gridSpan w:val="9"/>
            <w:vAlign w:val="top"/>
          </w:tcPr>
          <w:p w14:paraId="18441BE9">
            <w:pPr>
              <w:pStyle w:val="9"/>
              <w:spacing w:before="52" w:line="219" w:lineRule="auto"/>
              <w:ind w:left="565"/>
              <w:rPr>
                <w:rFonts w:ascii="Times New Roman" w:hAnsi="Times New Roman" w:eastAsia="Times New Roman" w:cs="Times New Roman"/>
                <w:sz w:val="20"/>
                <w:szCs w:val="20"/>
              </w:rPr>
            </w:pPr>
            <w:r>
              <w:rPr>
                <w:spacing w:val="13"/>
                <w:sz w:val="20"/>
                <w:szCs w:val="20"/>
              </w:rPr>
              <w:t>可行</w:t>
            </w:r>
            <w:r>
              <w:rPr>
                <w:rFonts w:ascii="MS UI Gothic" w:hAnsi="MS UI Gothic" w:eastAsia="MS UI Gothic" w:cs="MS UI Gothic"/>
                <w:spacing w:val="13"/>
                <w:sz w:val="20"/>
                <w:szCs w:val="20"/>
              </w:rPr>
              <w:t>☑</w:t>
            </w:r>
            <w:r>
              <w:rPr>
                <w:rFonts w:ascii="MS UI Gothic" w:hAnsi="MS UI Gothic" w:eastAsia="MS UI Gothic" w:cs="MS UI Gothic"/>
                <w:spacing w:val="1"/>
                <w:sz w:val="20"/>
                <w:szCs w:val="20"/>
              </w:rPr>
              <w:t xml:space="preserve">                                                </w:t>
            </w:r>
            <w:r>
              <w:rPr>
                <w:rFonts w:ascii="MS UI Gothic" w:hAnsi="MS UI Gothic" w:eastAsia="MS UI Gothic" w:cs="MS UI Gothic"/>
                <w:sz w:val="20"/>
                <w:szCs w:val="20"/>
              </w:rPr>
              <w:t xml:space="preserve">         </w:t>
            </w:r>
            <w:r>
              <w:rPr>
                <w:spacing w:val="13"/>
                <w:sz w:val="20"/>
                <w:szCs w:val="20"/>
              </w:rPr>
              <w:t>不可行</w:t>
            </w:r>
            <w:r>
              <w:rPr>
                <w:rFonts w:ascii="Times New Roman" w:hAnsi="Times New Roman" w:eastAsia="Times New Roman" w:cs="Times New Roman"/>
                <w:spacing w:val="13"/>
                <w:sz w:val="20"/>
                <w:szCs w:val="20"/>
              </w:rPr>
              <w:t>□</w:t>
            </w:r>
          </w:p>
        </w:tc>
        <w:tc>
          <w:tcPr>
            <w:tcW w:w="113" w:type="dxa"/>
            <w:tcBorders>
              <w:top w:val="nil"/>
              <w:bottom w:val="nil"/>
              <w:right w:val="single" w:color="000000" w:sz="6" w:space="0"/>
            </w:tcBorders>
            <w:vAlign w:val="top"/>
          </w:tcPr>
          <w:p w14:paraId="3BFCB55E">
            <w:pPr>
              <w:rPr>
                <w:rFonts w:ascii="Arial"/>
                <w:sz w:val="21"/>
              </w:rPr>
            </w:pPr>
          </w:p>
        </w:tc>
      </w:tr>
      <w:tr w14:paraId="7A40DE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599" w:type="dxa"/>
            <w:vMerge w:val="continue"/>
            <w:tcBorders>
              <w:top w:val="nil"/>
              <w:left w:val="single" w:color="000000" w:sz="6" w:space="0"/>
              <w:bottom w:val="nil"/>
            </w:tcBorders>
            <w:vAlign w:val="top"/>
          </w:tcPr>
          <w:p w14:paraId="1E2E0987">
            <w:pPr>
              <w:rPr>
                <w:rFonts w:ascii="Arial"/>
                <w:sz w:val="21"/>
              </w:rPr>
            </w:pPr>
          </w:p>
        </w:tc>
        <w:tc>
          <w:tcPr>
            <w:tcW w:w="104" w:type="dxa"/>
            <w:tcBorders>
              <w:top w:val="nil"/>
              <w:bottom w:val="nil"/>
            </w:tcBorders>
            <w:vAlign w:val="top"/>
          </w:tcPr>
          <w:p w14:paraId="7085EA1C">
            <w:pPr>
              <w:rPr>
                <w:rFonts w:ascii="Arial"/>
                <w:sz w:val="21"/>
              </w:rPr>
            </w:pPr>
          </w:p>
        </w:tc>
        <w:tc>
          <w:tcPr>
            <w:tcW w:w="8773" w:type="dxa"/>
            <w:gridSpan w:val="11"/>
            <w:vAlign w:val="top"/>
          </w:tcPr>
          <w:p w14:paraId="4AF9C8A5">
            <w:pPr>
              <w:pStyle w:val="9"/>
              <w:spacing w:before="36" w:line="281" w:lineRule="exact"/>
              <w:ind w:left="4"/>
              <w:rPr>
                <w:sz w:val="20"/>
                <w:szCs w:val="20"/>
              </w:rPr>
            </w:pPr>
            <w:r>
              <w:rPr>
                <w:spacing w:val="3"/>
                <w:sz w:val="20"/>
                <w:szCs w:val="20"/>
              </w:rPr>
              <w:t>注</w:t>
            </w:r>
            <w:r>
              <w:rPr>
                <w:spacing w:val="-57"/>
                <w:sz w:val="20"/>
                <w:szCs w:val="20"/>
              </w:rPr>
              <w:t xml:space="preserve"> </w:t>
            </w:r>
            <w:r>
              <w:rPr>
                <w:spacing w:val="3"/>
                <w:sz w:val="20"/>
                <w:szCs w:val="20"/>
              </w:rPr>
              <w:t>：</w:t>
            </w:r>
            <w:r>
              <w:rPr>
                <w:rFonts w:ascii="Times New Roman" w:hAnsi="Times New Roman" w:eastAsia="Times New Roman" w:cs="Times New Roman"/>
                <w:spacing w:val="3"/>
                <w:sz w:val="20"/>
                <w:szCs w:val="20"/>
              </w:rPr>
              <w:t>“</w:t>
            </w:r>
            <w:r>
              <w:rPr>
                <w:rFonts w:ascii="Times New Roman" w:hAnsi="Times New Roman" w:eastAsia="Times New Roman" w:cs="Times New Roman"/>
                <w:spacing w:val="-30"/>
                <w:sz w:val="20"/>
                <w:szCs w:val="20"/>
              </w:rPr>
              <w:t xml:space="preserve"> </w:t>
            </w:r>
            <w:r>
              <w:rPr>
                <w:rFonts w:ascii="Times New Roman" w:hAnsi="Times New Roman" w:eastAsia="Times New Roman" w:cs="Times New Roman"/>
                <w:spacing w:val="3"/>
                <w:sz w:val="20"/>
                <w:szCs w:val="20"/>
              </w:rPr>
              <w:t>□”</w:t>
            </w:r>
            <w:r>
              <w:rPr>
                <w:rFonts w:ascii="Times New Roman" w:hAnsi="Times New Roman" w:eastAsia="Times New Roman" w:cs="Times New Roman"/>
                <w:spacing w:val="-33"/>
                <w:sz w:val="20"/>
                <w:szCs w:val="20"/>
              </w:rPr>
              <w:t xml:space="preserve"> </w:t>
            </w:r>
            <w:r>
              <w:rPr>
                <w:spacing w:val="3"/>
                <w:sz w:val="20"/>
                <w:szCs w:val="20"/>
              </w:rPr>
              <w:t>为勾选项，可</w:t>
            </w:r>
            <w:r>
              <w:rPr>
                <w:rFonts w:ascii="Times New Roman" w:hAnsi="Times New Roman" w:eastAsia="Times New Roman" w:cs="Times New Roman"/>
                <w:spacing w:val="3"/>
                <w:sz w:val="20"/>
                <w:szCs w:val="20"/>
              </w:rPr>
              <w:t>√</w:t>
            </w:r>
            <w:r>
              <w:rPr>
                <w:rFonts w:ascii="Times New Roman" w:hAnsi="Times New Roman" w:eastAsia="Times New Roman" w:cs="Times New Roman"/>
                <w:spacing w:val="-21"/>
                <w:sz w:val="20"/>
                <w:szCs w:val="20"/>
              </w:rPr>
              <w:t xml:space="preserve"> </w:t>
            </w:r>
            <w:r>
              <w:rPr>
                <w:spacing w:val="3"/>
                <w:sz w:val="20"/>
                <w:szCs w:val="20"/>
              </w:rPr>
              <w:t>;</w:t>
            </w:r>
            <w:r>
              <w:rPr>
                <w:spacing w:val="67"/>
                <w:sz w:val="20"/>
                <w:szCs w:val="20"/>
              </w:rPr>
              <w:t xml:space="preserve"> </w:t>
            </w:r>
            <w:r>
              <w:rPr>
                <w:rFonts w:ascii="Times New Roman" w:hAnsi="Times New Roman" w:eastAsia="Times New Roman" w:cs="Times New Roman"/>
                <w:spacing w:val="3"/>
                <w:sz w:val="20"/>
                <w:szCs w:val="20"/>
              </w:rPr>
              <w:t xml:space="preserve">“  </w:t>
            </w:r>
            <w:r>
              <w:rPr>
                <w:spacing w:val="3"/>
                <w:sz w:val="20"/>
                <w:szCs w:val="20"/>
              </w:rPr>
              <w:t>(</w:t>
            </w:r>
            <w:r>
              <w:rPr>
                <w:spacing w:val="-30"/>
                <w:sz w:val="20"/>
                <w:szCs w:val="20"/>
              </w:rPr>
              <w:t xml:space="preserve"> </w:t>
            </w:r>
            <w:r>
              <w:rPr>
                <w:spacing w:val="3"/>
                <w:sz w:val="20"/>
                <w:szCs w:val="20"/>
              </w:rPr>
              <w:t>)</w:t>
            </w:r>
            <w:r>
              <w:rPr>
                <w:spacing w:val="34"/>
                <w:sz w:val="20"/>
                <w:szCs w:val="20"/>
              </w:rPr>
              <w:t xml:space="preserve"> </w:t>
            </w:r>
            <w:r>
              <w:rPr>
                <w:rFonts w:ascii="Times New Roman" w:hAnsi="Times New Roman" w:eastAsia="Times New Roman" w:cs="Times New Roman"/>
                <w:spacing w:val="3"/>
                <w:sz w:val="20"/>
                <w:szCs w:val="20"/>
              </w:rPr>
              <w:t>”</w:t>
            </w:r>
            <w:r>
              <w:rPr>
                <w:spacing w:val="2"/>
                <w:sz w:val="20"/>
                <w:szCs w:val="20"/>
              </w:rPr>
              <w:t>为内容填写项。</w:t>
            </w:r>
          </w:p>
        </w:tc>
        <w:tc>
          <w:tcPr>
            <w:tcW w:w="113" w:type="dxa"/>
            <w:tcBorders>
              <w:top w:val="nil"/>
              <w:bottom w:val="nil"/>
              <w:right w:val="single" w:color="000000" w:sz="6" w:space="0"/>
            </w:tcBorders>
            <w:vAlign w:val="top"/>
          </w:tcPr>
          <w:p w14:paraId="4ABC1836">
            <w:pPr>
              <w:rPr>
                <w:rFonts w:ascii="Arial"/>
                <w:sz w:val="21"/>
              </w:rPr>
            </w:pPr>
          </w:p>
        </w:tc>
      </w:tr>
      <w:tr w14:paraId="62B92C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2" w:hRule="atLeast"/>
        </w:trPr>
        <w:tc>
          <w:tcPr>
            <w:tcW w:w="599" w:type="dxa"/>
            <w:vMerge w:val="continue"/>
            <w:tcBorders>
              <w:top w:val="nil"/>
              <w:left w:val="single" w:color="000000" w:sz="6" w:space="0"/>
              <w:bottom w:val="single" w:color="000000" w:sz="6" w:space="0"/>
            </w:tcBorders>
            <w:vAlign w:val="top"/>
          </w:tcPr>
          <w:p w14:paraId="4047C0A7">
            <w:pPr>
              <w:rPr>
                <w:rFonts w:ascii="Arial"/>
                <w:sz w:val="21"/>
              </w:rPr>
            </w:pPr>
          </w:p>
        </w:tc>
        <w:tc>
          <w:tcPr>
            <w:tcW w:w="8990" w:type="dxa"/>
            <w:gridSpan w:val="13"/>
            <w:tcBorders>
              <w:bottom w:val="single" w:color="000000" w:sz="6" w:space="0"/>
              <w:right w:val="single" w:color="000000" w:sz="6" w:space="0"/>
            </w:tcBorders>
            <w:vAlign w:val="top"/>
          </w:tcPr>
          <w:p w14:paraId="4EF50BAD">
            <w:pPr>
              <w:pStyle w:val="9"/>
              <w:spacing w:before="179" w:line="218" w:lineRule="auto"/>
              <w:ind w:left="591"/>
              <w:outlineLvl w:val="2"/>
            </w:pPr>
            <w:r>
              <w:rPr>
                <w:b/>
                <w:bCs/>
                <w:spacing w:val="-3"/>
              </w:rPr>
              <w:t>五、电磁环境影响预测与评价</w:t>
            </w:r>
          </w:p>
          <w:p w14:paraId="3BF43D2B">
            <w:pPr>
              <w:pStyle w:val="9"/>
              <w:spacing w:before="186" w:line="362" w:lineRule="auto"/>
              <w:ind w:left="107" w:right="22" w:firstLine="480"/>
              <w:jc w:val="both"/>
            </w:pPr>
            <w:r>
              <w:rPr>
                <w:spacing w:val="-1"/>
              </w:rPr>
              <w:t>根据《环境影响评价技术导则输变电》（</w:t>
            </w:r>
            <w:r>
              <w:rPr>
                <w:rFonts w:ascii="Times New Roman" w:hAnsi="Times New Roman" w:eastAsia="Times New Roman" w:cs="Times New Roman"/>
                <w:spacing w:val="-1"/>
              </w:rPr>
              <w:t>HJ24-2020</w:t>
            </w:r>
            <w:r>
              <w:rPr>
                <w:spacing w:val="1"/>
              </w:rPr>
              <w:t>），</w:t>
            </w:r>
            <w:r>
              <w:rPr>
                <w:spacing w:val="-1"/>
              </w:rPr>
              <w:t>本工程</w:t>
            </w:r>
            <w:r>
              <w:rPr>
                <w:spacing w:val="-54"/>
              </w:rPr>
              <w:t xml:space="preserve"> </w:t>
            </w:r>
            <w:r>
              <w:rPr>
                <w:rFonts w:ascii="Times New Roman" w:hAnsi="Times New Roman" w:eastAsia="Times New Roman" w:cs="Times New Roman"/>
                <w:spacing w:val="-1"/>
              </w:rPr>
              <w:t xml:space="preserve">220kV </w:t>
            </w:r>
            <w:r>
              <w:rPr>
                <w:spacing w:val="-1"/>
              </w:rPr>
              <w:t>升压站主</w:t>
            </w:r>
            <w:r>
              <w:rPr>
                <w:spacing w:val="-3"/>
              </w:rPr>
              <w:t>变压器为户外布置，因此电磁环境评价工作等级为二级，以站界外</w:t>
            </w:r>
            <w:r>
              <w:rPr>
                <w:spacing w:val="-41"/>
              </w:rPr>
              <w:t xml:space="preserve"> </w:t>
            </w:r>
            <w:r>
              <w:rPr>
                <w:rFonts w:ascii="Times New Roman" w:hAnsi="Times New Roman" w:eastAsia="Times New Roman" w:cs="Times New Roman"/>
                <w:spacing w:val="-3"/>
              </w:rPr>
              <w:t xml:space="preserve">40m </w:t>
            </w:r>
            <w:r>
              <w:rPr>
                <w:spacing w:val="-3"/>
              </w:rPr>
              <w:t>为工频电场、</w:t>
            </w:r>
            <w:r>
              <w:rPr>
                <w:spacing w:val="-1"/>
              </w:rPr>
              <w:t>工频磁场的评价范围。</w:t>
            </w:r>
          </w:p>
          <w:p w14:paraId="6AC8AEE0">
            <w:pPr>
              <w:pStyle w:val="9"/>
              <w:spacing w:before="1" w:line="217" w:lineRule="auto"/>
              <w:ind w:left="588"/>
            </w:pPr>
            <w:r>
              <w:rPr>
                <w:spacing w:val="-1"/>
              </w:rPr>
              <w:t>本次结合类比和监测结果，对本次升压站进行评价，结果如下：</w:t>
            </w:r>
          </w:p>
          <w:p w14:paraId="6D84654A">
            <w:pPr>
              <w:pStyle w:val="9"/>
              <w:spacing w:before="182" w:line="339" w:lineRule="auto"/>
              <w:ind w:left="108" w:right="22" w:firstLine="479"/>
            </w:pPr>
            <w:r>
              <w:rPr>
                <w:spacing w:val="-2"/>
              </w:rPr>
              <w:t>类比乌兰察布丰镇工业园区（润字）</w:t>
            </w:r>
            <w:r>
              <w:rPr>
                <w:rFonts w:ascii="Times New Roman" w:hAnsi="Times New Roman" w:eastAsia="Times New Roman" w:cs="Times New Roman"/>
                <w:spacing w:val="-2"/>
              </w:rPr>
              <w:t xml:space="preserve">220kV  </w:t>
            </w:r>
            <w:r>
              <w:rPr>
                <w:spacing w:val="-2"/>
              </w:rPr>
              <w:t>变电站，本项目升压</w:t>
            </w:r>
            <w:r>
              <w:rPr>
                <w:spacing w:val="-3"/>
              </w:rPr>
              <w:t>站的电压等级、</w:t>
            </w:r>
            <w:r>
              <w:rPr>
                <w:spacing w:val="2"/>
              </w:rPr>
              <w:t>升压站型式及布置方式等与乌兰察布丰镇工业园区（润字）</w:t>
            </w:r>
            <w:r>
              <w:rPr>
                <w:rFonts w:ascii="Times New Roman" w:hAnsi="Times New Roman" w:eastAsia="Times New Roman" w:cs="Times New Roman"/>
                <w:spacing w:val="2"/>
              </w:rPr>
              <w:t>220</w:t>
            </w:r>
            <w:r>
              <w:rPr>
                <w:rFonts w:ascii="Times New Roman" w:hAnsi="Times New Roman" w:eastAsia="Times New Roman" w:cs="Times New Roman"/>
              </w:rPr>
              <w:t>kV</w:t>
            </w:r>
            <w:r>
              <w:rPr>
                <w:rFonts w:ascii="Times New Roman" w:hAnsi="Times New Roman" w:eastAsia="Times New Roman" w:cs="Times New Roman"/>
                <w:spacing w:val="2"/>
              </w:rPr>
              <w:t xml:space="preserve">  </w:t>
            </w:r>
            <w:r>
              <w:rPr>
                <w:spacing w:val="2"/>
              </w:rPr>
              <w:t>变电站一致</w:t>
            </w:r>
            <w:r>
              <w:rPr>
                <w:spacing w:val="1"/>
              </w:rPr>
              <w:t>，类</w:t>
            </w:r>
            <w:r>
              <w:rPr>
                <w:spacing w:val="-3"/>
              </w:rPr>
              <w:t>比工程主变规模大于本项目，面积小于本项目的升压站。乌兰察布丰镇工业园区</w:t>
            </w:r>
            <w:r>
              <w:rPr>
                <w:spacing w:val="-4"/>
              </w:rPr>
              <w:t>（润</w:t>
            </w:r>
            <w:r>
              <w:t>字）</w:t>
            </w:r>
            <w:r>
              <w:rPr>
                <w:rFonts w:ascii="Times New Roman" w:hAnsi="Times New Roman" w:eastAsia="Times New Roman" w:cs="Times New Roman"/>
              </w:rPr>
              <w:t xml:space="preserve">220kV  </w:t>
            </w:r>
            <w:r>
              <w:t>变电站场界四周围墙外</w:t>
            </w:r>
            <w:r>
              <w:rPr>
                <w:spacing w:val="-49"/>
              </w:rPr>
              <w:t xml:space="preserve"> </w:t>
            </w:r>
            <w:r>
              <w:rPr>
                <w:rFonts w:ascii="Times New Roman" w:hAnsi="Times New Roman" w:eastAsia="Times New Roman" w:cs="Times New Roman"/>
              </w:rPr>
              <w:t>5m</w:t>
            </w:r>
            <w:r>
              <w:rPr>
                <w:rFonts w:ascii="Times New Roman" w:hAnsi="Times New Roman" w:eastAsia="Times New Roman" w:cs="Times New Roman"/>
                <w:spacing w:val="15"/>
                <w:w w:val="101"/>
              </w:rPr>
              <w:t xml:space="preserve"> </w:t>
            </w:r>
            <w:r>
              <w:t>处工频电场强度</w:t>
            </w:r>
            <w:r>
              <w:rPr>
                <w:spacing w:val="-51"/>
              </w:rPr>
              <w:t xml:space="preserve"> </w:t>
            </w:r>
            <w:r>
              <w:rPr>
                <w:rFonts w:ascii="Times New Roman" w:hAnsi="Times New Roman" w:eastAsia="Times New Roman" w:cs="Times New Roman"/>
                <w:spacing w:val="-1"/>
              </w:rPr>
              <w:t xml:space="preserve">7.000V/m~810.0kV/m </w:t>
            </w:r>
            <w:r>
              <w:rPr>
                <w:spacing w:val="-1"/>
              </w:rPr>
              <w:t>之间，工频磁感应强度在</w:t>
            </w:r>
            <w:r>
              <w:rPr>
                <w:spacing w:val="-51"/>
              </w:rPr>
              <w:t xml:space="preserve"> </w:t>
            </w:r>
            <w:r>
              <w:rPr>
                <w:rFonts w:ascii="Times New Roman" w:hAnsi="Times New Roman" w:eastAsia="Times New Roman" w:cs="Times New Roman"/>
                <w:spacing w:val="-1"/>
              </w:rPr>
              <w:t>0.</w:t>
            </w:r>
            <w:r>
              <w:rPr>
                <w:rFonts w:ascii="Times New Roman" w:hAnsi="Times New Roman" w:eastAsia="Times New Roman" w:cs="Times New Roman"/>
                <w:spacing w:val="-32"/>
              </w:rPr>
              <w:t xml:space="preserve"> </w:t>
            </w:r>
            <w:r>
              <w:rPr>
                <w:rFonts w:ascii="Times New Roman" w:hAnsi="Times New Roman" w:eastAsia="Times New Roman" w:cs="Times New Roman"/>
                <w:spacing w:val="-1"/>
              </w:rPr>
              <w:t xml:space="preserve">136μT~3.872μT </w:t>
            </w:r>
            <w:r>
              <w:rPr>
                <w:spacing w:val="-1"/>
              </w:rPr>
              <w:t>之间，以上测量</w:t>
            </w:r>
            <w:r>
              <w:rPr>
                <w:spacing w:val="-2"/>
              </w:rPr>
              <w:t>值均低于《电磁环境控制限值》</w:t>
            </w:r>
            <w:r>
              <w:t xml:space="preserve"> </w:t>
            </w:r>
            <w:r>
              <w:rPr>
                <w:spacing w:val="-2"/>
              </w:rPr>
              <w:t>（</w:t>
            </w:r>
            <w:r>
              <w:rPr>
                <w:rFonts w:ascii="Times New Roman" w:hAnsi="Times New Roman" w:eastAsia="Times New Roman" w:cs="Times New Roman"/>
                <w:spacing w:val="-2"/>
              </w:rPr>
              <w:t>GB8702</w:t>
            </w:r>
            <w:r>
              <w:rPr>
                <w:spacing w:val="-2"/>
              </w:rPr>
              <w:t>）中工频电场</w:t>
            </w:r>
            <w:r>
              <w:rPr>
                <w:spacing w:val="-56"/>
              </w:rPr>
              <w:t xml:space="preserve"> </w:t>
            </w:r>
            <w:r>
              <w:rPr>
                <w:rFonts w:ascii="Times New Roman" w:hAnsi="Times New Roman" w:eastAsia="Times New Roman" w:cs="Times New Roman"/>
                <w:spacing w:val="-2"/>
              </w:rPr>
              <w:t>4000V/m</w:t>
            </w:r>
            <w:r>
              <w:rPr>
                <w:rFonts w:ascii="Times New Roman" w:hAnsi="Times New Roman" w:eastAsia="Times New Roman" w:cs="Times New Roman"/>
                <w:spacing w:val="-33"/>
              </w:rPr>
              <w:t xml:space="preserve"> </w:t>
            </w:r>
            <w:r>
              <w:rPr>
                <w:spacing w:val="-2"/>
              </w:rPr>
              <w:t>、工频磁感应强度</w:t>
            </w:r>
            <w:r>
              <w:rPr>
                <w:spacing w:val="-30"/>
              </w:rPr>
              <w:t xml:space="preserve"> </w:t>
            </w:r>
            <w:r>
              <w:rPr>
                <w:rFonts w:ascii="Times New Roman" w:hAnsi="Times New Roman" w:eastAsia="Times New Roman" w:cs="Times New Roman"/>
                <w:spacing w:val="-2"/>
              </w:rPr>
              <w:t>100μT</w:t>
            </w:r>
            <w:r>
              <w:rPr>
                <w:rFonts w:ascii="Times New Roman" w:hAnsi="Times New Roman" w:eastAsia="Times New Roman" w:cs="Times New Roman"/>
                <w:spacing w:val="29"/>
              </w:rPr>
              <w:t xml:space="preserve"> </w:t>
            </w:r>
            <w:r>
              <w:rPr>
                <w:spacing w:val="-2"/>
              </w:rPr>
              <w:t>的</w:t>
            </w:r>
            <w:r>
              <w:rPr>
                <w:spacing w:val="-3"/>
              </w:rPr>
              <w:t>推荐限值。根据类比监</w:t>
            </w:r>
          </w:p>
        </w:tc>
      </w:tr>
    </w:tbl>
    <w:p w14:paraId="0AA07808">
      <w:pPr>
        <w:pStyle w:val="3"/>
      </w:pPr>
    </w:p>
    <w:p w14:paraId="13C17B44">
      <w:pPr>
        <w:sectPr>
          <w:footerReference r:id="rId67" w:type="default"/>
          <w:pgSz w:w="11906" w:h="16838"/>
          <w:pgMar w:top="1416" w:right="1151" w:bottom="1295" w:left="1150" w:header="0" w:footer="1133" w:gutter="0"/>
          <w:cols w:space="720" w:num="1"/>
        </w:sectPr>
      </w:pPr>
    </w:p>
    <w:tbl>
      <w:tblPr>
        <w:tblStyle w:val="8"/>
        <w:tblW w:w="958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99"/>
        <w:gridCol w:w="8990"/>
      </w:tblGrid>
      <w:tr w14:paraId="2EA39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627" w:hRule="atLeast"/>
        </w:trPr>
        <w:tc>
          <w:tcPr>
            <w:tcW w:w="599" w:type="dxa"/>
            <w:tcBorders>
              <w:right w:val="single" w:color="000000" w:sz="2" w:space="0"/>
            </w:tcBorders>
            <w:vAlign w:val="top"/>
          </w:tcPr>
          <w:p w14:paraId="3E8235D5">
            <w:pPr>
              <w:rPr>
                <w:rFonts w:ascii="Arial"/>
                <w:sz w:val="21"/>
              </w:rPr>
            </w:pPr>
          </w:p>
        </w:tc>
        <w:tc>
          <w:tcPr>
            <w:tcW w:w="8990" w:type="dxa"/>
            <w:tcBorders>
              <w:left w:val="single" w:color="000000" w:sz="2" w:space="0"/>
            </w:tcBorders>
            <w:vAlign w:val="top"/>
          </w:tcPr>
          <w:p w14:paraId="5009A4A0">
            <w:pPr>
              <w:pStyle w:val="9"/>
              <w:spacing w:before="165" w:line="359" w:lineRule="auto"/>
              <w:ind w:left="107" w:right="102"/>
              <w:jc w:val="both"/>
            </w:pPr>
            <w:r>
              <w:rPr>
                <w:spacing w:val="-3"/>
              </w:rPr>
              <w:t>测结果可以预测，本项目升压站运行时产生的工频电场、工频磁感应强度能满足</w:t>
            </w:r>
            <w:r>
              <w:rPr>
                <w:spacing w:val="-4"/>
              </w:rPr>
              <w:t>《电</w:t>
            </w:r>
            <w:r>
              <w:t>磁环境控制限值》</w:t>
            </w:r>
            <w:r>
              <w:rPr>
                <w:rFonts w:ascii="Times New Roman" w:hAnsi="Times New Roman" w:eastAsia="Times New Roman" w:cs="Times New Roman"/>
              </w:rPr>
              <w:t>(GB8702-2014)</w:t>
            </w:r>
            <w:r>
              <w:t>中的相关要求，即</w:t>
            </w:r>
            <w:r>
              <w:rPr>
                <w:spacing w:val="-52"/>
              </w:rPr>
              <w:t xml:space="preserve"> </w:t>
            </w:r>
            <w:r>
              <w:rPr>
                <w:rFonts w:ascii="Times New Roman" w:hAnsi="Times New Roman" w:eastAsia="Times New Roman" w:cs="Times New Roman"/>
              </w:rPr>
              <w:t>400</w:t>
            </w:r>
            <w:r>
              <w:rPr>
                <w:rFonts w:ascii="Times New Roman" w:hAnsi="Times New Roman" w:eastAsia="Times New Roman" w:cs="Times New Roman"/>
                <w:spacing w:val="-1"/>
              </w:rPr>
              <w:t>0V/m</w:t>
            </w:r>
            <w:r>
              <w:rPr>
                <w:rFonts w:ascii="Times New Roman" w:hAnsi="Times New Roman" w:eastAsia="Times New Roman" w:cs="Times New Roman"/>
                <w:spacing w:val="-30"/>
              </w:rPr>
              <w:t xml:space="preserve"> </w:t>
            </w:r>
            <w:r>
              <w:rPr>
                <w:spacing w:val="-1"/>
              </w:rPr>
              <w:t>、</w:t>
            </w:r>
            <w:r>
              <w:rPr>
                <w:rFonts w:ascii="Times New Roman" w:hAnsi="Times New Roman" w:eastAsia="Times New Roman" w:cs="Times New Roman"/>
                <w:spacing w:val="-1"/>
              </w:rPr>
              <w:t>100μT</w:t>
            </w:r>
            <w:r>
              <w:rPr>
                <w:rFonts w:ascii="Times New Roman" w:hAnsi="Times New Roman" w:eastAsia="Times New Roman" w:cs="Times New Roman"/>
                <w:spacing w:val="31"/>
                <w:w w:val="101"/>
              </w:rPr>
              <w:t xml:space="preserve"> </w:t>
            </w:r>
            <w:r>
              <w:rPr>
                <w:spacing w:val="-1"/>
              </w:rPr>
              <w:t>的公众曝露控</w:t>
            </w:r>
            <w:r>
              <w:rPr>
                <w:spacing w:val="-2"/>
              </w:rPr>
              <w:t>制限值要求。</w:t>
            </w:r>
          </w:p>
          <w:p w14:paraId="2BC05FDB">
            <w:pPr>
              <w:pStyle w:val="9"/>
              <w:spacing w:before="13" w:line="360" w:lineRule="auto"/>
              <w:ind w:left="107" w:right="102" w:firstLine="509"/>
              <w:jc w:val="both"/>
            </w:pPr>
            <w:r>
              <w:rPr>
                <w:spacing w:val="1"/>
              </w:rPr>
              <w:t>由于本工程已投入运行三年，根据现状监测结果，夏营地</w:t>
            </w:r>
            <w:r>
              <w:rPr>
                <w:spacing w:val="-49"/>
              </w:rPr>
              <w:t xml:space="preserve"> </w:t>
            </w:r>
            <w:r>
              <w:rPr>
                <w:rFonts w:ascii="Times New Roman" w:hAnsi="Times New Roman" w:eastAsia="Times New Roman" w:cs="Times New Roman"/>
                <w:spacing w:val="1"/>
              </w:rPr>
              <w:t>220</w:t>
            </w:r>
            <w:r>
              <w:rPr>
                <w:rFonts w:ascii="Times New Roman" w:hAnsi="Times New Roman" w:eastAsia="Times New Roman" w:cs="Times New Roman"/>
              </w:rPr>
              <w:t>kV</w:t>
            </w:r>
            <w:r>
              <w:rPr>
                <w:rFonts w:ascii="Times New Roman" w:hAnsi="Times New Roman" w:eastAsia="Times New Roman" w:cs="Times New Roman"/>
                <w:spacing w:val="1"/>
              </w:rPr>
              <w:t xml:space="preserve"> </w:t>
            </w:r>
            <w:r>
              <w:rPr>
                <w:spacing w:val="1"/>
              </w:rPr>
              <w:t>升压站现状监</w:t>
            </w:r>
            <w:r>
              <w:rPr>
                <w:spacing w:val="-2"/>
              </w:rPr>
              <w:t>测点工频电场强度为</w:t>
            </w:r>
            <w:r>
              <w:rPr>
                <w:spacing w:val="-27"/>
              </w:rPr>
              <w:t xml:space="preserve"> </w:t>
            </w:r>
            <w:r>
              <w:rPr>
                <w:rFonts w:ascii="Times New Roman" w:hAnsi="Times New Roman" w:eastAsia="Times New Roman" w:cs="Times New Roman"/>
                <w:spacing w:val="-2"/>
              </w:rPr>
              <w:t>105.8V/m~691.9 V/m</w:t>
            </w:r>
            <w:r>
              <w:rPr>
                <w:rFonts w:ascii="Times New Roman" w:hAnsi="Times New Roman" w:eastAsia="Times New Roman" w:cs="Times New Roman"/>
                <w:spacing w:val="-26"/>
              </w:rPr>
              <w:t xml:space="preserve"> </w:t>
            </w:r>
            <w:r>
              <w:rPr>
                <w:spacing w:val="-2"/>
              </w:rPr>
              <w:t>，工频磁感应强度为</w:t>
            </w:r>
            <w:r>
              <w:rPr>
                <w:spacing w:val="-49"/>
              </w:rPr>
              <w:t xml:space="preserve"> </w:t>
            </w:r>
            <w:r>
              <w:rPr>
                <w:rFonts w:ascii="Times New Roman" w:hAnsi="Times New Roman" w:eastAsia="Times New Roman" w:cs="Times New Roman"/>
                <w:spacing w:val="-2"/>
              </w:rPr>
              <w:t>0.085</w:t>
            </w:r>
            <w:r>
              <w:rPr>
                <w:rFonts w:ascii="Times New Roman" w:hAnsi="Times New Roman" w:eastAsia="Times New Roman" w:cs="Times New Roman"/>
                <w:spacing w:val="16"/>
              </w:rPr>
              <w:t xml:space="preserve"> </w:t>
            </w:r>
            <w:r>
              <w:rPr>
                <w:spacing w:val="-2"/>
              </w:rPr>
              <w:t>μ</w:t>
            </w:r>
            <w:r>
              <w:rPr>
                <w:rFonts w:ascii="Times New Roman" w:hAnsi="Times New Roman" w:eastAsia="Times New Roman" w:cs="Times New Roman"/>
                <w:spacing w:val="-2"/>
              </w:rPr>
              <w:t>T~0.372µT</w:t>
            </w:r>
            <w:r>
              <w:rPr>
                <w:rFonts w:ascii="Times New Roman" w:hAnsi="Times New Roman" w:eastAsia="Times New Roman" w:cs="Times New Roman"/>
                <w:spacing w:val="-26"/>
              </w:rPr>
              <w:t xml:space="preserve"> </w:t>
            </w:r>
            <w:r>
              <w:rPr>
                <w:spacing w:val="-2"/>
              </w:rPr>
              <w:t>，均小于《电磁环境控制限值》（</w:t>
            </w:r>
            <w:r>
              <w:rPr>
                <w:rFonts w:ascii="Times New Roman" w:hAnsi="Times New Roman" w:eastAsia="Times New Roman" w:cs="Times New Roman"/>
                <w:spacing w:val="-2"/>
              </w:rPr>
              <w:t>GB8702-2014</w:t>
            </w:r>
            <w:r>
              <w:rPr>
                <w:spacing w:val="-2"/>
              </w:rPr>
              <w:t>）中工频电场强度</w:t>
            </w:r>
            <w:r>
              <w:rPr>
                <w:spacing w:val="-49"/>
              </w:rPr>
              <w:t xml:space="preserve"> </w:t>
            </w:r>
            <w:r>
              <w:rPr>
                <w:rFonts w:ascii="Times New Roman" w:hAnsi="Times New Roman" w:eastAsia="Times New Roman" w:cs="Times New Roman"/>
                <w:spacing w:val="-2"/>
              </w:rPr>
              <w:t>4000V/m</w:t>
            </w:r>
            <w:r>
              <w:rPr>
                <w:rFonts w:ascii="Times New Roman" w:hAnsi="Times New Roman" w:eastAsia="Times New Roman" w:cs="Times New Roman"/>
                <w:spacing w:val="-33"/>
              </w:rPr>
              <w:t xml:space="preserve"> </w:t>
            </w:r>
            <w:r>
              <w:rPr>
                <w:spacing w:val="-2"/>
              </w:rPr>
              <w:t>、工频磁感</w:t>
            </w:r>
            <w:r>
              <w:rPr>
                <w:spacing w:val="-9"/>
              </w:rPr>
              <w:t>应强度</w:t>
            </w:r>
            <w:r>
              <w:rPr>
                <w:spacing w:val="-24"/>
              </w:rPr>
              <w:t xml:space="preserve"> </w:t>
            </w:r>
            <w:r>
              <w:rPr>
                <w:rFonts w:ascii="Times New Roman" w:hAnsi="Times New Roman" w:eastAsia="Times New Roman" w:cs="Times New Roman"/>
                <w:spacing w:val="-9"/>
              </w:rPr>
              <w:t xml:space="preserve">100 </w:t>
            </w:r>
            <w:r>
              <w:rPr>
                <w:spacing w:val="-9"/>
              </w:rPr>
              <w:t>μ</w:t>
            </w:r>
            <w:r>
              <w:rPr>
                <w:spacing w:val="-67"/>
              </w:rPr>
              <w:t xml:space="preserve"> </w:t>
            </w:r>
            <w:r>
              <w:rPr>
                <w:spacing w:val="-9"/>
              </w:rPr>
              <w:t>Т</w:t>
            </w:r>
            <w:r>
              <w:rPr>
                <w:spacing w:val="-91"/>
              </w:rPr>
              <w:t xml:space="preserve"> </w:t>
            </w:r>
            <w:r>
              <w:rPr>
                <w:spacing w:val="-9"/>
              </w:rPr>
              <w:t>的公众曝露控制限值要求。</w:t>
            </w:r>
          </w:p>
          <w:p w14:paraId="51530D81">
            <w:pPr>
              <w:pStyle w:val="9"/>
              <w:spacing w:before="5" w:line="220" w:lineRule="auto"/>
              <w:ind w:left="589"/>
              <w:outlineLvl w:val="2"/>
            </w:pPr>
            <w:r>
              <w:rPr>
                <w:b/>
                <w:bCs/>
                <w:spacing w:val="-4"/>
              </w:rPr>
              <w:t>六、环境风险分析</w:t>
            </w:r>
          </w:p>
          <w:p w14:paraId="1EECE1AE">
            <w:pPr>
              <w:pStyle w:val="9"/>
              <w:spacing w:before="184" w:line="220" w:lineRule="auto"/>
              <w:ind w:left="599"/>
            </w:pPr>
            <w:r>
              <w:rPr>
                <w:spacing w:val="-3"/>
              </w:rPr>
              <w:t>（</w:t>
            </w:r>
            <w:r>
              <w:rPr>
                <w:rFonts w:ascii="Times New Roman" w:hAnsi="Times New Roman" w:eastAsia="Times New Roman" w:cs="Times New Roman"/>
                <w:spacing w:val="-3"/>
              </w:rPr>
              <w:t>1</w:t>
            </w:r>
            <w:r>
              <w:rPr>
                <w:spacing w:val="-3"/>
              </w:rPr>
              <w:t>）环境风险源</w:t>
            </w:r>
          </w:p>
          <w:p w14:paraId="655F0806">
            <w:pPr>
              <w:pStyle w:val="9"/>
              <w:spacing w:before="186" w:line="361" w:lineRule="auto"/>
              <w:ind w:left="108" w:right="22" w:firstLine="479"/>
            </w:pPr>
            <w:r>
              <w:rPr>
                <w:spacing w:val="-11"/>
              </w:rPr>
              <w:t>根据《环境影响评价技术导则输变电》（</w:t>
            </w:r>
            <w:r>
              <w:rPr>
                <w:rFonts w:ascii="Times New Roman" w:hAnsi="Times New Roman" w:eastAsia="Times New Roman" w:cs="Times New Roman"/>
                <w:spacing w:val="-11"/>
              </w:rPr>
              <w:t>HJ24-2020</w:t>
            </w:r>
            <w:r>
              <w:rPr>
                <w:spacing w:val="-11"/>
              </w:rPr>
              <w:t>）、《国家危险废物名录（</w:t>
            </w:r>
            <w:r>
              <w:rPr>
                <w:rFonts w:ascii="Times New Roman" w:hAnsi="Times New Roman" w:eastAsia="Times New Roman" w:cs="Times New Roman"/>
                <w:spacing w:val="-11"/>
              </w:rPr>
              <w:t>2021</w:t>
            </w:r>
            <w:r>
              <w:rPr>
                <w:spacing w:val="-1"/>
              </w:rPr>
              <w:t>年本）》（生态环境部令第</w:t>
            </w:r>
            <w:r>
              <w:rPr>
                <w:spacing w:val="-29"/>
              </w:rPr>
              <w:t xml:space="preserve"> </w:t>
            </w:r>
            <w:r>
              <w:rPr>
                <w:rFonts w:ascii="Times New Roman" w:hAnsi="Times New Roman" w:eastAsia="Times New Roman" w:cs="Times New Roman"/>
                <w:spacing w:val="-1"/>
              </w:rPr>
              <w:t>15</w:t>
            </w:r>
            <w:r>
              <w:rPr>
                <w:rFonts w:ascii="Times New Roman" w:hAnsi="Times New Roman" w:eastAsia="Times New Roman" w:cs="Times New Roman"/>
                <w:spacing w:val="15"/>
                <w:w w:val="101"/>
              </w:rPr>
              <w:t xml:space="preserve"> </w:t>
            </w:r>
            <w:r>
              <w:rPr>
                <w:spacing w:val="-1"/>
              </w:rPr>
              <w:t>号</w:t>
            </w:r>
            <w:r>
              <w:rPr>
                <w:spacing w:val="6"/>
              </w:rPr>
              <w:t>），</w:t>
            </w:r>
            <w:r>
              <w:rPr>
                <w:spacing w:val="-1"/>
              </w:rPr>
              <w:t>本工程运</w:t>
            </w:r>
            <w:r>
              <w:rPr>
                <w:spacing w:val="-2"/>
              </w:rPr>
              <w:t>行过程主变压器等含油设备发生事故</w:t>
            </w:r>
            <w:r>
              <w:rPr>
                <w:spacing w:val="-3"/>
              </w:rPr>
              <w:t>时产生的变玉器油为国家危险废物名录废物类别中废矿物油与含矿物油废物（废</w:t>
            </w:r>
            <w:r>
              <w:rPr>
                <w:spacing w:val="-4"/>
              </w:rPr>
              <w:t>物类</w:t>
            </w:r>
            <w:r>
              <w:rPr>
                <w:spacing w:val="-3"/>
              </w:rPr>
              <w:t>别为</w:t>
            </w:r>
            <w:r>
              <w:rPr>
                <w:spacing w:val="-55"/>
              </w:rPr>
              <w:t xml:space="preserve"> </w:t>
            </w:r>
            <w:r>
              <w:rPr>
                <w:rFonts w:ascii="Times New Roman" w:hAnsi="Times New Roman" w:eastAsia="Times New Roman" w:cs="Times New Roman"/>
                <w:spacing w:val="-3"/>
              </w:rPr>
              <w:t>HW08</w:t>
            </w:r>
            <w:r>
              <w:rPr>
                <w:spacing w:val="-3"/>
              </w:rPr>
              <w:t>，废物代码为</w:t>
            </w:r>
            <w:r>
              <w:rPr>
                <w:spacing w:val="-50"/>
              </w:rPr>
              <w:t xml:space="preserve"> </w:t>
            </w:r>
            <w:r>
              <w:rPr>
                <w:rFonts w:ascii="Times New Roman" w:hAnsi="Times New Roman" w:eastAsia="Times New Roman" w:cs="Times New Roman"/>
                <w:spacing w:val="-3"/>
              </w:rPr>
              <w:t>900-210-08</w:t>
            </w:r>
            <w:r>
              <w:rPr>
                <w:spacing w:val="-54"/>
              </w:rPr>
              <w:t>），</w:t>
            </w:r>
            <w:r>
              <w:rPr>
                <w:spacing w:val="-3"/>
              </w:rPr>
              <w:t>本工程可能产生</w:t>
            </w:r>
            <w:r>
              <w:rPr>
                <w:spacing w:val="-4"/>
              </w:rPr>
              <w:t>环境风险的主要是变压器油。</w:t>
            </w:r>
          </w:p>
          <w:p w14:paraId="51CB636E">
            <w:pPr>
              <w:pStyle w:val="9"/>
              <w:spacing w:line="219" w:lineRule="auto"/>
              <w:ind w:left="599"/>
            </w:pPr>
            <w:r>
              <w:rPr>
                <w:spacing w:val="-3"/>
              </w:rPr>
              <w:t>（</w:t>
            </w:r>
            <w:r>
              <w:rPr>
                <w:rFonts w:ascii="Times New Roman" w:hAnsi="Times New Roman" w:eastAsia="Times New Roman" w:cs="Times New Roman"/>
                <w:spacing w:val="-3"/>
              </w:rPr>
              <w:t>2</w:t>
            </w:r>
            <w:r>
              <w:rPr>
                <w:spacing w:val="-3"/>
              </w:rPr>
              <w:t>）变压器油的特性</w:t>
            </w:r>
          </w:p>
          <w:p w14:paraId="135EE137">
            <w:pPr>
              <w:pStyle w:val="9"/>
              <w:spacing w:before="188" w:line="361" w:lineRule="auto"/>
              <w:ind w:left="107" w:right="102" w:firstLine="525"/>
            </w:pPr>
            <w:r>
              <w:rPr>
                <w:spacing w:val="2"/>
              </w:rPr>
              <w:t>目前变压器普遍使用</w:t>
            </w:r>
            <w:r>
              <w:rPr>
                <w:rFonts w:ascii="Times New Roman" w:hAnsi="Times New Roman" w:eastAsia="Times New Roman" w:cs="Times New Roman"/>
              </w:rPr>
              <w:t>KI</w:t>
            </w:r>
            <w:r>
              <w:rPr>
                <w:rFonts w:ascii="Times New Roman" w:hAnsi="Times New Roman" w:eastAsia="Times New Roman" w:cs="Times New Roman"/>
                <w:spacing w:val="2"/>
              </w:rPr>
              <w:t xml:space="preserve">25X/45X </w:t>
            </w:r>
            <w:r>
              <w:rPr>
                <w:spacing w:val="2"/>
              </w:rPr>
              <w:t>变压器油，</w:t>
            </w:r>
            <w:r>
              <w:rPr>
                <w:rFonts w:ascii="Times New Roman" w:hAnsi="Times New Roman" w:eastAsia="Times New Roman" w:cs="Times New Roman"/>
              </w:rPr>
              <w:t>KI</w:t>
            </w:r>
            <w:r>
              <w:rPr>
                <w:rFonts w:ascii="Times New Roman" w:hAnsi="Times New Roman" w:eastAsia="Times New Roman" w:cs="Times New Roman"/>
                <w:spacing w:val="2"/>
              </w:rPr>
              <w:t>25X/45X</w:t>
            </w:r>
            <w:r>
              <w:rPr>
                <w:rFonts w:ascii="Times New Roman" w:hAnsi="Times New Roman" w:eastAsia="Times New Roman" w:cs="Times New Roman"/>
                <w:spacing w:val="1"/>
              </w:rPr>
              <w:t xml:space="preserve"> </w:t>
            </w:r>
            <w:r>
              <w:rPr>
                <w:spacing w:val="1"/>
              </w:rPr>
              <w:t>变压器油是采用克拉玛</w:t>
            </w:r>
            <w:r>
              <w:rPr>
                <w:spacing w:val="-3"/>
              </w:rPr>
              <w:t>依低凝环烷基原油为原料经过深度精制而成的基础油，再加入优质抗氧复合添加剂调</w:t>
            </w:r>
            <w:r>
              <w:rPr>
                <w:spacing w:val="-2"/>
              </w:rPr>
              <w:t>制生产的高级别变压器油。</w:t>
            </w:r>
            <w:r>
              <w:rPr>
                <w:rFonts w:ascii="Times New Roman" w:hAnsi="Times New Roman" w:eastAsia="Times New Roman" w:cs="Times New Roman"/>
                <w:spacing w:val="-2"/>
              </w:rPr>
              <w:t xml:space="preserve">KI25X/45X </w:t>
            </w:r>
            <w:r>
              <w:rPr>
                <w:spacing w:val="-2"/>
              </w:rPr>
              <w:t>变压器油闪点</w:t>
            </w:r>
            <w:r>
              <w:rPr>
                <w:spacing w:val="-32"/>
              </w:rPr>
              <w:t xml:space="preserve"> </w:t>
            </w:r>
            <w:r>
              <w:rPr>
                <w:rFonts w:ascii="Times New Roman" w:hAnsi="Times New Roman" w:eastAsia="Times New Roman" w:cs="Times New Roman"/>
                <w:spacing w:val="-2"/>
              </w:rPr>
              <w:t>143</w:t>
            </w:r>
            <w:r>
              <w:rPr>
                <w:spacing w:val="-2"/>
              </w:rPr>
              <w:t>℃（加热到油蒸汽与火焰接触发生瞬间闪火时的最低温度</w:t>
            </w:r>
            <w:r>
              <w:rPr>
                <w:spacing w:val="-21"/>
              </w:rPr>
              <w:t>），</w:t>
            </w:r>
            <w:r>
              <w:rPr>
                <w:spacing w:val="-2"/>
              </w:rPr>
              <w:t>且其使用过程处于密闭状态，不在高温环境下长时</w:t>
            </w:r>
            <w:r>
              <w:rPr>
                <w:spacing w:val="-1"/>
              </w:rPr>
              <w:t>间暴露，因此其易燃性、爆炸性较低。</w:t>
            </w:r>
          </w:p>
          <w:p w14:paraId="2BFC321A">
            <w:pPr>
              <w:pStyle w:val="9"/>
              <w:spacing w:line="219" w:lineRule="auto"/>
              <w:ind w:left="599"/>
            </w:pPr>
            <w:r>
              <w:rPr>
                <w:spacing w:val="-2"/>
              </w:rPr>
              <w:t>（</w:t>
            </w:r>
            <w:r>
              <w:rPr>
                <w:rFonts w:ascii="Times New Roman" w:hAnsi="Times New Roman" w:eastAsia="Times New Roman" w:cs="Times New Roman"/>
                <w:spacing w:val="-2"/>
              </w:rPr>
              <w:t>3</w:t>
            </w:r>
            <w:r>
              <w:rPr>
                <w:spacing w:val="-2"/>
              </w:rPr>
              <w:t>）变压器油可能产生的环境影响</w:t>
            </w:r>
          </w:p>
          <w:p w14:paraId="3F053581">
            <w:pPr>
              <w:pStyle w:val="9"/>
              <w:spacing w:before="187" w:line="361" w:lineRule="auto"/>
              <w:ind w:left="107" w:right="102" w:firstLine="480"/>
            </w:pPr>
            <w:r>
              <w:rPr>
                <w:spacing w:val="-3"/>
              </w:rPr>
              <w:t>变压器油注入变压器后，不用更新，使用寿命与设备同步。一般</w:t>
            </w:r>
            <w:r>
              <w:rPr>
                <w:spacing w:val="-4"/>
              </w:rPr>
              <w:t>情况下，由专业</w:t>
            </w:r>
            <w:r>
              <w:rPr>
                <w:spacing w:val="-3"/>
              </w:rPr>
              <w:t>人员按相关规定定期对电气设备内的变压器油抽样检测。根据检测结果，再定是否需做过滤域增补变压器油，整个过程无漏油、跑油现象，亦无弃油产生。但在设备发生</w:t>
            </w:r>
            <w:r>
              <w:t>事故时，有可能造成变压器油泄漏，如果泄漏到</w:t>
            </w:r>
            <w:r>
              <w:rPr>
                <w:spacing w:val="-1"/>
              </w:rPr>
              <w:t>外环境则可能造成污染。</w:t>
            </w:r>
          </w:p>
          <w:p w14:paraId="42E3DE3E">
            <w:pPr>
              <w:pStyle w:val="9"/>
              <w:spacing w:line="220" w:lineRule="auto"/>
              <w:ind w:left="599"/>
            </w:pPr>
            <w:r>
              <w:rPr>
                <w:spacing w:val="-3"/>
              </w:rPr>
              <w:t>（</w:t>
            </w:r>
            <w:r>
              <w:rPr>
                <w:rFonts w:ascii="Times New Roman" w:hAnsi="Times New Roman" w:eastAsia="Times New Roman" w:cs="Times New Roman"/>
                <w:spacing w:val="-3"/>
              </w:rPr>
              <w:t>4</w:t>
            </w:r>
            <w:r>
              <w:rPr>
                <w:spacing w:val="-3"/>
              </w:rPr>
              <w:t>）预防和处置措施</w:t>
            </w:r>
          </w:p>
          <w:p w14:paraId="21A106A9">
            <w:pPr>
              <w:pStyle w:val="9"/>
              <w:spacing w:before="184" w:line="362" w:lineRule="auto"/>
              <w:ind w:left="106" w:right="102" w:firstLine="482"/>
            </w:pPr>
            <w:r>
              <w:rPr>
                <w:spacing w:val="-3"/>
              </w:rPr>
              <w:t>温度保护装置：主变压器设有油面温度计等温度检测和控制</w:t>
            </w:r>
            <w:r>
              <w:rPr>
                <w:spacing w:val="-4"/>
              </w:rPr>
              <w:t>装置，温度保护设定在</w:t>
            </w:r>
            <w:r>
              <w:rPr>
                <w:spacing w:val="-46"/>
              </w:rPr>
              <w:t xml:space="preserve"> </w:t>
            </w:r>
            <w:r>
              <w:rPr>
                <w:rFonts w:ascii="Times New Roman" w:hAnsi="Times New Roman" w:eastAsia="Times New Roman" w:cs="Times New Roman"/>
                <w:spacing w:val="-4"/>
              </w:rPr>
              <w:t>80~85</w:t>
            </w:r>
            <w:r>
              <w:rPr>
                <w:spacing w:val="-4"/>
              </w:rPr>
              <w:t>℃</w:t>
            </w:r>
            <w:r>
              <w:rPr>
                <w:spacing w:val="-90"/>
              </w:rPr>
              <w:t xml:space="preserve"> </w:t>
            </w:r>
            <w:r>
              <w:rPr>
                <w:spacing w:val="-4"/>
              </w:rPr>
              <w:t>,</w:t>
            </w:r>
            <w:r>
              <w:rPr>
                <w:spacing w:val="69"/>
              </w:rPr>
              <w:t xml:space="preserve"> </w:t>
            </w:r>
            <w:r>
              <w:rPr>
                <w:spacing w:val="-4"/>
              </w:rPr>
              <w:t>小于</w:t>
            </w:r>
            <w:r>
              <w:rPr>
                <w:spacing w:val="-56"/>
              </w:rPr>
              <w:t xml:space="preserve"> </w:t>
            </w:r>
            <w:r>
              <w:rPr>
                <w:rFonts w:ascii="Times New Roman" w:hAnsi="Times New Roman" w:eastAsia="Times New Roman" w:cs="Times New Roman"/>
                <w:spacing w:val="-4"/>
              </w:rPr>
              <w:t xml:space="preserve">KI25X/45X </w:t>
            </w:r>
            <w:r>
              <w:rPr>
                <w:spacing w:val="-4"/>
              </w:rPr>
              <w:t>变压</w:t>
            </w:r>
            <w:r>
              <w:rPr>
                <w:spacing w:val="-5"/>
              </w:rPr>
              <w:t>器油闪点</w:t>
            </w:r>
            <w:r>
              <w:rPr>
                <w:spacing w:val="-49"/>
              </w:rPr>
              <w:t xml:space="preserve"> </w:t>
            </w:r>
            <w:r>
              <w:rPr>
                <w:rFonts w:ascii="Times New Roman" w:hAnsi="Times New Roman" w:eastAsia="Times New Roman" w:cs="Times New Roman"/>
                <w:spacing w:val="-5"/>
              </w:rPr>
              <w:t>50</w:t>
            </w:r>
            <w:r>
              <w:rPr>
                <w:spacing w:val="-5"/>
              </w:rPr>
              <w:t>℃以上。</w:t>
            </w:r>
          </w:p>
          <w:p w14:paraId="5E019C48">
            <w:pPr>
              <w:pStyle w:val="9"/>
              <w:spacing w:before="2" w:line="292" w:lineRule="auto"/>
              <w:ind w:left="113" w:right="100" w:firstLine="479"/>
            </w:pPr>
            <w:r>
              <w:rPr>
                <w:spacing w:val="2"/>
              </w:rPr>
              <w:t>消防设施：按照《火力发电厂与变电站设计防火标准》（</w:t>
            </w:r>
            <w:r>
              <w:rPr>
                <w:rFonts w:ascii="Times New Roman" w:hAnsi="Times New Roman" w:eastAsia="Times New Roman" w:cs="Times New Roman"/>
              </w:rPr>
              <w:t>GB</w:t>
            </w:r>
            <w:r>
              <w:rPr>
                <w:rFonts w:ascii="Times New Roman" w:hAnsi="Times New Roman" w:eastAsia="Times New Roman" w:cs="Times New Roman"/>
                <w:spacing w:val="2"/>
              </w:rPr>
              <w:t>50229-2019</w:t>
            </w:r>
            <w:r>
              <w:rPr>
                <w:spacing w:val="1"/>
              </w:rPr>
              <w:t>）的规</w:t>
            </w:r>
            <w:r>
              <w:rPr>
                <w:spacing w:val="-3"/>
              </w:rPr>
              <w:t>定，主变压器设置排油充氮装置，在主变附近设消防棚，其内放置移动</w:t>
            </w:r>
            <w:r>
              <w:rPr>
                <w:spacing w:val="-4"/>
              </w:rPr>
              <w:t>式灭火器等消</w:t>
            </w:r>
          </w:p>
        </w:tc>
      </w:tr>
    </w:tbl>
    <w:p w14:paraId="3181432B">
      <w:pPr>
        <w:pStyle w:val="3"/>
      </w:pPr>
    </w:p>
    <w:p w14:paraId="12EEEE7D">
      <w:pPr>
        <w:sectPr>
          <w:footerReference r:id="rId68" w:type="default"/>
          <w:pgSz w:w="11906" w:h="16838"/>
          <w:pgMar w:top="1416" w:right="1151" w:bottom="1295" w:left="1150" w:header="0" w:footer="1133" w:gutter="0"/>
          <w:cols w:space="720" w:num="1"/>
        </w:sectPr>
      </w:pPr>
    </w:p>
    <w:tbl>
      <w:tblPr>
        <w:tblStyle w:val="8"/>
        <w:tblW w:w="9589"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99"/>
        <w:gridCol w:w="8990"/>
      </w:tblGrid>
      <w:tr w14:paraId="1F89E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807" w:hRule="atLeast"/>
        </w:trPr>
        <w:tc>
          <w:tcPr>
            <w:tcW w:w="599" w:type="dxa"/>
            <w:tcBorders>
              <w:right w:val="single" w:color="000000" w:sz="2" w:space="0"/>
            </w:tcBorders>
            <w:vAlign w:val="top"/>
          </w:tcPr>
          <w:p w14:paraId="2BBD9C25">
            <w:pPr>
              <w:rPr>
                <w:rFonts w:ascii="Arial"/>
                <w:sz w:val="21"/>
              </w:rPr>
            </w:pPr>
          </w:p>
        </w:tc>
        <w:tc>
          <w:tcPr>
            <w:tcW w:w="8990" w:type="dxa"/>
            <w:tcBorders>
              <w:left w:val="single" w:color="000000" w:sz="2" w:space="0"/>
            </w:tcBorders>
            <w:vAlign w:val="top"/>
          </w:tcPr>
          <w:p w14:paraId="63EB8F60">
            <w:pPr>
              <w:pStyle w:val="9"/>
              <w:spacing w:before="164" w:line="219" w:lineRule="auto"/>
              <w:ind w:left="122"/>
            </w:pPr>
            <w:r>
              <w:rPr>
                <w:spacing w:val="-1"/>
              </w:rPr>
              <w:t>防器材，并设砂箱；站内建筑物内配置移动式灭火器。具体设置情况如下：</w:t>
            </w:r>
          </w:p>
          <w:p w14:paraId="4B65E57F">
            <w:pPr>
              <w:pStyle w:val="9"/>
              <w:spacing w:before="187" w:line="361" w:lineRule="auto"/>
              <w:ind w:left="108" w:right="43" w:firstLine="478"/>
              <w:jc w:val="both"/>
            </w:pPr>
            <w:r>
              <w:rPr>
                <w:spacing w:val="-3"/>
              </w:rPr>
              <w:t>在高压配电装置室配置推车式磷酸铵盐干粉灭火器五辆，低压配电</w:t>
            </w:r>
            <w:r>
              <w:rPr>
                <w:spacing w:val="-4"/>
              </w:rPr>
              <w:t>装置室每间房</w:t>
            </w:r>
            <w:r>
              <w:rPr>
                <w:spacing w:val="-3"/>
              </w:rPr>
              <w:t>间设有手提式磷酸铵盐干粉灭火器二具；对中控制室、计算机室以及继保室等设</w:t>
            </w:r>
            <w:r>
              <w:rPr>
                <w:spacing w:val="-4"/>
              </w:rPr>
              <w:t>有精</w:t>
            </w:r>
            <w:r>
              <w:rPr>
                <w:spacing w:val="-5"/>
              </w:rPr>
              <w:t>密仪器、仪表设备的重要房间，各配手提式二</w:t>
            </w:r>
            <w:r>
              <w:rPr>
                <w:spacing w:val="-6"/>
              </w:rPr>
              <w:t>氧化碳</w:t>
            </w:r>
            <w:r>
              <w:rPr>
                <w:rFonts w:ascii="Times New Roman" w:hAnsi="Times New Roman" w:eastAsia="Times New Roman" w:cs="Times New Roman"/>
                <w:spacing w:val="-6"/>
              </w:rPr>
              <w:t>(</w:t>
            </w:r>
            <w:r>
              <w:rPr>
                <w:spacing w:val="-6"/>
              </w:rPr>
              <w:t>不带金属喇叭喷筒</w:t>
            </w:r>
            <w:r>
              <w:rPr>
                <w:rFonts w:ascii="Times New Roman" w:hAnsi="Times New Roman" w:eastAsia="Times New Roman" w:cs="Times New Roman"/>
                <w:spacing w:val="-6"/>
              </w:rPr>
              <w:t>)</w:t>
            </w:r>
            <w:r>
              <w:rPr>
                <w:spacing w:val="-6"/>
              </w:rPr>
              <w:t>灭火器两具；</w:t>
            </w:r>
            <w:r>
              <w:rPr>
                <w:spacing w:val="-3"/>
              </w:rPr>
              <w:t>蓄电池室配手提式磷酸铵盐干粉灭火器二套；同时在升压站内设置消防水池、室</w:t>
            </w:r>
            <w:r>
              <w:rPr>
                <w:spacing w:val="-4"/>
              </w:rPr>
              <w:t>内外</w:t>
            </w:r>
            <w:r>
              <w:rPr>
                <w:spacing w:val="-1"/>
              </w:rPr>
              <w:t>消火栓、水喷雾灭火系统、消防水泵接合器以及管网等消防设施。</w:t>
            </w:r>
          </w:p>
          <w:p w14:paraId="78F209C8">
            <w:pPr>
              <w:pStyle w:val="9"/>
              <w:spacing w:before="9" w:line="361" w:lineRule="auto"/>
              <w:ind w:left="107" w:right="41" w:firstLine="480"/>
              <w:jc w:val="both"/>
            </w:pPr>
            <w:r>
              <w:rPr>
                <w:spacing w:val="25"/>
              </w:rPr>
              <w:t>事故油池：</w:t>
            </w:r>
            <w:r>
              <w:rPr>
                <w:spacing w:val="-53"/>
              </w:rPr>
              <w:t xml:space="preserve"> </w:t>
            </w:r>
            <w:r>
              <w:rPr>
                <w:spacing w:val="25"/>
              </w:rPr>
              <w:t>事故油池容积需满足《火力发电厂与变电站设计防火</w:t>
            </w:r>
            <w:r>
              <w:rPr>
                <w:spacing w:val="24"/>
              </w:rPr>
              <w:t>标准》</w:t>
            </w:r>
            <w:r>
              <w:t xml:space="preserve"> </w:t>
            </w:r>
            <w:r>
              <w:rPr>
                <w:spacing w:val="-2"/>
              </w:rPr>
              <w:t>（</w:t>
            </w:r>
            <w:r>
              <w:rPr>
                <w:rFonts w:ascii="Times New Roman" w:hAnsi="Times New Roman" w:eastAsia="Times New Roman" w:cs="Times New Roman"/>
                <w:spacing w:val="-2"/>
              </w:rPr>
              <w:t>GB50229-2019</w:t>
            </w:r>
            <w:r>
              <w:rPr>
                <w:spacing w:val="-2"/>
              </w:rPr>
              <w:t>）中规定：总事故贮油池的容量参照燃煤发电厂部分，按</w:t>
            </w:r>
            <w:r>
              <w:rPr>
                <w:spacing w:val="-32"/>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3"/>
              </w:rPr>
              <w:t>00%</w:t>
            </w:r>
            <w:r>
              <w:rPr>
                <w:spacing w:val="-3"/>
              </w:rPr>
              <w:t>的油量确定，升压站内设有</w:t>
            </w:r>
            <w:r>
              <w:rPr>
                <w:spacing w:val="-52"/>
              </w:rPr>
              <w:t xml:space="preserve"> </w:t>
            </w:r>
            <w:r>
              <w:rPr>
                <w:rFonts w:ascii="Times New Roman" w:hAnsi="Times New Roman" w:eastAsia="Times New Roman" w:cs="Times New Roman"/>
                <w:spacing w:val="-3"/>
              </w:rPr>
              <w:t>2</w:t>
            </w:r>
            <w:r>
              <w:rPr>
                <w:rFonts w:ascii="Times New Roman" w:hAnsi="Times New Roman" w:eastAsia="Times New Roman" w:cs="Times New Roman"/>
                <w:spacing w:val="28"/>
              </w:rPr>
              <w:t xml:space="preserve"> </w:t>
            </w:r>
            <w:r>
              <w:rPr>
                <w:spacing w:val="-3"/>
              </w:rPr>
              <w:t>台</w:t>
            </w:r>
            <w:r>
              <w:rPr>
                <w:spacing w:val="-30"/>
              </w:rPr>
              <w:t xml:space="preserve"> </w:t>
            </w:r>
            <w:r>
              <w:rPr>
                <w:rFonts w:ascii="Times New Roman" w:hAnsi="Times New Roman" w:eastAsia="Times New Roman" w:cs="Times New Roman"/>
                <w:spacing w:val="-3"/>
              </w:rPr>
              <w:t xml:space="preserve">150MVA </w:t>
            </w:r>
            <w:r>
              <w:rPr>
                <w:spacing w:val="-3"/>
              </w:rPr>
              <w:t>主变压器，单台</w:t>
            </w:r>
            <w:r>
              <w:rPr>
                <w:spacing w:val="-32"/>
              </w:rPr>
              <w:t xml:space="preserve"> </w:t>
            </w:r>
            <w:r>
              <w:rPr>
                <w:rFonts w:ascii="Times New Roman" w:hAnsi="Times New Roman" w:eastAsia="Times New Roman" w:cs="Times New Roman"/>
                <w:spacing w:val="-3"/>
              </w:rPr>
              <w:t xml:space="preserve">150MVA </w:t>
            </w:r>
            <w:r>
              <w:rPr>
                <w:spacing w:val="-3"/>
              </w:rPr>
              <w:t>主变压器绝缘油质量</w:t>
            </w:r>
            <w:r>
              <w:rPr>
                <w:spacing w:val="-4"/>
              </w:rPr>
              <w:t>约为</w:t>
            </w:r>
            <w:r>
              <w:rPr>
                <w:spacing w:val="-34"/>
              </w:rPr>
              <w:t xml:space="preserve"> </w:t>
            </w:r>
            <w:r>
              <w:rPr>
                <w:rFonts w:ascii="Times New Roman" w:hAnsi="Times New Roman" w:eastAsia="Times New Roman" w:cs="Times New Roman"/>
                <w:spacing w:val="-4"/>
              </w:rPr>
              <w:t>43.3t</w:t>
            </w:r>
            <w:r>
              <w:rPr>
                <w:rFonts w:ascii="Times New Roman" w:hAnsi="Times New Roman" w:eastAsia="Times New Roman" w:cs="Times New Roman"/>
                <w:spacing w:val="-28"/>
              </w:rPr>
              <w:t xml:space="preserve"> </w:t>
            </w:r>
            <w:r>
              <w:rPr>
                <w:spacing w:val="-4"/>
              </w:rPr>
              <w:t>，</w:t>
            </w:r>
            <w:r>
              <w:rPr>
                <w:rFonts w:ascii="Times New Roman" w:hAnsi="Times New Roman" w:eastAsia="Times New Roman" w:cs="Times New Roman"/>
                <w:spacing w:val="-4"/>
              </w:rPr>
              <w:t>1</w:t>
            </w:r>
            <w:r>
              <w:rPr>
                <w:rFonts w:ascii="Times New Roman" w:hAnsi="Times New Roman" w:eastAsia="Times New Roman" w:cs="Times New Roman"/>
                <w:spacing w:val="31"/>
              </w:rPr>
              <w:t xml:space="preserve"> </w:t>
            </w:r>
            <w:r>
              <w:rPr>
                <w:spacing w:val="-4"/>
              </w:rPr>
              <w:t>台</w:t>
            </w:r>
            <w:r>
              <w:rPr>
                <w:spacing w:val="-28"/>
              </w:rPr>
              <w:t xml:space="preserve"> </w:t>
            </w:r>
            <w:r>
              <w:rPr>
                <w:rFonts w:ascii="Times New Roman" w:hAnsi="Times New Roman" w:eastAsia="Times New Roman" w:cs="Times New Roman"/>
                <w:spacing w:val="-4"/>
              </w:rPr>
              <w:t xml:space="preserve">125MVA </w:t>
            </w:r>
            <w:r>
              <w:rPr>
                <w:spacing w:val="-4"/>
              </w:rPr>
              <w:t>主变压器，主变压器绝缘油质量约为</w:t>
            </w:r>
            <w:r>
              <w:rPr>
                <w:spacing w:val="-47"/>
              </w:rPr>
              <w:t xml:space="preserve"> </w:t>
            </w:r>
            <w:r>
              <w:rPr>
                <w:rFonts w:ascii="Times New Roman" w:hAnsi="Times New Roman" w:eastAsia="Times New Roman" w:cs="Times New Roman"/>
                <w:spacing w:val="-4"/>
              </w:rPr>
              <w:t>35.8t</w:t>
            </w:r>
            <w:r>
              <w:rPr>
                <w:rFonts w:ascii="Times New Roman" w:hAnsi="Times New Roman" w:eastAsia="Times New Roman" w:cs="Times New Roman"/>
                <w:spacing w:val="-29"/>
              </w:rPr>
              <w:t xml:space="preserve"> </w:t>
            </w:r>
            <w:r>
              <w:rPr>
                <w:spacing w:val="-4"/>
              </w:rPr>
              <w:t>，</w:t>
            </w:r>
            <w:r>
              <w:rPr>
                <w:rFonts w:ascii="Times New Roman" w:hAnsi="Times New Roman" w:eastAsia="Times New Roman" w:cs="Times New Roman"/>
                <w:spacing w:val="-4"/>
              </w:rPr>
              <w:t>1</w:t>
            </w:r>
            <w:r>
              <w:rPr>
                <w:rFonts w:ascii="Times New Roman" w:hAnsi="Times New Roman" w:eastAsia="Times New Roman" w:cs="Times New Roman"/>
                <w:spacing w:val="31"/>
              </w:rPr>
              <w:t xml:space="preserve"> </w:t>
            </w:r>
            <w:r>
              <w:rPr>
                <w:spacing w:val="-4"/>
              </w:rPr>
              <w:t>台</w:t>
            </w:r>
            <w:r>
              <w:rPr>
                <w:spacing w:val="-53"/>
              </w:rPr>
              <w:t xml:space="preserve"> </w:t>
            </w:r>
            <w:r>
              <w:rPr>
                <w:rFonts w:ascii="Times New Roman" w:hAnsi="Times New Roman" w:eastAsia="Times New Roman" w:cs="Times New Roman"/>
                <w:spacing w:val="-4"/>
              </w:rPr>
              <w:t>240MVA</w:t>
            </w:r>
            <w:r>
              <w:rPr>
                <w:spacing w:val="-7"/>
              </w:rPr>
              <w:t>主变压器，主变压器绝缘油质量约为</w:t>
            </w:r>
            <w:r>
              <w:rPr>
                <w:spacing w:val="-49"/>
              </w:rPr>
              <w:t xml:space="preserve"> </w:t>
            </w:r>
            <w:r>
              <w:rPr>
                <w:rFonts w:ascii="Times New Roman" w:hAnsi="Times New Roman" w:eastAsia="Times New Roman" w:cs="Times New Roman"/>
                <w:spacing w:val="-7"/>
              </w:rPr>
              <w:t>52t</w:t>
            </w:r>
            <w:r>
              <w:rPr>
                <w:spacing w:val="-7"/>
              </w:rPr>
              <w:t>，按照油比重</w:t>
            </w:r>
            <w:r>
              <w:rPr>
                <w:spacing w:val="-51"/>
              </w:rPr>
              <w:t xml:space="preserve"> </w:t>
            </w:r>
            <w:r>
              <w:rPr>
                <w:rFonts w:ascii="Times New Roman" w:hAnsi="Times New Roman" w:eastAsia="Times New Roman" w:cs="Times New Roman"/>
                <w:spacing w:val="-7"/>
              </w:rPr>
              <w:t>0.895t/m</w:t>
            </w:r>
            <w:r>
              <w:rPr>
                <w:rFonts w:ascii="Times New Roman" w:hAnsi="Times New Roman" w:eastAsia="Times New Roman" w:cs="Times New Roman"/>
                <w:spacing w:val="-7"/>
                <w:position w:val="8"/>
                <w:sz w:val="15"/>
                <w:szCs w:val="15"/>
              </w:rPr>
              <w:t>3</w:t>
            </w:r>
            <w:r>
              <w:rPr>
                <w:spacing w:val="-7"/>
              </w:rPr>
              <w:t>，折算体积约为</w:t>
            </w:r>
            <w:r>
              <w:rPr>
                <w:spacing w:val="-49"/>
              </w:rPr>
              <w:t xml:space="preserve"> </w:t>
            </w:r>
            <w:r>
              <w:rPr>
                <w:rFonts w:ascii="Times New Roman" w:hAnsi="Times New Roman" w:eastAsia="Times New Roman" w:cs="Times New Roman"/>
                <w:spacing w:val="-7"/>
              </w:rPr>
              <w:t>58</w:t>
            </w:r>
            <w:r>
              <w:rPr>
                <w:rFonts w:ascii="Times New Roman" w:hAnsi="Times New Roman" w:eastAsia="Times New Roman" w:cs="Times New Roman"/>
                <w:spacing w:val="-8"/>
              </w:rPr>
              <w:t>m</w:t>
            </w:r>
            <w:r>
              <w:rPr>
                <w:rFonts w:ascii="Times New Roman" w:hAnsi="Times New Roman" w:eastAsia="Times New Roman" w:cs="Times New Roman"/>
                <w:spacing w:val="-8"/>
                <w:position w:val="8"/>
                <w:sz w:val="15"/>
                <w:szCs w:val="15"/>
              </w:rPr>
              <w:t>3</w:t>
            </w:r>
            <w:r>
              <w:rPr>
                <w:spacing w:val="-8"/>
              </w:rPr>
              <w:t>，</w:t>
            </w:r>
            <w:r>
              <w:rPr>
                <w:spacing w:val="-1"/>
              </w:rPr>
              <w:t>本项目在户外式变压器北侧设置一个</w:t>
            </w:r>
            <w:r>
              <w:rPr>
                <w:spacing w:val="-44"/>
              </w:rPr>
              <w:t xml:space="preserve"> </w:t>
            </w:r>
            <w:r>
              <w:rPr>
                <w:rFonts w:ascii="Times New Roman" w:hAnsi="Times New Roman" w:eastAsia="Times New Roman" w:cs="Times New Roman"/>
                <w:spacing w:val="-1"/>
              </w:rPr>
              <w:t>60m</w:t>
            </w:r>
            <w:r>
              <w:rPr>
                <w:rFonts w:ascii="Times New Roman" w:hAnsi="Times New Roman" w:eastAsia="Times New Roman" w:cs="Times New Roman"/>
                <w:spacing w:val="-1"/>
                <w:position w:val="7"/>
                <w:sz w:val="15"/>
                <w:szCs w:val="15"/>
              </w:rPr>
              <w:t>3</w:t>
            </w:r>
            <w:r>
              <w:rPr>
                <w:rFonts w:ascii="Times New Roman" w:hAnsi="Times New Roman" w:eastAsia="Times New Roman" w:cs="Times New Roman"/>
                <w:spacing w:val="29"/>
                <w:position w:val="7"/>
                <w:sz w:val="15"/>
                <w:szCs w:val="15"/>
              </w:rPr>
              <w:t xml:space="preserve"> </w:t>
            </w:r>
            <w:r>
              <w:rPr>
                <w:spacing w:val="-1"/>
              </w:rPr>
              <w:t>的事故油池；主变事故油池顶板井盖高出</w:t>
            </w:r>
            <w:r>
              <w:rPr>
                <w:spacing w:val="-7"/>
              </w:rPr>
              <w:t>地面</w:t>
            </w:r>
            <w:r>
              <w:rPr>
                <w:spacing w:val="-35"/>
              </w:rPr>
              <w:t xml:space="preserve"> </w:t>
            </w:r>
            <w:r>
              <w:rPr>
                <w:rFonts w:ascii="Times New Roman" w:hAnsi="Times New Roman" w:eastAsia="Times New Roman" w:cs="Times New Roman"/>
                <w:spacing w:val="-7"/>
              </w:rPr>
              <w:t>150mm</w:t>
            </w:r>
            <w:r>
              <w:rPr>
                <w:spacing w:val="-7"/>
              </w:rPr>
              <w:t>。采用</w:t>
            </w:r>
            <w:r>
              <w:rPr>
                <w:rFonts w:ascii="Times New Roman" w:hAnsi="Times New Roman" w:eastAsia="Times New Roman" w:cs="Times New Roman"/>
                <w:spacing w:val="-7"/>
              </w:rPr>
              <w:t xml:space="preserve">C30P8 </w:t>
            </w:r>
            <w:r>
              <w:rPr>
                <w:spacing w:val="-7"/>
              </w:rPr>
              <w:t>抗渗钢筋混凝</w:t>
            </w:r>
            <w:r>
              <w:rPr>
                <w:spacing w:val="-8"/>
              </w:rPr>
              <w:t>土整版基础基础底板、墙板</w:t>
            </w:r>
            <w:r>
              <w:rPr>
                <w:spacing w:val="-57"/>
              </w:rPr>
              <w:t xml:space="preserve"> </w:t>
            </w:r>
            <w:r>
              <w:rPr>
                <w:rFonts w:ascii="Times New Roman" w:hAnsi="Times New Roman" w:eastAsia="Times New Roman" w:cs="Times New Roman"/>
                <w:spacing w:val="-8"/>
              </w:rPr>
              <w:t xml:space="preserve">250mm </w:t>
            </w:r>
            <w:r>
              <w:rPr>
                <w:spacing w:val="-8"/>
              </w:rPr>
              <w:t>厚，</w:t>
            </w:r>
            <w:r>
              <w:rPr>
                <w:rFonts w:ascii="Times New Roman" w:hAnsi="Times New Roman" w:eastAsia="Times New Roman" w:cs="Times New Roman"/>
                <w:spacing w:val="-8"/>
              </w:rPr>
              <w:t>100mm</w:t>
            </w:r>
            <w:r>
              <w:rPr>
                <w:spacing w:val="-1"/>
              </w:rPr>
              <w:t>厚的</w:t>
            </w:r>
            <w:r>
              <w:rPr>
                <w:spacing w:val="-49"/>
              </w:rPr>
              <w:t xml:space="preserve"> </w:t>
            </w:r>
            <w:r>
              <w:rPr>
                <w:rFonts w:ascii="Times New Roman" w:hAnsi="Times New Roman" w:eastAsia="Times New Roman" w:cs="Times New Roman"/>
                <w:spacing w:val="-1"/>
              </w:rPr>
              <w:t xml:space="preserve">C20 </w:t>
            </w:r>
            <w:r>
              <w:rPr>
                <w:spacing w:val="-1"/>
              </w:rPr>
              <w:t>混凝土垫层，防渗层为</w:t>
            </w:r>
            <w:r>
              <w:rPr>
                <w:spacing w:val="-55"/>
              </w:rPr>
              <w:t xml:space="preserve"> </w:t>
            </w:r>
            <w:r>
              <w:rPr>
                <w:rFonts w:ascii="Times New Roman" w:hAnsi="Times New Roman" w:eastAsia="Times New Roman" w:cs="Times New Roman"/>
                <w:spacing w:val="-1"/>
              </w:rPr>
              <w:t>2mm</w:t>
            </w:r>
            <w:r>
              <w:rPr>
                <w:rFonts w:ascii="Times New Roman" w:hAnsi="Times New Roman" w:eastAsia="Times New Roman" w:cs="Times New Roman"/>
                <w:spacing w:val="16"/>
                <w:w w:val="101"/>
              </w:rPr>
              <w:t xml:space="preserve"> </w:t>
            </w:r>
            <w:r>
              <w:rPr>
                <w:spacing w:val="-1"/>
              </w:rPr>
              <w:t>厚高密度聚乙烯膜，渗</w:t>
            </w:r>
            <w:r>
              <w:rPr>
                <w:spacing w:val="-2"/>
              </w:rPr>
              <w:t>透系数≤</w:t>
            </w:r>
            <w:r>
              <w:rPr>
                <w:rFonts w:ascii="Times New Roman" w:hAnsi="Times New Roman" w:eastAsia="Times New Roman" w:cs="Times New Roman"/>
                <w:spacing w:val="-2"/>
              </w:rPr>
              <w:t>10</w:t>
            </w:r>
            <w:r>
              <w:rPr>
                <w:rFonts w:ascii="Times New Roman" w:hAnsi="Times New Roman" w:eastAsia="Times New Roman" w:cs="Times New Roman"/>
                <w:spacing w:val="-2"/>
                <w:position w:val="8"/>
                <w:sz w:val="15"/>
                <w:szCs w:val="15"/>
              </w:rPr>
              <w:t>-</w:t>
            </w:r>
            <w:r>
              <w:rPr>
                <w:rFonts w:ascii="Times New Roman" w:hAnsi="Times New Roman" w:eastAsia="Times New Roman" w:cs="Times New Roman"/>
                <w:spacing w:val="-21"/>
                <w:position w:val="8"/>
                <w:sz w:val="15"/>
                <w:szCs w:val="15"/>
              </w:rPr>
              <w:t xml:space="preserve"> </w:t>
            </w:r>
            <w:r>
              <w:rPr>
                <w:rFonts w:ascii="Times New Roman" w:hAnsi="Times New Roman" w:eastAsia="Times New Roman" w:cs="Times New Roman"/>
                <w:spacing w:val="-2"/>
                <w:position w:val="8"/>
                <w:sz w:val="15"/>
                <w:szCs w:val="15"/>
              </w:rPr>
              <w:t>10</w:t>
            </w:r>
            <w:r>
              <w:rPr>
                <w:rFonts w:ascii="Times New Roman" w:hAnsi="Times New Roman" w:eastAsia="Times New Roman" w:cs="Times New Roman"/>
                <w:spacing w:val="-2"/>
              </w:rPr>
              <w:t>cm/s</w:t>
            </w:r>
            <w:r>
              <w:rPr>
                <w:rFonts w:ascii="Times New Roman" w:hAnsi="Times New Roman" w:eastAsia="Times New Roman" w:cs="Times New Roman"/>
                <w:spacing w:val="-28"/>
              </w:rPr>
              <w:t xml:space="preserve"> </w:t>
            </w:r>
            <w:r>
              <w:rPr>
                <w:spacing w:val="-2"/>
              </w:rPr>
              <w:t>，油</w:t>
            </w:r>
            <w:r>
              <w:rPr>
                <w:spacing w:val="-1"/>
              </w:rPr>
              <w:t>池内外壁和底板抹防水砂浆厚</w:t>
            </w:r>
            <w:r>
              <w:rPr>
                <w:spacing w:val="-53"/>
              </w:rPr>
              <w:t xml:space="preserve"> </w:t>
            </w:r>
            <w:r>
              <w:rPr>
                <w:rFonts w:ascii="Times New Roman" w:hAnsi="Times New Roman" w:eastAsia="Times New Roman" w:cs="Times New Roman"/>
                <w:spacing w:val="-1"/>
              </w:rPr>
              <w:t>20mm</w:t>
            </w:r>
            <w:r>
              <w:rPr>
                <w:spacing w:val="-1"/>
              </w:rPr>
              <w:t>。</w:t>
            </w:r>
          </w:p>
          <w:p w14:paraId="6B74AB38">
            <w:pPr>
              <w:pStyle w:val="9"/>
              <w:spacing w:before="5" w:line="361" w:lineRule="auto"/>
              <w:ind w:left="105" w:right="102" w:firstLine="483"/>
              <w:jc w:val="both"/>
            </w:pPr>
            <w:r>
              <w:rPr>
                <w:spacing w:val="-3"/>
              </w:rPr>
              <w:t>升压站的变压器一般只有主变压器发生事故时才会排油。当</w:t>
            </w:r>
            <w:r>
              <w:rPr>
                <w:spacing w:val="-4"/>
              </w:rPr>
              <w:t>升压站变压器发生事</w:t>
            </w:r>
            <w:r>
              <w:rPr>
                <w:spacing w:val="-3"/>
              </w:rPr>
              <w:t>故时，变压器油将通过主变下方的事故油坑和排油管道进入事故油池。本工程升压站</w:t>
            </w:r>
            <w:r>
              <w:rPr>
                <w:spacing w:val="-1"/>
              </w:rPr>
              <w:t>设有</w:t>
            </w:r>
            <w:r>
              <w:rPr>
                <w:spacing w:val="-16"/>
              </w:rPr>
              <w:t xml:space="preserve"> </w:t>
            </w:r>
            <w:r>
              <w:rPr>
                <w:rFonts w:ascii="Times New Roman" w:hAnsi="Times New Roman" w:eastAsia="Times New Roman" w:cs="Times New Roman"/>
                <w:spacing w:val="-1"/>
              </w:rPr>
              <w:t xml:space="preserve">1 </w:t>
            </w:r>
            <w:r>
              <w:rPr>
                <w:spacing w:val="-1"/>
              </w:rPr>
              <w:t>座事故油池，采取了防渗措施，容积约为</w:t>
            </w:r>
            <w:r>
              <w:rPr>
                <w:spacing w:val="-47"/>
              </w:rPr>
              <w:t xml:space="preserve"> </w:t>
            </w:r>
            <w:r>
              <w:rPr>
                <w:rFonts w:ascii="Times New Roman" w:hAnsi="Times New Roman" w:eastAsia="Times New Roman" w:cs="Times New Roman"/>
                <w:spacing w:val="-1"/>
              </w:rPr>
              <w:t>60m</w:t>
            </w:r>
            <w:r>
              <w:rPr>
                <w:rFonts w:ascii="Times New Roman" w:hAnsi="Times New Roman" w:eastAsia="Times New Roman" w:cs="Times New Roman"/>
                <w:spacing w:val="-1"/>
                <w:position w:val="7"/>
                <w:sz w:val="15"/>
                <w:szCs w:val="15"/>
              </w:rPr>
              <w:t>3</w:t>
            </w:r>
            <w:r>
              <w:rPr>
                <w:rFonts w:ascii="Times New Roman" w:hAnsi="Times New Roman" w:eastAsia="Times New Roman" w:cs="Times New Roman"/>
                <w:spacing w:val="-7"/>
                <w:position w:val="7"/>
                <w:sz w:val="15"/>
                <w:szCs w:val="15"/>
              </w:rPr>
              <w:t xml:space="preserve"> </w:t>
            </w:r>
            <w:r>
              <w:rPr>
                <w:spacing w:val="-1"/>
              </w:rPr>
              <w:t>，根据同类型主变压器相关资</w:t>
            </w:r>
            <w:r>
              <w:rPr>
                <w:spacing w:val="-2"/>
              </w:rPr>
              <w:t>料调查可知，事故油池有效容积可以</w:t>
            </w:r>
            <w:r>
              <w:rPr>
                <w:spacing w:val="-32"/>
              </w:rPr>
              <w:t xml:space="preserve"> </w:t>
            </w:r>
            <w:r>
              <w:rPr>
                <w:rFonts w:ascii="Times New Roman" w:hAnsi="Times New Roman" w:eastAsia="Times New Roman" w:cs="Times New Roman"/>
                <w:spacing w:val="-2"/>
              </w:rPr>
              <w:t>100%</w:t>
            </w:r>
            <w:r>
              <w:rPr>
                <w:spacing w:val="-3"/>
              </w:rPr>
              <w:t>满足</w:t>
            </w:r>
            <w:r>
              <w:rPr>
                <w:spacing w:val="-32"/>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28"/>
                <w:w w:val="101"/>
              </w:rPr>
              <w:t xml:space="preserve"> </w:t>
            </w:r>
            <w:r>
              <w:rPr>
                <w:spacing w:val="-3"/>
              </w:rPr>
              <w:t>台主变油量的容积要求。变压器下铺设一卵石层，四周设有排油槽并与集油池相连。变压器排油时，所有的油水混合物将渗过卵石层并通过排油槽到达集油池，在此过程卵石层起到冷却油的作用，不易发</w:t>
            </w:r>
            <w:r>
              <w:rPr>
                <w:spacing w:val="-1"/>
              </w:rPr>
              <w:t>生火灾。由有资质的单位对油全部回收处理利用，不外排。</w:t>
            </w:r>
          </w:p>
          <w:p w14:paraId="2D17BC9E">
            <w:pPr>
              <w:pStyle w:val="9"/>
              <w:spacing w:line="218" w:lineRule="auto"/>
              <w:ind w:left="590"/>
            </w:pPr>
            <w:r>
              <w:rPr>
                <w:spacing w:val="-1"/>
              </w:rPr>
              <w:t>综上所述，本工程运行后潜在的环境风险是可控的。</w:t>
            </w:r>
          </w:p>
        </w:tc>
      </w:tr>
    </w:tbl>
    <w:p w14:paraId="73989817">
      <w:pPr>
        <w:pStyle w:val="3"/>
      </w:pPr>
    </w:p>
    <w:p w14:paraId="0DC128AB">
      <w:pPr>
        <w:sectPr>
          <w:footerReference r:id="rId69" w:type="default"/>
          <w:pgSz w:w="11906" w:h="16838"/>
          <w:pgMar w:top="1416" w:right="1151" w:bottom="1295" w:left="1150" w:header="0" w:footer="1133" w:gutter="0"/>
          <w:cols w:space="720" w:num="1"/>
        </w:sectPr>
      </w:pPr>
    </w:p>
    <w:tbl>
      <w:tblPr>
        <w:tblStyle w:val="8"/>
        <w:tblW w:w="9589"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99"/>
        <w:gridCol w:w="113"/>
        <w:gridCol w:w="514"/>
        <w:gridCol w:w="1261"/>
        <w:gridCol w:w="2097"/>
        <w:gridCol w:w="3348"/>
        <w:gridCol w:w="1535"/>
        <w:gridCol w:w="122"/>
      </w:tblGrid>
      <w:tr w14:paraId="3CC93A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83" w:hRule="atLeast"/>
        </w:trPr>
        <w:tc>
          <w:tcPr>
            <w:tcW w:w="599" w:type="dxa"/>
            <w:vMerge w:val="restart"/>
            <w:tcBorders>
              <w:top w:val="single" w:color="000000" w:sz="6" w:space="0"/>
              <w:left w:val="single" w:color="000000" w:sz="6" w:space="0"/>
              <w:bottom w:val="nil"/>
            </w:tcBorders>
            <w:textDirection w:val="tbRlV"/>
            <w:vAlign w:val="top"/>
          </w:tcPr>
          <w:p w14:paraId="7F6ADBA4">
            <w:pPr>
              <w:pStyle w:val="9"/>
              <w:spacing w:before="196" w:line="217" w:lineRule="auto"/>
              <w:ind w:left="5371"/>
              <w:outlineLvl w:val="3"/>
              <w:rPr>
                <w:sz w:val="20"/>
                <w:szCs w:val="20"/>
              </w:rPr>
            </w:pPr>
            <w:r>
              <w:rPr>
                <w:spacing w:val="8"/>
                <w:sz w:val="20"/>
                <w:szCs w:val="20"/>
              </w:rPr>
              <w:t>选</w:t>
            </w:r>
            <w:r>
              <w:rPr>
                <w:spacing w:val="-30"/>
                <w:sz w:val="20"/>
                <w:szCs w:val="20"/>
              </w:rPr>
              <w:t xml:space="preserve"> </w:t>
            </w:r>
            <w:r>
              <w:rPr>
                <w:spacing w:val="8"/>
                <w:sz w:val="20"/>
                <w:szCs w:val="20"/>
              </w:rPr>
              <w:t>址</w:t>
            </w:r>
            <w:r>
              <w:rPr>
                <w:spacing w:val="-38"/>
                <w:sz w:val="20"/>
                <w:szCs w:val="20"/>
              </w:rPr>
              <w:t xml:space="preserve"> </w:t>
            </w:r>
            <w:r>
              <w:rPr>
                <w:spacing w:val="8"/>
                <w:sz w:val="20"/>
                <w:szCs w:val="20"/>
              </w:rPr>
              <w:t>选</w:t>
            </w:r>
            <w:r>
              <w:rPr>
                <w:spacing w:val="-35"/>
                <w:sz w:val="20"/>
                <w:szCs w:val="20"/>
              </w:rPr>
              <w:t xml:space="preserve"> </w:t>
            </w:r>
            <w:r>
              <w:rPr>
                <w:spacing w:val="8"/>
                <w:sz w:val="20"/>
                <w:szCs w:val="20"/>
              </w:rPr>
              <w:t>线</w:t>
            </w:r>
            <w:r>
              <w:rPr>
                <w:spacing w:val="-38"/>
                <w:sz w:val="20"/>
                <w:szCs w:val="20"/>
              </w:rPr>
              <w:t xml:space="preserve"> </w:t>
            </w:r>
            <w:r>
              <w:rPr>
                <w:spacing w:val="8"/>
                <w:sz w:val="20"/>
                <w:szCs w:val="20"/>
              </w:rPr>
              <w:t>环</w:t>
            </w:r>
            <w:r>
              <w:rPr>
                <w:spacing w:val="-35"/>
                <w:sz w:val="20"/>
                <w:szCs w:val="20"/>
              </w:rPr>
              <w:t xml:space="preserve"> </w:t>
            </w:r>
            <w:r>
              <w:rPr>
                <w:spacing w:val="8"/>
                <w:sz w:val="20"/>
                <w:szCs w:val="20"/>
              </w:rPr>
              <w:t>境</w:t>
            </w:r>
            <w:r>
              <w:rPr>
                <w:spacing w:val="-35"/>
                <w:sz w:val="20"/>
                <w:szCs w:val="20"/>
              </w:rPr>
              <w:t xml:space="preserve"> </w:t>
            </w:r>
            <w:r>
              <w:rPr>
                <w:spacing w:val="8"/>
                <w:sz w:val="20"/>
                <w:szCs w:val="20"/>
              </w:rPr>
              <w:t>合</w:t>
            </w:r>
            <w:r>
              <w:rPr>
                <w:spacing w:val="-38"/>
                <w:sz w:val="20"/>
                <w:szCs w:val="20"/>
              </w:rPr>
              <w:t xml:space="preserve"> </w:t>
            </w:r>
            <w:r>
              <w:rPr>
                <w:spacing w:val="8"/>
                <w:sz w:val="20"/>
                <w:szCs w:val="20"/>
              </w:rPr>
              <w:t>理</w:t>
            </w:r>
            <w:r>
              <w:rPr>
                <w:spacing w:val="-37"/>
                <w:sz w:val="20"/>
                <w:szCs w:val="20"/>
              </w:rPr>
              <w:t xml:space="preserve"> </w:t>
            </w:r>
            <w:r>
              <w:rPr>
                <w:spacing w:val="8"/>
                <w:sz w:val="20"/>
                <w:szCs w:val="20"/>
              </w:rPr>
              <w:t>性</w:t>
            </w:r>
            <w:r>
              <w:rPr>
                <w:spacing w:val="-36"/>
                <w:sz w:val="20"/>
                <w:szCs w:val="20"/>
              </w:rPr>
              <w:t xml:space="preserve"> </w:t>
            </w:r>
            <w:r>
              <w:rPr>
                <w:spacing w:val="8"/>
                <w:sz w:val="20"/>
                <w:szCs w:val="20"/>
              </w:rPr>
              <w:t>分</w:t>
            </w:r>
            <w:r>
              <w:rPr>
                <w:spacing w:val="-37"/>
                <w:sz w:val="20"/>
                <w:szCs w:val="20"/>
              </w:rPr>
              <w:t xml:space="preserve"> </w:t>
            </w:r>
            <w:r>
              <w:rPr>
                <w:spacing w:val="8"/>
                <w:sz w:val="20"/>
                <w:szCs w:val="20"/>
              </w:rPr>
              <w:t>析</w:t>
            </w:r>
          </w:p>
        </w:tc>
        <w:tc>
          <w:tcPr>
            <w:tcW w:w="8990" w:type="dxa"/>
            <w:gridSpan w:val="7"/>
            <w:tcBorders>
              <w:top w:val="single" w:color="000000" w:sz="6" w:space="0"/>
              <w:right w:val="single" w:color="000000" w:sz="6" w:space="0"/>
            </w:tcBorders>
            <w:vAlign w:val="top"/>
          </w:tcPr>
          <w:p w14:paraId="24CF43B0">
            <w:pPr>
              <w:pStyle w:val="9"/>
              <w:spacing w:before="167" w:line="220" w:lineRule="auto"/>
              <w:ind w:left="111"/>
              <w:outlineLvl w:val="1"/>
            </w:pPr>
            <w:r>
              <w:rPr>
                <w:b/>
                <w:bCs/>
                <w:spacing w:val="-4"/>
              </w:rPr>
              <w:t>一、选址合理性分析</w:t>
            </w:r>
          </w:p>
          <w:p w14:paraId="17297043">
            <w:pPr>
              <w:pStyle w:val="9"/>
              <w:spacing w:before="174" w:line="219" w:lineRule="auto"/>
              <w:ind w:left="599"/>
            </w:pPr>
            <w:r>
              <w:rPr>
                <w:spacing w:val="-2"/>
              </w:rPr>
              <w:t>（</w:t>
            </w:r>
            <w:r>
              <w:rPr>
                <w:rFonts w:ascii="Times New Roman" w:hAnsi="Times New Roman" w:eastAsia="Times New Roman" w:cs="Times New Roman"/>
                <w:spacing w:val="-2"/>
              </w:rPr>
              <w:t>1</w:t>
            </w:r>
            <w:r>
              <w:rPr>
                <w:spacing w:val="-2"/>
              </w:rPr>
              <w:t>）各相关部门对本项目的复函</w:t>
            </w:r>
          </w:p>
          <w:p w14:paraId="66D61DD7">
            <w:pPr>
              <w:pStyle w:val="9"/>
              <w:spacing w:before="173" w:line="354" w:lineRule="auto"/>
              <w:ind w:left="108" w:right="95" w:firstLine="479"/>
              <w:jc w:val="both"/>
            </w:pPr>
            <w:r>
              <w:rPr>
                <w:spacing w:val="-2"/>
              </w:rPr>
              <w:t>夏营地</w:t>
            </w:r>
            <w:r>
              <w:rPr>
                <w:spacing w:val="-55"/>
              </w:rPr>
              <w:t xml:space="preserve"> </w:t>
            </w:r>
            <w:r>
              <w:rPr>
                <w:rFonts w:ascii="Times New Roman" w:hAnsi="Times New Roman" w:eastAsia="Times New Roman" w:cs="Times New Roman"/>
                <w:spacing w:val="-2"/>
              </w:rPr>
              <w:t xml:space="preserve">220kV </w:t>
            </w:r>
            <w:r>
              <w:rPr>
                <w:spacing w:val="-2"/>
              </w:rPr>
              <w:t>升压站最初作为《内蒙古霍林河循环经济示范工程</w:t>
            </w:r>
            <w:r>
              <w:rPr>
                <w:spacing w:val="-45"/>
              </w:rPr>
              <w:t xml:space="preserve"> </w:t>
            </w:r>
            <w:r>
              <w:rPr>
                <w:rFonts w:ascii="Times New Roman" w:hAnsi="Times New Roman" w:eastAsia="Times New Roman" w:cs="Times New Roman"/>
                <w:spacing w:val="-2"/>
              </w:rPr>
              <w:t>80</w:t>
            </w:r>
            <w:r>
              <w:rPr>
                <w:rFonts w:ascii="Times New Roman" w:hAnsi="Times New Roman" w:eastAsia="Times New Roman" w:cs="Times New Roman"/>
                <w:spacing w:val="15"/>
              </w:rPr>
              <w:t xml:space="preserve"> </w:t>
            </w:r>
            <w:r>
              <w:rPr>
                <w:spacing w:val="-2"/>
              </w:rPr>
              <w:t>万</w:t>
            </w:r>
            <w:r>
              <w:rPr>
                <w:spacing w:val="-3"/>
              </w:rPr>
              <w:t>千瓦就地</w:t>
            </w:r>
            <w:r>
              <w:t>消纳风电示范项目》（一期</w:t>
            </w:r>
            <w:r>
              <w:rPr>
                <w:rFonts w:ascii="Times New Roman" w:hAnsi="Times New Roman" w:eastAsia="Times New Roman" w:cs="Times New Roman"/>
              </w:rPr>
              <w:t>~</w:t>
            </w:r>
            <w:r>
              <w:rPr>
                <w:rFonts w:ascii="Times New Roman" w:hAnsi="Times New Roman" w:eastAsia="Times New Roman" w:cs="Times New Roman"/>
                <w:spacing w:val="-24"/>
              </w:rPr>
              <w:t xml:space="preserve"> </w:t>
            </w:r>
            <w:r>
              <w:t>四期）配套工程进行建设，一期</w:t>
            </w:r>
            <w:r>
              <w:rPr>
                <w:spacing w:val="-1"/>
              </w:rPr>
              <w:t>工程建成</w:t>
            </w:r>
            <w:r>
              <w:rPr>
                <w:spacing w:val="-50"/>
              </w:rPr>
              <w:t xml:space="preserve"> </w:t>
            </w:r>
            <w:r>
              <w:rPr>
                <w:rFonts w:ascii="Times New Roman" w:hAnsi="Times New Roman" w:eastAsia="Times New Roman" w:cs="Times New Roman"/>
                <w:spacing w:val="-1"/>
              </w:rPr>
              <w:t>2</w:t>
            </w:r>
            <w:r>
              <w:rPr>
                <w:rFonts w:ascii="Times New Roman" w:hAnsi="Times New Roman" w:eastAsia="Times New Roman" w:cs="Times New Roman"/>
                <w:spacing w:val="30"/>
                <w:w w:val="101"/>
              </w:rPr>
              <w:t xml:space="preserve"> </w:t>
            </w:r>
            <w:r>
              <w:rPr>
                <w:spacing w:val="-1"/>
              </w:rPr>
              <w:t>台</w:t>
            </w:r>
            <w:r>
              <w:rPr>
                <w:rFonts w:ascii="Times New Roman" w:hAnsi="Times New Roman" w:eastAsia="Times New Roman" w:cs="Times New Roman"/>
                <w:color w:val="0000FF"/>
                <w:spacing w:val="-1"/>
              </w:rPr>
              <w:t>150</w:t>
            </w:r>
            <w:r>
              <w:rPr>
                <w:rFonts w:ascii="Times New Roman" w:hAnsi="Times New Roman" w:eastAsia="Times New Roman" w:cs="Times New Roman"/>
                <w:color w:val="0000FF"/>
                <w:spacing w:val="-5"/>
              </w:rPr>
              <w:t>MVA</w:t>
            </w:r>
            <w:r>
              <w:rPr>
                <w:spacing w:val="-5"/>
              </w:rPr>
              <w:t>主变压器及其附属设施，二期、三期依托一期升压站。四期扩建</w:t>
            </w:r>
            <w:r>
              <w:rPr>
                <w:spacing w:val="-15"/>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28"/>
              </w:rPr>
              <w:t xml:space="preserve"> </w:t>
            </w:r>
            <w:r>
              <w:rPr>
                <w:spacing w:val="-5"/>
              </w:rPr>
              <w:t>台</w:t>
            </w:r>
            <w:r>
              <w:rPr>
                <w:spacing w:val="-32"/>
              </w:rPr>
              <w:t xml:space="preserve"> </w:t>
            </w:r>
            <w:r>
              <w:rPr>
                <w:rFonts w:ascii="Times New Roman" w:hAnsi="Times New Roman" w:eastAsia="Times New Roman" w:cs="Times New Roman"/>
                <w:color w:val="0000FF"/>
                <w:spacing w:val="-5"/>
              </w:rPr>
              <w:t>125MVA</w:t>
            </w:r>
            <w:r>
              <w:rPr>
                <w:color w:val="0000FF"/>
                <w:spacing w:val="-5"/>
              </w:rPr>
              <w:t>的</w:t>
            </w:r>
            <w:r>
              <w:rPr>
                <w:spacing w:val="-5"/>
              </w:rPr>
              <w:t>主变</w:t>
            </w:r>
            <w:r>
              <w:rPr>
                <w:spacing w:val="-4"/>
              </w:rPr>
              <w:t>压器及其附属设施。后续五期项目对升压站进行扩建</w:t>
            </w:r>
            <w:r>
              <w:rPr>
                <w:spacing w:val="-32"/>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32"/>
              </w:rPr>
              <w:t xml:space="preserve"> </w:t>
            </w:r>
            <w:r>
              <w:rPr>
                <w:rFonts w:ascii="Times New Roman" w:hAnsi="Times New Roman" w:eastAsia="Times New Roman" w:cs="Times New Roman"/>
                <w:spacing w:val="-4"/>
              </w:rPr>
              <w:t>16hm</w:t>
            </w:r>
            <w:r>
              <w:rPr>
                <w:rFonts w:ascii="Times New Roman" w:hAnsi="Times New Roman" w:eastAsia="Times New Roman" w:cs="Times New Roman"/>
                <w:spacing w:val="-4"/>
                <w:position w:val="7"/>
                <w:sz w:val="15"/>
                <w:szCs w:val="15"/>
              </w:rPr>
              <w:t>2</w:t>
            </w:r>
            <w:r>
              <w:rPr>
                <w:rFonts w:ascii="Times New Roman" w:hAnsi="Times New Roman" w:eastAsia="Times New Roman" w:cs="Times New Roman"/>
                <w:spacing w:val="-10"/>
                <w:position w:val="7"/>
                <w:sz w:val="15"/>
                <w:szCs w:val="15"/>
              </w:rPr>
              <w:t xml:space="preserve"> </w:t>
            </w:r>
            <w:r>
              <w:rPr>
                <w:spacing w:val="-4"/>
              </w:rPr>
              <w:t>，</w:t>
            </w:r>
            <w:r>
              <w:rPr>
                <w:spacing w:val="-5"/>
              </w:rPr>
              <w:t>并新增</w:t>
            </w:r>
            <w:r>
              <w:rPr>
                <w:spacing w:val="-31"/>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28"/>
              </w:rPr>
              <w:t xml:space="preserve"> </w:t>
            </w:r>
            <w:r>
              <w:rPr>
                <w:spacing w:val="-5"/>
              </w:rPr>
              <w:t>台</w:t>
            </w:r>
            <w:r>
              <w:rPr>
                <w:spacing w:val="-55"/>
              </w:rPr>
              <w:t xml:space="preserve"> </w:t>
            </w:r>
            <w:r>
              <w:rPr>
                <w:rFonts w:ascii="Times New Roman" w:hAnsi="Times New Roman" w:eastAsia="Times New Roman" w:cs="Times New Roman"/>
                <w:spacing w:val="-5"/>
              </w:rPr>
              <w:t>240MVA</w:t>
            </w:r>
            <w:r>
              <w:rPr>
                <w:spacing w:val="-5"/>
              </w:rPr>
              <w:t>的主变压器及其附属设施，服务于《霍林河循</w:t>
            </w:r>
            <w:r>
              <w:rPr>
                <w:spacing w:val="-6"/>
              </w:rPr>
              <w:t>环经济示范工程续建</w:t>
            </w:r>
            <w:r>
              <w:rPr>
                <w:rFonts w:ascii="Times New Roman" w:hAnsi="Times New Roman" w:eastAsia="Times New Roman" w:cs="Times New Roman"/>
                <w:spacing w:val="-6"/>
              </w:rPr>
              <w:t>(</w:t>
            </w:r>
            <w:r>
              <w:rPr>
                <w:spacing w:val="-6"/>
              </w:rPr>
              <w:t>第五期</w:t>
            </w:r>
            <w:r>
              <w:rPr>
                <w:rFonts w:ascii="Times New Roman" w:hAnsi="Times New Roman" w:eastAsia="Times New Roman" w:cs="Times New Roman"/>
                <w:spacing w:val="-6"/>
              </w:rPr>
              <w:t xml:space="preserve">)200MW  </w:t>
            </w:r>
            <w:r>
              <w:rPr>
                <w:spacing w:val="-6"/>
              </w:rPr>
              <w:t>风</w:t>
            </w:r>
            <w:r>
              <w:rPr>
                <w:spacing w:val="-2"/>
              </w:rPr>
              <w:t>电项目工程》。</w:t>
            </w:r>
          </w:p>
          <w:p w14:paraId="4B08DFD4">
            <w:pPr>
              <w:pStyle w:val="9"/>
              <w:spacing w:before="3" w:line="353" w:lineRule="auto"/>
              <w:ind w:left="118" w:right="102" w:firstLine="487"/>
              <w:jc w:val="both"/>
            </w:pPr>
            <w:r>
              <w:rPr>
                <w:spacing w:val="-1"/>
              </w:rPr>
              <w:t>因此本项目用地分别在《内蒙古霍林河循环经济示范工程</w:t>
            </w:r>
            <w:r>
              <w:rPr>
                <w:spacing w:val="-46"/>
              </w:rPr>
              <w:t xml:space="preserve"> </w:t>
            </w:r>
            <w:r>
              <w:rPr>
                <w:rFonts w:ascii="Times New Roman" w:hAnsi="Times New Roman" w:eastAsia="Times New Roman" w:cs="Times New Roman"/>
                <w:spacing w:val="-1"/>
              </w:rPr>
              <w:t>80</w:t>
            </w:r>
            <w:r>
              <w:rPr>
                <w:rFonts w:ascii="Times New Roman" w:hAnsi="Times New Roman" w:eastAsia="Times New Roman" w:cs="Times New Roman"/>
                <w:spacing w:val="16"/>
              </w:rPr>
              <w:t xml:space="preserve"> </w:t>
            </w:r>
            <w:r>
              <w:rPr>
                <w:spacing w:val="-1"/>
              </w:rPr>
              <w:t>万千瓦</w:t>
            </w:r>
            <w:r>
              <w:rPr>
                <w:spacing w:val="-2"/>
              </w:rPr>
              <w:t>就地消纳风电示范项目》和《霍林河循环经济示范工程续建（第五期）</w:t>
            </w:r>
            <w:r>
              <w:rPr>
                <w:rFonts w:ascii="Times New Roman" w:hAnsi="Times New Roman" w:eastAsia="Times New Roman" w:cs="Times New Roman"/>
                <w:spacing w:val="-2"/>
              </w:rPr>
              <w:t xml:space="preserve">200MW  </w:t>
            </w:r>
            <w:r>
              <w:rPr>
                <w:spacing w:val="-2"/>
              </w:rPr>
              <w:t>风电项目</w:t>
            </w:r>
            <w:r>
              <w:rPr>
                <w:spacing w:val="-3"/>
              </w:rPr>
              <w:t>》审批时取得用地手续。</w:t>
            </w:r>
          </w:p>
          <w:p w14:paraId="1F9C780E">
            <w:pPr>
              <w:pStyle w:val="9"/>
              <w:spacing w:line="218" w:lineRule="auto"/>
              <w:ind w:left="590"/>
            </w:pPr>
            <w:r>
              <w:rPr>
                <w:spacing w:val="-1"/>
              </w:rPr>
              <w:t>各相关部门关于本项目用地选址的回函见下表。</w:t>
            </w:r>
          </w:p>
          <w:p w14:paraId="13B9BBF6">
            <w:pPr>
              <w:pStyle w:val="9"/>
              <w:spacing w:before="177" w:line="219" w:lineRule="auto"/>
              <w:ind w:left="3101"/>
            </w:pPr>
            <w:r>
              <w:rPr>
                <w:b/>
                <w:bCs/>
                <w:spacing w:val="-2"/>
              </w:rPr>
              <w:t>表</w:t>
            </w:r>
            <w:r>
              <w:rPr>
                <w:spacing w:val="-53"/>
              </w:rPr>
              <w:t xml:space="preserve"> </w:t>
            </w:r>
            <w:r>
              <w:rPr>
                <w:rFonts w:ascii="Times New Roman" w:hAnsi="Times New Roman" w:eastAsia="Times New Roman" w:cs="Times New Roman"/>
                <w:b/>
                <w:bCs/>
                <w:spacing w:val="-2"/>
              </w:rPr>
              <w:t xml:space="preserve">4-6    </w:t>
            </w:r>
            <w:r>
              <w:rPr>
                <w:b/>
                <w:bCs/>
                <w:spacing w:val="-2"/>
              </w:rPr>
              <w:t>各相关部门对复函情况</w:t>
            </w:r>
          </w:p>
        </w:tc>
      </w:tr>
      <w:tr w14:paraId="70087A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599" w:type="dxa"/>
            <w:vMerge w:val="continue"/>
            <w:tcBorders>
              <w:top w:val="nil"/>
              <w:left w:val="single" w:color="000000" w:sz="6" w:space="0"/>
              <w:bottom w:val="nil"/>
            </w:tcBorders>
            <w:textDirection w:val="tbRlV"/>
            <w:vAlign w:val="top"/>
          </w:tcPr>
          <w:p w14:paraId="699B6572">
            <w:pPr>
              <w:rPr>
                <w:rFonts w:ascii="Arial"/>
                <w:sz w:val="21"/>
              </w:rPr>
            </w:pPr>
          </w:p>
        </w:tc>
        <w:tc>
          <w:tcPr>
            <w:tcW w:w="113" w:type="dxa"/>
            <w:tcBorders>
              <w:top w:val="nil"/>
              <w:bottom w:val="nil"/>
            </w:tcBorders>
            <w:vAlign w:val="top"/>
          </w:tcPr>
          <w:p w14:paraId="0A29E72E">
            <w:pPr>
              <w:rPr>
                <w:rFonts w:ascii="Arial"/>
                <w:sz w:val="21"/>
              </w:rPr>
            </w:pPr>
          </w:p>
        </w:tc>
        <w:tc>
          <w:tcPr>
            <w:tcW w:w="514" w:type="dxa"/>
            <w:textDirection w:val="tbRlV"/>
            <w:vAlign w:val="top"/>
          </w:tcPr>
          <w:p w14:paraId="6C817C5A">
            <w:pPr>
              <w:pStyle w:val="9"/>
              <w:spacing w:before="156" w:line="218" w:lineRule="auto"/>
              <w:ind w:left="38"/>
              <w:rPr>
                <w:sz w:val="20"/>
                <w:szCs w:val="20"/>
              </w:rPr>
            </w:pPr>
            <w:r>
              <w:rPr>
                <w:spacing w:val="8"/>
                <w:sz w:val="20"/>
                <w:szCs w:val="20"/>
              </w:rPr>
              <w:t>序</w:t>
            </w:r>
            <w:r>
              <w:rPr>
                <w:spacing w:val="-38"/>
                <w:sz w:val="20"/>
                <w:szCs w:val="20"/>
              </w:rPr>
              <w:t xml:space="preserve"> </w:t>
            </w:r>
            <w:r>
              <w:rPr>
                <w:spacing w:val="8"/>
                <w:sz w:val="20"/>
                <w:szCs w:val="20"/>
              </w:rPr>
              <w:t>号</w:t>
            </w:r>
          </w:p>
        </w:tc>
        <w:tc>
          <w:tcPr>
            <w:tcW w:w="1261" w:type="dxa"/>
            <w:vAlign w:val="top"/>
          </w:tcPr>
          <w:p w14:paraId="51935376">
            <w:pPr>
              <w:pStyle w:val="9"/>
              <w:spacing w:before="172" w:line="228" w:lineRule="auto"/>
              <w:ind w:left="211"/>
              <w:rPr>
                <w:sz w:val="20"/>
                <w:szCs w:val="20"/>
              </w:rPr>
            </w:pPr>
            <w:r>
              <w:rPr>
                <w:spacing w:val="7"/>
                <w:sz w:val="20"/>
                <w:szCs w:val="20"/>
              </w:rPr>
              <w:t>相关部门</w:t>
            </w:r>
          </w:p>
        </w:tc>
        <w:tc>
          <w:tcPr>
            <w:tcW w:w="5445" w:type="dxa"/>
            <w:gridSpan w:val="2"/>
            <w:vAlign w:val="top"/>
          </w:tcPr>
          <w:p w14:paraId="321FD906">
            <w:pPr>
              <w:pStyle w:val="9"/>
              <w:spacing w:before="172" w:line="228" w:lineRule="auto"/>
              <w:ind w:left="2313"/>
              <w:rPr>
                <w:sz w:val="20"/>
                <w:szCs w:val="20"/>
              </w:rPr>
            </w:pPr>
            <w:r>
              <w:rPr>
                <w:spacing w:val="5"/>
                <w:sz w:val="20"/>
                <w:szCs w:val="20"/>
              </w:rPr>
              <w:t>复函意见</w:t>
            </w:r>
          </w:p>
        </w:tc>
        <w:tc>
          <w:tcPr>
            <w:tcW w:w="1535" w:type="dxa"/>
            <w:vAlign w:val="top"/>
          </w:tcPr>
          <w:p w14:paraId="7D2363F9">
            <w:pPr>
              <w:pStyle w:val="9"/>
              <w:spacing w:before="172" w:line="229" w:lineRule="auto"/>
              <w:ind w:left="358"/>
              <w:rPr>
                <w:sz w:val="20"/>
                <w:szCs w:val="20"/>
              </w:rPr>
            </w:pPr>
            <w:r>
              <w:rPr>
                <w:spacing w:val="7"/>
                <w:sz w:val="20"/>
                <w:szCs w:val="20"/>
              </w:rPr>
              <w:t>批准文号</w:t>
            </w:r>
          </w:p>
        </w:tc>
        <w:tc>
          <w:tcPr>
            <w:tcW w:w="122" w:type="dxa"/>
            <w:tcBorders>
              <w:top w:val="nil"/>
              <w:bottom w:val="nil"/>
              <w:right w:val="single" w:color="000000" w:sz="6" w:space="0"/>
            </w:tcBorders>
            <w:vAlign w:val="top"/>
          </w:tcPr>
          <w:p w14:paraId="672F36C1">
            <w:pPr>
              <w:rPr>
                <w:rFonts w:ascii="Arial"/>
                <w:sz w:val="21"/>
              </w:rPr>
            </w:pPr>
          </w:p>
        </w:tc>
      </w:tr>
      <w:tr w14:paraId="38AEFA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599" w:type="dxa"/>
            <w:vMerge w:val="continue"/>
            <w:tcBorders>
              <w:top w:val="nil"/>
              <w:left w:val="single" w:color="000000" w:sz="6" w:space="0"/>
              <w:bottom w:val="nil"/>
            </w:tcBorders>
            <w:textDirection w:val="tbRlV"/>
            <w:vAlign w:val="top"/>
          </w:tcPr>
          <w:p w14:paraId="0DB34D62">
            <w:pPr>
              <w:rPr>
                <w:rFonts w:ascii="Arial"/>
                <w:sz w:val="21"/>
              </w:rPr>
            </w:pPr>
          </w:p>
        </w:tc>
        <w:tc>
          <w:tcPr>
            <w:tcW w:w="113" w:type="dxa"/>
            <w:tcBorders>
              <w:top w:val="nil"/>
              <w:bottom w:val="nil"/>
            </w:tcBorders>
            <w:vAlign w:val="top"/>
          </w:tcPr>
          <w:p w14:paraId="6BA5C644">
            <w:pPr>
              <w:rPr>
                <w:rFonts w:ascii="Arial"/>
                <w:sz w:val="21"/>
              </w:rPr>
            </w:pPr>
          </w:p>
        </w:tc>
        <w:tc>
          <w:tcPr>
            <w:tcW w:w="8755" w:type="dxa"/>
            <w:gridSpan w:val="5"/>
            <w:vAlign w:val="top"/>
          </w:tcPr>
          <w:p w14:paraId="55E4EF2B">
            <w:pPr>
              <w:pStyle w:val="9"/>
              <w:spacing w:before="38" w:line="211" w:lineRule="auto"/>
              <w:ind w:left="1186"/>
              <w:rPr>
                <w:sz w:val="20"/>
                <w:szCs w:val="20"/>
              </w:rPr>
            </w:pPr>
            <w:r>
              <w:rPr>
                <w:spacing w:val="8"/>
                <w:sz w:val="20"/>
                <w:szCs w:val="20"/>
              </w:rPr>
              <w:t>《内蒙古霍林河循环经济示范工程</w:t>
            </w:r>
            <w:r>
              <w:rPr>
                <w:spacing w:val="-29"/>
                <w:sz w:val="20"/>
                <w:szCs w:val="20"/>
              </w:rPr>
              <w:t xml:space="preserve"> </w:t>
            </w:r>
            <w:r>
              <w:rPr>
                <w:rFonts w:ascii="Times New Roman" w:hAnsi="Times New Roman" w:eastAsia="Times New Roman" w:cs="Times New Roman"/>
                <w:spacing w:val="8"/>
                <w:sz w:val="20"/>
                <w:szCs w:val="20"/>
              </w:rPr>
              <w:t xml:space="preserve">80 </w:t>
            </w:r>
            <w:r>
              <w:rPr>
                <w:spacing w:val="8"/>
                <w:sz w:val="20"/>
                <w:szCs w:val="20"/>
              </w:rPr>
              <w:t>万千瓦就地消纳风电示范项目》</w:t>
            </w:r>
          </w:p>
        </w:tc>
        <w:tc>
          <w:tcPr>
            <w:tcW w:w="122" w:type="dxa"/>
            <w:tcBorders>
              <w:top w:val="nil"/>
              <w:bottom w:val="nil"/>
              <w:right w:val="single" w:color="000000" w:sz="6" w:space="0"/>
            </w:tcBorders>
            <w:vAlign w:val="top"/>
          </w:tcPr>
          <w:p w14:paraId="15606F84">
            <w:pPr>
              <w:rPr>
                <w:rFonts w:ascii="Arial"/>
                <w:sz w:val="21"/>
              </w:rPr>
            </w:pPr>
          </w:p>
        </w:tc>
      </w:tr>
      <w:tr w14:paraId="3F760E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599" w:type="dxa"/>
            <w:vMerge w:val="continue"/>
            <w:tcBorders>
              <w:top w:val="nil"/>
              <w:left w:val="single" w:color="000000" w:sz="6" w:space="0"/>
              <w:bottom w:val="nil"/>
            </w:tcBorders>
            <w:textDirection w:val="tbRlV"/>
            <w:vAlign w:val="top"/>
          </w:tcPr>
          <w:p w14:paraId="3F05C8C7">
            <w:pPr>
              <w:rPr>
                <w:rFonts w:ascii="Arial"/>
                <w:sz w:val="21"/>
              </w:rPr>
            </w:pPr>
          </w:p>
        </w:tc>
        <w:tc>
          <w:tcPr>
            <w:tcW w:w="113" w:type="dxa"/>
            <w:tcBorders>
              <w:top w:val="nil"/>
              <w:bottom w:val="nil"/>
            </w:tcBorders>
            <w:vAlign w:val="top"/>
          </w:tcPr>
          <w:p w14:paraId="01D2AA8A">
            <w:pPr>
              <w:rPr>
                <w:rFonts w:ascii="Arial"/>
                <w:sz w:val="21"/>
              </w:rPr>
            </w:pPr>
          </w:p>
        </w:tc>
        <w:tc>
          <w:tcPr>
            <w:tcW w:w="514" w:type="dxa"/>
            <w:vAlign w:val="top"/>
          </w:tcPr>
          <w:p w14:paraId="2DD7F949">
            <w:pPr>
              <w:spacing w:line="278" w:lineRule="auto"/>
              <w:rPr>
                <w:rFonts w:ascii="Arial"/>
                <w:sz w:val="21"/>
              </w:rPr>
            </w:pPr>
          </w:p>
          <w:p w14:paraId="5B684FB1">
            <w:pPr>
              <w:spacing w:line="279" w:lineRule="auto"/>
              <w:rPr>
                <w:rFonts w:ascii="Arial"/>
                <w:sz w:val="21"/>
              </w:rPr>
            </w:pPr>
          </w:p>
          <w:p w14:paraId="3889B52F">
            <w:pPr>
              <w:spacing w:before="57" w:line="195" w:lineRule="auto"/>
              <w:ind w:left="220"/>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261" w:type="dxa"/>
            <w:vAlign w:val="top"/>
          </w:tcPr>
          <w:p w14:paraId="040808BD">
            <w:pPr>
              <w:spacing w:line="244" w:lineRule="auto"/>
              <w:rPr>
                <w:rFonts w:ascii="Arial"/>
                <w:sz w:val="21"/>
              </w:rPr>
            </w:pPr>
          </w:p>
          <w:p w14:paraId="122D81CD">
            <w:pPr>
              <w:pStyle w:val="9"/>
              <w:spacing w:before="65" w:line="251" w:lineRule="auto"/>
              <w:ind w:left="212" w:right="215" w:hanging="1"/>
              <w:jc w:val="both"/>
              <w:rPr>
                <w:sz w:val="20"/>
                <w:szCs w:val="20"/>
              </w:rPr>
            </w:pPr>
            <w:r>
              <w:rPr>
                <w:spacing w:val="7"/>
                <w:sz w:val="20"/>
                <w:szCs w:val="20"/>
              </w:rPr>
              <w:t>通辽市发</w:t>
            </w:r>
            <w:r>
              <w:rPr>
                <w:spacing w:val="6"/>
                <w:sz w:val="20"/>
                <w:szCs w:val="20"/>
              </w:rPr>
              <w:t>展和改革</w:t>
            </w:r>
            <w:r>
              <w:rPr>
                <w:spacing w:val="40"/>
                <w:sz w:val="20"/>
                <w:szCs w:val="20"/>
              </w:rPr>
              <w:t>委员会</w:t>
            </w:r>
          </w:p>
        </w:tc>
        <w:tc>
          <w:tcPr>
            <w:tcW w:w="2097" w:type="dxa"/>
            <w:vAlign w:val="top"/>
          </w:tcPr>
          <w:p w14:paraId="0662050A">
            <w:pPr>
              <w:pStyle w:val="9"/>
              <w:spacing w:before="39" w:line="228" w:lineRule="auto"/>
              <w:ind w:left="216"/>
              <w:rPr>
                <w:sz w:val="20"/>
                <w:szCs w:val="20"/>
              </w:rPr>
            </w:pPr>
            <w:r>
              <w:rPr>
                <w:spacing w:val="8"/>
                <w:sz w:val="20"/>
                <w:szCs w:val="20"/>
              </w:rPr>
              <w:t>关于中电投霍林河</w:t>
            </w:r>
          </w:p>
          <w:p w14:paraId="43E76E2E">
            <w:pPr>
              <w:pStyle w:val="9"/>
              <w:spacing w:before="24" w:line="228" w:lineRule="auto"/>
              <w:ind w:left="212"/>
              <w:rPr>
                <w:sz w:val="20"/>
                <w:szCs w:val="20"/>
              </w:rPr>
            </w:pPr>
            <w:r>
              <w:rPr>
                <w:spacing w:val="8"/>
                <w:sz w:val="20"/>
                <w:szCs w:val="20"/>
              </w:rPr>
              <w:t>循环经济示范工程</w:t>
            </w:r>
          </w:p>
          <w:p w14:paraId="10A2B7DF">
            <w:pPr>
              <w:pStyle w:val="9"/>
              <w:spacing w:before="24" w:line="228" w:lineRule="auto"/>
              <w:ind w:left="188"/>
              <w:rPr>
                <w:sz w:val="20"/>
                <w:szCs w:val="20"/>
              </w:rPr>
            </w:pPr>
            <w:r>
              <w:rPr>
                <w:rFonts w:ascii="Times New Roman" w:hAnsi="Times New Roman" w:eastAsia="Times New Roman" w:cs="Times New Roman"/>
                <w:spacing w:val="6"/>
                <w:sz w:val="20"/>
                <w:szCs w:val="20"/>
              </w:rPr>
              <w:t xml:space="preserve">80 </w:t>
            </w:r>
            <w:r>
              <w:rPr>
                <w:spacing w:val="6"/>
                <w:sz w:val="20"/>
                <w:szCs w:val="20"/>
              </w:rPr>
              <w:t>万千瓦就地消纳</w:t>
            </w:r>
          </w:p>
          <w:p w14:paraId="208DCB8B">
            <w:pPr>
              <w:pStyle w:val="9"/>
              <w:spacing w:before="26" w:line="228" w:lineRule="auto"/>
              <w:ind w:left="213"/>
              <w:rPr>
                <w:sz w:val="20"/>
                <w:szCs w:val="20"/>
              </w:rPr>
            </w:pPr>
            <w:r>
              <w:rPr>
                <w:spacing w:val="8"/>
                <w:sz w:val="20"/>
                <w:szCs w:val="20"/>
              </w:rPr>
              <w:t>风电项目核准的批</w:t>
            </w:r>
          </w:p>
          <w:p w14:paraId="50EDFEEF">
            <w:pPr>
              <w:pStyle w:val="9"/>
              <w:spacing w:before="26" w:line="209" w:lineRule="auto"/>
              <w:ind w:left="952"/>
              <w:rPr>
                <w:sz w:val="20"/>
                <w:szCs w:val="20"/>
              </w:rPr>
            </w:pPr>
            <w:r>
              <w:rPr>
                <w:sz w:val="20"/>
                <w:szCs w:val="20"/>
              </w:rPr>
              <w:t>复</w:t>
            </w:r>
          </w:p>
        </w:tc>
        <w:tc>
          <w:tcPr>
            <w:tcW w:w="3348" w:type="dxa"/>
            <w:vAlign w:val="top"/>
          </w:tcPr>
          <w:p w14:paraId="3579A891">
            <w:pPr>
              <w:spacing w:line="245" w:lineRule="auto"/>
              <w:rPr>
                <w:rFonts w:ascii="Arial"/>
                <w:sz w:val="21"/>
              </w:rPr>
            </w:pPr>
          </w:p>
          <w:p w14:paraId="4F20CD69">
            <w:pPr>
              <w:pStyle w:val="9"/>
              <w:spacing w:before="65" w:line="250" w:lineRule="auto"/>
              <w:ind w:left="111" w:right="195" w:firstLine="424"/>
              <w:jc w:val="both"/>
              <w:rPr>
                <w:sz w:val="20"/>
                <w:szCs w:val="20"/>
              </w:rPr>
            </w:pPr>
            <w:r>
              <w:rPr>
                <w:spacing w:val="8"/>
                <w:sz w:val="20"/>
                <w:szCs w:val="20"/>
              </w:rPr>
              <w:t>该项目位于扎鲁特旗境内</w:t>
            </w:r>
            <w:r>
              <w:rPr>
                <w:rFonts w:ascii="Times New Roman" w:hAnsi="Times New Roman" w:eastAsia="Times New Roman" w:cs="Times New Roman"/>
                <w:spacing w:val="8"/>
                <w:sz w:val="20"/>
                <w:szCs w:val="20"/>
              </w:rPr>
              <w:t>,</w:t>
            </w:r>
            <w:r>
              <w:rPr>
                <w:spacing w:val="8"/>
                <w:sz w:val="20"/>
                <w:szCs w:val="20"/>
              </w:rPr>
              <w:t>建</w:t>
            </w:r>
            <w:r>
              <w:rPr>
                <w:spacing w:val="7"/>
                <w:sz w:val="20"/>
                <w:szCs w:val="20"/>
              </w:rPr>
              <w:t>设规模为</w:t>
            </w:r>
            <w:r>
              <w:rPr>
                <w:spacing w:val="-27"/>
                <w:sz w:val="20"/>
                <w:szCs w:val="20"/>
              </w:rPr>
              <w:t xml:space="preserve"> </w:t>
            </w:r>
            <w:r>
              <w:rPr>
                <w:rFonts w:ascii="Times New Roman" w:hAnsi="Times New Roman" w:eastAsia="Times New Roman" w:cs="Times New Roman"/>
                <w:spacing w:val="7"/>
                <w:sz w:val="20"/>
                <w:szCs w:val="20"/>
              </w:rPr>
              <w:t xml:space="preserve">80 </w:t>
            </w:r>
            <w:r>
              <w:rPr>
                <w:spacing w:val="7"/>
                <w:sz w:val="20"/>
                <w:szCs w:val="20"/>
              </w:rPr>
              <w:t>万千瓦，风电机组要</w:t>
            </w:r>
            <w:r>
              <w:rPr>
                <w:spacing w:val="9"/>
                <w:sz w:val="20"/>
                <w:szCs w:val="20"/>
              </w:rPr>
              <w:t>选用兆瓦级以上机组</w:t>
            </w:r>
          </w:p>
        </w:tc>
        <w:tc>
          <w:tcPr>
            <w:tcW w:w="1535" w:type="dxa"/>
            <w:vAlign w:val="top"/>
          </w:tcPr>
          <w:p w14:paraId="3A0A70A7">
            <w:pPr>
              <w:spacing w:line="380" w:lineRule="auto"/>
              <w:rPr>
                <w:rFonts w:ascii="Arial"/>
                <w:sz w:val="21"/>
              </w:rPr>
            </w:pPr>
          </w:p>
          <w:p w14:paraId="67670B30">
            <w:pPr>
              <w:pStyle w:val="9"/>
              <w:spacing w:before="65" w:line="247" w:lineRule="auto"/>
              <w:ind w:left="216" w:right="131" w:hanging="68"/>
              <w:rPr>
                <w:sz w:val="20"/>
                <w:szCs w:val="20"/>
              </w:rPr>
            </w:pPr>
            <w:r>
              <w:rPr>
                <w:spacing w:val="8"/>
                <w:sz w:val="20"/>
                <w:szCs w:val="20"/>
              </w:rPr>
              <w:t>通发改能源字</w:t>
            </w:r>
            <w:r>
              <w:rPr>
                <w:rFonts w:ascii="Times New Roman" w:hAnsi="Times New Roman" w:eastAsia="Times New Roman" w:cs="Times New Roman"/>
                <w:spacing w:val="2"/>
                <w:sz w:val="20"/>
                <w:szCs w:val="20"/>
              </w:rPr>
              <w:t>[</w:t>
            </w:r>
            <w:r>
              <w:fldChar w:fldCharType="begin"/>
            </w:r>
            <w:r>
              <w:instrText xml:space="preserve"> HYPERLINK \l "bookmark9" </w:instrText>
            </w:r>
            <w:r>
              <w:fldChar w:fldCharType="separate"/>
            </w:r>
            <w:r>
              <w:rPr>
                <w:rFonts w:ascii="Times New Roman" w:hAnsi="Times New Roman" w:eastAsia="Times New Roman" w:cs="Times New Roman"/>
                <w:spacing w:val="2"/>
                <w:sz w:val="20"/>
                <w:szCs w:val="20"/>
              </w:rPr>
              <w:t>2013</w:t>
            </w:r>
            <w:r>
              <w:rPr>
                <w:rFonts w:ascii="Times New Roman" w:hAnsi="Times New Roman" w:eastAsia="Times New Roman" w:cs="Times New Roman"/>
                <w:spacing w:val="2"/>
                <w:sz w:val="20"/>
                <w:szCs w:val="20"/>
              </w:rPr>
              <w:fldChar w:fldCharType="end"/>
            </w:r>
            <w:r>
              <w:rPr>
                <w:rFonts w:ascii="Times New Roman" w:hAnsi="Times New Roman" w:eastAsia="Times New Roman" w:cs="Times New Roman"/>
                <w:spacing w:val="2"/>
                <w:sz w:val="20"/>
                <w:szCs w:val="20"/>
              </w:rPr>
              <w:t>]727</w:t>
            </w:r>
            <w:r>
              <w:rPr>
                <w:rFonts w:ascii="Times New Roman" w:hAnsi="Times New Roman" w:eastAsia="Times New Roman" w:cs="Times New Roman"/>
                <w:spacing w:val="20"/>
                <w:w w:val="101"/>
                <w:sz w:val="20"/>
                <w:szCs w:val="20"/>
              </w:rPr>
              <w:t xml:space="preserve"> </w:t>
            </w:r>
            <w:r>
              <w:rPr>
                <w:spacing w:val="2"/>
                <w:sz w:val="20"/>
                <w:szCs w:val="20"/>
              </w:rPr>
              <w:t>号</w:t>
            </w:r>
          </w:p>
        </w:tc>
        <w:tc>
          <w:tcPr>
            <w:tcW w:w="122" w:type="dxa"/>
            <w:tcBorders>
              <w:top w:val="nil"/>
              <w:bottom w:val="nil"/>
              <w:right w:val="single" w:color="000000" w:sz="6" w:space="0"/>
            </w:tcBorders>
            <w:vAlign w:val="top"/>
          </w:tcPr>
          <w:p w14:paraId="6705DEFA">
            <w:pPr>
              <w:rPr>
                <w:rFonts w:ascii="Arial"/>
                <w:sz w:val="21"/>
              </w:rPr>
            </w:pPr>
          </w:p>
        </w:tc>
      </w:tr>
      <w:tr w14:paraId="53BCCE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7" w:hRule="atLeast"/>
        </w:trPr>
        <w:tc>
          <w:tcPr>
            <w:tcW w:w="599" w:type="dxa"/>
            <w:vMerge w:val="continue"/>
            <w:tcBorders>
              <w:top w:val="nil"/>
              <w:left w:val="single" w:color="000000" w:sz="6" w:space="0"/>
              <w:bottom w:val="nil"/>
            </w:tcBorders>
            <w:textDirection w:val="tbRlV"/>
            <w:vAlign w:val="top"/>
          </w:tcPr>
          <w:p w14:paraId="62994046">
            <w:pPr>
              <w:rPr>
                <w:rFonts w:ascii="Arial"/>
                <w:sz w:val="21"/>
              </w:rPr>
            </w:pPr>
          </w:p>
        </w:tc>
        <w:tc>
          <w:tcPr>
            <w:tcW w:w="113" w:type="dxa"/>
            <w:tcBorders>
              <w:top w:val="nil"/>
              <w:bottom w:val="nil"/>
            </w:tcBorders>
            <w:vAlign w:val="top"/>
          </w:tcPr>
          <w:p w14:paraId="6112BCFE">
            <w:pPr>
              <w:rPr>
                <w:rFonts w:ascii="Arial"/>
                <w:sz w:val="21"/>
              </w:rPr>
            </w:pPr>
          </w:p>
        </w:tc>
        <w:tc>
          <w:tcPr>
            <w:tcW w:w="514" w:type="dxa"/>
            <w:vAlign w:val="top"/>
          </w:tcPr>
          <w:p w14:paraId="24F9A984">
            <w:pPr>
              <w:spacing w:line="347" w:lineRule="auto"/>
              <w:rPr>
                <w:rFonts w:ascii="Arial"/>
                <w:sz w:val="21"/>
              </w:rPr>
            </w:pPr>
          </w:p>
          <w:p w14:paraId="62C12842">
            <w:pPr>
              <w:spacing w:line="348" w:lineRule="auto"/>
              <w:rPr>
                <w:rFonts w:ascii="Arial"/>
                <w:sz w:val="21"/>
              </w:rPr>
            </w:pPr>
          </w:p>
          <w:p w14:paraId="74ACC8B7">
            <w:pPr>
              <w:spacing w:before="57" w:line="195" w:lineRule="auto"/>
              <w:ind w:left="200"/>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261" w:type="dxa"/>
            <w:vAlign w:val="top"/>
          </w:tcPr>
          <w:p w14:paraId="28E3EFC7">
            <w:pPr>
              <w:spacing w:line="379" w:lineRule="auto"/>
              <w:rPr>
                <w:rFonts w:ascii="Arial"/>
                <w:sz w:val="21"/>
              </w:rPr>
            </w:pPr>
          </w:p>
          <w:p w14:paraId="125F75A0">
            <w:pPr>
              <w:pStyle w:val="9"/>
              <w:spacing w:before="65" w:line="253" w:lineRule="auto"/>
              <w:ind w:left="216" w:right="215" w:firstLine="20"/>
              <w:jc w:val="both"/>
              <w:rPr>
                <w:sz w:val="20"/>
                <w:szCs w:val="20"/>
              </w:rPr>
            </w:pPr>
            <w:r>
              <w:rPr>
                <w:spacing w:val="1"/>
                <w:sz w:val="20"/>
                <w:szCs w:val="20"/>
              </w:rPr>
              <w:t>内蒙古自</w:t>
            </w:r>
            <w:r>
              <w:rPr>
                <w:spacing w:val="6"/>
                <w:sz w:val="20"/>
                <w:szCs w:val="20"/>
              </w:rPr>
              <w:t>治区国土</w:t>
            </w:r>
            <w:r>
              <w:rPr>
                <w:spacing w:val="39"/>
                <w:sz w:val="20"/>
                <w:szCs w:val="20"/>
              </w:rPr>
              <w:t>资源厅</w:t>
            </w:r>
          </w:p>
        </w:tc>
        <w:tc>
          <w:tcPr>
            <w:tcW w:w="2097" w:type="dxa"/>
            <w:vAlign w:val="top"/>
          </w:tcPr>
          <w:p w14:paraId="418FA5D5">
            <w:pPr>
              <w:pStyle w:val="9"/>
              <w:spacing w:before="175" w:line="228" w:lineRule="auto"/>
              <w:ind w:left="216"/>
              <w:rPr>
                <w:sz w:val="20"/>
                <w:szCs w:val="20"/>
              </w:rPr>
            </w:pPr>
            <w:r>
              <w:rPr>
                <w:spacing w:val="8"/>
                <w:sz w:val="20"/>
                <w:szCs w:val="20"/>
              </w:rPr>
              <w:t>关于内蒙古霍林河</w:t>
            </w:r>
          </w:p>
          <w:p w14:paraId="20C813C1">
            <w:pPr>
              <w:pStyle w:val="9"/>
              <w:spacing w:before="24" w:line="228" w:lineRule="auto"/>
              <w:ind w:left="212"/>
              <w:rPr>
                <w:sz w:val="20"/>
                <w:szCs w:val="20"/>
              </w:rPr>
            </w:pPr>
            <w:r>
              <w:rPr>
                <w:spacing w:val="8"/>
                <w:sz w:val="20"/>
                <w:szCs w:val="20"/>
              </w:rPr>
              <w:t>循环经济示范工程</w:t>
            </w:r>
          </w:p>
          <w:p w14:paraId="243A53E5">
            <w:pPr>
              <w:pStyle w:val="9"/>
              <w:spacing w:before="24" w:line="228" w:lineRule="auto"/>
              <w:ind w:left="188"/>
              <w:rPr>
                <w:sz w:val="20"/>
                <w:szCs w:val="20"/>
              </w:rPr>
            </w:pPr>
            <w:r>
              <w:rPr>
                <w:rFonts w:ascii="Times New Roman" w:hAnsi="Times New Roman" w:eastAsia="Times New Roman" w:cs="Times New Roman"/>
                <w:spacing w:val="6"/>
                <w:sz w:val="20"/>
                <w:szCs w:val="20"/>
              </w:rPr>
              <w:t xml:space="preserve">80 </w:t>
            </w:r>
            <w:r>
              <w:rPr>
                <w:spacing w:val="6"/>
                <w:sz w:val="20"/>
                <w:szCs w:val="20"/>
              </w:rPr>
              <w:t>万千瓦就地消纳</w:t>
            </w:r>
          </w:p>
          <w:p w14:paraId="709B5C0E">
            <w:pPr>
              <w:pStyle w:val="9"/>
              <w:spacing w:before="26" w:line="228" w:lineRule="auto"/>
              <w:ind w:left="213"/>
              <w:rPr>
                <w:sz w:val="20"/>
                <w:szCs w:val="20"/>
              </w:rPr>
            </w:pPr>
            <w:r>
              <w:rPr>
                <w:spacing w:val="8"/>
                <w:sz w:val="20"/>
                <w:szCs w:val="20"/>
              </w:rPr>
              <w:t>风电示范项目用地</w:t>
            </w:r>
          </w:p>
          <w:p w14:paraId="26BE84B2">
            <w:pPr>
              <w:pStyle w:val="9"/>
              <w:spacing w:before="23" w:line="228" w:lineRule="auto"/>
              <w:ind w:left="544"/>
              <w:rPr>
                <w:sz w:val="20"/>
                <w:szCs w:val="20"/>
              </w:rPr>
            </w:pPr>
            <w:r>
              <w:rPr>
                <w:spacing w:val="4"/>
                <w:sz w:val="20"/>
                <w:szCs w:val="20"/>
              </w:rPr>
              <w:t>的预审意见</w:t>
            </w:r>
          </w:p>
        </w:tc>
        <w:tc>
          <w:tcPr>
            <w:tcW w:w="3348" w:type="dxa"/>
            <w:vAlign w:val="top"/>
          </w:tcPr>
          <w:p w14:paraId="60AEB8D4">
            <w:pPr>
              <w:pStyle w:val="9"/>
              <w:spacing w:before="39" w:line="227" w:lineRule="auto"/>
              <w:ind w:left="535"/>
              <w:rPr>
                <w:sz w:val="20"/>
                <w:szCs w:val="20"/>
              </w:rPr>
            </w:pPr>
            <w:r>
              <w:rPr>
                <w:spacing w:val="8"/>
                <w:sz w:val="20"/>
                <w:szCs w:val="20"/>
              </w:rPr>
              <w:t>该建设项目拟使用扎鲁特旗</w:t>
            </w:r>
          </w:p>
          <w:p w14:paraId="5E9B083E">
            <w:pPr>
              <w:pStyle w:val="9"/>
              <w:spacing w:before="25" w:line="243" w:lineRule="auto"/>
              <w:ind w:left="113" w:right="101"/>
              <w:rPr>
                <w:sz w:val="20"/>
                <w:szCs w:val="20"/>
              </w:rPr>
            </w:pPr>
            <w:r>
              <w:rPr>
                <w:spacing w:val="6"/>
                <w:sz w:val="20"/>
                <w:szCs w:val="20"/>
              </w:rPr>
              <w:t>土地总面积为</w:t>
            </w:r>
            <w:r>
              <w:rPr>
                <w:spacing w:val="-38"/>
                <w:sz w:val="20"/>
                <w:szCs w:val="20"/>
              </w:rPr>
              <w:t xml:space="preserve"> </w:t>
            </w:r>
            <w:r>
              <w:rPr>
                <w:rFonts w:ascii="Times New Roman" w:hAnsi="Times New Roman" w:eastAsia="Times New Roman" w:cs="Times New Roman"/>
                <w:spacing w:val="6"/>
                <w:sz w:val="20"/>
                <w:szCs w:val="20"/>
              </w:rPr>
              <w:t>21.9147</w:t>
            </w:r>
            <w:r>
              <w:rPr>
                <w:rFonts w:ascii="Times New Roman" w:hAnsi="Times New Roman" w:eastAsia="Times New Roman" w:cs="Times New Roman"/>
                <w:spacing w:val="16"/>
                <w:sz w:val="20"/>
                <w:szCs w:val="20"/>
              </w:rPr>
              <w:t xml:space="preserve"> </w:t>
            </w:r>
            <w:r>
              <w:rPr>
                <w:spacing w:val="6"/>
                <w:sz w:val="20"/>
                <w:szCs w:val="20"/>
              </w:rPr>
              <w:t>公顷。升压</w:t>
            </w:r>
            <w:r>
              <w:rPr>
                <w:spacing w:val="2"/>
                <w:sz w:val="20"/>
                <w:szCs w:val="20"/>
              </w:rPr>
              <w:t>站部分占用</w:t>
            </w:r>
            <w:r>
              <w:rPr>
                <w:spacing w:val="-30"/>
                <w:sz w:val="20"/>
                <w:szCs w:val="20"/>
              </w:rPr>
              <w:t xml:space="preserve"> </w:t>
            </w:r>
            <w:r>
              <w:rPr>
                <w:rFonts w:ascii="Times New Roman" w:hAnsi="Times New Roman" w:eastAsia="Times New Roman" w:cs="Times New Roman"/>
                <w:spacing w:val="2"/>
                <w:sz w:val="20"/>
                <w:szCs w:val="20"/>
              </w:rPr>
              <w:t>3.6020</w:t>
            </w:r>
            <w:r>
              <w:rPr>
                <w:rFonts w:ascii="Times New Roman" w:hAnsi="Times New Roman" w:eastAsia="Times New Roman" w:cs="Times New Roman"/>
                <w:spacing w:val="18"/>
                <w:w w:val="101"/>
                <w:sz w:val="20"/>
                <w:szCs w:val="20"/>
              </w:rPr>
              <w:t xml:space="preserve"> </w:t>
            </w:r>
            <w:r>
              <w:rPr>
                <w:spacing w:val="2"/>
                <w:sz w:val="20"/>
                <w:szCs w:val="20"/>
              </w:rPr>
              <w:t>公顷、进站道路部分占用</w:t>
            </w:r>
            <w:r>
              <w:rPr>
                <w:spacing w:val="-26"/>
                <w:sz w:val="20"/>
                <w:szCs w:val="20"/>
              </w:rPr>
              <w:t xml:space="preserve"> </w:t>
            </w:r>
            <w:r>
              <w:rPr>
                <w:rFonts w:ascii="Times New Roman" w:hAnsi="Times New Roman" w:eastAsia="Times New Roman" w:cs="Times New Roman"/>
                <w:spacing w:val="2"/>
                <w:sz w:val="20"/>
                <w:szCs w:val="20"/>
              </w:rPr>
              <w:t>2.9788</w:t>
            </w:r>
            <w:r>
              <w:rPr>
                <w:rFonts w:ascii="Times New Roman" w:hAnsi="Times New Roman" w:eastAsia="Times New Roman" w:cs="Times New Roman"/>
                <w:spacing w:val="16"/>
                <w:w w:val="101"/>
                <w:sz w:val="20"/>
                <w:szCs w:val="20"/>
              </w:rPr>
              <w:t xml:space="preserve"> </w:t>
            </w:r>
            <w:r>
              <w:rPr>
                <w:spacing w:val="2"/>
                <w:sz w:val="20"/>
                <w:szCs w:val="20"/>
              </w:rPr>
              <w:t>公顷，用地规模符</w:t>
            </w:r>
            <w:r>
              <w:rPr>
                <w:spacing w:val="8"/>
                <w:sz w:val="20"/>
                <w:szCs w:val="20"/>
              </w:rPr>
              <w:t>合《工程项目建设用地指标》的要</w:t>
            </w:r>
            <w:r>
              <w:rPr>
                <w:sz w:val="20"/>
                <w:szCs w:val="20"/>
              </w:rPr>
              <w:t>求</w:t>
            </w:r>
          </w:p>
        </w:tc>
        <w:tc>
          <w:tcPr>
            <w:tcW w:w="1535" w:type="dxa"/>
            <w:vAlign w:val="top"/>
          </w:tcPr>
          <w:p w14:paraId="3E881569">
            <w:pPr>
              <w:spacing w:line="258" w:lineRule="auto"/>
              <w:rPr>
                <w:rFonts w:ascii="Arial"/>
                <w:sz w:val="21"/>
              </w:rPr>
            </w:pPr>
          </w:p>
          <w:p w14:paraId="43CAD6E6">
            <w:pPr>
              <w:spacing w:line="258" w:lineRule="auto"/>
              <w:rPr>
                <w:rFonts w:ascii="Arial"/>
                <w:sz w:val="21"/>
              </w:rPr>
            </w:pPr>
          </w:p>
          <w:p w14:paraId="679655EB">
            <w:pPr>
              <w:pStyle w:val="9"/>
              <w:spacing w:before="65" w:line="247" w:lineRule="auto"/>
              <w:ind w:left="271" w:right="131" w:hanging="98"/>
              <w:rPr>
                <w:sz w:val="20"/>
                <w:szCs w:val="20"/>
              </w:rPr>
            </w:pPr>
            <w:r>
              <w:rPr>
                <w:spacing w:val="4"/>
                <w:sz w:val="20"/>
                <w:szCs w:val="20"/>
              </w:rPr>
              <w:t>内国土预审字</w:t>
            </w:r>
            <w:r>
              <w:rPr>
                <w:rFonts w:ascii="Times New Roman" w:hAnsi="Times New Roman" w:eastAsia="Times New Roman" w:cs="Times New Roman"/>
                <w:spacing w:val="2"/>
                <w:sz w:val="20"/>
                <w:szCs w:val="20"/>
              </w:rPr>
              <w:t>[</w:t>
            </w:r>
            <w:r>
              <w:fldChar w:fldCharType="begin"/>
            </w:r>
            <w:r>
              <w:instrText xml:space="preserve"> HYPERLINK \l "bookmark10" </w:instrText>
            </w:r>
            <w:r>
              <w:fldChar w:fldCharType="separate"/>
            </w:r>
            <w:r>
              <w:rPr>
                <w:rFonts w:ascii="Times New Roman" w:hAnsi="Times New Roman" w:eastAsia="Times New Roman" w:cs="Times New Roman"/>
                <w:spacing w:val="2"/>
                <w:sz w:val="20"/>
                <w:szCs w:val="20"/>
              </w:rPr>
              <w:t>2013</w:t>
            </w:r>
            <w:r>
              <w:rPr>
                <w:rFonts w:ascii="Times New Roman" w:hAnsi="Times New Roman" w:eastAsia="Times New Roman" w:cs="Times New Roman"/>
                <w:spacing w:val="2"/>
                <w:sz w:val="20"/>
                <w:szCs w:val="20"/>
              </w:rPr>
              <w:fldChar w:fldCharType="end"/>
            </w:r>
            <w:r>
              <w:rPr>
                <w:rFonts w:ascii="Times New Roman" w:hAnsi="Times New Roman" w:eastAsia="Times New Roman" w:cs="Times New Roman"/>
                <w:spacing w:val="2"/>
                <w:sz w:val="20"/>
                <w:szCs w:val="20"/>
              </w:rPr>
              <w:t>]87</w:t>
            </w:r>
            <w:r>
              <w:rPr>
                <w:rFonts w:ascii="Times New Roman" w:hAnsi="Times New Roman" w:eastAsia="Times New Roman" w:cs="Times New Roman"/>
                <w:spacing w:val="14"/>
                <w:w w:val="101"/>
                <w:sz w:val="20"/>
                <w:szCs w:val="20"/>
              </w:rPr>
              <w:t xml:space="preserve"> </w:t>
            </w:r>
            <w:r>
              <w:rPr>
                <w:spacing w:val="2"/>
                <w:sz w:val="20"/>
                <w:szCs w:val="20"/>
              </w:rPr>
              <w:t>号</w:t>
            </w:r>
          </w:p>
        </w:tc>
        <w:tc>
          <w:tcPr>
            <w:tcW w:w="122" w:type="dxa"/>
            <w:tcBorders>
              <w:top w:val="nil"/>
              <w:bottom w:val="nil"/>
              <w:right w:val="single" w:color="000000" w:sz="6" w:space="0"/>
            </w:tcBorders>
            <w:vAlign w:val="top"/>
          </w:tcPr>
          <w:p w14:paraId="492EDD72">
            <w:pPr>
              <w:rPr>
                <w:rFonts w:ascii="Arial"/>
                <w:sz w:val="21"/>
              </w:rPr>
            </w:pPr>
          </w:p>
        </w:tc>
      </w:tr>
      <w:tr w14:paraId="2742B6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9" w:hRule="atLeast"/>
        </w:trPr>
        <w:tc>
          <w:tcPr>
            <w:tcW w:w="599" w:type="dxa"/>
            <w:vMerge w:val="continue"/>
            <w:tcBorders>
              <w:top w:val="nil"/>
              <w:left w:val="single" w:color="000000" w:sz="6" w:space="0"/>
              <w:bottom w:val="nil"/>
            </w:tcBorders>
            <w:textDirection w:val="tbRlV"/>
            <w:vAlign w:val="top"/>
          </w:tcPr>
          <w:p w14:paraId="298528CC">
            <w:pPr>
              <w:rPr>
                <w:rFonts w:ascii="Arial"/>
                <w:sz w:val="21"/>
              </w:rPr>
            </w:pPr>
          </w:p>
        </w:tc>
        <w:tc>
          <w:tcPr>
            <w:tcW w:w="113" w:type="dxa"/>
            <w:tcBorders>
              <w:top w:val="nil"/>
              <w:bottom w:val="nil"/>
            </w:tcBorders>
            <w:vAlign w:val="top"/>
          </w:tcPr>
          <w:p w14:paraId="2A99B361">
            <w:pPr>
              <w:rPr>
                <w:rFonts w:ascii="Arial"/>
                <w:sz w:val="21"/>
              </w:rPr>
            </w:pPr>
          </w:p>
        </w:tc>
        <w:tc>
          <w:tcPr>
            <w:tcW w:w="514" w:type="dxa"/>
            <w:vAlign w:val="top"/>
          </w:tcPr>
          <w:p w14:paraId="15EDEBD3">
            <w:pPr>
              <w:spacing w:line="276" w:lineRule="auto"/>
              <w:rPr>
                <w:rFonts w:ascii="Arial"/>
                <w:sz w:val="21"/>
              </w:rPr>
            </w:pPr>
          </w:p>
          <w:p w14:paraId="51FF3820">
            <w:pPr>
              <w:spacing w:line="277" w:lineRule="auto"/>
              <w:rPr>
                <w:rFonts w:ascii="Arial"/>
                <w:sz w:val="21"/>
              </w:rPr>
            </w:pPr>
          </w:p>
          <w:p w14:paraId="0489DB80">
            <w:pPr>
              <w:spacing w:line="277" w:lineRule="auto"/>
              <w:rPr>
                <w:rFonts w:ascii="Arial"/>
                <w:sz w:val="21"/>
              </w:rPr>
            </w:pPr>
          </w:p>
          <w:p w14:paraId="1878BF5D">
            <w:pPr>
              <w:spacing w:before="58" w:line="195" w:lineRule="auto"/>
              <w:ind w:left="204"/>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261" w:type="dxa"/>
            <w:vAlign w:val="top"/>
          </w:tcPr>
          <w:p w14:paraId="7036A280">
            <w:pPr>
              <w:spacing w:line="258" w:lineRule="auto"/>
              <w:rPr>
                <w:rFonts w:ascii="Arial"/>
                <w:sz w:val="21"/>
              </w:rPr>
            </w:pPr>
          </w:p>
          <w:p w14:paraId="06E7D329">
            <w:pPr>
              <w:spacing w:line="259" w:lineRule="auto"/>
              <w:rPr>
                <w:rFonts w:ascii="Arial"/>
                <w:sz w:val="21"/>
              </w:rPr>
            </w:pPr>
          </w:p>
          <w:p w14:paraId="61921E36">
            <w:pPr>
              <w:pStyle w:val="9"/>
              <w:spacing w:before="65" w:line="252" w:lineRule="auto"/>
              <w:ind w:left="216" w:right="215" w:firstLine="20"/>
              <w:jc w:val="both"/>
              <w:rPr>
                <w:sz w:val="20"/>
                <w:szCs w:val="20"/>
              </w:rPr>
            </w:pPr>
            <w:r>
              <w:rPr>
                <w:spacing w:val="1"/>
                <w:sz w:val="20"/>
                <w:szCs w:val="20"/>
              </w:rPr>
              <w:t>内蒙古自</w:t>
            </w:r>
            <w:r>
              <w:rPr>
                <w:spacing w:val="6"/>
                <w:sz w:val="20"/>
                <w:szCs w:val="20"/>
              </w:rPr>
              <w:t>治区国土</w:t>
            </w:r>
            <w:r>
              <w:rPr>
                <w:spacing w:val="39"/>
                <w:sz w:val="20"/>
                <w:szCs w:val="20"/>
              </w:rPr>
              <w:t>资源厅</w:t>
            </w:r>
          </w:p>
        </w:tc>
        <w:tc>
          <w:tcPr>
            <w:tcW w:w="2097" w:type="dxa"/>
            <w:vAlign w:val="top"/>
          </w:tcPr>
          <w:p w14:paraId="5E7621B0">
            <w:pPr>
              <w:pStyle w:val="9"/>
              <w:spacing w:before="40" w:line="228" w:lineRule="auto"/>
              <w:ind w:left="216"/>
              <w:rPr>
                <w:sz w:val="20"/>
                <w:szCs w:val="20"/>
              </w:rPr>
            </w:pPr>
            <w:r>
              <w:rPr>
                <w:spacing w:val="8"/>
                <w:sz w:val="20"/>
                <w:szCs w:val="20"/>
              </w:rPr>
              <w:t>关于内蒙古霍林河</w:t>
            </w:r>
          </w:p>
          <w:p w14:paraId="73164DA9">
            <w:pPr>
              <w:pStyle w:val="9"/>
              <w:spacing w:before="24" w:line="228" w:lineRule="auto"/>
              <w:ind w:left="212"/>
              <w:rPr>
                <w:sz w:val="20"/>
                <w:szCs w:val="20"/>
              </w:rPr>
            </w:pPr>
            <w:r>
              <w:rPr>
                <w:spacing w:val="8"/>
                <w:sz w:val="20"/>
                <w:szCs w:val="20"/>
              </w:rPr>
              <w:t>循环经济示范工程</w:t>
            </w:r>
          </w:p>
          <w:p w14:paraId="5FE117FC">
            <w:pPr>
              <w:pStyle w:val="9"/>
              <w:spacing w:before="27" w:line="228" w:lineRule="auto"/>
              <w:ind w:left="188"/>
              <w:rPr>
                <w:sz w:val="20"/>
                <w:szCs w:val="20"/>
              </w:rPr>
            </w:pPr>
            <w:r>
              <w:rPr>
                <w:rFonts w:ascii="Times New Roman" w:hAnsi="Times New Roman" w:eastAsia="Times New Roman" w:cs="Times New Roman"/>
                <w:spacing w:val="6"/>
                <w:sz w:val="20"/>
                <w:szCs w:val="20"/>
              </w:rPr>
              <w:t xml:space="preserve">80 </w:t>
            </w:r>
            <w:r>
              <w:rPr>
                <w:spacing w:val="6"/>
                <w:sz w:val="20"/>
                <w:szCs w:val="20"/>
              </w:rPr>
              <w:t>万千瓦就地消纳</w:t>
            </w:r>
          </w:p>
          <w:p w14:paraId="5D6BF7FB">
            <w:pPr>
              <w:pStyle w:val="9"/>
              <w:spacing w:before="23" w:line="227" w:lineRule="auto"/>
              <w:ind w:left="213"/>
              <w:rPr>
                <w:sz w:val="20"/>
                <w:szCs w:val="20"/>
              </w:rPr>
            </w:pPr>
            <w:r>
              <w:rPr>
                <w:spacing w:val="8"/>
                <w:sz w:val="20"/>
                <w:szCs w:val="20"/>
              </w:rPr>
              <w:t>风电示范工程拟选</w:t>
            </w:r>
          </w:p>
          <w:p w14:paraId="0D3791C1">
            <w:pPr>
              <w:pStyle w:val="9"/>
              <w:spacing w:before="27" w:line="228" w:lineRule="auto"/>
              <w:ind w:left="213"/>
              <w:rPr>
                <w:sz w:val="20"/>
                <w:szCs w:val="20"/>
              </w:rPr>
            </w:pPr>
            <w:r>
              <w:rPr>
                <w:spacing w:val="8"/>
                <w:sz w:val="20"/>
                <w:szCs w:val="20"/>
              </w:rPr>
              <w:t>址用地范围内不压</w:t>
            </w:r>
          </w:p>
          <w:p w14:paraId="1EEA4C7B">
            <w:pPr>
              <w:pStyle w:val="9"/>
              <w:spacing w:before="24" w:line="228" w:lineRule="auto"/>
              <w:ind w:left="213"/>
              <w:rPr>
                <w:sz w:val="20"/>
                <w:szCs w:val="20"/>
              </w:rPr>
            </w:pPr>
            <w:r>
              <w:rPr>
                <w:spacing w:val="8"/>
                <w:sz w:val="20"/>
                <w:szCs w:val="20"/>
              </w:rPr>
              <w:t>覆已查明重要矿产</w:t>
            </w:r>
          </w:p>
          <w:p w14:paraId="79B6DFA5">
            <w:pPr>
              <w:pStyle w:val="9"/>
              <w:spacing w:before="27" w:line="206" w:lineRule="auto"/>
              <w:ind w:left="641"/>
              <w:rPr>
                <w:sz w:val="20"/>
                <w:szCs w:val="20"/>
              </w:rPr>
            </w:pPr>
            <w:r>
              <w:rPr>
                <w:spacing w:val="5"/>
                <w:sz w:val="20"/>
                <w:szCs w:val="20"/>
              </w:rPr>
              <w:t>资源的函</w:t>
            </w:r>
          </w:p>
        </w:tc>
        <w:tc>
          <w:tcPr>
            <w:tcW w:w="3348" w:type="dxa"/>
            <w:vAlign w:val="top"/>
          </w:tcPr>
          <w:p w14:paraId="3409DBE1">
            <w:pPr>
              <w:spacing w:line="259" w:lineRule="auto"/>
              <w:rPr>
                <w:rFonts w:ascii="Arial"/>
                <w:sz w:val="21"/>
              </w:rPr>
            </w:pPr>
          </w:p>
          <w:p w14:paraId="166BC14E">
            <w:pPr>
              <w:spacing w:line="259" w:lineRule="auto"/>
              <w:rPr>
                <w:rFonts w:ascii="Arial"/>
                <w:sz w:val="21"/>
              </w:rPr>
            </w:pPr>
          </w:p>
          <w:p w14:paraId="526460F9">
            <w:pPr>
              <w:pStyle w:val="9"/>
              <w:spacing w:before="65" w:line="250" w:lineRule="auto"/>
              <w:ind w:left="137" w:right="101" w:firstLine="396"/>
              <w:rPr>
                <w:sz w:val="20"/>
                <w:szCs w:val="20"/>
              </w:rPr>
            </w:pPr>
            <w:r>
              <w:rPr>
                <w:spacing w:val="8"/>
                <w:sz w:val="20"/>
                <w:szCs w:val="20"/>
              </w:rPr>
              <w:t>经核实，在附后拐点坐标范围</w:t>
            </w:r>
            <w:r>
              <w:rPr>
                <w:spacing w:val="7"/>
                <w:sz w:val="20"/>
                <w:szCs w:val="20"/>
              </w:rPr>
              <w:t>内进行项目选址不压覆已查明重</w:t>
            </w:r>
          </w:p>
          <w:p w14:paraId="0F478806">
            <w:pPr>
              <w:pStyle w:val="9"/>
              <w:spacing w:line="227" w:lineRule="auto"/>
              <w:ind w:left="113"/>
              <w:rPr>
                <w:sz w:val="20"/>
                <w:szCs w:val="20"/>
              </w:rPr>
            </w:pPr>
            <w:r>
              <w:rPr>
                <w:spacing w:val="7"/>
                <w:sz w:val="20"/>
                <w:szCs w:val="20"/>
              </w:rPr>
              <w:t>要矿产资源</w:t>
            </w:r>
          </w:p>
        </w:tc>
        <w:tc>
          <w:tcPr>
            <w:tcW w:w="1535" w:type="dxa"/>
            <w:vAlign w:val="top"/>
          </w:tcPr>
          <w:p w14:paraId="1F1EBC98">
            <w:pPr>
              <w:spacing w:line="326" w:lineRule="auto"/>
              <w:rPr>
                <w:rFonts w:ascii="Arial"/>
                <w:sz w:val="21"/>
              </w:rPr>
            </w:pPr>
          </w:p>
          <w:p w14:paraId="40D8FAED">
            <w:pPr>
              <w:spacing w:line="326" w:lineRule="auto"/>
              <w:rPr>
                <w:rFonts w:ascii="Arial"/>
                <w:sz w:val="21"/>
              </w:rPr>
            </w:pPr>
          </w:p>
          <w:p w14:paraId="79750582">
            <w:pPr>
              <w:pStyle w:val="9"/>
              <w:spacing w:before="65" w:line="249" w:lineRule="auto"/>
              <w:ind w:left="217" w:right="191" w:firstLine="61"/>
              <w:rPr>
                <w:sz w:val="20"/>
                <w:szCs w:val="20"/>
              </w:rPr>
            </w:pPr>
            <w:r>
              <w:rPr>
                <w:spacing w:val="3"/>
                <w:sz w:val="20"/>
                <w:szCs w:val="20"/>
              </w:rPr>
              <w:t>内国土资函</w:t>
            </w:r>
            <w:r>
              <w:rPr>
                <w:rFonts w:ascii="Times New Roman" w:hAnsi="Times New Roman" w:eastAsia="Times New Roman" w:cs="Times New Roman"/>
                <w:spacing w:val="2"/>
                <w:sz w:val="20"/>
                <w:szCs w:val="20"/>
              </w:rPr>
              <w:t>[</w:t>
            </w:r>
            <w:r>
              <w:fldChar w:fldCharType="begin"/>
            </w:r>
            <w:r>
              <w:instrText xml:space="preserve"> HYPERLINK \l "bookmark11" </w:instrText>
            </w:r>
            <w:r>
              <w:fldChar w:fldCharType="separate"/>
            </w:r>
            <w:r>
              <w:rPr>
                <w:rFonts w:ascii="Times New Roman" w:hAnsi="Times New Roman" w:eastAsia="Times New Roman" w:cs="Times New Roman"/>
                <w:spacing w:val="2"/>
                <w:sz w:val="20"/>
                <w:szCs w:val="20"/>
              </w:rPr>
              <w:t>2013</w:t>
            </w:r>
            <w:r>
              <w:rPr>
                <w:rFonts w:ascii="Times New Roman" w:hAnsi="Times New Roman" w:eastAsia="Times New Roman" w:cs="Times New Roman"/>
                <w:spacing w:val="2"/>
                <w:sz w:val="20"/>
                <w:szCs w:val="20"/>
              </w:rPr>
              <w:fldChar w:fldCharType="end"/>
            </w:r>
            <w:r>
              <w:rPr>
                <w:rFonts w:ascii="Times New Roman" w:hAnsi="Times New Roman" w:eastAsia="Times New Roman" w:cs="Times New Roman"/>
                <w:spacing w:val="2"/>
                <w:sz w:val="20"/>
                <w:szCs w:val="20"/>
              </w:rPr>
              <w:t>]559</w:t>
            </w:r>
            <w:r>
              <w:rPr>
                <w:rFonts w:ascii="Times New Roman" w:hAnsi="Times New Roman" w:eastAsia="Times New Roman" w:cs="Times New Roman"/>
                <w:spacing w:val="17"/>
                <w:sz w:val="20"/>
                <w:szCs w:val="20"/>
              </w:rPr>
              <w:t xml:space="preserve"> </w:t>
            </w:r>
            <w:r>
              <w:rPr>
                <w:spacing w:val="2"/>
                <w:sz w:val="20"/>
                <w:szCs w:val="20"/>
              </w:rPr>
              <w:t>号</w:t>
            </w:r>
          </w:p>
        </w:tc>
        <w:tc>
          <w:tcPr>
            <w:tcW w:w="122" w:type="dxa"/>
            <w:tcBorders>
              <w:top w:val="nil"/>
              <w:bottom w:val="nil"/>
              <w:right w:val="single" w:color="000000" w:sz="6" w:space="0"/>
            </w:tcBorders>
            <w:vAlign w:val="top"/>
          </w:tcPr>
          <w:p w14:paraId="7DD32846">
            <w:pPr>
              <w:rPr>
                <w:rFonts w:ascii="Arial"/>
                <w:sz w:val="21"/>
              </w:rPr>
            </w:pPr>
          </w:p>
        </w:tc>
      </w:tr>
      <w:tr w14:paraId="74F97E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42" w:hRule="atLeast"/>
        </w:trPr>
        <w:tc>
          <w:tcPr>
            <w:tcW w:w="599" w:type="dxa"/>
            <w:vMerge w:val="continue"/>
            <w:tcBorders>
              <w:top w:val="nil"/>
              <w:left w:val="single" w:color="000000" w:sz="6" w:space="0"/>
              <w:bottom w:val="single" w:color="000000" w:sz="6" w:space="0"/>
            </w:tcBorders>
            <w:textDirection w:val="tbRlV"/>
            <w:vAlign w:val="top"/>
          </w:tcPr>
          <w:p w14:paraId="0627A6FE">
            <w:pPr>
              <w:rPr>
                <w:rFonts w:ascii="Arial"/>
                <w:sz w:val="21"/>
              </w:rPr>
            </w:pPr>
          </w:p>
        </w:tc>
        <w:tc>
          <w:tcPr>
            <w:tcW w:w="113" w:type="dxa"/>
            <w:tcBorders>
              <w:top w:val="nil"/>
              <w:bottom w:val="single" w:color="000000" w:sz="6" w:space="0"/>
            </w:tcBorders>
            <w:vAlign w:val="top"/>
          </w:tcPr>
          <w:p w14:paraId="23E84DC1">
            <w:pPr>
              <w:rPr>
                <w:rFonts w:ascii="Arial"/>
                <w:sz w:val="21"/>
              </w:rPr>
            </w:pPr>
          </w:p>
        </w:tc>
        <w:tc>
          <w:tcPr>
            <w:tcW w:w="514" w:type="dxa"/>
            <w:tcBorders>
              <w:bottom w:val="single" w:color="000000" w:sz="6" w:space="0"/>
            </w:tcBorders>
            <w:vAlign w:val="top"/>
          </w:tcPr>
          <w:p w14:paraId="08FBEA2E">
            <w:pPr>
              <w:spacing w:line="278" w:lineRule="auto"/>
              <w:rPr>
                <w:rFonts w:ascii="Arial"/>
                <w:sz w:val="21"/>
              </w:rPr>
            </w:pPr>
          </w:p>
          <w:p w14:paraId="6086EB16">
            <w:pPr>
              <w:spacing w:line="278" w:lineRule="auto"/>
              <w:rPr>
                <w:rFonts w:ascii="Arial"/>
                <w:sz w:val="21"/>
              </w:rPr>
            </w:pPr>
          </w:p>
          <w:p w14:paraId="38173751">
            <w:pPr>
              <w:spacing w:line="278" w:lineRule="auto"/>
              <w:rPr>
                <w:rFonts w:ascii="Arial"/>
                <w:sz w:val="21"/>
              </w:rPr>
            </w:pPr>
          </w:p>
          <w:p w14:paraId="2215AB11">
            <w:pPr>
              <w:spacing w:before="57" w:line="195" w:lineRule="auto"/>
              <w:ind w:left="1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1261" w:type="dxa"/>
            <w:tcBorders>
              <w:bottom w:val="single" w:color="000000" w:sz="6" w:space="0"/>
            </w:tcBorders>
            <w:vAlign w:val="top"/>
          </w:tcPr>
          <w:p w14:paraId="147A4C88">
            <w:pPr>
              <w:spacing w:line="385" w:lineRule="auto"/>
              <w:rPr>
                <w:rFonts w:ascii="Arial"/>
                <w:sz w:val="21"/>
              </w:rPr>
            </w:pPr>
          </w:p>
          <w:p w14:paraId="2E6DFE65">
            <w:pPr>
              <w:pStyle w:val="9"/>
              <w:spacing w:before="65" w:line="228" w:lineRule="auto"/>
              <w:ind w:left="236"/>
              <w:rPr>
                <w:sz w:val="20"/>
                <w:szCs w:val="20"/>
              </w:rPr>
            </w:pPr>
            <w:r>
              <w:rPr>
                <w:spacing w:val="1"/>
                <w:sz w:val="20"/>
                <w:szCs w:val="20"/>
              </w:rPr>
              <w:t>内蒙古自</w:t>
            </w:r>
          </w:p>
          <w:p w14:paraId="7C5DD270">
            <w:pPr>
              <w:pStyle w:val="9"/>
              <w:spacing w:before="24" w:line="229" w:lineRule="auto"/>
              <w:ind w:left="216"/>
              <w:rPr>
                <w:sz w:val="20"/>
                <w:szCs w:val="20"/>
              </w:rPr>
            </w:pPr>
            <w:r>
              <w:rPr>
                <w:spacing w:val="6"/>
                <w:sz w:val="20"/>
                <w:szCs w:val="20"/>
              </w:rPr>
              <w:t>治区文化</w:t>
            </w:r>
          </w:p>
          <w:p w14:paraId="6E0B4DB0">
            <w:pPr>
              <w:pStyle w:val="9"/>
              <w:spacing w:before="23" w:line="229" w:lineRule="auto"/>
              <w:ind w:left="214"/>
              <w:rPr>
                <w:sz w:val="20"/>
                <w:szCs w:val="20"/>
              </w:rPr>
            </w:pPr>
            <w:r>
              <w:rPr>
                <w:spacing w:val="6"/>
                <w:sz w:val="20"/>
                <w:szCs w:val="20"/>
              </w:rPr>
              <w:t>厅（文物</w:t>
            </w:r>
          </w:p>
          <w:p w14:paraId="2FC67447">
            <w:pPr>
              <w:pStyle w:val="9"/>
              <w:spacing w:before="25" w:line="229" w:lineRule="auto"/>
              <w:ind w:left="422"/>
              <w:rPr>
                <w:sz w:val="20"/>
                <w:szCs w:val="20"/>
              </w:rPr>
            </w:pPr>
            <w:r>
              <w:rPr>
                <w:spacing w:val="-1"/>
                <w:sz w:val="20"/>
                <w:szCs w:val="20"/>
              </w:rPr>
              <w:t>局）</w:t>
            </w:r>
          </w:p>
        </w:tc>
        <w:tc>
          <w:tcPr>
            <w:tcW w:w="2097" w:type="dxa"/>
            <w:tcBorders>
              <w:bottom w:val="single" w:color="000000" w:sz="6" w:space="0"/>
            </w:tcBorders>
            <w:vAlign w:val="top"/>
          </w:tcPr>
          <w:p w14:paraId="757D778C">
            <w:pPr>
              <w:pStyle w:val="9"/>
              <w:spacing w:before="44" w:line="228" w:lineRule="auto"/>
              <w:ind w:left="238"/>
              <w:rPr>
                <w:sz w:val="20"/>
                <w:szCs w:val="20"/>
              </w:rPr>
            </w:pPr>
            <w:r>
              <w:rPr>
                <w:spacing w:val="5"/>
                <w:sz w:val="20"/>
                <w:szCs w:val="20"/>
              </w:rPr>
              <w:t>内蒙古自治区文化</w:t>
            </w:r>
          </w:p>
          <w:p w14:paraId="0CA26C99">
            <w:pPr>
              <w:pStyle w:val="9"/>
              <w:spacing w:before="24" w:line="221" w:lineRule="auto"/>
              <w:ind w:left="144"/>
              <w:rPr>
                <w:sz w:val="20"/>
                <w:szCs w:val="20"/>
              </w:rPr>
            </w:pPr>
            <w:r>
              <w:rPr>
                <w:spacing w:val="7"/>
                <w:sz w:val="20"/>
                <w:szCs w:val="20"/>
              </w:rPr>
              <w:t>厅</w:t>
            </w:r>
            <w:r>
              <w:rPr>
                <w:rFonts w:ascii="Times New Roman" w:hAnsi="Times New Roman" w:eastAsia="Times New Roman" w:cs="Times New Roman"/>
                <w:spacing w:val="7"/>
                <w:sz w:val="20"/>
                <w:szCs w:val="20"/>
              </w:rPr>
              <w:t>(</w:t>
            </w:r>
            <w:r>
              <w:rPr>
                <w:spacing w:val="7"/>
                <w:sz w:val="20"/>
                <w:szCs w:val="20"/>
              </w:rPr>
              <w:t>文物局</w:t>
            </w:r>
            <w:r>
              <w:rPr>
                <w:rFonts w:ascii="Times New Roman" w:hAnsi="Times New Roman" w:eastAsia="Times New Roman" w:cs="Times New Roman"/>
                <w:spacing w:val="7"/>
                <w:sz w:val="20"/>
                <w:szCs w:val="20"/>
              </w:rPr>
              <w:t>)</w:t>
            </w:r>
            <w:r>
              <w:rPr>
                <w:spacing w:val="7"/>
                <w:sz w:val="20"/>
                <w:szCs w:val="20"/>
              </w:rPr>
              <w:t>关于内蒙</w:t>
            </w:r>
          </w:p>
          <w:p w14:paraId="65A72CE2">
            <w:pPr>
              <w:pStyle w:val="9"/>
              <w:spacing w:before="31" w:line="228" w:lineRule="auto"/>
              <w:ind w:left="217"/>
              <w:rPr>
                <w:sz w:val="20"/>
                <w:szCs w:val="20"/>
              </w:rPr>
            </w:pPr>
            <w:r>
              <w:rPr>
                <w:spacing w:val="8"/>
                <w:sz w:val="20"/>
                <w:szCs w:val="20"/>
              </w:rPr>
              <w:t>古霍林河循环经济</w:t>
            </w:r>
          </w:p>
          <w:p w14:paraId="51FF0338">
            <w:pPr>
              <w:pStyle w:val="9"/>
              <w:spacing w:before="27" w:line="228" w:lineRule="auto"/>
              <w:ind w:left="158"/>
              <w:rPr>
                <w:sz w:val="20"/>
                <w:szCs w:val="20"/>
              </w:rPr>
            </w:pPr>
            <w:r>
              <w:rPr>
                <w:spacing w:val="4"/>
                <w:sz w:val="20"/>
                <w:szCs w:val="20"/>
              </w:rPr>
              <w:t>示范工程</w:t>
            </w:r>
            <w:r>
              <w:rPr>
                <w:spacing w:val="-28"/>
                <w:sz w:val="20"/>
                <w:szCs w:val="20"/>
              </w:rPr>
              <w:t xml:space="preserve"> </w:t>
            </w:r>
            <w:r>
              <w:rPr>
                <w:rFonts w:ascii="Times New Roman" w:hAnsi="Times New Roman" w:eastAsia="Times New Roman" w:cs="Times New Roman"/>
                <w:spacing w:val="4"/>
                <w:sz w:val="20"/>
                <w:szCs w:val="20"/>
              </w:rPr>
              <w:t>80</w:t>
            </w:r>
            <w:r>
              <w:rPr>
                <w:rFonts w:ascii="Times New Roman" w:hAnsi="Times New Roman" w:eastAsia="Times New Roman" w:cs="Times New Roman"/>
                <w:spacing w:val="17"/>
                <w:w w:val="101"/>
                <w:sz w:val="20"/>
                <w:szCs w:val="20"/>
              </w:rPr>
              <w:t xml:space="preserve"> </w:t>
            </w:r>
            <w:r>
              <w:rPr>
                <w:spacing w:val="4"/>
                <w:sz w:val="20"/>
                <w:szCs w:val="20"/>
              </w:rPr>
              <w:t>万千瓦</w:t>
            </w:r>
          </w:p>
          <w:p w14:paraId="0575BD51">
            <w:pPr>
              <w:pStyle w:val="9"/>
              <w:spacing w:before="26" w:line="228" w:lineRule="auto"/>
              <w:ind w:left="214"/>
              <w:rPr>
                <w:sz w:val="20"/>
                <w:szCs w:val="20"/>
              </w:rPr>
            </w:pPr>
            <w:r>
              <w:rPr>
                <w:spacing w:val="8"/>
                <w:sz w:val="20"/>
                <w:szCs w:val="20"/>
              </w:rPr>
              <w:t>就地消纳风电示范</w:t>
            </w:r>
          </w:p>
          <w:p w14:paraId="3A41FD95">
            <w:pPr>
              <w:pStyle w:val="9"/>
              <w:spacing w:before="24" w:line="228" w:lineRule="auto"/>
              <w:ind w:left="216"/>
              <w:rPr>
                <w:sz w:val="20"/>
                <w:szCs w:val="20"/>
              </w:rPr>
            </w:pPr>
            <w:r>
              <w:rPr>
                <w:spacing w:val="8"/>
                <w:sz w:val="20"/>
                <w:szCs w:val="20"/>
              </w:rPr>
              <w:t>项目建设用地文物</w:t>
            </w:r>
          </w:p>
          <w:p w14:paraId="21E620B3">
            <w:pPr>
              <w:pStyle w:val="9"/>
              <w:spacing w:before="26" w:line="228" w:lineRule="auto"/>
              <w:ind w:left="317"/>
              <w:rPr>
                <w:sz w:val="20"/>
                <w:szCs w:val="20"/>
              </w:rPr>
            </w:pPr>
            <w:r>
              <w:rPr>
                <w:spacing w:val="8"/>
                <w:sz w:val="20"/>
                <w:szCs w:val="20"/>
              </w:rPr>
              <w:t>调查意见的批复</w:t>
            </w:r>
          </w:p>
        </w:tc>
        <w:tc>
          <w:tcPr>
            <w:tcW w:w="3348" w:type="dxa"/>
            <w:tcBorders>
              <w:bottom w:val="single" w:color="000000" w:sz="6" w:space="0"/>
            </w:tcBorders>
            <w:vAlign w:val="top"/>
          </w:tcPr>
          <w:p w14:paraId="4E41C01C">
            <w:pPr>
              <w:spacing w:line="260" w:lineRule="auto"/>
              <w:rPr>
                <w:rFonts w:ascii="Arial"/>
                <w:sz w:val="21"/>
              </w:rPr>
            </w:pPr>
          </w:p>
          <w:p w14:paraId="426F574A">
            <w:pPr>
              <w:spacing w:line="260" w:lineRule="auto"/>
              <w:rPr>
                <w:rFonts w:ascii="Arial"/>
                <w:sz w:val="21"/>
              </w:rPr>
            </w:pPr>
          </w:p>
          <w:p w14:paraId="7CCE02BB">
            <w:pPr>
              <w:pStyle w:val="9"/>
              <w:spacing w:before="65" w:line="252" w:lineRule="auto"/>
              <w:ind w:left="114" w:right="298" w:firstLine="421"/>
              <w:jc w:val="both"/>
              <w:rPr>
                <w:sz w:val="20"/>
                <w:szCs w:val="20"/>
              </w:rPr>
            </w:pPr>
            <w:r>
              <w:rPr>
                <w:spacing w:val="9"/>
                <w:sz w:val="20"/>
                <w:szCs w:val="20"/>
              </w:rPr>
              <w:t>未发现地方及自治区级重点文物保护单位及其他文物遗迹现</w:t>
            </w:r>
            <w:r>
              <w:rPr>
                <w:sz w:val="20"/>
                <w:szCs w:val="20"/>
              </w:rPr>
              <w:t>象</w:t>
            </w:r>
          </w:p>
        </w:tc>
        <w:tc>
          <w:tcPr>
            <w:tcW w:w="1535" w:type="dxa"/>
            <w:tcBorders>
              <w:bottom w:val="single" w:color="000000" w:sz="6" w:space="0"/>
            </w:tcBorders>
            <w:vAlign w:val="top"/>
          </w:tcPr>
          <w:p w14:paraId="131C0512">
            <w:pPr>
              <w:spacing w:line="327" w:lineRule="auto"/>
              <w:rPr>
                <w:rFonts w:ascii="Arial"/>
                <w:sz w:val="21"/>
              </w:rPr>
            </w:pPr>
          </w:p>
          <w:p w14:paraId="53A2511C">
            <w:pPr>
              <w:spacing w:line="328" w:lineRule="auto"/>
              <w:rPr>
                <w:rFonts w:ascii="Arial"/>
                <w:sz w:val="21"/>
              </w:rPr>
            </w:pPr>
          </w:p>
          <w:p w14:paraId="188CE290">
            <w:pPr>
              <w:pStyle w:val="9"/>
              <w:spacing w:before="65" w:line="247" w:lineRule="auto"/>
              <w:ind w:left="217" w:right="191" w:firstLine="167"/>
              <w:rPr>
                <w:sz w:val="20"/>
                <w:szCs w:val="20"/>
              </w:rPr>
            </w:pPr>
            <w:r>
              <w:rPr>
                <w:spacing w:val="1"/>
                <w:sz w:val="20"/>
                <w:szCs w:val="20"/>
              </w:rPr>
              <w:t>内文物发</w:t>
            </w:r>
            <w:r>
              <w:rPr>
                <w:sz w:val="20"/>
                <w:szCs w:val="20"/>
              </w:rPr>
              <w:t xml:space="preserve"> </w:t>
            </w:r>
            <w:r>
              <w:rPr>
                <w:rFonts w:ascii="Times New Roman" w:hAnsi="Times New Roman" w:eastAsia="Times New Roman" w:cs="Times New Roman"/>
                <w:spacing w:val="-1"/>
                <w:sz w:val="20"/>
                <w:szCs w:val="20"/>
              </w:rPr>
              <w:t>[</w:t>
            </w:r>
            <w:r>
              <w:fldChar w:fldCharType="begin"/>
            </w:r>
            <w:r>
              <w:instrText xml:space="preserve"> HYPERLINK \l "bookmark12" </w:instrText>
            </w:r>
            <w:r>
              <w:fldChar w:fldCharType="separate"/>
            </w:r>
            <w:r>
              <w:rPr>
                <w:rFonts w:ascii="Times New Roman" w:hAnsi="Times New Roman" w:eastAsia="Times New Roman" w:cs="Times New Roman"/>
                <w:spacing w:val="-1"/>
                <w:sz w:val="20"/>
                <w:szCs w:val="20"/>
              </w:rPr>
              <w:t>2013</w:t>
            </w:r>
            <w:r>
              <w:rPr>
                <w:rFonts w:ascii="Times New Roman" w:hAnsi="Times New Roman" w:eastAsia="Times New Roman" w:cs="Times New Roman"/>
                <w:spacing w:val="-1"/>
                <w:sz w:val="20"/>
                <w:szCs w:val="20"/>
              </w:rPr>
              <w:fldChar w:fldCharType="end"/>
            </w:r>
            <w:r>
              <w:rPr>
                <w:rFonts w:ascii="Times New Roman" w:hAnsi="Times New Roman" w:eastAsia="Times New Roman" w:cs="Times New Roman"/>
                <w:spacing w:val="-1"/>
                <w:sz w:val="20"/>
                <w:szCs w:val="20"/>
              </w:rPr>
              <w:t>]</w:t>
            </w:r>
            <w:r>
              <w:rPr>
                <w:rFonts w:ascii="Times New Roman" w:hAnsi="Times New Roman" w:eastAsia="Times New Roman" w:cs="Times New Roman"/>
                <w:spacing w:val="-21"/>
                <w:sz w:val="20"/>
                <w:szCs w:val="20"/>
              </w:rPr>
              <w:t xml:space="preserve"> </w:t>
            </w:r>
            <w:r>
              <w:rPr>
                <w:rFonts w:ascii="Times New Roman" w:hAnsi="Times New Roman" w:eastAsia="Times New Roman" w:cs="Times New Roman"/>
                <w:spacing w:val="-1"/>
                <w:sz w:val="20"/>
                <w:szCs w:val="20"/>
              </w:rPr>
              <w:t>186</w:t>
            </w:r>
            <w:r>
              <w:rPr>
                <w:rFonts w:ascii="Times New Roman" w:hAnsi="Times New Roman" w:eastAsia="Times New Roman" w:cs="Times New Roman"/>
                <w:spacing w:val="17"/>
                <w:sz w:val="20"/>
                <w:szCs w:val="20"/>
              </w:rPr>
              <w:t xml:space="preserve"> </w:t>
            </w:r>
            <w:r>
              <w:rPr>
                <w:spacing w:val="-1"/>
                <w:sz w:val="20"/>
                <w:szCs w:val="20"/>
              </w:rPr>
              <w:t>号</w:t>
            </w:r>
          </w:p>
        </w:tc>
        <w:tc>
          <w:tcPr>
            <w:tcW w:w="122" w:type="dxa"/>
            <w:tcBorders>
              <w:top w:val="nil"/>
              <w:bottom w:val="single" w:color="000000" w:sz="6" w:space="0"/>
              <w:right w:val="single" w:color="000000" w:sz="6" w:space="0"/>
            </w:tcBorders>
            <w:vAlign w:val="top"/>
          </w:tcPr>
          <w:p w14:paraId="263D8B75">
            <w:pPr>
              <w:rPr>
                <w:rFonts w:ascii="Arial"/>
                <w:sz w:val="21"/>
              </w:rPr>
            </w:pPr>
          </w:p>
        </w:tc>
      </w:tr>
    </w:tbl>
    <w:p w14:paraId="5AFCC521">
      <w:pPr>
        <w:pStyle w:val="3"/>
      </w:pPr>
    </w:p>
    <w:p w14:paraId="1A470308">
      <w:pPr>
        <w:sectPr>
          <w:footerReference r:id="rId70" w:type="default"/>
          <w:pgSz w:w="11906" w:h="16838"/>
          <w:pgMar w:top="1416" w:right="1151" w:bottom="1295" w:left="1150" w:header="0" w:footer="1133" w:gutter="0"/>
          <w:cols w:space="720" w:num="1"/>
        </w:sectPr>
      </w:pPr>
    </w:p>
    <w:tbl>
      <w:tblPr>
        <w:tblStyle w:val="8"/>
        <w:tblW w:w="9589"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99"/>
        <w:gridCol w:w="113"/>
        <w:gridCol w:w="24"/>
        <w:gridCol w:w="490"/>
        <w:gridCol w:w="343"/>
        <w:gridCol w:w="917"/>
        <w:gridCol w:w="2097"/>
        <w:gridCol w:w="1956"/>
        <w:gridCol w:w="1392"/>
        <w:gridCol w:w="1658"/>
      </w:tblGrid>
      <w:tr w14:paraId="069A38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2" w:hRule="atLeast"/>
        </w:trPr>
        <w:tc>
          <w:tcPr>
            <w:tcW w:w="599" w:type="dxa"/>
            <w:vMerge w:val="restart"/>
            <w:tcBorders>
              <w:top w:val="single" w:color="000000" w:sz="6" w:space="0"/>
              <w:left w:val="single" w:color="000000" w:sz="6" w:space="0"/>
              <w:bottom w:val="nil"/>
            </w:tcBorders>
            <w:vAlign w:val="top"/>
          </w:tcPr>
          <w:p w14:paraId="61876E39">
            <w:pPr>
              <w:rPr>
                <w:rFonts w:ascii="Arial"/>
                <w:sz w:val="21"/>
              </w:rPr>
            </w:pPr>
            <w:r>
              <w:pict>
                <v:shape id="_x0000_s1044" o:spid="_x0000_s1044" style="position:absolute;left:0pt;margin-left:530.1pt;margin-top:717.75pt;height:41.75pt;width:0.5pt;mso-position-horizontal-relative:page;mso-position-vertical-relative:page;z-index:251682816;mso-width-relative:page;mso-height-relative:page;" filled="f" stroked="t" coordsize="10,835" o:allowincell="f" path="m4,0l4,835e">
                  <v:fill on="f" focussize="0,0"/>
                  <v:stroke weight="0.48pt" color="#000000" miterlimit="2" joinstyle="bevel"/>
                  <v:imagedata o:title=""/>
                  <o:lock v:ext="edit"/>
                </v:shape>
              </w:pict>
            </w:r>
            <w:r>
              <w:pict>
                <v:shape id="_x0000_s1045" o:spid="_x0000_s1045" style="position:absolute;left:0pt;margin-left:94.1pt;margin-top:759.5pt;height:0.5pt;width:436.5pt;mso-position-horizontal-relative:page;mso-position-vertical-relative:page;z-index:251680768;mso-width-relative:page;mso-height-relative:page;" filled="f" stroked="t" coordsize="8730,10" o:allowincell="f" path="m0,4l8729,4e">
                  <v:fill on="f" focussize="0,0"/>
                  <v:stroke weight="0.48pt" color="#000000" miterlimit="2" joinstyle="bevel"/>
                  <v:imagedata o:title=""/>
                  <o:lock v:ext="edit"/>
                </v:shape>
              </w:pict>
            </w:r>
            <w:r>
              <w:pict>
                <v:shape id="_x0000_s1046" o:spid="_x0000_s1046" style="position:absolute;left:0pt;margin-left:531.35pt;margin-top:72.3pt;height:575.9pt;width:0.5pt;mso-position-horizontal-relative:page;mso-position-vertical-relative:page;z-index:251681792;mso-width-relative:page;mso-height-relative:page;" filled="f" stroked="t" coordsize="10,11518" o:allowincell="f" path="m4,0l4,11518e">
                  <v:fill on="f" focussize="0,0"/>
                  <v:stroke weight="0.48pt" color="#000000" miterlimit="2" joinstyle="bevel"/>
                  <v:imagedata o:title=""/>
                  <o:lock v:ext="edit"/>
                </v:shape>
              </w:pict>
            </w:r>
          </w:p>
        </w:tc>
        <w:tc>
          <w:tcPr>
            <w:tcW w:w="113" w:type="dxa"/>
            <w:tcBorders>
              <w:top w:val="single" w:color="000000" w:sz="6" w:space="0"/>
              <w:bottom w:val="nil"/>
            </w:tcBorders>
            <w:vAlign w:val="top"/>
          </w:tcPr>
          <w:p w14:paraId="5FC83B2D">
            <w:pPr>
              <w:rPr>
                <w:rFonts w:ascii="Arial"/>
                <w:sz w:val="21"/>
              </w:rPr>
            </w:pPr>
          </w:p>
        </w:tc>
        <w:tc>
          <w:tcPr>
            <w:tcW w:w="514" w:type="dxa"/>
            <w:gridSpan w:val="2"/>
            <w:tcBorders>
              <w:top w:val="single" w:color="000000" w:sz="6" w:space="0"/>
            </w:tcBorders>
            <w:vAlign w:val="top"/>
          </w:tcPr>
          <w:p w14:paraId="5D281C16">
            <w:pPr>
              <w:spacing w:line="351" w:lineRule="auto"/>
              <w:rPr>
                <w:rFonts w:ascii="Arial"/>
                <w:sz w:val="21"/>
              </w:rPr>
            </w:pPr>
          </w:p>
          <w:p w14:paraId="1BDEAE2B">
            <w:pPr>
              <w:spacing w:line="352" w:lineRule="auto"/>
              <w:rPr>
                <w:rFonts w:ascii="Arial"/>
                <w:sz w:val="21"/>
              </w:rPr>
            </w:pPr>
          </w:p>
          <w:p w14:paraId="22EFB10A">
            <w:pPr>
              <w:spacing w:before="58" w:line="192" w:lineRule="auto"/>
              <w:ind w:left="206"/>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260" w:type="dxa"/>
            <w:gridSpan w:val="2"/>
            <w:tcBorders>
              <w:top w:val="single" w:color="000000" w:sz="6" w:space="0"/>
            </w:tcBorders>
            <w:vAlign w:val="top"/>
          </w:tcPr>
          <w:p w14:paraId="07AD0969">
            <w:pPr>
              <w:spacing w:line="384" w:lineRule="auto"/>
              <w:rPr>
                <w:rFonts w:ascii="Arial"/>
                <w:sz w:val="21"/>
              </w:rPr>
            </w:pPr>
          </w:p>
          <w:p w14:paraId="51EFDF0B">
            <w:pPr>
              <w:pStyle w:val="9"/>
              <w:spacing w:before="65" w:line="253" w:lineRule="auto"/>
              <w:ind w:left="216" w:right="214" w:firstLine="20"/>
              <w:jc w:val="both"/>
              <w:rPr>
                <w:sz w:val="20"/>
                <w:szCs w:val="20"/>
              </w:rPr>
            </w:pPr>
            <w:r>
              <w:rPr>
                <w:spacing w:val="1"/>
                <w:sz w:val="20"/>
                <w:szCs w:val="20"/>
              </w:rPr>
              <w:t>内蒙古自</w:t>
            </w:r>
            <w:r>
              <w:rPr>
                <w:spacing w:val="6"/>
                <w:sz w:val="20"/>
                <w:szCs w:val="20"/>
              </w:rPr>
              <w:t>治区环境</w:t>
            </w:r>
            <w:r>
              <w:rPr>
                <w:spacing w:val="39"/>
                <w:sz w:val="20"/>
                <w:szCs w:val="20"/>
              </w:rPr>
              <w:t>保护厅</w:t>
            </w:r>
          </w:p>
        </w:tc>
        <w:tc>
          <w:tcPr>
            <w:tcW w:w="2097" w:type="dxa"/>
            <w:tcBorders>
              <w:top w:val="single" w:color="000000" w:sz="6" w:space="0"/>
            </w:tcBorders>
            <w:vAlign w:val="top"/>
          </w:tcPr>
          <w:p w14:paraId="663162C5">
            <w:pPr>
              <w:pStyle w:val="9"/>
              <w:spacing w:before="45" w:line="228" w:lineRule="auto"/>
              <w:ind w:left="217"/>
              <w:rPr>
                <w:sz w:val="20"/>
                <w:szCs w:val="20"/>
              </w:rPr>
            </w:pPr>
            <w:r>
              <w:rPr>
                <w:spacing w:val="8"/>
                <w:sz w:val="20"/>
                <w:szCs w:val="20"/>
              </w:rPr>
              <w:t>关于对霍林河循环</w:t>
            </w:r>
          </w:p>
          <w:p w14:paraId="33E22D67">
            <w:pPr>
              <w:pStyle w:val="9"/>
              <w:spacing w:before="27" w:line="228" w:lineRule="auto"/>
              <w:ind w:left="160"/>
              <w:rPr>
                <w:sz w:val="20"/>
                <w:szCs w:val="20"/>
              </w:rPr>
            </w:pPr>
            <w:r>
              <w:rPr>
                <w:spacing w:val="5"/>
                <w:sz w:val="20"/>
                <w:szCs w:val="20"/>
              </w:rPr>
              <w:t>经济示范工程</w:t>
            </w:r>
            <w:r>
              <w:rPr>
                <w:spacing w:val="-33"/>
                <w:sz w:val="20"/>
                <w:szCs w:val="20"/>
              </w:rPr>
              <w:t xml:space="preserve"> </w:t>
            </w:r>
            <w:r>
              <w:rPr>
                <w:rFonts w:ascii="Times New Roman" w:hAnsi="Times New Roman" w:eastAsia="Times New Roman" w:cs="Times New Roman"/>
                <w:spacing w:val="5"/>
                <w:sz w:val="20"/>
                <w:szCs w:val="20"/>
              </w:rPr>
              <w:t>80</w:t>
            </w:r>
            <w:r>
              <w:rPr>
                <w:rFonts w:ascii="Times New Roman" w:hAnsi="Times New Roman" w:eastAsia="Times New Roman" w:cs="Times New Roman"/>
                <w:spacing w:val="17"/>
                <w:sz w:val="20"/>
                <w:szCs w:val="20"/>
              </w:rPr>
              <w:t xml:space="preserve"> </w:t>
            </w:r>
            <w:r>
              <w:rPr>
                <w:spacing w:val="5"/>
                <w:sz w:val="20"/>
                <w:szCs w:val="20"/>
              </w:rPr>
              <w:t>万</w:t>
            </w:r>
          </w:p>
          <w:p w14:paraId="44CFC3D1">
            <w:pPr>
              <w:pStyle w:val="9"/>
              <w:spacing w:before="24" w:line="228" w:lineRule="auto"/>
              <w:ind w:left="213"/>
              <w:rPr>
                <w:sz w:val="20"/>
                <w:szCs w:val="20"/>
              </w:rPr>
            </w:pPr>
            <w:r>
              <w:rPr>
                <w:spacing w:val="8"/>
                <w:sz w:val="20"/>
                <w:szCs w:val="20"/>
              </w:rPr>
              <w:t>千瓦就地消纳风电</w:t>
            </w:r>
          </w:p>
          <w:p w14:paraId="5F7A445F">
            <w:pPr>
              <w:pStyle w:val="9"/>
              <w:spacing w:before="26" w:line="228" w:lineRule="auto"/>
              <w:ind w:left="214"/>
              <w:rPr>
                <w:sz w:val="20"/>
                <w:szCs w:val="20"/>
              </w:rPr>
            </w:pPr>
            <w:r>
              <w:rPr>
                <w:spacing w:val="8"/>
                <w:sz w:val="20"/>
                <w:szCs w:val="20"/>
              </w:rPr>
              <w:t>示范项目建设区域</w:t>
            </w:r>
          </w:p>
          <w:p w14:paraId="732842A4">
            <w:pPr>
              <w:pStyle w:val="9"/>
              <w:spacing w:before="24" w:line="228" w:lineRule="auto"/>
              <w:ind w:left="217"/>
              <w:rPr>
                <w:sz w:val="20"/>
                <w:szCs w:val="20"/>
              </w:rPr>
            </w:pPr>
            <w:r>
              <w:rPr>
                <w:spacing w:val="8"/>
                <w:sz w:val="20"/>
                <w:szCs w:val="20"/>
              </w:rPr>
              <w:t>与自然保护区位置</w:t>
            </w:r>
          </w:p>
          <w:p w14:paraId="65A7394E">
            <w:pPr>
              <w:pStyle w:val="9"/>
              <w:spacing w:before="23" w:line="218" w:lineRule="auto"/>
              <w:ind w:left="531"/>
              <w:rPr>
                <w:sz w:val="20"/>
                <w:szCs w:val="20"/>
              </w:rPr>
            </w:pPr>
            <w:r>
              <w:rPr>
                <w:spacing w:val="7"/>
                <w:sz w:val="20"/>
                <w:szCs w:val="20"/>
              </w:rPr>
              <w:t>关系的说明</w:t>
            </w:r>
          </w:p>
        </w:tc>
        <w:tc>
          <w:tcPr>
            <w:tcW w:w="3348" w:type="dxa"/>
            <w:gridSpan w:val="2"/>
            <w:tcBorders>
              <w:top w:val="single" w:color="000000" w:sz="6" w:space="0"/>
            </w:tcBorders>
            <w:vAlign w:val="top"/>
          </w:tcPr>
          <w:p w14:paraId="2DF62A4E">
            <w:pPr>
              <w:pStyle w:val="9"/>
              <w:spacing w:before="182" w:line="252" w:lineRule="auto"/>
              <w:ind w:left="116" w:right="100" w:firstLine="418"/>
              <w:jc w:val="both"/>
              <w:rPr>
                <w:sz w:val="20"/>
                <w:szCs w:val="20"/>
              </w:rPr>
            </w:pPr>
            <w:r>
              <w:rPr>
                <w:spacing w:val="25"/>
                <w:sz w:val="20"/>
                <w:szCs w:val="20"/>
              </w:rPr>
              <w:t>经自治区环境监测中心站核</w:t>
            </w:r>
            <w:r>
              <w:rPr>
                <w:spacing w:val="16"/>
                <w:sz w:val="20"/>
                <w:szCs w:val="20"/>
              </w:rPr>
              <w:t>实，霍林河循环经济示范工程</w:t>
            </w:r>
            <w:r>
              <w:rPr>
                <w:spacing w:val="-17"/>
                <w:sz w:val="20"/>
                <w:szCs w:val="20"/>
              </w:rPr>
              <w:t xml:space="preserve"> </w:t>
            </w:r>
            <w:r>
              <w:rPr>
                <w:rFonts w:ascii="Times New Roman" w:hAnsi="Times New Roman" w:eastAsia="Times New Roman" w:cs="Times New Roman"/>
                <w:spacing w:val="16"/>
                <w:sz w:val="20"/>
                <w:szCs w:val="20"/>
              </w:rPr>
              <w:t>80</w:t>
            </w:r>
            <w:r>
              <w:rPr>
                <w:spacing w:val="18"/>
                <w:sz w:val="20"/>
                <w:szCs w:val="20"/>
              </w:rPr>
              <w:t>万千瓦就地消纳风电示范项</w:t>
            </w:r>
            <w:r>
              <w:rPr>
                <w:spacing w:val="-28"/>
                <w:sz w:val="20"/>
                <w:szCs w:val="20"/>
              </w:rPr>
              <w:t xml:space="preserve"> </w:t>
            </w:r>
            <w:r>
              <w:rPr>
                <w:spacing w:val="18"/>
                <w:sz w:val="20"/>
                <w:szCs w:val="20"/>
              </w:rPr>
              <w:t>目建</w:t>
            </w:r>
            <w:r>
              <w:rPr>
                <w:spacing w:val="8"/>
                <w:sz w:val="20"/>
                <w:szCs w:val="20"/>
              </w:rPr>
              <w:t>设区域不在自然保护区内，距罕山</w:t>
            </w:r>
            <w:r>
              <w:rPr>
                <w:spacing w:val="5"/>
                <w:sz w:val="20"/>
                <w:szCs w:val="20"/>
              </w:rPr>
              <w:t>自然保护区最近距离</w:t>
            </w:r>
            <w:r>
              <w:rPr>
                <w:spacing w:val="-13"/>
                <w:sz w:val="20"/>
                <w:szCs w:val="20"/>
              </w:rPr>
              <w:t xml:space="preserve"> </w:t>
            </w:r>
            <w:r>
              <w:rPr>
                <w:rFonts w:ascii="Times New Roman" w:hAnsi="Times New Roman" w:eastAsia="Times New Roman" w:cs="Times New Roman"/>
                <w:spacing w:val="5"/>
                <w:sz w:val="20"/>
                <w:szCs w:val="20"/>
              </w:rPr>
              <w:t xml:space="preserve">160 </w:t>
            </w:r>
            <w:r>
              <w:rPr>
                <w:spacing w:val="5"/>
                <w:sz w:val="20"/>
                <w:szCs w:val="20"/>
              </w:rPr>
              <w:t>米</w:t>
            </w:r>
          </w:p>
        </w:tc>
        <w:tc>
          <w:tcPr>
            <w:tcW w:w="1658" w:type="dxa"/>
            <w:tcBorders>
              <w:top w:val="single" w:color="000000" w:sz="6" w:space="0"/>
              <w:right w:val="single" w:color="000000" w:sz="6" w:space="0"/>
            </w:tcBorders>
            <w:vAlign w:val="top"/>
          </w:tcPr>
          <w:p w14:paraId="7104ED15">
            <w:pPr>
              <w:spacing w:line="348" w:lineRule="auto"/>
              <w:rPr>
                <w:rFonts w:ascii="Arial"/>
                <w:sz w:val="21"/>
              </w:rPr>
            </w:pPr>
          </w:p>
          <w:p w14:paraId="5440E4E2">
            <w:pPr>
              <w:spacing w:line="349" w:lineRule="auto"/>
              <w:rPr>
                <w:rFonts w:ascii="Arial"/>
                <w:sz w:val="21"/>
              </w:rPr>
            </w:pPr>
          </w:p>
          <w:p w14:paraId="45F51431">
            <w:pPr>
              <w:spacing w:before="57" w:line="199" w:lineRule="auto"/>
              <w:ind w:left="74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4C2F8D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599" w:type="dxa"/>
            <w:vMerge w:val="continue"/>
            <w:tcBorders>
              <w:top w:val="nil"/>
              <w:left w:val="single" w:color="000000" w:sz="6" w:space="0"/>
              <w:bottom w:val="nil"/>
            </w:tcBorders>
            <w:vAlign w:val="top"/>
          </w:tcPr>
          <w:p w14:paraId="7E3B2E6A">
            <w:pPr>
              <w:rPr>
                <w:rFonts w:ascii="Arial"/>
                <w:sz w:val="21"/>
              </w:rPr>
            </w:pPr>
          </w:p>
        </w:tc>
        <w:tc>
          <w:tcPr>
            <w:tcW w:w="113" w:type="dxa"/>
            <w:tcBorders>
              <w:top w:val="nil"/>
              <w:bottom w:val="nil"/>
            </w:tcBorders>
            <w:vAlign w:val="top"/>
          </w:tcPr>
          <w:p w14:paraId="1DD6165B">
            <w:pPr>
              <w:rPr>
                <w:rFonts w:ascii="Arial"/>
                <w:sz w:val="21"/>
              </w:rPr>
            </w:pPr>
          </w:p>
        </w:tc>
        <w:tc>
          <w:tcPr>
            <w:tcW w:w="8877" w:type="dxa"/>
            <w:gridSpan w:val="8"/>
            <w:tcBorders>
              <w:right w:val="single" w:color="000000" w:sz="6" w:space="0"/>
            </w:tcBorders>
            <w:vAlign w:val="top"/>
          </w:tcPr>
          <w:p w14:paraId="402F98FC">
            <w:pPr>
              <w:pStyle w:val="9"/>
              <w:spacing w:before="32" w:line="216" w:lineRule="auto"/>
              <w:ind w:left="1467"/>
              <w:rPr>
                <w:sz w:val="20"/>
                <w:szCs w:val="20"/>
              </w:rPr>
            </w:pPr>
            <w:r>
              <w:rPr>
                <w:spacing w:val="8"/>
                <w:sz w:val="20"/>
                <w:szCs w:val="20"/>
              </w:rPr>
              <w:t>《霍林河循环经济示范工程续建（第五期）</w:t>
            </w:r>
            <w:r>
              <w:rPr>
                <w:rFonts w:ascii="Times New Roman" w:hAnsi="Times New Roman" w:eastAsia="Times New Roman" w:cs="Times New Roman"/>
                <w:spacing w:val="8"/>
                <w:sz w:val="20"/>
                <w:szCs w:val="20"/>
              </w:rPr>
              <w:t>200</w:t>
            </w:r>
            <w:r>
              <w:rPr>
                <w:rFonts w:ascii="Times New Roman" w:hAnsi="Times New Roman" w:eastAsia="Times New Roman" w:cs="Times New Roman"/>
                <w:sz w:val="20"/>
                <w:szCs w:val="20"/>
              </w:rPr>
              <w:t>MW</w:t>
            </w:r>
            <w:r>
              <w:rPr>
                <w:rFonts w:ascii="Times New Roman" w:hAnsi="Times New Roman" w:eastAsia="Times New Roman" w:cs="Times New Roman"/>
                <w:spacing w:val="8"/>
                <w:sz w:val="20"/>
                <w:szCs w:val="20"/>
              </w:rPr>
              <w:t xml:space="preserve">  </w:t>
            </w:r>
            <w:r>
              <w:rPr>
                <w:spacing w:val="8"/>
                <w:sz w:val="20"/>
                <w:szCs w:val="20"/>
              </w:rPr>
              <w:t>风电项目》</w:t>
            </w:r>
          </w:p>
        </w:tc>
      </w:tr>
      <w:tr w14:paraId="17A9B2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7" w:hRule="atLeast"/>
        </w:trPr>
        <w:tc>
          <w:tcPr>
            <w:tcW w:w="599" w:type="dxa"/>
            <w:vMerge w:val="continue"/>
            <w:tcBorders>
              <w:top w:val="nil"/>
              <w:left w:val="single" w:color="000000" w:sz="6" w:space="0"/>
              <w:bottom w:val="nil"/>
            </w:tcBorders>
            <w:vAlign w:val="top"/>
          </w:tcPr>
          <w:p w14:paraId="64413635">
            <w:pPr>
              <w:rPr>
                <w:rFonts w:ascii="Arial"/>
                <w:sz w:val="21"/>
              </w:rPr>
            </w:pPr>
          </w:p>
        </w:tc>
        <w:tc>
          <w:tcPr>
            <w:tcW w:w="113" w:type="dxa"/>
            <w:tcBorders>
              <w:top w:val="nil"/>
              <w:bottom w:val="nil"/>
            </w:tcBorders>
            <w:vAlign w:val="top"/>
          </w:tcPr>
          <w:p w14:paraId="4E142A26">
            <w:pPr>
              <w:rPr>
                <w:rFonts w:ascii="Arial"/>
                <w:sz w:val="21"/>
              </w:rPr>
            </w:pPr>
          </w:p>
        </w:tc>
        <w:tc>
          <w:tcPr>
            <w:tcW w:w="514" w:type="dxa"/>
            <w:gridSpan w:val="2"/>
            <w:vAlign w:val="top"/>
          </w:tcPr>
          <w:p w14:paraId="4E4E62A0">
            <w:pPr>
              <w:spacing w:line="344" w:lineRule="auto"/>
              <w:rPr>
                <w:rFonts w:ascii="Arial"/>
                <w:sz w:val="21"/>
              </w:rPr>
            </w:pPr>
          </w:p>
          <w:p w14:paraId="1268E684">
            <w:pPr>
              <w:spacing w:line="345" w:lineRule="auto"/>
              <w:rPr>
                <w:rFonts w:ascii="Arial"/>
                <w:sz w:val="21"/>
              </w:rPr>
            </w:pPr>
          </w:p>
          <w:p w14:paraId="132D13A9">
            <w:pPr>
              <w:spacing w:before="57" w:line="195" w:lineRule="auto"/>
              <w:ind w:left="220"/>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260" w:type="dxa"/>
            <w:gridSpan w:val="2"/>
            <w:vAlign w:val="top"/>
          </w:tcPr>
          <w:p w14:paraId="7E0A570D">
            <w:pPr>
              <w:spacing w:line="255" w:lineRule="auto"/>
              <w:rPr>
                <w:rFonts w:ascii="Arial"/>
                <w:sz w:val="21"/>
              </w:rPr>
            </w:pPr>
          </w:p>
          <w:p w14:paraId="01682C78">
            <w:pPr>
              <w:spacing w:line="256" w:lineRule="auto"/>
              <w:rPr>
                <w:rFonts w:ascii="Arial"/>
                <w:sz w:val="21"/>
              </w:rPr>
            </w:pPr>
          </w:p>
          <w:p w14:paraId="2E0E6D1D">
            <w:pPr>
              <w:pStyle w:val="9"/>
              <w:spacing w:before="65" w:line="252" w:lineRule="auto"/>
              <w:ind w:left="211" w:right="214"/>
              <w:rPr>
                <w:sz w:val="20"/>
                <w:szCs w:val="20"/>
              </w:rPr>
            </w:pPr>
            <w:r>
              <w:rPr>
                <w:spacing w:val="7"/>
                <w:sz w:val="20"/>
                <w:szCs w:val="20"/>
              </w:rPr>
              <w:t>通辽市自然资源局</w:t>
            </w:r>
          </w:p>
        </w:tc>
        <w:tc>
          <w:tcPr>
            <w:tcW w:w="2097" w:type="dxa"/>
            <w:vAlign w:val="top"/>
          </w:tcPr>
          <w:p w14:paraId="2C480D0A">
            <w:pPr>
              <w:pStyle w:val="9"/>
              <w:spacing w:before="170" w:line="228" w:lineRule="auto"/>
              <w:ind w:left="217"/>
              <w:rPr>
                <w:sz w:val="20"/>
                <w:szCs w:val="20"/>
              </w:rPr>
            </w:pPr>
            <w:r>
              <w:rPr>
                <w:spacing w:val="8"/>
                <w:sz w:val="20"/>
                <w:szCs w:val="20"/>
              </w:rPr>
              <w:t>关于霍林河循环经</w:t>
            </w:r>
          </w:p>
          <w:p w14:paraId="664C74A4">
            <w:pPr>
              <w:pStyle w:val="9"/>
              <w:spacing w:before="24" w:line="221" w:lineRule="auto"/>
              <w:ind w:left="178"/>
              <w:rPr>
                <w:sz w:val="20"/>
                <w:szCs w:val="20"/>
              </w:rPr>
            </w:pPr>
            <w:r>
              <w:rPr>
                <w:spacing w:val="7"/>
                <w:sz w:val="20"/>
                <w:szCs w:val="20"/>
              </w:rPr>
              <w:t>济示范工程续建</w:t>
            </w:r>
            <w:r>
              <w:rPr>
                <w:rFonts w:ascii="Times New Roman" w:hAnsi="Times New Roman" w:eastAsia="Times New Roman" w:cs="Times New Roman"/>
                <w:spacing w:val="7"/>
                <w:sz w:val="20"/>
                <w:szCs w:val="20"/>
              </w:rPr>
              <w:t>(</w:t>
            </w:r>
            <w:r>
              <w:rPr>
                <w:spacing w:val="7"/>
                <w:sz w:val="20"/>
                <w:szCs w:val="20"/>
              </w:rPr>
              <w:t>第</w:t>
            </w:r>
          </w:p>
          <w:p w14:paraId="2123647D">
            <w:pPr>
              <w:pStyle w:val="9"/>
              <w:spacing w:before="31" w:line="221" w:lineRule="auto"/>
              <w:ind w:left="121"/>
              <w:rPr>
                <w:sz w:val="20"/>
                <w:szCs w:val="20"/>
              </w:rPr>
            </w:pPr>
            <w:r>
              <w:rPr>
                <w:spacing w:val="7"/>
                <w:sz w:val="20"/>
                <w:szCs w:val="20"/>
              </w:rPr>
              <w:t>五期</w:t>
            </w:r>
            <w:r>
              <w:rPr>
                <w:rFonts w:ascii="Times New Roman" w:hAnsi="Times New Roman" w:eastAsia="Times New Roman" w:cs="Times New Roman"/>
                <w:spacing w:val="7"/>
                <w:sz w:val="20"/>
                <w:szCs w:val="20"/>
              </w:rPr>
              <w:t>)200</w:t>
            </w:r>
            <w:r>
              <w:rPr>
                <w:rFonts w:ascii="Times New Roman" w:hAnsi="Times New Roman" w:eastAsia="Times New Roman" w:cs="Times New Roman"/>
                <w:sz w:val="20"/>
                <w:szCs w:val="20"/>
              </w:rPr>
              <w:t>MW</w:t>
            </w:r>
            <w:r>
              <w:rPr>
                <w:rFonts w:ascii="Times New Roman" w:hAnsi="Times New Roman" w:eastAsia="Times New Roman" w:cs="Times New Roman"/>
                <w:spacing w:val="7"/>
                <w:sz w:val="20"/>
                <w:szCs w:val="20"/>
              </w:rPr>
              <w:t xml:space="preserve"> </w:t>
            </w:r>
            <w:r>
              <w:rPr>
                <w:spacing w:val="7"/>
                <w:sz w:val="20"/>
                <w:szCs w:val="20"/>
              </w:rPr>
              <w:t>风电项</w:t>
            </w:r>
          </w:p>
          <w:p w14:paraId="5FCB2948">
            <w:pPr>
              <w:pStyle w:val="9"/>
              <w:spacing w:before="34" w:line="228" w:lineRule="auto"/>
              <w:ind w:left="253"/>
              <w:rPr>
                <w:sz w:val="20"/>
                <w:szCs w:val="20"/>
              </w:rPr>
            </w:pPr>
            <w:r>
              <w:rPr>
                <w:spacing w:val="3"/>
                <w:sz w:val="20"/>
                <w:szCs w:val="20"/>
              </w:rPr>
              <w:t>目用地预审与选址</w:t>
            </w:r>
          </w:p>
          <w:p w14:paraId="239CDC0F">
            <w:pPr>
              <w:pStyle w:val="9"/>
              <w:spacing w:before="23" w:line="227" w:lineRule="auto"/>
              <w:ind w:left="428"/>
              <w:rPr>
                <w:sz w:val="20"/>
                <w:szCs w:val="20"/>
              </w:rPr>
            </w:pPr>
            <w:r>
              <w:rPr>
                <w:spacing w:val="7"/>
                <w:sz w:val="20"/>
                <w:szCs w:val="20"/>
              </w:rPr>
              <w:t>意见书的批复</w:t>
            </w:r>
          </w:p>
        </w:tc>
        <w:tc>
          <w:tcPr>
            <w:tcW w:w="3348" w:type="dxa"/>
            <w:gridSpan w:val="2"/>
            <w:vAlign w:val="top"/>
          </w:tcPr>
          <w:p w14:paraId="5743C50E">
            <w:pPr>
              <w:pStyle w:val="9"/>
              <w:spacing w:before="34" w:line="245" w:lineRule="auto"/>
              <w:ind w:left="113" w:right="50" w:firstLine="423"/>
              <w:jc w:val="both"/>
              <w:rPr>
                <w:sz w:val="20"/>
                <w:szCs w:val="20"/>
              </w:rPr>
            </w:pPr>
            <w:r>
              <w:rPr>
                <w:spacing w:val="13"/>
                <w:sz w:val="20"/>
                <w:szCs w:val="20"/>
              </w:rPr>
              <w:t>该项</w:t>
            </w:r>
            <w:r>
              <w:rPr>
                <w:spacing w:val="-26"/>
                <w:sz w:val="20"/>
                <w:szCs w:val="20"/>
              </w:rPr>
              <w:t xml:space="preserve"> </w:t>
            </w:r>
            <w:r>
              <w:rPr>
                <w:spacing w:val="13"/>
                <w:sz w:val="20"/>
                <w:szCs w:val="20"/>
              </w:rPr>
              <w:t>目拟用地总面积</w:t>
            </w:r>
            <w:r>
              <w:rPr>
                <w:spacing w:val="-16"/>
                <w:sz w:val="20"/>
                <w:szCs w:val="20"/>
              </w:rPr>
              <w:t xml:space="preserve"> </w:t>
            </w:r>
            <w:r>
              <w:rPr>
                <w:rFonts w:ascii="Times New Roman" w:hAnsi="Times New Roman" w:eastAsia="Times New Roman" w:cs="Times New Roman"/>
                <w:spacing w:val="13"/>
                <w:sz w:val="20"/>
                <w:szCs w:val="20"/>
              </w:rPr>
              <w:t>6.9425</w:t>
            </w:r>
            <w:r>
              <w:rPr>
                <w:spacing w:val="32"/>
                <w:sz w:val="20"/>
                <w:szCs w:val="20"/>
              </w:rPr>
              <w:t>公顷</w:t>
            </w:r>
            <w:r>
              <w:rPr>
                <w:spacing w:val="-42"/>
                <w:sz w:val="20"/>
                <w:szCs w:val="20"/>
              </w:rPr>
              <w:t xml:space="preserve"> </w:t>
            </w:r>
            <w:r>
              <w:rPr>
                <w:spacing w:val="32"/>
                <w:sz w:val="20"/>
                <w:szCs w:val="20"/>
              </w:rPr>
              <w:t>，</w:t>
            </w:r>
            <w:r>
              <w:rPr>
                <w:spacing w:val="-49"/>
                <w:sz w:val="20"/>
                <w:szCs w:val="20"/>
              </w:rPr>
              <w:t xml:space="preserve"> </w:t>
            </w:r>
            <w:r>
              <w:rPr>
                <w:spacing w:val="32"/>
                <w:sz w:val="20"/>
                <w:szCs w:val="20"/>
              </w:rPr>
              <w:t>土地利用现状为农用地</w:t>
            </w:r>
            <w:r>
              <w:rPr>
                <w:rFonts w:ascii="Times New Roman" w:hAnsi="Times New Roman" w:eastAsia="Times New Roman" w:cs="Times New Roman"/>
                <w:spacing w:val="-3"/>
                <w:sz w:val="20"/>
                <w:szCs w:val="20"/>
              </w:rPr>
              <w:t xml:space="preserve">5.5270  </w:t>
            </w:r>
            <w:r>
              <w:rPr>
                <w:spacing w:val="-3"/>
                <w:sz w:val="20"/>
                <w:szCs w:val="20"/>
              </w:rPr>
              <w:t>公</w:t>
            </w:r>
            <w:r>
              <w:rPr>
                <w:spacing w:val="-22"/>
                <w:sz w:val="20"/>
                <w:szCs w:val="20"/>
              </w:rPr>
              <w:t xml:space="preserve"> </w:t>
            </w:r>
            <w:r>
              <w:rPr>
                <w:spacing w:val="-3"/>
                <w:sz w:val="20"/>
                <w:szCs w:val="20"/>
              </w:rPr>
              <w:t>顷</w:t>
            </w:r>
            <w:r>
              <w:rPr>
                <w:spacing w:val="-32"/>
                <w:sz w:val="20"/>
                <w:szCs w:val="20"/>
              </w:rPr>
              <w:t xml:space="preserve"> </w:t>
            </w:r>
            <w:r>
              <w:rPr>
                <w:spacing w:val="-3"/>
                <w:sz w:val="20"/>
                <w:szCs w:val="20"/>
              </w:rPr>
              <w:t>，</w:t>
            </w:r>
            <w:r>
              <w:rPr>
                <w:spacing w:val="-44"/>
                <w:sz w:val="20"/>
                <w:szCs w:val="20"/>
              </w:rPr>
              <w:t xml:space="preserve"> </w:t>
            </w:r>
            <w:r>
              <w:rPr>
                <w:spacing w:val="-3"/>
                <w:sz w:val="20"/>
                <w:szCs w:val="20"/>
              </w:rPr>
              <w:t>其</w:t>
            </w:r>
            <w:r>
              <w:rPr>
                <w:spacing w:val="-29"/>
                <w:sz w:val="20"/>
                <w:szCs w:val="20"/>
              </w:rPr>
              <w:t xml:space="preserve"> </w:t>
            </w:r>
            <w:r>
              <w:rPr>
                <w:spacing w:val="-3"/>
                <w:sz w:val="20"/>
                <w:szCs w:val="20"/>
              </w:rPr>
              <w:t>中</w:t>
            </w:r>
            <w:r>
              <w:rPr>
                <w:spacing w:val="-47"/>
                <w:sz w:val="20"/>
                <w:szCs w:val="20"/>
              </w:rPr>
              <w:t xml:space="preserve"> </w:t>
            </w:r>
            <w:r>
              <w:rPr>
                <w:spacing w:val="-3"/>
                <w:sz w:val="20"/>
                <w:szCs w:val="20"/>
              </w:rPr>
              <w:t>天</w:t>
            </w:r>
            <w:r>
              <w:rPr>
                <w:spacing w:val="-48"/>
                <w:sz w:val="20"/>
                <w:szCs w:val="20"/>
              </w:rPr>
              <w:t xml:space="preserve"> </w:t>
            </w:r>
            <w:r>
              <w:rPr>
                <w:spacing w:val="-3"/>
                <w:sz w:val="20"/>
                <w:szCs w:val="20"/>
              </w:rPr>
              <w:t>然</w:t>
            </w:r>
            <w:r>
              <w:rPr>
                <w:spacing w:val="-51"/>
                <w:sz w:val="20"/>
                <w:szCs w:val="20"/>
              </w:rPr>
              <w:t xml:space="preserve"> </w:t>
            </w:r>
            <w:r>
              <w:rPr>
                <w:spacing w:val="-3"/>
                <w:sz w:val="20"/>
                <w:szCs w:val="20"/>
              </w:rPr>
              <w:t>牧</w:t>
            </w:r>
            <w:r>
              <w:rPr>
                <w:spacing w:val="-47"/>
                <w:sz w:val="20"/>
                <w:szCs w:val="20"/>
              </w:rPr>
              <w:t xml:space="preserve"> </w:t>
            </w:r>
            <w:r>
              <w:rPr>
                <w:spacing w:val="-3"/>
                <w:sz w:val="20"/>
                <w:szCs w:val="20"/>
              </w:rPr>
              <w:t>草</w:t>
            </w:r>
            <w:r>
              <w:rPr>
                <w:spacing w:val="-49"/>
                <w:sz w:val="20"/>
                <w:szCs w:val="20"/>
              </w:rPr>
              <w:t xml:space="preserve"> </w:t>
            </w:r>
            <w:r>
              <w:rPr>
                <w:spacing w:val="-3"/>
                <w:sz w:val="20"/>
                <w:szCs w:val="20"/>
              </w:rPr>
              <w:t>地</w:t>
            </w:r>
            <w:r>
              <w:rPr>
                <w:rFonts w:ascii="Times New Roman" w:hAnsi="Times New Roman" w:eastAsia="Times New Roman" w:cs="Times New Roman"/>
                <w:spacing w:val="-1"/>
                <w:sz w:val="20"/>
                <w:szCs w:val="20"/>
              </w:rPr>
              <w:t xml:space="preserve">5.4523 </w:t>
            </w:r>
            <w:r>
              <w:rPr>
                <w:spacing w:val="-1"/>
                <w:sz w:val="20"/>
                <w:szCs w:val="20"/>
              </w:rPr>
              <w:t>公顷、农村道路</w:t>
            </w:r>
            <w:r>
              <w:rPr>
                <w:rFonts w:ascii="Times New Roman" w:hAnsi="Times New Roman" w:eastAsia="Times New Roman" w:cs="Times New Roman"/>
                <w:spacing w:val="-1"/>
                <w:sz w:val="20"/>
                <w:szCs w:val="20"/>
              </w:rPr>
              <w:t xml:space="preserve">0.0747 </w:t>
            </w:r>
            <w:r>
              <w:rPr>
                <w:spacing w:val="-1"/>
                <w:sz w:val="20"/>
                <w:szCs w:val="20"/>
              </w:rPr>
              <w:t>公顷；</w:t>
            </w:r>
            <w:r>
              <w:rPr>
                <w:spacing w:val="1"/>
                <w:sz w:val="20"/>
                <w:szCs w:val="20"/>
              </w:rPr>
              <w:t>未利用地</w:t>
            </w:r>
            <w:r>
              <w:rPr>
                <w:spacing w:val="-7"/>
                <w:sz w:val="20"/>
                <w:szCs w:val="20"/>
              </w:rPr>
              <w:t xml:space="preserve"> </w:t>
            </w:r>
            <w:r>
              <w:rPr>
                <w:rFonts w:ascii="Times New Roman" w:hAnsi="Times New Roman" w:eastAsia="Times New Roman" w:cs="Times New Roman"/>
                <w:spacing w:val="1"/>
                <w:sz w:val="20"/>
                <w:szCs w:val="20"/>
              </w:rPr>
              <w:t>1.4155</w:t>
            </w:r>
            <w:r>
              <w:rPr>
                <w:rFonts w:ascii="Times New Roman" w:hAnsi="Times New Roman" w:eastAsia="Times New Roman" w:cs="Times New Roman"/>
                <w:spacing w:val="16"/>
                <w:w w:val="101"/>
                <w:sz w:val="20"/>
                <w:szCs w:val="20"/>
              </w:rPr>
              <w:t xml:space="preserve"> </w:t>
            </w:r>
            <w:r>
              <w:rPr>
                <w:spacing w:val="1"/>
                <w:sz w:val="20"/>
                <w:szCs w:val="20"/>
              </w:rPr>
              <w:t>公顷，其中其他草</w:t>
            </w:r>
            <w:r>
              <w:rPr>
                <w:spacing w:val="3"/>
                <w:sz w:val="20"/>
                <w:szCs w:val="20"/>
              </w:rPr>
              <w:t>地</w:t>
            </w:r>
            <w:r>
              <w:rPr>
                <w:spacing w:val="-23"/>
                <w:sz w:val="20"/>
                <w:szCs w:val="20"/>
              </w:rPr>
              <w:t xml:space="preserve"> </w:t>
            </w:r>
            <w:r>
              <w:rPr>
                <w:rFonts w:ascii="Times New Roman" w:hAnsi="Times New Roman" w:eastAsia="Times New Roman" w:cs="Times New Roman"/>
                <w:spacing w:val="3"/>
                <w:sz w:val="20"/>
                <w:szCs w:val="20"/>
              </w:rPr>
              <w:t>1.3156</w:t>
            </w:r>
            <w:r>
              <w:rPr>
                <w:rFonts w:ascii="Times New Roman" w:hAnsi="Times New Roman" w:eastAsia="Times New Roman" w:cs="Times New Roman"/>
                <w:spacing w:val="18"/>
                <w:w w:val="101"/>
                <w:sz w:val="20"/>
                <w:szCs w:val="20"/>
              </w:rPr>
              <w:t xml:space="preserve"> </w:t>
            </w:r>
            <w:r>
              <w:rPr>
                <w:spacing w:val="3"/>
                <w:sz w:val="20"/>
                <w:szCs w:val="20"/>
              </w:rPr>
              <w:t>公顷、沙地</w:t>
            </w:r>
            <w:r>
              <w:rPr>
                <w:spacing w:val="-40"/>
                <w:sz w:val="20"/>
                <w:szCs w:val="20"/>
              </w:rPr>
              <w:t xml:space="preserve"> </w:t>
            </w:r>
            <w:r>
              <w:rPr>
                <w:rFonts w:ascii="Times New Roman" w:hAnsi="Times New Roman" w:eastAsia="Times New Roman" w:cs="Times New Roman"/>
                <w:spacing w:val="3"/>
                <w:sz w:val="20"/>
                <w:szCs w:val="20"/>
              </w:rPr>
              <w:t>0.0999</w:t>
            </w:r>
            <w:r>
              <w:rPr>
                <w:rFonts w:ascii="Times New Roman" w:hAnsi="Times New Roman" w:eastAsia="Times New Roman" w:cs="Times New Roman"/>
                <w:spacing w:val="18"/>
                <w:w w:val="101"/>
                <w:sz w:val="20"/>
                <w:szCs w:val="20"/>
              </w:rPr>
              <w:t xml:space="preserve"> </w:t>
            </w:r>
            <w:r>
              <w:rPr>
                <w:spacing w:val="3"/>
                <w:sz w:val="20"/>
                <w:szCs w:val="20"/>
              </w:rPr>
              <w:t>公顷</w:t>
            </w:r>
          </w:p>
        </w:tc>
        <w:tc>
          <w:tcPr>
            <w:tcW w:w="1658" w:type="dxa"/>
            <w:tcBorders>
              <w:right w:val="single" w:color="000000" w:sz="6" w:space="0"/>
            </w:tcBorders>
            <w:vAlign w:val="top"/>
          </w:tcPr>
          <w:p w14:paraId="3E6598AA">
            <w:pPr>
              <w:spacing w:line="255" w:lineRule="auto"/>
              <w:rPr>
                <w:rFonts w:ascii="Arial"/>
                <w:sz w:val="21"/>
              </w:rPr>
            </w:pPr>
          </w:p>
          <w:p w14:paraId="281B2AEA">
            <w:pPr>
              <w:spacing w:line="255" w:lineRule="auto"/>
              <w:rPr>
                <w:rFonts w:ascii="Arial"/>
                <w:sz w:val="21"/>
              </w:rPr>
            </w:pPr>
          </w:p>
          <w:p w14:paraId="523624B6">
            <w:pPr>
              <w:pStyle w:val="9"/>
              <w:spacing w:before="65" w:line="247" w:lineRule="auto"/>
              <w:ind w:left="273" w:right="248" w:hanging="124"/>
              <w:rPr>
                <w:sz w:val="20"/>
                <w:szCs w:val="20"/>
              </w:rPr>
            </w:pPr>
            <w:r>
              <w:rPr>
                <w:spacing w:val="8"/>
                <w:sz w:val="20"/>
                <w:szCs w:val="20"/>
              </w:rPr>
              <w:t>通自然预审字</w:t>
            </w:r>
            <w:r>
              <w:rPr>
                <w:rFonts w:ascii="Times New Roman" w:hAnsi="Times New Roman" w:eastAsia="Times New Roman" w:cs="Times New Roman"/>
                <w:spacing w:val="2"/>
                <w:sz w:val="20"/>
                <w:szCs w:val="20"/>
              </w:rPr>
              <w:t>[</w:t>
            </w:r>
            <w:r>
              <w:fldChar w:fldCharType="begin"/>
            </w:r>
            <w:r>
              <w:instrText xml:space="preserve"> HYPERLINK \l "bookmark13" </w:instrText>
            </w:r>
            <w:r>
              <w:fldChar w:fldCharType="separate"/>
            </w:r>
            <w:r>
              <w:rPr>
                <w:rFonts w:ascii="Times New Roman" w:hAnsi="Times New Roman" w:eastAsia="Times New Roman" w:cs="Times New Roman"/>
                <w:spacing w:val="2"/>
                <w:sz w:val="20"/>
                <w:szCs w:val="20"/>
              </w:rPr>
              <w:t>2021</w:t>
            </w:r>
            <w:r>
              <w:rPr>
                <w:rFonts w:ascii="Times New Roman" w:hAnsi="Times New Roman" w:eastAsia="Times New Roman" w:cs="Times New Roman"/>
                <w:spacing w:val="2"/>
                <w:sz w:val="20"/>
                <w:szCs w:val="20"/>
              </w:rPr>
              <w:fldChar w:fldCharType="end"/>
            </w:r>
            <w:r>
              <w:rPr>
                <w:rFonts w:ascii="Times New Roman" w:hAnsi="Times New Roman" w:eastAsia="Times New Roman" w:cs="Times New Roman"/>
                <w:spacing w:val="2"/>
                <w:sz w:val="20"/>
                <w:szCs w:val="20"/>
              </w:rPr>
              <w:t>]31</w:t>
            </w:r>
            <w:r>
              <w:rPr>
                <w:rFonts w:ascii="Times New Roman" w:hAnsi="Times New Roman" w:eastAsia="Times New Roman" w:cs="Times New Roman"/>
                <w:spacing w:val="14"/>
                <w:w w:val="101"/>
                <w:sz w:val="20"/>
                <w:szCs w:val="20"/>
              </w:rPr>
              <w:t xml:space="preserve"> </w:t>
            </w:r>
            <w:r>
              <w:rPr>
                <w:spacing w:val="2"/>
                <w:sz w:val="20"/>
                <w:szCs w:val="20"/>
              </w:rPr>
              <w:t>号</w:t>
            </w:r>
          </w:p>
        </w:tc>
      </w:tr>
      <w:tr w14:paraId="7487E4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599" w:type="dxa"/>
            <w:vMerge w:val="continue"/>
            <w:tcBorders>
              <w:top w:val="nil"/>
              <w:left w:val="single" w:color="000000" w:sz="6" w:space="0"/>
              <w:bottom w:val="nil"/>
            </w:tcBorders>
            <w:vAlign w:val="top"/>
          </w:tcPr>
          <w:p w14:paraId="7C48AB6C">
            <w:pPr>
              <w:rPr>
                <w:rFonts w:ascii="Arial"/>
                <w:sz w:val="21"/>
              </w:rPr>
            </w:pPr>
          </w:p>
        </w:tc>
        <w:tc>
          <w:tcPr>
            <w:tcW w:w="113" w:type="dxa"/>
            <w:tcBorders>
              <w:top w:val="nil"/>
              <w:bottom w:val="nil"/>
            </w:tcBorders>
            <w:vAlign w:val="top"/>
          </w:tcPr>
          <w:p w14:paraId="5C7024A8">
            <w:pPr>
              <w:rPr>
                <w:rFonts w:ascii="Arial"/>
                <w:sz w:val="21"/>
              </w:rPr>
            </w:pPr>
          </w:p>
        </w:tc>
        <w:tc>
          <w:tcPr>
            <w:tcW w:w="514" w:type="dxa"/>
            <w:gridSpan w:val="2"/>
            <w:vAlign w:val="top"/>
          </w:tcPr>
          <w:p w14:paraId="0AFE2461">
            <w:pPr>
              <w:spacing w:line="345" w:lineRule="auto"/>
              <w:rPr>
                <w:rFonts w:ascii="Arial"/>
                <w:sz w:val="21"/>
              </w:rPr>
            </w:pPr>
          </w:p>
          <w:p w14:paraId="5734B2BB">
            <w:pPr>
              <w:spacing w:line="346" w:lineRule="auto"/>
              <w:rPr>
                <w:rFonts w:ascii="Arial"/>
                <w:sz w:val="21"/>
              </w:rPr>
            </w:pPr>
          </w:p>
          <w:p w14:paraId="62E3B825">
            <w:pPr>
              <w:spacing w:before="57" w:line="195" w:lineRule="auto"/>
              <w:ind w:left="200"/>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260" w:type="dxa"/>
            <w:gridSpan w:val="2"/>
            <w:vAlign w:val="top"/>
          </w:tcPr>
          <w:p w14:paraId="54A2B50B">
            <w:pPr>
              <w:spacing w:line="375" w:lineRule="auto"/>
              <w:rPr>
                <w:rFonts w:ascii="Arial"/>
                <w:sz w:val="21"/>
              </w:rPr>
            </w:pPr>
          </w:p>
          <w:p w14:paraId="50B3BDE7">
            <w:pPr>
              <w:pStyle w:val="9"/>
              <w:spacing w:before="65" w:line="228" w:lineRule="auto"/>
              <w:ind w:left="213"/>
              <w:rPr>
                <w:sz w:val="20"/>
                <w:szCs w:val="20"/>
              </w:rPr>
            </w:pPr>
            <w:r>
              <w:rPr>
                <w:spacing w:val="6"/>
                <w:sz w:val="20"/>
                <w:szCs w:val="20"/>
              </w:rPr>
              <w:t>扎鲁特旗</w:t>
            </w:r>
          </w:p>
          <w:p w14:paraId="60FA2E17">
            <w:pPr>
              <w:pStyle w:val="9"/>
              <w:spacing w:before="25" w:line="228" w:lineRule="auto"/>
              <w:ind w:left="245"/>
              <w:rPr>
                <w:sz w:val="20"/>
                <w:szCs w:val="20"/>
              </w:rPr>
            </w:pPr>
            <w:r>
              <w:rPr>
                <w:spacing w:val="-2"/>
                <w:sz w:val="20"/>
                <w:szCs w:val="20"/>
              </w:rPr>
              <w:t>自然资源</w:t>
            </w:r>
          </w:p>
          <w:p w14:paraId="55960952">
            <w:pPr>
              <w:pStyle w:val="9"/>
              <w:spacing w:before="26" w:line="229" w:lineRule="auto"/>
              <w:ind w:left="528"/>
              <w:rPr>
                <w:sz w:val="20"/>
                <w:szCs w:val="20"/>
              </w:rPr>
            </w:pPr>
            <w:r>
              <w:rPr>
                <w:sz w:val="20"/>
                <w:szCs w:val="20"/>
              </w:rPr>
              <w:t>局</w:t>
            </w:r>
          </w:p>
        </w:tc>
        <w:tc>
          <w:tcPr>
            <w:tcW w:w="2097" w:type="dxa"/>
            <w:vAlign w:val="top"/>
          </w:tcPr>
          <w:p w14:paraId="04F1D676">
            <w:pPr>
              <w:pStyle w:val="9"/>
              <w:spacing w:before="35" w:line="228" w:lineRule="auto"/>
              <w:ind w:left="217"/>
              <w:rPr>
                <w:sz w:val="20"/>
                <w:szCs w:val="20"/>
              </w:rPr>
            </w:pPr>
            <w:r>
              <w:rPr>
                <w:spacing w:val="8"/>
                <w:sz w:val="20"/>
                <w:szCs w:val="20"/>
              </w:rPr>
              <w:t>关于霍林河循环经</w:t>
            </w:r>
          </w:p>
          <w:p w14:paraId="196A42F3">
            <w:pPr>
              <w:pStyle w:val="9"/>
              <w:spacing w:before="24" w:line="221" w:lineRule="auto"/>
              <w:ind w:left="178"/>
              <w:rPr>
                <w:sz w:val="20"/>
                <w:szCs w:val="20"/>
              </w:rPr>
            </w:pPr>
            <w:r>
              <w:rPr>
                <w:spacing w:val="7"/>
                <w:sz w:val="20"/>
                <w:szCs w:val="20"/>
              </w:rPr>
              <w:t>济示范工程续建</w:t>
            </w:r>
            <w:r>
              <w:rPr>
                <w:rFonts w:ascii="Times New Roman" w:hAnsi="Times New Roman" w:eastAsia="Times New Roman" w:cs="Times New Roman"/>
                <w:spacing w:val="7"/>
                <w:sz w:val="20"/>
                <w:szCs w:val="20"/>
              </w:rPr>
              <w:t>(</w:t>
            </w:r>
            <w:r>
              <w:rPr>
                <w:spacing w:val="7"/>
                <w:sz w:val="20"/>
                <w:szCs w:val="20"/>
              </w:rPr>
              <w:t>第</w:t>
            </w:r>
          </w:p>
          <w:p w14:paraId="731AA206">
            <w:pPr>
              <w:pStyle w:val="9"/>
              <w:spacing w:before="34" w:line="221" w:lineRule="auto"/>
              <w:ind w:left="121"/>
              <w:rPr>
                <w:sz w:val="20"/>
                <w:szCs w:val="20"/>
              </w:rPr>
            </w:pPr>
            <w:r>
              <w:rPr>
                <w:spacing w:val="7"/>
                <w:sz w:val="20"/>
                <w:szCs w:val="20"/>
              </w:rPr>
              <w:t>五期</w:t>
            </w:r>
            <w:r>
              <w:rPr>
                <w:rFonts w:ascii="Times New Roman" w:hAnsi="Times New Roman" w:eastAsia="Times New Roman" w:cs="Times New Roman"/>
                <w:spacing w:val="7"/>
                <w:sz w:val="20"/>
                <w:szCs w:val="20"/>
              </w:rPr>
              <w:t>)200</w:t>
            </w:r>
            <w:r>
              <w:rPr>
                <w:rFonts w:ascii="Times New Roman" w:hAnsi="Times New Roman" w:eastAsia="Times New Roman" w:cs="Times New Roman"/>
                <w:sz w:val="20"/>
                <w:szCs w:val="20"/>
              </w:rPr>
              <w:t>MW</w:t>
            </w:r>
            <w:r>
              <w:rPr>
                <w:rFonts w:ascii="Times New Roman" w:hAnsi="Times New Roman" w:eastAsia="Times New Roman" w:cs="Times New Roman"/>
                <w:spacing w:val="7"/>
                <w:sz w:val="20"/>
                <w:szCs w:val="20"/>
              </w:rPr>
              <w:t xml:space="preserve"> </w:t>
            </w:r>
            <w:r>
              <w:rPr>
                <w:spacing w:val="7"/>
                <w:sz w:val="20"/>
                <w:szCs w:val="20"/>
              </w:rPr>
              <w:t>风电项</w:t>
            </w:r>
          </w:p>
          <w:p w14:paraId="3EF2DD40">
            <w:pPr>
              <w:pStyle w:val="9"/>
              <w:spacing w:before="31" w:line="227" w:lineRule="auto"/>
              <w:ind w:left="253"/>
              <w:rPr>
                <w:sz w:val="20"/>
                <w:szCs w:val="20"/>
              </w:rPr>
            </w:pPr>
            <w:r>
              <w:rPr>
                <w:spacing w:val="3"/>
                <w:sz w:val="20"/>
                <w:szCs w:val="20"/>
              </w:rPr>
              <w:t>目风机坐标范围不</w:t>
            </w:r>
          </w:p>
          <w:p w14:paraId="0598C55A">
            <w:pPr>
              <w:pStyle w:val="9"/>
              <w:spacing w:before="28" w:line="228" w:lineRule="auto"/>
              <w:ind w:left="215"/>
              <w:rPr>
                <w:sz w:val="20"/>
                <w:szCs w:val="20"/>
              </w:rPr>
            </w:pPr>
            <w:r>
              <w:rPr>
                <w:spacing w:val="8"/>
                <w:sz w:val="20"/>
                <w:szCs w:val="20"/>
              </w:rPr>
              <w:t>涉及生态保护红线</w:t>
            </w:r>
          </w:p>
          <w:p w14:paraId="5DB19D7E">
            <w:pPr>
              <w:pStyle w:val="9"/>
              <w:spacing w:before="23" w:line="214" w:lineRule="auto"/>
              <w:ind w:left="754"/>
              <w:rPr>
                <w:sz w:val="20"/>
                <w:szCs w:val="20"/>
              </w:rPr>
            </w:pPr>
            <w:r>
              <w:rPr>
                <w:spacing w:val="1"/>
                <w:sz w:val="20"/>
                <w:szCs w:val="20"/>
              </w:rPr>
              <w:t>的说明</w:t>
            </w:r>
          </w:p>
        </w:tc>
        <w:tc>
          <w:tcPr>
            <w:tcW w:w="3348" w:type="dxa"/>
            <w:gridSpan w:val="2"/>
            <w:vAlign w:val="top"/>
          </w:tcPr>
          <w:p w14:paraId="0D3B5A79">
            <w:pPr>
              <w:pStyle w:val="9"/>
              <w:spacing w:before="304" w:line="253" w:lineRule="auto"/>
              <w:ind w:left="109" w:right="100" w:firstLine="425"/>
              <w:jc w:val="both"/>
              <w:rPr>
                <w:sz w:val="20"/>
                <w:szCs w:val="20"/>
              </w:rPr>
            </w:pPr>
            <w:r>
              <w:rPr>
                <w:spacing w:val="9"/>
                <w:sz w:val="20"/>
                <w:szCs w:val="20"/>
              </w:rPr>
              <w:t>按照目前自治区</w:t>
            </w:r>
            <w:r>
              <w:rPr>
                <w:spacing w:val="-34"/>
                <w:sz w:val="20"/>
                <w:szCs w:val="20"/>
              </w:rPr>
              <w:t xml:space="preserve"> </w:t>
            </w:r>
            <w:r>
              <w:rPr>
                <w:rFonts w:ascii="Times New Roman" w:hAnsi="Times New Roman" w:eastAsia="Times New Roman" w:cs="Times New Roman"/>
                <w:spacing w:val="9"/>
                <w:sz w:val="20"/>
                <w:szCs w:val="20"/>
              </w:rPr>
              <w:t>2021</w:t>
            </w:r>
            <w:r>
              <w:rPr>
                <w:rFonts w:ascii="Times New Roman" w:hAnsi="Times New Roman" w:eastAsia="Times New Roman" w:cs="Times New Roman"/>
                <w:spacing w:val="20"/>
                <w:w w:val="101"/>
                <w:sz w:val="20"/>
                <w:szCs w:val="20"/>
              </w:rPr>
              <w:t xml:space="preserve"> </w:t>
            </w:r>
            <w:r>
              <w:rPr>
                <w:spacing w:val="9"/>
                <w:sz w:val="20"/>
                <w:szCs w:val="20"/>
              </w:rPr>
              <w:t>年</w:t>
            </w:r>
            <w:r>
              <w:rPr>
                <w:spacing w:val="-33"/>
                <w:sz w:val="20"/>
                <w:szCs w:val="20"/>
              </w:rPr>
              <w:t xml:space="preserve"> </w:t>
            </w:r>
            <w:r>
              <w:rPr>
                <w:rFonts w:ascii="Times New Roman" w:hAnsi="Times New Roman" w:eastAsia="Times New Roman" w:cs="Times New Roman"/>
                <w:spacing w:val="9"/>
                <w:sz w:val="20"/>
                <w:szCs w:val="20"/>
              </w:rPr>
              <w:t>2</w:t>
            </w:r>
            <w:r>
              <w:rPr>
                <w:rFonts w:ascii="Times New Roman" w:hAnsi="Times New Roman" w:eastAsia="Times New Roman" w:cs="Times New Roman"/>
                <w:spacing w:val="26"/>
                <w:w w:val="101"/>
                <w:sz w:val="20"/>
                <w:szCs w:val="20"/>
              </w:rPr>
              <w:t xml:space="preserve"> </w:t>
            </w:r>
            <w:r>
              <w:rPr>
                <w:spacing w:val="9"/>
                <w:sz w:val="20"/>
                <w:szCs w:val="20"/>
              </w:rPr>
              <w:t>月</w:t>
            </w:r>
            <w:r>
              <w:rPr>
                <w:rFonts w:ascii="Times New Roman" w:hAnsi="Times New Roman" w:eastAsia="Times New Roman" w:cs="Times New Roman"/>
                <w:spacing w:val="14"/>
                <w:sz w:val="20"/>
                <w:szCs w:val="20"/>
              </w:rPr>
              <w:t>20</w:t>
            </w:r>
            <w:r>
              <w:rPr>
                <w:rFonts w:ascii="Times New Roman" w:hAnsi="Times New Roman" w:eastAsia="Times New Roman" w:cs="Times New Roman"/>
                <w:spacing w:val="9"/>
                <w:sz w:val="20"/>
                <w:szCs w:val="20"/>
              </w:rPr>
              <w:t xml:space="preserve">  </w:t>
            </w:r>
            <w:r>
              <w:rPr>
                <w:spacing w:val="14"/>
                <w:sz w:val="20"/>
                <w:szCs w:val="20"/>
              </w:rPr>
              <w:t>日最新下发的扎鲁特旗生态红</w:t>
            </w:r>
            <w:r>
              <w:rPr>
                <w:spacing w:val="8"/>
                <w:sz w:val="20"/>
                <w:szCs w:val="20"/>
              </w:rPr>
              <w:t>线成果，该项目拟选址风机范围不在生态红线内</w:t>
            </w:r>
          </w:p>
        </w:tc>
        <w:tc>
          <w:tcPr>
            <w:tcW w:w="1658" w:type="dxa"/>
            <w:tcBorders>
              <w:right w:val="single" w:color="000000" w:sz="6" w:space="0"/>
            </w:tcBorders>
            <w:vAlign w:val="top"/>
          </w:tcPr>
          <w:p w14:paraId="25242087">
            <w:pPr>
              <w:spacing w:line="322" w:lineRule="auto"/>
              <w:rPr>
                <w:rFonts w:ascii="Arial"/>
                <w:sz w:val="21"/>
              </w:rPr>
            </w:pPr>
          </w:p>
          <w:p w14:paraId="1596D558">
            <w:pPr>
              <w:spacing w:line="323" w:lineRule="auto"/>
              <w:rPr>
                <w:rFonts w:ascii="Arial"/>
                <w:sz w:val="21"/>
              </w:rPr>
            </w:pPr>
          </w:p>
          <w:p w14:paraId="01AF2424">
            <w:pPr>
              <w:pStyle w:val="9"/>
              <w:spacing w:before="65" w:line="221" w:lineRule="auto"/>
              <w:ind w:left="273"/>
              <w:rPr>
                <w:sz w:val="20"/>
                <w:szCs w:val="20"/>
              </w:rPr>
            </w:pPr>
            <w:r>
              <w:rPr>
                <w:rFonts w:ascii="Times New Roman" w:hAnsi="Times New Roman" w:eastAsia="Times New Roman" w:cs="Times New Roman"/>
                <w:spacing w:val="1"/>
                <w:sz w:val="20"/>
                <w:szCs w:val="20"/>
              </w:rPr>
              <w:t>[</w:t>
            </w:r>
            <w:r>
              <w:fldChar w:fldCharType="begin"/>
            </w:r>
            <w:r>
              <w:instrText xml:space="preserve"> HYPERLINK \l "bookmark14" </w:instrText>
            </w:r>
            <w:r>
              <w:fldChar w:fldCharType="separate"/>
            </w:r>
            <w:r>
              <w:rPr>
                <w:rFonts w:ascii="Times New Roman" w:hAnsi="Times New Roman" w:eastAsia="Times New Roman" w:cs="Times New Roman"/>
                <w:spacing w:val="1"/>
                <w:sz w:val="20"/>
                <w:szCs w:val="20"/>
              </w:rPr>
              <w:t>2021</w:t>
            </w:r>
            <w:r>
              <w:rPr>
                <w:rFonts w:ascii="Times New Roman" w:hAnsi="Times New Roman" w:eastAsia="Times New Roman" w:cs="Times New Roman"/>
                <w:spacing w:val="1"/>
                <w:sz w:val="20"/>
                <w:szCs w:val="20"/>
              </w:rPr>
              <w:fldChar w:fldCharType="end"/>
            </w:r>
            <w:r>
              <w:rPr>
                <w:rFonts w:ascii="Times New Roman" w:hAnsi="Times New Roman" w:eastAsia="Times New Roman" w:cs="Times New Roman"/>
                <w:spacing w:val="1"/>
                <w:sz w:val="20"/>
                <w:szCs w:val="20"/>
              </w:rPr>
              <w:t>]99</w:t>
            </w:r>
            <w:r>
              <w:rPr>
                <w:rFonts w:ascii="Times New Roman" w:hAnsi="Times New Roman" w:eastAsia="Times New Roman" w:cs="Times New Roman"/>
                <w:spacing w:val="23"/>
                <w:w w:val="101"/>
                <w:sz w:val="20"/>
                <w:szCs w:val="20"/>
              </w:rPr>
              <w:t xml:space="preserve"> </w:t>
            </w:r>
            <w:r>
              <w:rPr>
                <w:spacing w:val="1"/>
                <w:sz w:val="20"/>
                <w:szCs w:val="20"/>
              </w:rPr>
              <w:t>号</w:t>
            </w:r>
          </w:p>
        </w:tc>
      </w:tr>
      <w:tr w14:paraId="43DBE1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5" w:hRule="atLeast"/>
        </w:trPr>
        <w:tc>
          <w:tcPr>
            <w:tcW w:w="599" w:type="dxa"/>
            <w:vMerge w:val="continue"/>
            <w:tcBorders>
              <w:top w:val="nil"/>
              <w:left w:val="single" w:color="000000" w:sz="6" w:space="0"/>
              <w:bottom w:val="nil"/>
            </w:tcBorders>
            <w:vAlign w:val="top"/>
          </w:tcPr>
          <w:p w14:paraId="7B5BA951">
            <w:pPr>
              <w:rPr>
                <w:rFonts w:ascii="Arial"/>
                <w:sz w:val="21"/>
              </w:rPr>
            </w:pPr>
          </w:p>
        </w:tc>
        <w:tc>
          <w:tcPr>
            <w:tcW w:w="113" w:type="dxa"/>
            <w:tcBorders>
              <w:top w:val="nil"/>
              <w:bottom w:val="nil"/>
            </w:tcBorders>
            <w:vAlign w:val="top"/>
          </w:tcPr>
          <w:p w14:paraId="2D88DCFE">
            <w:pPr>
              <w:rPr>
                <w:rFonts w:ascii="Arial"/>
                <w:sz w:val="21"/>
              </w:rPr>
            </w:pPr>
          </w:p>
        </w:tc>
        <w:tc>
          <w:tcPr>
            <w:tcW w:w="514" w:type="dxa"/>
            <w:gridSpan w:val="2"/>
            <w:vAlign w:val="top"/>
          </w:tcPr>
          <w:p w14:paraId="2A0E8B78">
            <w:pPr>
              <w:spacing w:line="278" w:lineRule="auto"/>
              <w:rPr>
                <w:rFonts w:ascii="Arial"/>
                <w:sz w:val="21"/>
              </w:rPr>
            </w:pPr>
          </w:p>
          <w:p w14:paraId="6D64D716">
            <w:pPr>
              <w:spacing w:line="278" w:lineRule="auto"/>
              <w:rPr>
                <w:rFonts w:ascii="Arial"/>
                <w:sz w:val="21"/>
              </w:rPr>
            </w:pPr>
          </w:p>
          <w:p w14:paraId="26BFC34A">
            <w:pPr>
              <w:spacing w:before="57" w:line="195" w:lineRule="auto"/>
              <w:ind w:left="204"/>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260" w:type="dxa"/>
            <w:gridSpan w:val="2"/>
            <w:vAlign w:val="top"/>
          </w:tcPr>
          <w:p w14:paraId="1BD66AD4">
            <w:pPr>
              <w:rPr>
                <w:rFonts w:ascii="Arial"/>
                <w:sz w:val="21"/>
              </w:rPr>
            </w:pPr>
          </w:p>
          <w:p w14:paraId="43685311">
            <w:pPr>
              <w:pStyle w:val="9"/>
              <w:spacing w:before="65" w:line="228" w:lineRule="auto"/>
              <w:ind w:left="213"/>
              <w:rPr>
                <w:sz w:val="20"/>
                <w:szCs w:val="20"/>
              </w:rPr>
            </w:pPr>
            <w:r>
              <w:rPr>
                <w:spacing w:val="6"/>
                <w:sz w:val="20"/>
                <w:szCs w:val="20"/>
              </w:rPr>
              <w:t>扎鲁特旗</w:t>
            </w:r>
          </w:p>
          <w:p w14:paraId="67F7E3C5">
            <w:pPr>
              <w:pStyle w:val="9"/>
              <w:spacing w:before="25" w:line="228" w:lineRule="auto"/>
              <w:ind w:left="245"/>
              <w:rPr>
                <w:sz w:val="20"/>
                <w:szCs w:val="20"/>
              </w:rPr>
            </w:pPr>
            <w:r>
              <w:rPr>
                <w:spacing w:val="-2"/>
                <w:sz w:val="20"/>
                <w:szCs w:val="20"/>
              </w:rPr>
              <w:t>自然资源</w:t>
            </w:r>
          </w:p>
          <w:p w14:paraId="397D0DF1">
            <w:pPr>
              <w:pStyle w:val="9"/>
              <w:spacing w:before="23" w:line="229" w:lineRule="auto"/>
              <w:ind w:left="528"/>
              <w:rPr>
                <w:sz w:val="20"/>
                <w:szCs w:val="20"/>
              </w:rPr>
            </w:pPr>
            <w:r>
              <w:rPr>
                <w:sz w:val="20"/>
                <w:szCs w:val="20"/>
              </w:rPr>
              <w:t>局</w:t>
            </w:r>
          </w:p>
        </w:tc>
        <w:tc>
          <w:tcPr>
            <w:tcW w:w="2097" w:type="dxa"/>
            <w:vAlign w:val="top"/>
          </w:tcPr>
          <w:p w14:paraId="599770A2">
            <w:pPr>
              <w:pStyle w:val="9"/>
              <w:spacing w:before="36" w:line="228" w:lineRule="auto"/>
              <w:ind w:left="217"/>
              <w:rPr>
                <w:sz w:val="20"/>
                <w:szCs w:val="20"/>
              </w:rPr>
            </w:pPr>
            <w:r>
              <w:rPr>
                <w:spacing w:val="8"/>
                <w:sz w:val="20"/>
                <w:szCs w:val="20"/>
              </w:rPr>
              <w:t>关于霍林河循环经</w:t>
            </w:r>
          </w:p>
          <w:p w14:paraId="051F84BF">
            <w:pPr>
              <w:pStyle w:val="9"/>
              <w:spacing w:before="24" w:line="221" w:lineRule="auto"/>
              <w:ind w:left="178"/>
              <w:rPr>
                <w:sz w:val="20"/>
                <w:szCs w:val="20"/>
              </w:rPr>
            </w:pPr>
            <w:r>
              <w:rPr>
                <w:spacing w:val="7"/>
                <w:sz w:val="20"/>
                <w:szCs w:val="20"/>
              </w:rPr>
              <w:t>济示范工程续建</w:t>
            </w:r>
            <w:r>
              <w:rPr>
                <w:rFonts w:ascii="Times New Roman" w:hAnsi="Times New Roman" w:eastAsia="Times New Roman" w:cs="Times New Roman"/>
                <w:spacing w:val="7"/>
                <w:sz w:val="20"/>
                <w:szCs w:val="20"/>
              </w:rPr>
              <w:t>(</w:t>
            </w:r>
            <w:r>
              <w:rPr>
                <w:spacing w:val="7"/>
                <w:sz w:val="20"/>
                <w:szCs w:val="20"/>
              </w:rPr>
              <w:t>第</w:t>
            </w:r>
          </w:p>
          <w:p w14:paraId="3054ED37">
            <w:pPr>
              <w:pStyle w:val="9"/>
              <w:spacing w:before="34" w:line="221" w:lineRule="auto"/>
              <w:ind w:left="121"/>
              <w:rPr>
                <w:sz w:val="20"/>
                <w:szCs w:val="20"/>
              </w:rPr>
            </w:pPr>
            <w:r>
              <w:rPr>
                <w:spacing w:val="7"/>
                <w:sz w:val="20"/>
                <w:szCs w:val="20"/>
              </w:rPr>
              <w:t>五期</w:t>
            </w:r>
            <w:r>
              <w:rPr>
                <w:rFonts w:ascii="Times New Roman" w:hAnsi="Times New Roman" w:eastAsia="Times New Roman" w:cs="Times New Roman"/>
                <w:spacing w:val="7"/>
                <w:sz w:val="20"/>
                <w:szCs w:val="20"/>
              </w:rPr>
              <w:t>)200</w:t>
            </w:r>
            <w:r>
              <w:rPr>
                <w:rFonts w:ascii="Times New Roman" w:hAnsi="Times New Roman" w:eastAsia="Times New Roman" w:cs="Times New Roman"/>
                <w:sz w:val="20"/>
                <w:szCs w:val="20"/>
              </w:rPr>
              <w:t>MW</w:t>
            </w:r>
            <w:r>
              <w:rPr>
                <w:rFonts w:ascii="Times New Roman" w:hAnsi="Times New Roman" w:eastAsia="Times New Roman" w:cs="Times New Roman"/>
                <w:spacing w:val="7"/>
                <w:sz w:val="20"/>
                <w:szCs w:val="20"/>
              </w:rPr>
              <w:t xml:space="preserve"> </w:t>
            </w:r>
            <w:r>
              <w:rPr>
                <w:spacing w:val="7"/>
                <w:sz w:val="20"/>
                <w:szCs w:val="20"/>
              </w:rPr>
              <w:t>风电项</w:t>
            </w:r>
          </w:p>
          <w:p w14:paraId="5DDEEA08">
            <w:pPr>
              <w:pStyle w:val="9"/>
              <w:spacing w:before="31" w:line="227" w:lineRule="auto"/>
              <w:ind w:left="253"/>
              <w:rPr>
                <w:sz w:val="20"/>
                <w:szCs w:val="20"/>
              </w:rPr>
            </w:pPr>
            <w:r>
              <w:rPr>
                <w:spacing w:val="3"/>
                <w:sz w:val="20"/>
                <w:szCs w:val="20"/>
              </w:rPr>
              <w:t>目不占用永久基本</w:t>
            </w:r>
          </w:p>
          <w:p w14:paraId="55EDEFD7">
            <w:pPr>
              <w:pStyle w:val="9"/>
              <w:spacing w:before="27" w:line="211" w:lineRule="auto"/>
              <w:ind w:left="633"/>
              <w:rPr>
                <w:sz w:val="20"/>
                <w:szCs w:val="20"/>
              </w:rPr>
            </w:pPr>
            <w:r>
              <w:rPr>
                <w:spacing w:val="7"/>
                <w:sz w:val="20"/>
                <w:szCs w:val="20"/>
              </w:rPr>
              <w:t>农田的函</w:t>
            </w:r>
          </w:p>
        </w:tc>
        <w:tc>
          <w:tcPr>
            <w:tcW w:w="3348" w:type="dxa"/>
            <w:gridSpan w:val="2"/>
            <w:vAlign w:val="top"/>
          </w:tcPr>
          <w:p w14:paraId="40B3569B">
            <w:pPr>
              <w:spacing w:line="241" w:lineRule="auto"/>
              <w:rPr>
                <w:rFonts w:ascii="Arial"/>
                <w:sz w:val="21"/>
              </w:rPr>
            </w:pPr>
          </w:p>
          <w:p w14:paraId="529D3840">
            <w:pPr>
              <w:pStyle w:val="9"/>
              <w:spacing w:before="65" w:line="252" w:lineRule="auto"/>
              <w:ind w:left="113" w:right="103" w:firstLine="421"/>
              <w:jc w:val="both"/>
              <w:rPr>
                <w:sz w:val="20"/>
                <w:szCs w:val="20"/>
              </w:rPr>
            </w:pPr>
            <w:r>
              <w:rPr>
                <w:spacing w:val="11"/>
                <w:sz w:val="20"/>
                <w:szCs w:val="20"/>
              </w:rPr>
              <w:t>经核查我旗</w:t>
            </w:r>
            <w:r>
              <w:rPr>
                <w:spacing w:val="-22"/>
                <w:sz w:val="20"/>
                <w:szCs w:val="20"/>
              </w:rPr>
              <w:t xml:space="preserve"> </w:t>
            </w:r>
            <w:r>
              <w:rPr>
                <w:rFonts w:ascii="Times New Roman" w:hAnsi="Times New Roman" w:eastAsia="Times New Roman" w:cs="Times New Roman"/>
                <w:spacing w:val="11"/>
                <w:sz w:val="20"/>
                <w:szCs w:val="20"/>
              </w:rPr>
              <w:t>2017</w:t>
            </w:r>
            <w:r>
              <w:rPr>
                <w:rFonts w:ascii="Times New Roman" w:hAnsi="Times New Roman" w:eastAsia="Times New Roman" w:cs="Times New Roman"/>
                <w:spacing w:val="21"/>
                <w:w w:val="101"/>
                <w:sz w:val="20"/>
                <w:szCs w:val="20"/>
              </w:rPr>
              <w:t xml:space="preserve"> </w:t>
            </w:r>
            <w:r>
              <w:rPr>
                <w:spacing w:val="11"/>
                <w:sz w:val="20"/>
                <w:szCs w:val="20"/>
              </w:rPr>
              <w:t>永久基本农</w:t>
            </w:r>
            <w:r>
              <w:rPr>
                <w:spacing w:val="8"/>
                <w:sz w:val="20"/>
                <w:szCs w:val="20"/>
              </w:rPr>
              <w:t>田数据库，该项目不占用永久基本</w:t>
            </w:r>
            <w:r>
              <w:rPr>
                <w:spacing w:val="3"/>
                <w:sz w:val="20"/>
                <w:szCs w:val="20"/>
              </w:rPr>
              <w:t>农田。</w:t>
            </w:r>
          </w:p>
        </w:tc>
        <w:tc>
          <w:tcPr>
            <w:tcW w:w="1658" w:type="dxa"/>
            <w:tcBorders>
              <w:right w:val="single" w:color="000000" w:sz="6" w:space="0"/>
            </w:tcBorders>
            <w:vAlign w:val="top"/>
          </w:tcPr>
          <w:p w14:paraId="661B36D7">
            <w:pPr>
              <w:spacing w:line="256" w:lineRule="auto"/>
              <w:rPr>
                <w:rFonts w:ascii="Arial"/>
                <w:sz w:val="21"/>
              </w:rPr>
            </w:pPr>
          </w:p>
          <w:p w14:paraId="1F9A4318">
            <w:pPr>
              <w:spacing w:line="257" w:lineRule="auto"/>
              <w:rPr>
                <w:rFonts w:ascii="Arial"/>
                <w:sz w:val="21"/>
              </w:rPr>
            </w:pPr>
          </w:p>
          <w:p w14:paraId="01B3D157">
            <w:pPr>
              <w:pStyle w:val="9"/>
              <w:spacing w:before="65" w:line="221" w:lineRule="auto"/>
              <w:ind w:left="218"/>
              <w:rPr>
                <w:sz w:val="20"/>
                <w:szCs w:val="20"/>
              </w:rPr>
            </w:pPr>
            <w:r>
              <w:rPr>
                <w:rFonts w:ascii="Times New Roman" w:hAnsi="Times New Roman" w:eastAsia="Times New Roman" w:cs="Times New Roman"/>
                <w:spacing w:val="2"/>
                <w:sz w:val="20"/>
                <w:szCs w:val="20"/>
              </w:rPr>
              <w:t>[</w:t>
            </w:r>
            <w:r>
              <w:fldChar w:fldCharType="begin"/>
            </w:r>
            <w:r>
              <w:instrText xml:space="preserve"> HYPERLINK \l "bookmark15" </w:instrText>
            </w:r>
            <w:r>
              <w:fldChar w:fldCharType="separate"/>
            </w:r>
            <w:r>
              <w:rPr>
                <w:rFonts w:ascii="Times New Roman" w:hAnsi="Times New Roman" w:eastAsia="Times New Roman" w:cs="Times New Roman"/>
                <w:spacing w:val="2"/>
                <w:sz w:val="20"/>
                <w:szCs w:val="20"/>
              </w:rPr>
              <w:t>2021</w:t>
            </w:r>
            <w:r>
              <w:rPr>
                <w:rFonts w:ascii="Times New Roman" w:hAnsi="Times New Roman" w:eastAsia="Times New Roman" w:cs="Times New Roman"/>
                <w:spacing w:val="2"/>
                <w:sz w:val="20"/>
                <w:szCs w:val="20"/>
              </w:rPr>
              <w:fldChar w:fldCharType="end"/>
            </w:r>
            <w:r>
              <w:rPr>
                <w:rFonts w:ascii="Times New Roman" w:hAnsi="Times New Roman" w:eastAsia="Times New Roman" w:cs="Times New Roman"/>
                <w:spacing w:val="2"/>
                <w:sz w:val="20"/>
                <w:szCs w:val="20"/>
              </w:rPr>
              <w:t>]292</w:t>
            </w:r>
            <w:r>
              <w:rPr>
                <w:rFonts w:ascii="Times New Roman" w:hAnsi="Times New Roman" w:eastAsia="Times New Roman" w:cs="Times New Roman"/>
                <w:spacing w:val="20"/>
                <w:w w:val="101"/>
                <w:sz w:val="20"/>
                <w:szCs w:val="20"/>
              </w:rPr>
              <w:t xml:space="preserve"> </w:t>
            </w:r>
            <w:r>
              <w:rPr>
                <w:spacing w:val="2"/>
                <w:sz w:val="20"/>
                <w:szCs w:val="20"/>
              </w:rPr>
              <w:t>号</w:t>
            </w:r>
          </w:p>
        </w:tc>
      </w:tr>
      <w:tr w14:paraId="2C0FC4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7" w:hRule="atLeast"/>
        </w:trPr>
        <w:tc>
          <w:tcPr>
            <w:tcW w:w="599" w:type="dxa"/>
            <w:vMerge w:val="continue"/>
            <w:tcBorders>
              <w:top w:val="nil"/>
              <w:left w:val="single" w:color="000000" w:sz="6" w:space="0"/>
              <w:bottom w:val="nil"/>
            </w:tcBorders>
            <w:vAlign w:val="top"/>
          </w:tcPr>
          <w:p w14:paraId="0CCDD0AE">
            <w:pPr>
              <w:rPr>
                <w:rFonts w:ascii="Arial"/>
                <w:sz w:val="21"/>
              </w:rPr>
            </w:pPr>
          </w:p>
        </w:tc>
        <w:tc>
          <w:tcPr>
            <w:tcW w:w="113" w:type="dxa"/>
            <w:tcBorders>
              <w:top w:val="nil"/>
              <w:bottom w:val="nil"/>
            </w:tcBorders>
            <w:vAlign w:val="top"/>
          </w:tcPr>
          <w:p w14:paraId="0815668B">
            <w:pPr>
              <w:rPr>
                <w:rFonts w:ascii="Arial"/>
                <w:sz w:val="21"/>
              </w:rPr>
            </w:pPr>
          </w:p>
        </w:tc>
        <w:tc>
          <w:tcPr>
            <w:tcW w:w="514" w:type="dxa"/>
            <w:gridSpan w:val="2"/>
            <w:vAlign w:val="top"/>
          </w:tcPr>
          <w:p w14:paraId="5F099A2A">
            <w:pPr>
              <w:spacing w:line="346" w:lineRule="auto"/>
              <w:rPr>
                <w:rFonts w:ascii="Arial"/>
                <w:sz w:val="21"/>
              </w:rPr>
            </w:pPr>
          </w:p>
          <w:p w14:paraId="1FC487DE">
            <w:pPr>
              <w:spacing w:line="346" w:lineRule="auto"/>
              <w:rPr>
                <w:rFonts w:ascii="Arial"/>
                <w:sz w:val="21"/>
              </w:rPr>
            </w:pPr>
          </w:p>
          <w:p w14:paraId="1DF8E5F2">
            <w:pPr>
              <w:spacing w:before="58" w:line="195" w:lineRule="auto"/>
              <w:ind w:left="1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1260" w:type="dxa"/>
            <w:gridSpan w:val="2"/>
            <w:vAlign w:val="top"/>
          </w:tcPr>
          <w:p w14:paraId="61E89959">
            <w:pPr>
              <w:spacing w:line="243" w:lineRule="auto"/>
              <w:rPr>
                <w:rFonts w:ascii="Arial"/>
                <w:sz w:val="21"/>
              </w:rPr>
            </w:pPr>
          </w:p>
          <w:p w14:paraId="65E8B375">
            <w:pPr>
              <w:pStyle w:val="9"/>
              <w:spacing w:before="65" w:line="228" w:lineRule="auto"/>
              <w:ind w:left="211"/>
              <w:rPr>
                <w:sz w:val="20"/>
                <w:szCs w:val="20"/>
              </w:rPr>
            </w:pPr>
            <w:r>
              <w:rPr>
                <w:spacing w:val="7"/>
                <w:sz w:val="20"/>
                <w:szCs w:val="20"/>
              </w:rPr>
              <w:t>通辽市生</w:t>
            </w:r>
          </w:p>
          <w:p w14:paraId="055F08B1">
            <w:pPr>
              <w:pStyle w:val="9"/>
              <w:spacing w:before="25" w:line="228" w:lineRule="auto"/>
              <w:ind w:left="211"/>
              <w:rPr>
                <w:sz w:val="20"/>
                <w:szCs w:val="20"/>
              </w:rPr>
            </w:pPr>
            <w:r>
              <w:rPr>
                <w:spacing w:val="7"/>
                <w:sz w:val="20"/>
                <w:szCs w:val="20"/>
              </w:rPr>
              <w:t>态环境局</w:t>
            </w:r>
          </w:p>
          <w:p w14:paraId="78F43BF3">
            <w:pPr>
              <w:pStyle w:val="9"/>
              <w:spacing w:before="25" w:line="228" w:lineRule="auto"/>
              <w:ind w:left="213"/>
              <w:rPr>
                <w:sz w:val="20"/>
                <w:szCs w:val="20"/>
              </w:rPr>
            </w:pPr>
            <w:r>
              <w:rPr>
                <w:spacing w:val="6"/>
                <w:sz w:val="20"/>
                <w:szCs w:val="20"/>
              </w:rPr>
              <w:t>扎鲁特旗</w:t>
            </w:r>
          </w:p>
          <w:p w14:paraId="0E98C558">
            <w:pPr>
              <w:pStyle w:val="9"/>
              <w:spacing w:before="24" w:line="228" w:lineRule="auto"/>
              <w:ind w:left="422"/>
              <w:rPr>
                <w:sz w:val="20"/>
                <w:szCs w:val="20"/>
              </w:rPr>
            </w:pPr>
            <w:r>
              <w:rPr>
                <w:spacing w:val="3"/>
                <w:sz w:val="20"/>
                <w:szCs w:val="20"/>
              </w:rPr>
              <w:t>分局</w:t>
            </w:r>
          </w:p>
        </w:tc>
        <w:tc>
          <w:tcPr>
            <w:tcW w:w="2097" w:type="dxa"/>
            <w:vAlign w:val="top"/>
          </w:tcPr>
          <w:p w14:paraId="16D46F61">
            <w:pPr>
              <w:pStyle w:val="9"/>
              <w:spacing w:before="39" w:line="228" w:lineRule="auto"/>
              <w:ind w:left="113"/>
              <w:rPr>
                <w:sz w:val="20"/>
                <w:szCs w:val="20"/>
              </w:rPr>
            </w:pPr>
            <w:r>
              <w:rPr>
                <w:spacing w:val="7"/>
                <w:sz w:val="20"/>
                <w:szCs w:val="20"/>
              </w:rPr>
              <w:t>关于《关于提请核查</w:t>
            </w:r>
          </w:p>
          <w:p w14:paraId="4D8F75D7">
            <w:pPr>
              <w:pStyle w:val="9"/>
              <w:spacing w:before="23" w:line="228" w:lineRule="auto"/>
              <w:ind w:left="214"/>
              <w:rPr>
                <w:sz w:val="20"/>
                <w:szCs w:val="20"/>
              </w:rPr>
            </w:pPr>
            <w:r>
              <w:rPr>
                <w:spacing w:val="8"/>
                <w:sz w:val="20"/>
                <w:szCs w:val="20"/>
              </w:rPr>
              <w:t>霍林河循环经济示</w:t>
            </w:r>
          </w:p>
          <w:p w14:paraId="41A96FAC">
            <w:pPr>
              <w:pStyle w:val="9"/>
              <w:spacing w:before="24" w:line="221" w:lineRule="auto"/>
              <w:ind w:left="288"/>
              <w:rPr>
                <w:sz w:val="20"/>
                <w:szCs w:val="20"/>
              </w:rPr>
            </w:pPr>
            <w:r>
              <w:rPr>
                <w:spacing w:val="7"/>
                <w:sz w:val="20"/>
                <w:szCs w:val="20"/>
              </w:rPr>
              <w:t>范工程续建</w:t>
            </w:r>
            <w:r>
              <w:rPr>
                <w:rFonts w:ascii="Times New Roman" w:hAnsi="Times New Roman" w:eastAsia="Times New Roman" w:cs="Times New Roman"/>
                <w:spacing w:val="7"/>
                <w:sz w:val="20"/>
                <w:szCs w:val="20"/>
              </w:rPr>
              <w:t>(</w:t>
            </w:r>
            <w:r>
              <w:rPr>
                <w:spacing w:val="7"/>
                <w:sz w:val="20"/>
                <w:szCs w:val="20"/>
              </w:rPr>
              <w:t>第五</w:t>
            </w:r>
          </w:p>
          <w:p w14:paraId="662E668E">
            <w:pPr>
              <w:pStyle w:val="9"/>
              <w:spacing w:before="34" w:line="221" w:lineRule="auto"/>
              <w:ind w:left="113"/>
              <w:rPr>
                <w:sz w:val="20"/>
                <w:szCs w:val="20"/>
              </w:rPr>
            </w:pPr>
            <w:r>
              <w:rPr>
                <w:spacing w:val="6"/>
                <w:sz w:val="20"/>
                <w:szCs w:val="20"/>
              </w:rPr>
              <w:t>期</w:t>
            </w:r>
            <w:r>
              <w:rPr>
                <w:rFonts w:ascii="Times New Roman" w:hAnsi="Times New Roman" w:eastAsia="Times New Roman" w:cs="Times New Roman"/>
                <w:spacing w:val="6"/>
                <w:sz w:val="20"/>
                <w:szCs w:val="20"/>
              </w:rPr>
              <w:t xml:space="preserve">)200M </w:t>
            </w:r>
            <w:r>
              <w:rPr>
                <w:spacing w:val="6"/>
                <w:sz w:val="20"/>
                <w:szCs w:val="20"/>
              </w:rPr>
              <w:t>风电项目是</w:t>
            </w:r>
          </w:p>
          <w:p w14:paraId="01034B80">
            <w:pPr>
              <w:pStyle w:val="9"/>
              <w:spacing w:before="31" w:line="228" w:lineRule="auto"/>
              <w:ind w:left="220"/>
              <w:rPr>
                <w:sz w:val="20"/>
                <w:szCs w:val="20"/>
              </w:rPr>
            </w:pPr>
            <w:r>
              <w:rPr>
                <w:spacing w:val="7"/>
                <w:sz w:val="20"/>
                <w:szCs w:val="20"/>
              </w:rPr>
              <w:t>否位于水源地保护</w:t>
            </w:r>
          </w:p>
          <w:p w14:paraId="50100203">
            <w:pPr>
              <w:pStyle w:val="9"/>
              <w:spacing w:before="27" w:line="209" w:lineRule="auto"/>
              <w:ind w:left="126"/>
              <w:rPr>
                <w:sz w:val="20"/>
                <w:szCs w:val="20"/>
              </w:rPr>
            </w:pPr>
            <w:r>
              <w:rPr>
                <w:spacing w:val="6"/>
                <w:sz w:val="20"/>
                <w:szCs w:val="20"/>
              </w:rPr>
              <w:t>区范围的函》的复函</w:t>
            </w:r>
          </w:p>
        </w:tc>
        <w:tc>
          <w:tcPr>
            <w:tcW w:w="3348" w:type="dxa"/>
            <w:gridSpan w:val="2"/>
            <w:vAlign w:val="top"/>
          </w:tcPr>
          <w:p w14:paraId="4D263E7D">
            <w:pPr>
              <w:spacing w:line="256" w:lineRule="auto"/>
              <w:rPr>
                <w:rFonts w:ascii="Arial"/>
                <w:sz w:val="21"/>
              </w:rPr>
            </w:pPr>
          </w:p>
          <w:p w14:paraId="129D6605">
            <w:pPr>
              <w:spacing w:line="257" w:lineRule="auto"/>
              <w:rPr>
                <w:rFonts w:ascii="Arial"/>
                <w:sz w:val="21"/>
              </w:rPr>
            </w:pPr>
          </w:p>
          <w:p w14:paraId="237C1816">
            <w:pPr>
              <w:pStyle w:val="9"/>
              <w:spacing w:before="65" w:line="254" w:lineRule="auto"/>
              <w:ind w:left="115" w:right="100" w:firstLine="420"/>
              <w:rPr>
                <w:sz w:val="20"/>
                <w:szCs w:val="20"/>
              </w:rPr>
            </w:pPr>
            <w:r>
              <w:rPr>
                <w:spacing w:val="8"/>
                <w:sz w:val="20"/>
                <w:szCs w:val="20"/>
              </w:rPr>
              <w:t>经我局核实，确认该项目不在</w:t>
            </w:r>
            <w:r>
              <w:rPr>
                <w:spacing w:val="9"/>
                <w:sz w:val="20"/>
                <w:szCs w:val="20"/>
              </w:rPr>
              <w:t>我旗批复的水源地保护区范围内</w:t>
            </w:r>
          </w:p>
        </w:tc>
        <w:tc>
          <w:tcPr>
            <w:tcW w:w="1658" w:type="dxa"/>
            <w:tcBorders>
              <w:right w:val="single" w:color="000000" w:sz="6" w:space="0"/>
            </w:tcBorders>
            <w:vAlign w:val="top"/>
          </w:tcPr>
          <w:p w14:paraId="5025B1B4">
            <w:pPr>
              <w:spacing w:line="344" w:lineRule="auto"/>
              <w:rPr>
                <w:rFonts w:ascii="Arial"/>
                <w:sz w:val="21"/>
              </w:rPr>
            </w:pPr>
          </w:p>
          <w:p w14:paraId="69E2C29B">
            <w:pPr>
              <w:spacing w:line="344" w:lineRule="auto"/>
              <w:rPr>
                <w:rFonts w:ascii="Arial"/>
                <w:sz w:val="21"/>
              </w:rPr>
            </w:pPr>
          </w:p>
          <w:p w14:paraId="5E9BC87D">
            <w:pPr>
              <w:spacing w:before="58" w:line="199" w:lineRule="auto"/>
              <w:ind w:left="74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6DF3E0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7" w:hRule="atLeast"/>
        </w:trPr>
        <w:tc>
          <w:tcPr>
            <w:tcW w:w="599" w:type="dxa"/>
            <w:vMerge w:val="continue"/>
            <w:tcBorders>
              <w:top w:val="nil"/>
              <w:left w:val="single" w:color="000000" w:sz="6" w:space="0"/>
              <w:bottom w:val="nil"/>
            </w:tcBorders>
            <w:vAlign w:val="top"/>
          </w:tcPr>
          <w:p w14:paraId="31072496">
            <w:pPr>
              <w:rPr>
                <w:rFonts w:ascii="Arial"/>
                <w:sz w:val="21"/>
              </w:rPr>
            </w:pPr>
          </w:p>
        </w:tc>
        <w:tc>
          <w:tcPr>
            <w:tcW w:w="113" w:type="dxa"/>
            <w:tcBorders>
              <w:top w:val="nil"/>
              <w:bottom w:val="nil"/>
            </w:tcBorders>
            <w:vAlign w:val="top"/>
          </w:tcPr>
          <w:p w14:paraId="0ECDB481">
            <w:pPr>
              <w:rPr>
                <w:rFonts w:ascii="Arial"/>
                <w:sz w:val="21"/>
              </w:rPr>
            </w:pPr>
          </w:p>
        </w:tc>
        <w:tc>
          <w:tcPr>
            <w:tcW w:w="514" w:type="dxa"/>
            <w:gridSpan w:val="2"/>
            <w:vAlign w:val="top"/>
          </w:tcPr>
          <w:p w14:paraId="68DAB7C4">
            <w:pPr>
              <w:spacing w:line="348" w:lineRule="auto"/>
              <w:rPr>
                <w:rFonts w:ascii="Arial"/>
                <w:sz w:val="21"/>
              </w:rPr>
            </w:pPr>
          </w:p>
          <w:p w14:paraId="6DB91797">
            <w:pPr>
              <w:spacing w:line="349" w:lineRule="auto"/>
              <w:rPr>
                <w:rFonts w:ascii="Arial"/>
                <w:sz w:val="21"/>
              </w:rPr>
            </w:pPr>
          </w:p>
          <w:p w14:paraId="06A466BB">
            <w:pPr>
              <w:spacing w:before="58" w:line="192" w:lineRule="auto"/>
              <w:ind w:left="206"/>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260" w:type="dxa"/>
            <w:gridSpan w:val="2"/>
            <w:vAlign w:val="top"/>
          </w:tcPr>
          <w:p w14:paraId="2A463F46">
            <w:pPr>
              <w:spacing w:line="381" w:lineRule="auto"/>
              <w:rPr>
                <w:rFonts w:ascii="Arial"/>
                <w:sz w:val="21"/>
              </w:rPr>
            </w:pPr>
          </w:p>
          <w:p w14:paraId="68850759">
            <w:pPr>
              <w:pStyle w:val="9"/>
              <w:spacing w:before="65" w:line="228" w:lineRule="auto"/>
              <w:ind w:left="213"/>
              <w:rPr>
                <w:sz w:val="20"/>
                <w:szCs w:val="20"/>
              </w:rPr>
            </w:pPr>
            <w:r>
              <w:rPr>
                <w:spacing w:val="6"/>
                <w:sz w:val="20"/>
                <w:szCs w:val="20"/>
              </w:rPr>
              <w:t>扎鲁特旗</w:t>
            </w:r>
          </w:p>
          <w:p w14:paraId="65D10157">
            <w:pPr>
              <w:pStyle w:val="9"/>
              <w:spacing w:before="24" w:line="228" w:lineRule="auto"/>
              <w:ind w:left="212"/>
              <w:rPr>
                <w:sz w:val="20"/>
                <w:szCs w:val="20"/>
              </w:rPr>
            </w:pPr>
            <w:r>
              <w:rPr>
                <w:spacing w:val="7"/>
                <w:sz w:val="20"/>
                <w:szCs w:val="20"/>
              </w:rPr>
              <w:t>林业和草</w:t>
            </w:r>
          </w:p>
          <w:p w14:paraId="7B965AB7">
            <w:pPr>
              <w:pStyle w:val="9"/>
              <w:spacing w:before="24" w:line="229" w:lineRule="auto"/>
              <w:ind w:left="425"/>
              <w:rPr>
                <w:sz w:val="20"/>
                <w:szCs w:val="20"/>
              </w:rPr>
            </w:pPr>
            <w:r>
              <w:rPr>
                <w:spacing w:val="2"/>
                <w:sz w:val="20"/>
                <w:szCs w:val="20"/>
              </w:rPr>
              <w:t>原局</w:t>
            </w:r>
          </w:p>
        </w:tc>
        <w:tc>
          <w:tcPr>
            <w:tcW w:w="2097" w:type="dxa"/>
            <w:vAlign w:val="top"/>
          </w:tcPr>
          <w:p w14:paraId="4CCD3856">
            <w:pPr>
              <w:pStyle w:val="9"/>
              <w:spacing w:before="41" w:line="228" w:lineRule="auto"/>
              <w:ind w:left="217"/>
              <w:rPr>
                <w:sz w:val="20"/>
                <w:szCs w:val="20"/>
              </w:rPr>
            </w:pPr>
            <w:r>
              <w:rPr>
                <w:spacing w:val="8"/>
                <w:sz w:val="20"/>
                <w:szCs w:val="20"/>
              </w:rPr>
              <w:t>关于提请核查霍林</w:t>
            </w:r>
          </w:p>
          <w:p w14:paraId="11877056">
            <w:pPr>
              <w:pStyle w:val="9"/>
              <w:spacing w:before="24" w:line="228" w:lineRule="auto"/>
              <w:ind w:left="212"/>
              <w:rPr>
                <w:sz w:val="20"/>
                <w:szCs w:val="20"/>
              </w:rPr>
            </w:pPr>
            <w:r>
              <w:rPr>
                <w:spacing w:val="8"/>
                <w:sz w:val="20"/>
                <w:szCs w:val="20"/>
              </w:rPr>
              <w:t>河循环经济示范工</w:t>
            </w:r>
          </w:p>
          <w:p w14:paraId="7F31390D">
            <w:pPr>
              <w:pStyle w:val="9"/>
              <w:spacing w:before="24" w:line="221" w:lineRule="auto"/>
              <w:ind w:left="491"/>
              <w:rPr>
                <w:sz w:val="20"/>
                <w:szCs w:val="20"/>
              </w:rPr>
            </w:pPr>
            <w:r>
              <w:rPr>
                <w:spacing w:val="7"/>
                <w:sz w:val="20"/>
                <w:szCs w:val="20"/>
              </w:rPr>
              <w:t>程续建</w:t>
            </w:r>
            <w:r>
              <w:rPr>
                <w:rFonts w:ascii="Times New Roman" w:hAnsi="Times New Roman" w:eastAsia="Times New Roman" w:cs="Times New Roman"/>
                <w:spacing w:val="7"/>
                <w:sz w:val="20"/>
                <w:szCs w:val="20"/>
              </w:rPr>
              <w:t>(</w:t>
            </w:r>
            <w:r>
              <w:rPr>
                <w:spacing w:val="7"/>
                <w:sz w:val="20"/>
                <w:szCs w:val="20"/>
              </w:rPr>
              <w:t>第五</w:t>
            </w:r>
          </w:p>
          <w:p w14:paraId="74016924">
            <w:pPr>
              <w:pStyle w:val="9"/>
              <w:spacing w:before="34" w:line="221" w:lineRule="auto"/>
              <w:ind w:left="120"/>
              <w:rPr>
                <w:sz w:val="20"/>
                <w:szCs w:val="20"/>
              </w:rPr>
            </w:pPr>
            <w:r>
              <w:rPr>
                <w:spacing w:val="7"/>
                <w:sz w:val="20"/>
                <w:szCs w:val="20"/>
              </w:rPr>
              <w:t>期</w:t>
            </w:r>
            <w:r>
              <w:rPr>
                <w:rFonts w:ascii="Times New Roman" w:hAnsi="Times New Roman" w:eastAsia="Times New Roman" w:cs="Times New Roman"/>
                <w:spacing w:val="7"/>
                <w:sz w:val="20"/>
                <w:szCs w:val="20"/>
              </w:rPr>
              <w:t>)200</w:t>
            </w:r>
            <w:r>
              <w:rPr>
                <w:rFonts w:ascii="Times New Roman" w:hAnsi="Times New Roman" w:eastAsia="Times New Roman" w:cs="Times New Roman"/>
                <w:sz w:val="20"/>
                <w:szCs w:val="20"/>
              </w:rPr>
              <w:t>MW</w:t>
            </w:r>
            <w:r>
              <w:rPr>
                <w:rFonts w:ascii="Times New Roman" w:hAnsi="Times New Roman" w:eastAsia="Times New Roman" w:cs="Times New Roman"/>
                <w:spacing w:val="7"/>
                <w:sz w:val="20"/>
                <w:szCs w:val="20"/>
              </w:rPr>
              <w:t xml:space="preserve"> </w:t>
            </w:r>
            <w:r>
              <w:rPr>
                <w:spacing w:val="7"/>
                <w:sz w:val="20"/>
                <w:szCs w:val="20"/>
              </w:rPr>
              <w:t>风电项目</w:t>
            </w:r>
          </w:p>
          <w:p w14:paraId="7F4EEEE3">
            <w:pPr>
              <w:pStyle w:val="9"/>
              <w:spacing w:before="32" w:line="228" w:lineRule="auto"/>
              <w:ind w:left="217"/>
              <w:rPr>
                <w:sz w:val="20"/>
                <w:szCs w:val="20"/>
              </w:rPr>
            </w:pPr>
            <w:r>
              <w:rPr>
                <w:spacing w:val="8"/>
                <w:sz w:val="20"/>
                <w:szCs w:val="20"/>
              </w:rPr>
              <w:t>是否在自然保护区</w:t>
            </w:r>
          </w:p>
          <w:p w14:paraId="40A2B196">
            <w:pPr>
              <w:pStyle w:val="9"/>
              <w:spacing w:before="26" w:line="207" w:lineRule="auto"/>
              <w:ind w:left="545"/>
              <w:rPr>
                <w:sz w:val="20"/>
                <w:szCs w:val="20"/>
              </w:rPr>
            </w:pPr>
            <w:r>
              <w:rPr>
                <w:spacing w:val="4"/>
                <w:sz w:val="20"/>
                <w:szCs w:val="20"/>
              </w:rPr>
              <w:t>的内的复函</w:t>
            </w:r>
          </w:p>
        </w:tc>
        <w:tc>
          <w:tcPr>
            <w:tcW w:w="3348" w:type="dxa"/>
            <w:gridSpan w:val="2"/>
            <w:vAlign w:val="top"/>
          </w:tcPr>
          <w:p w14:paraId="79831E08">
            <w:pPr>
              <w:pStyle w:val="9"/>
              <w:spacing w:before="177" w:line="250" w:lineRule="auto"/>
              <w:ind w:left="113" w:right="100" w:firstLine="422"/>
              <w:jc w:val="both"/>
              <w:rPr>
                <w:sz w:val="20"/>
                <w:szCs w:val="20"/>
              </w:rPr>
            </w:pPr>
            <w:r>
              <w:rPr>
                <w:spacing w:val="25"/>
                <w:sz w:val="20"/>
                <w:szCs w:val="20"/>
              </w:rPr>
              <w:t>扎鲁特旗荷叶花湿地水禽自</w:t>
            </w:r>
            <w:r>
              <w:rPr>
                <w:spacing w:val="23"/>
                <w:sz w:val="20"/>
                <w:szCs w:val="20"/>
              </w:rPr>
              <w:t>然保护区管护中心查明霍林河循</w:t>
            </w:r>
            <w:r>
              <w:rPr>
                <w:spacing w:val="-3"/>
                <w:sz w:val="20"/>
                <w:szCs w:val="20"/>
              </w:rPr>
              <w:t>环</w:t>
            </w:r>
            <w:r>
              <w:rPr>
                <w:spacing w:val="-15"/>
                <w:sz w:val="20"/>
                <w:szCs w:val="20"/>
              </w:rPr>
              <w:t xml:space="preserve"> </w:t>
            </w:r>
            <w:r>
              <w:rPr>
                <w:spacing w:val="-3"/>
                <w:sz w:val="20"/>
                <w:szCs w:val="20"/>
              </w:rPr>
              <w:t>经</w:t>
            </w:r>
            <w:r>
              <w:rPr>
                <w:spacing w:val="-22"/>
                <w:sz w:val="20"/>
                <w:szCs w:val="20"/>
              </w:rPr>
              <w:t xml:space="preserve"> </w:t>
            </w:r>
            <w:r>
              <w:rPr>
                <w:spacing w:val="-3"/>
                <w:sz w:val="20"/>
                <w:szCs w:val="20"/>
              </w:rPr>
              <w:t>济</w:t>
            </w:r>
            <w:r>
              <w:rPr>
                <w:spacing w:val="-19"/>
                <w:sz w:val="20"/>
                <w:szCs w:val="20"/>
              </w:rPr>
              <w:t xml:space="preserve"> </w:t>
            </w:r>
            <w:r>
              <w:rPr>
                <w:spacing w:val="-3"/>
                <w:sz w:val="20"/>
                <w:szCs w:val="20"/>
              </w:rPr>
              <w:t>示 范</w:t>
            </w:r>
            <w:r>
              <w:rPr>
                <w:spacing w:val="-20"/>
                <w:sz w:val="20"/>
                <w:szCs w:val="20"/>
              </w:rPr>
              <w:t xml:space="preserve"> </w:t>
            </w:r>
            <w:r>
              <w:rPr>
                <w:spacing w:val="-3"/>
                <w:sz w:val="20"/>
                <w:szCs w:val="20"/>
              </w:rPr>
              <w:t>工</w:t>
            </w:r>
            <w:r>
              <w:rPr>
                <w:spacing w:val="-23"/>
                <w:sz w:val="20"/>
                <w:szCs w:val="20"/>
              </w:rPr>
              <w:t xml:space="preserve"> </w:t>
            </w:r>
            <w:r>
              <w:rPr>
                <w:spacing w:val="-3"/>
                <w:sz w:val="20"/>
                <w:szCs w:val="20"/>
              </w:rPr>
              <w:t>程</w:t>
            </w:r>
            <w:r>
              <w:rPr>
                <w:spacing w:val="-20"/>
                <w:sz w:val="20"/>
                <w:szCs w:val="20"/>
              </w:rPr>
              <w:t xml:space="preserve"> </w:t>
            </w:r>
            <w:r>
              <w:rPr>
                <w:spacing w:val="-3"/>
                <w:sz w:val="20"/>
                <w:szCs w:val="20"/>
              </w:rPr>
              <w:t>续</w:t>
            </w:r>
            <w:r>
              <w:rPr>
                <w:spacing w:val="-20"/>
                <w:sz w:val="20"/>
                <w:szCs w:val="20"/>
              </w:rPr>
              <w:t xml:space="preserve"> </w:t>
            </w:r>
            <w:r>
              <w:rPr>
                <w:spacing w:val="-3"/>
                <w:sz w:val="20"/>
                <w:szCs w:val="20"/>
              </w:rPr>
              <w:t>建</w:t>
            </w:r>
            <w:r>
              <w:rPr>
                <w:spacing w:val="-22"/>
                <w:sz w:val="20"/>
                <w:szCs w:val="20"/>
              </w:rPr>
              <w:t xml:space="preserve"> </w:t>
            </w:r>
            <w:r>
              <w:rPr>
                <w:rFonts w:ascii="Times New Roman" w:hAnsi="Times New Roman" w:eastAsia="Times New Roman" w:cs="Times New Roman"/>
                <w:spacing w:val="-3"/>
                <w:sz w:val="20"/>
                <w:szCs w:val="20"/>
              </w:rPr>
              <w:t>(</w:t>
            </w:r>
            <w:r>
              <w:rPr>
                <w:rFonts w:ascii="Times New Roman" w:hAnsi="Times New Roman" w:eastAsia="Times New Roman" w:cs="Times New Roman"/>
                <w:spacing w:val="27"/>
                <w:w w:val="101"/>
                <w:sz w:val="20"/>
                <w:szCs w:val="20"/>
              </w:rPr>
              <w:t xml:space="preserve"> </w:t>
            </w:r>
            <w:r>
              <w:rPr>
                <w:spacing w:val="-3"/>
                <w:sz w:val="20"/>
                <w:szCs w:val="20"/>
              </w:rPr>
              <w:t>第</w:t>
            </w:r>
            <w:r>
              <w:rPr>
                <w:spacing w:val="-19"/>
                <w:sz w:val="20"/>
                <w:szCs w:val="20"/>
              </w:rPr>
              <w:t xml:space="preserve"> </w:t>
            </w:r>
            <w:r>
              <w:rPr>
                <w:spacing w:val="-3"/>
                <w:sz w:val="20"/>
                <w:szCs w:val="20"/>
              </w:rPr>
              <w:t>五</w:t>
            </w:r>
            <w:r>
              <w:rPr>
                <w:spacing w:val="15"/>
                <w:sz w:val="20"/>
                <w:szCs w:val="20"/>
              </w:rPr>
              <w:t>期</w:t>
            </w:r>
            <w:r>
              <w:rPr>
                <w:rFonts w:ascii="Times New Roman" w:hAnsi="Times New Roman" w:eastAsia="Times New Roman" w:cs="Times New Roman"/>
                <w:spacing w:val="15"/>
                <w:sz w:val="20"/>
                <w:szCs w:val="20"/>
              </w:rPr>
              <w:t>)</w:t>
            </w:r>
            <w:r>
              <w:rPr>
                <w:rFonts w:ascii="Times New Roman" w:hAnsi="Times New Roman" w:eastAsia="Times New Roman" w:cs="Times New Roman"/>
                <w:color w:val="0000FF"/>
                <w:spacing w:val="15"/>
                <w:sz w:val="20"/>
                <w:szCs w:val="20"/>
              </w:rPr>
              <w:t>20</w:t>
            </w:r>
            <w:r>
              <w:rPr>
                <w:rFonts w:hint="eastAsia" w:ascii="Times New Roman" w:hAnsi="Times New Roman" w:cs="Times New Roman"/>
                <w:color w:val="0000FF"/>
                <w:sz w:val="20"/>
                <w:szCs w:val="20"/>
                <w:lang w:val="en-US" w:eastAsia="zh-CN"/>
              </w:rPr>
              <w:t>0</w:t>
            </w:r>
            <w:r>
              <w:rPr>
                <w:rFonts w:ascii="Times New Roman" w:hAnsi="Times New Roman" w:eastAsia="Times New Roman" w:cs="Times New Roman"/>
                <w:color w:val="0000FF"/>
                <w:sz w:val="20"/>
                <w:szCs w:val="20"/>
              </w:rPr>
              <w:t>MW</w:t>
            </w:r>
            <w:r>
              <w:rPr>
                <w:rFonts w:ascii="Times New Roman" w:hAnsi="Times New Roman" w:eastAsia="Times New Roman" w:cs="Times New Roman"/>
                <w:spacing w:val="38"/>
                <w:sz w:val="20"/>
                <w:szCs w:val="20"/>
              </w:rPr>
              <w:t xml:space="preserve"> </w:t>
            </w:r>
            <w:r>
              <w:rPr>
                <w:spacing w:val="15"/>
                <w:sz w:val="20"/>
                <w:szCs w:val="20"/>
              </w:rPr>
              <w:t>风电项</w:t>
            </w:r>
            <w:r>
              <w:rPr>
                <w:spacing w:val="-36"/>
                <w:sz w:val="20"/>
                <w:szCs w:val="20"/>
              </w:rPr>
              <w:t xml:space="preserve"> </w:t>
            </w:r>
            <w:r>
              <w:rPr>
                <w:spacing w:val="15"/>
                <w:sz w:val="20"/>
                <w:szCs w:val="20"/>
              </w:rPr>
              <w:t>目地块未在自</w:t>
            </w:r>
            <w:r>
              <w:rPr>
                <w:spacing w:val="8"/>
                <w:sz w:val="20"/>
                <w:szCs w:val="20"/>
              </w:rPr>
              <w:t>然保护区内</w:t>
            </w:r>
          </w:p>
        </w:tc>
        <w:tc>
          <w:tcPr>
            <w:tcW w:w="1658" w:type="dxa"/>
            <w:tcBorders>
              <w:right w:val="single" w:color="000000" w:sz="6" w:space="0"/>
            </w:tcBorders>
            <w:vAlign w:val="top"/>
          </w:tcPr>
          <w:p w14:paraId="4F3C5D32">
            <w:pPr>
              <w:spacing w:line="345" w:lineRule="auto"/>
              <w:rPr>
                <w:rFonts w:ascii="Arial"/>
                <w:sz w:val="21"/>
              </w:rPr>
            </w:pPr>
          </w:p>
          <w:p w14:paraId="23454BC8">
            <w:pPr>
              <w:spacing w:line="345" w:lineRule="auto"/>
              <w:rPr>
                <w:rFonts w:ascii="Arial"/>
                <w:sz w:val="21"/>
              </w:rPr>
            </w:pPr>
          </w:p>
          <w:p w14:paraId="2F7494D5">
            <w:pPr>
              <w:spacing w:before="58" w:line="199" w:lineRule="auto"/>
              <w:ind w:left="74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61CE76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7" w:hRule="atLeast"/>
        </w:trPr>
        <w:tc>
          <w:tcPr>
            <w:tcW w:w="599" w:type="dxa"/>
            <w:vMerge w:val="continue"/>
            <w:tcBorders>
              <w:top w:val="nil"/>
              <w:left w:val="single" w:color="000000" w:sz="6" w:space="0"/>
              <w:bottom w:val="nil"/>
            </w:tcBorders>
            <w:vAlign w:val="top"/>
          </w:tcPr>
          <w:p w14:paraId="52692E13">
            <w:pPr>
              <w:rPr>
                <w:rFonts w:ascii="Arial"/>
                <w:sz w:val="21"/>
              </w:rPr>
            </w:pPr>
          </w:p>
        </w:tc>
        <w:tc>
          <w:tcPr>
            <w:tcW w:w="113" w:type="dxa"/>
            <w:tcBorders>
              <w:top w:val="nil"/>
              <w:bottom w:val="nil"/>
            </w:tcBorders>
            <w:vAlign w:val="top"/>
          </w:tcPr>
          <w:p w14:paraId="4E618779">
            <w:pPr>
              <w:rPr>
                <w:rFonts w:ascii="Arial"/>
                <w:sz w:val="21"/>
              </w:rPr>
            </w:pPr>
          </w:p>
        </w:tc>
        <w:tc>
          <w:tcPr>
            <w:tcW w:w="514" w:type="dxa"/>
            <w:gridSpan w:val="2"/>
            <w:vAlign w:val="top"/>
          </w:tcPr>
          <w:p w14:paraId="5F8BD09E">
            <w:pPr>
              <w:spacing w:line="348" w:lineRule="auto"/>
              <w:rPr>
                <w:rFonts w:ascii="Arial"/>
                <w:sz w:val="21"/>
              </w:rPr>
            </w:pPr>
          </w:p>
          <w:p w14:paraId="1D148699">
            <w:pPr>
              <w:spacing w:line="348" w:lineRule="auto"/>
              <w:rPr>
                <w:rFonts w:ascii="Arial"/>
                <w:sz w:val="21"/>
              </w:rPr>
            </w:pPr>
          </w:p>
          <w:p w14:paraId="2003282B">
            <w:pPr>
              <w:spacing w:before="58" w:line="195" w:lineRule="auto"/>
              <w:ind w:left="205"/>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1260" w:type="dxa"/>
            <w:gridSpan w:val="2"/>
            <w:vAlign w:val="top"/>
          </w:tcPr>
          <w:p w14:paraId="7C7436A8">
            <w:pPr>
              <w:spacing w:line="383" w:lineRule="auto"/>
              <w:rPr>
                <w:rFonts w:ascii="Arial"/>
                <w:sz w:val="21"/>
              </w:rPr>
            </w:pPr>
          </w:p>
          <w:p w14:paraId="7CE00DC2">
            <w:pPr>
              <w:pStyle w:val="9"/>
              <w:spacing w:before="65" w:line="228" w:lineRule="auto"/>
              <w:ind w:left="213"/>
              <w:rPr>
                <w:sz w:val="20"/>
                <w:szCs w:val="20"/>
              </w:rPr>
            </w:pPr>
            <w:r>
              <w:rPr>
                <w:spacing w:val="6"/>
                <w:sz w:val="20"/>
                <w:szCs w:val="20"/>
              </w:rPr>
              <w:t>扎鲁特旗</w:t>
            </w:r>
          </w:p>
          <w:p w14:paraId="4190B795">
            <w:pPr>
              <w:pStyle w:val="9"/>
              <w:spacing w:before="24" w:line="228" w:lineRule="auto"/>
              <w:ind w:left="212"/>
              <w:rPr>
                <w:sz w:val="20"/>
                <w:szCs w:val="20"/>
              </w:rPr>
            </w:pPr>
            <w:r>
              <w:rPr>
                <w:spacing w:val="7"/>
                <w:sz w:val="20"/>
                <w:szCs w:val="20"/>
              </w:rPr>
              <w:t>林业和草</w:t>
            </w:r>
          </w:p>
          <w:p w14:paraId="785C7F5E">
            <w:pPr>
              <w:pStyle w:val="9"/>
              <w:spacing w:before="24" w:line="229" w:lineRule="auto"/>
              <w:ind w:left="425"/>
              <w:rPr>
                <w:sz w:val="20"/>
                <w:szCs w:val="20"/>
              </w:rPr>
            </w:pPr>
            <w:r>
              <w:rPr>
                <w:spacing w:val="2"/>
                <w:sz w:val="20"/>
                <w:szCs w:val="20"/>
              </w:rPr>
              <w:t>原局</w:t>
            </w:r>
          </w:p>
        </w:tc>
        <w:tc>
          <w:tcPr>
            <w:tcW w:w="2097" w:type="dxa"/>
            <w:vAlign w:val="top"/>
          </w:tcPr>
          <w:p w14:paraId="3FDE6CE5">
            <w:pPr>
              <w:pStyle w:val="9"/>
              <w:spacing w:before="43" w:line="228" w:lineRule="auto"/>
              <w:ind w:left="217"/>
              <w:rPr>
                <w:sz w:val="20"/>
                <w:szCs w:val="20"/>
              </w:rPr>
            </w:pPr>
            <w:r>
              <w:rPr>
                <w:spacing w:val="8"/>
                <w:sz w:val="20"/>
                <w:szCs w:val="20"/>
              </w:rPr>
              <w:t>关于提请核查霍林</w:t>
            </w:r>
          </w:p>
          <w:p w14:paraId="1FB4E958">
            <w:pPr>
              <w:pStyle w:val="9"/>
              <w:spacing w:before="24" w:line="228" w:lineRule="auto"/>
              <w:ind w:left="212"/>
              <w:rPr>
                <w:sz w:val="20"/>
                <w:szCs w:val="20"/>
              </w:rPr>
            </w:pPr>
            <w:r>
              <w:rPr>
                <w:spacing w:val="8"/>
                <w:sz w:val="20"/>
                <w:szCs w:val="20"/>
              </w:rPr>
              <w:t>河循环经济示范工</w:t>
            </w:r>
          </w:p>
          <w:p w14:paraId="7DC5BB67">
            <w:pPr>
              <w:pStyle w:val="9"/>
              <w:spacing w:before="24" w:line="221" w:lineRule="auto"/>
              <w:ind w:left="491"/>
              <w:rPr>
                <w:sz w:val="20"/>
                <w:szCs w:val="20"/>
              </w:rPr>
            </w:pPr>
            <w:r>
              <w:rPr>
                <w:spacing w:val="7"/>
                <w:sz w:val="20"/>
                <w:szCs w:val="20"/>
              </w:rPr>
              <w:t>程续建</w:t>
            </w:r>
            <w:r>
              <w:rPr>
                <w:rFonts w:ascii="Times New Roman" w:hAnsi="Times New Roman" w:eastAsia="Times New Roman" w:cs="Times New Roman"/>
                <w:spacing w:val="7"/>
                <w:sz w:val="20"/>
                <w:szCs w:val="20"/>
              </w:rPr>
              <w:t>(</w:t>
            </w:r>
            <w:r>
              <w:rPr>
                <w:spacing w:val="7"/>
                <w:sz w:val="20"/>
                <w:szCs w:val="20"/>
              </w:rPr>
              <w:t>第五</w:t>
            </w:r>
          </w:p>
          <w:p w14:paraId="14B93900">
            <w:pPr>
              <w:pStyle w:val="9"/>
              <w:spacing w:before="34" w:line="221" w:lineRule="auto"/>
              <w:ind w:left="120"/>
              <w:rPr>
                <w:sz w:val="20"/>
                <w:szCs w:val="20"/>
              </w:rPr>
            </w:pPr>
            <w:r>
              <w:rPr>
                <w:spacing w:val="7"/>
                <w:sz w:val="20"/>
                <w:szCs w:val="20"/>
              </w:rPr>
              <w:t>期</w:t>
            </w:r>
            <w:r>
              <w:rPr>
                <w:rFonts w:ascii="Times New Roman" w:hAnsi="Times New Roman" w:eastAsia="Times New Roman" w:cs="Times New Roman"/>
                <w:spacing w:val="7"/>
                <w:sz w:val="20"/>
                <w:szCs w:val="20"/>
              </w:rPr>
              <w:t>)200</w:t>
            </w:r>
            <w:r>
              <w:rPr>
                <w:rFonts w:ascii="Times New Roman" w:hAnsi="Times New Roman" w:eastAsia="Times New Roman" w:cs="Times New Roman"/>
                <w:sz w:val="20"/>
                <w:szCs w:val="20"/>
              </w:rPr>
              <w:t>MW</w:t>
            </w:r>
            <w:r>
              <w:rPr>
                <w:rFonts w:ascii="Times New Roman" w:hAnsi="Times New Roman" w:eastAsia="Times New Roman" w:cs="Times New Roman"/>
                <w:spacing w:val="7"/>
                <w:sz w:val="20"/>
                <w:szCs w:val="20"/>
              </w:rPr>
              <w:t xml:space="preserve"> </w:t>
            </w:r>
            <w:r>
              <w:rPr>
                <w:spacing w:val="7"/>
                <w:sz w:val="20"/>
                <w:szCs w:val="20"/>
              </w:rPr>
              <w:t>风电项目</w:t>
            </w:r>
          </w:p>
          <w:p w14:paraId="73F2628F">
            <w:pPr>
              <w:pStyle w:val="9"/>
              <w:spacing w:before="31" w:line="228" w:lineRule="auto"/>
              <w:ind w:left="217"/>
              <w:rPr>
                <w:sz w:val="20"/>
                <w:szCs w:val="20"/>
              </w:rPr>
            </w:pPr>
            <w:r>
              <w:rPr>
                <w:spacing w:val="8"/>
                <w:sz w:val="20"/>
                <w:szCs w:val="20"/>
              </w:rPr>
              <w:t>是否占用公益林地</w:t>
            </w:r>
          </w:p>
          <w:p w14:paraId="4BC36E06">
            <w:pPr>
              <w:pStyle w:val="9"/>
              <w:spacing w:before="26" w:line="206" w:lineRule="auto"/>
              <w:ind w:left="754"/>
              <w:rPr>
                <w:sz w:val="20"/>
                <w:szCs w:val="20"/>
              </w:rPr>
            </w:pPr>
            <w:r>
              <w:rPr>
                <w:spacing w:val="1"/>
                <w:sz w:val="20"/>
                <w:szCs w:val="20"/>
              </w:rPr>
              <w:t>的复函</w:t>
            </w:r>
          </w:p>
        </w:tc>
        <w:tc>
          <w:tcPr>
            <w:tcW w:w="3348" w:type="dxa"/>
            <w:gridSpan w:val="2"/>
            <w:vAlign w:val="top"/>
          </w:tcPr>
          <w:p w14:paraId="526641D8">
            <w:pPr>
              <w:spacing w:line="247" w:lineRule="auto"/>
              <w:rPr>
                <w:rFonts w:ascii="Arial"/>
                <w:sz w:val="21"/>
              </w:rPr>
            </w:pPr>
          </w:p>
          <w:p w14:paraId="6204555D">
            <w:pPr>
              <w:pStyle w:val="9"/>
              <w:spacing w:before="65" w:line="252" w:lineRule="auto"/>
              <w:ind w:left="112" w:right="100" w:firstLine="424"/>
              <w:jc w:val="both"/>
              <w:rPr>
                <w:sz w:val="20"/>
                <w:szCs w:val="20"/>
              </w:rPr>
            </w:pPr>
            <w:r>
              <w:rPr>
                <w:spacing w:val="11"/>
                <w:sz w:val="20"/>
                <w:szCs w:val="20"/>
              </w:rPr>
              <w:t>项目坐标点与</w:t>
            </w:r>
            <w:r>
              <w:rPr>
                <w:spacing w:val="-23"/>
                <w:sz w:val="20"/>
                <w:szCs w:val="20"/>
              </w:rPr>
              <w:t xml:space="preserve"> </w:t>
            </w:r>
            <w:r>
              <w:rPr>
                <w:rFonts w:ascii="Times New Roman" w:hAnsi="Times New Roman" w:eastAsia="Times New Roman" w:cs="Times New Roman"/>
                <w:spacing w:val="11"/>
                <w:sz w:val="20"/>
                <w:szCs w:val="20"/>
              </w:rPr>
              <w:t>2017</w:t>
            </w:r>
            <w:r>
              <w:rPr>
                <w:rFonts w:ascii="Times New Roman" w:hAnsi="Times New Roman" w:eastAsia="Times New Roman" w:cs="Times New Roman"/>
                <w:spacing w:val="21"/>
                <w:sz w:val="20"/>
                <w:szCs w:val="20"/>
              </w:rPr>
              <w:t xml:space="preserve"> </w:t>
            </w:r>
            <w:r>
              <w:rPr>
                <w:spacing w:val="11"/>
                <w:sz w:val="20"/>
                <w:szCs w:val="20"/>
              </w:rPr>
              <w:t>年全旗林</w:t>
            </w:r>
            <w:r>
              <w:rPr>
                <w:spacing w:val="8"/>
                <w:sz w:val="20"/>
                <w:szCs w:val="20"/>
              </w:rPr>
              <w:t>地保护规划利用现状图比对，查明</w:t>
            </w:r>
            <w:r>
              <w:rPr>
                <w:spacing w:val="23"/>
                <w:sz w:val="20"/>
                <w:szCs w:val="20"/>
              </w:rPr>
              <w:t>中心点坐标地块未在林业资源数</w:t>
            </w:r>
            <w:r>
              <w:rPr>
                <w:spacing w:val="8"/>
                <w:sz w:val="20"/>
                <w:szCs w:val="20"/>
              </w:rPr>
              <w:t>据库范围内</w:t>
            </w:r>
          </w:p>
        </w:tc>
        <w:tc>
          <w:tcPr>
            <w:tcW w:w="1658" w:type="dxa"/>
            <w:tcBorders>
              <w:right w:val="single" w:color="000000" w:sz="6" w:space="0"/>
            </w:tcBorders>
            <w:vAlign w:val="top"/>
          </w:tcPr>
          <w:p w14:paraId="3DE9E951">
            <w:pPr>
              <w:spacing w:line="346" w:lineRule="auto"/>
              <w:rPr>
                <w:rFonts w:ascii="Arial"/>
                <w:sz w:val="21"/>
              </w:rPr>
            </w:pPr>
          </w:p>
          <w:p w14:paraId="7D894488">
            <w:pPr>
              <w:spacing w:line="346" w:lineRule="auto"/>
              <w:rPr>
                <w:rFonts w:ascii="Arial"/>
                <w:sz w:val="21"/>
              </w:rPr>
            </w:pPr>
          </w:p>
          <w:p w14:paraId="003A0C5A">
            <w:pPr>
              <w:spacing w:before="58" w:line="199" w:lineRule="auto"/>
              <w:ind w:left="74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20D1F0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93" w:hRule="atLeast"/>
        </w:trPr>
        <w:tc>
          <w:tcPr>
            <w:tcW w:w="599" w:type="dxa"/>
            <w:vMerge w:val="continue"/>
            <w:tcBorders>
              <w:top w:val="nil"/>
              <w:left w:val="single" w:color="000000" w:sz="6" w:space="0"/>
              <w:bottom w:val="nil"/>
            </w:tcBorders>
            <w:vAlign w:val="top"/>
          </w:tcPr>
          <w:p w14:paraId="797FD0DF">
            <w:pPr>
              <w:rPr>
                <w:rFonts w:ascii="Arial"/>
                <w:sz w:val="21"/>
              </w:rPr>
            </w:pPr>
          </w:p>
        </w:tc>
        <w:tc>
          <w:tcPr>
            <w:tcW w:w="8990" w:type="dxa"/>
            <w:gridSpan w:val="9"/>
            <w:tcBorders>
              <w:right w:val="single" w:color="000000" w:sz="6" w:space="0"/>
            </w:tcBorders>
            <w:vAlign w:val="top"/>
          </w:tcPr>
          <w:p w14:paraId="19B2E04F">
            <w:pPr>
              <w:pStyle w:val="9"/>
              <w:spacing w:before="173" w:line="357" w:lineRule="auto"/>
              <w:ind w:left="109" w:right="102" w:firstLine="489"/>
            </w:pPr>
            <w:r>
              <w:rPr>
                <w:spacing w:val="1"/>
              </w:rPr>
              <w:t>（</w:t>
            </w:r>
            <w:r>
              <w:rPr>
                <w:rFonts w:ascii="Times New Roman" w:hAnsi="Times New Roman" w:eastAsia="Times New Roman" w:cs="Times New Roman"/>
                <w:spacing w:val="1"/>
              </w:rPr>
              <w:t>2</w:t>
            </w:r>
            <w:r>
              <w:rPr>
                <w:spacing w:val="1"/>
              </w:rPr>
              <w:t>）与《输变电建设项目环境保护技术要求》（</w:t>
            </w:r>
            <w:r>
              <w:rPr>
                <w:rFonts w:ascii="Times New Roman" w:hAnsi="Times New Roman" w:eastAsia="Times New Roman" w:cs="Times New Roman"/>
              </w:rPr>
              <w:t>HJ</w:t>
            </w:r>
            <w:r>
              <w:rPr>
                <w:rFonts w:ascii="Times New Roman" w:hAnsi="Times New Roman" w:eastAsia="Times New Roman" w:cs="Times New Roman"/>
                <w:spacing w:val="33"/>
              </w:rPr>
              <w:t xml:space="preserve"> </w:t>
            </w:r>
            <w:r>
              <w:rPr>
                <w:rFonts w:ascii="Times New Roman" w:hAnsi="Times New Roman" w:eastAsia="Times New Roman" w:cs="Times New Roman"/>
                <w:spacing w:val="1"/>
              </w:rPr>
              <w:t>1113-2020</w:t>
            </w:r>
            <w:r>
              <w:rPr>
                <w:spacing w:val="1"/>
              </w:rPr>
              <w:t>）选址选线要求</w:t>
            </w:r>
            <w:r>
              <w:rPr>
                <w:spacing w:val="-3"/>
              </w:rPr>
              <w:t>符合性分析</w:t>
            </w:r>
          </w:p>
          <w:p w14:paraId="01592BDC">
            <w:pPr>
              <w:pStyle w:val="9"/>
              <w:spacing w:before="1" w:line="215" w:lineRule="auto"/>
              <w:ind w:left="1928"/>
            </w:pPr>
            <w:r>
              <w:rPr>
                <w:b/>
                <w:bCs/>
                <w:spacing w:val="-3"/>
              </w:rPr>
              <w:t>表</w:t>
            </w:r>
            <w:r>
              <w:rPr>
                <w:spacing w:val="-37"/>
              </w:rPr>
              <w:t xml:space="preserve"> </w:t>
            </w:r>
            <w:r>
              <w:rPr>
                <w:rFonts w:ascii="Times New Roman" w:hAnsi="Times New Roman" w:eastAsia="Times New Roman" w:cs="Times New Roman"/>
                <w:b/>
                <w:bCs/>
                <w:spacing w:val="-3"/>
              </w:rPr>
              <w:t xml:space="preserve">4-7    </w:t>
            </w:r>
            <w:r>
              <w:rPr>
                <w:b/>
                <w:bCs/>
                <w:spacing w:val="-3"/>
              </w:rPr>
              <w:t>与（</w:t>
            </w:r>
            <w:r>
              <w:rPr>
                <w:rFonts w:ascii="Times New Roman" w:hAnsi="Times New Roman" w:eastAsia="Times New Roman" w:cs="Times New Roman"/>
                <w:b/>
                <w:bCs/>
                <w:spacing w:val="-3"/>
              </w:rPr>
              <w:t>HJ</w:t>
            </w:r>
            <w:r>
              <w:rPr>
                <w:rFonts w:ascii="Times New Roman" w:hAnsi="Times New Roman" w:eastAsia="Times New Roman" w:cs="Times New Roman"/>
                <w:b/>
                <w:bCs/>
                <w:spacing w:val="15"/>
                <w:w w:val="101"/>
              </w:rPr>
              <w:t xml:space="preserve"> </w:t>
            </w:r>
            <w:r>
              <w:rPr>
                <w:rFonts w:ascii="Times New Roman" w:hAnsi="Times New Roman" w:eastAsia="Times New Roman" w:cs="Times New Roman"/>
                <w:b/>
                <w:bCs/>
                <w:spacing w:val="-3"/>
              </w:rPr>
              <w:t>1113-2020</w:t>
            </w:r>
            <w:r>
              <w:rPr>
                <w:b/>
                <w:bCs/>
                <w:spacing w:val="-3"/>
              </w:rPr>
              <w:t>）选址选线要求符合性分析</w:t>
            </w:r>
          </w:p>
        </w:tc>
      </w:tr>
      <w:tr w14:paraId="7C1F8C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8" w:hRule="atLeast"/>
        </w:trPr>
        <w:tc>
          <w:tcPr>
            <w:tcW w:w="599" w:type="dxa"/>
            <w:vMerge w:val="continue"/>
            <w:tcBorders>
              <w:top w:val="nil"/>
              <w:left w:val="single" w:color="000000" w:sz="6" w:space="0"/>
              <w:bottom w:val="nil"/>
            </w:tcBorders>
            <w:vAlign w:val="top"/>
          </w:tcPr>
          <w:p w14:paraId="7FE8C358">
            <w:pPr>
              <w:rPr>
                <w:rFonts w:ascii="Arial"/>
                <w:sz w:val="21"/>
              </w:rPr>
            </w:pPr>
          </w:p>
        </w:tc>
        <w:tc>
          <w:tcPr>
            <w:tcW w:w="137" w:type="dxa"/>
            <w:gridSpan w:val="2"/>
            <w:vMerge w:val="restart"/>
            <w:tcBorders>
              <w:top w:val="nil"/>
              <w:bottom w:val="nil"/>
            </w:tcBorders>
            <w:vAlign w:val="top"/>
          </w:tcPr>
          <w:p w14:paraId="1E562228">
            <w:pPr>
              <w:rPr>
                <w:rFonts w:ascii="Arial"/>
                <w:sz w:val="21"/>
              </w:rPr>
            </w:pPr>
          </w:p>
        </w:tc>
        <w:tc>
          <w:tcPr>
            <w:tcW w:w="833" w:type="dxa"/>
            <w:gridSpan w:val="2"/>
            <w:vAlign w:val="top"/>
          </w:tcPr>
          <w:p w14:paraId="3C183A49">
            <w:pPr>
              <w:pStyle w:val="9"/>
              <w:spacing w:before="47" w:line="204" w:lineRule="auto"/>
              <w:ind w:left="203"/>
              <w:rPr>
                <w:sz w:val="20"/>
                <w:szCs w:val="20"/>
              </w:rPr>
            </w:pPr>
            <w:r>
              <w:rPr>
                <w:spacing w:val="5"/>
                <w:sz w:val="20"/>
                <w:szCs w:val="20"/>
              </w:rPr>
              <w:t>序号</w:t>
            </w:r>
          </w:p>
        </w:tc>
        <w:tc>
          <w:tcPr>
            <w:tcW w:w="4970" w:type="dxa"/>
            <w:gridSpan w:val="3"/>
            <w:vAlign w:val="top"/>
          </w:tcPr>
          <w:p w14:paraId="4CAFFC76">
            <w:pPr>
              <w:pStyle w:val="9"/>
              <w:spacing w:before="47" w:line="204" w:lineRule="auto"/>
              <w:ind w:left="1859"/>
              <w:rPr>
                <w:sz w:val="20"/>
                <w:szCs w:val="20"/>
              </w:rPr>
            </w:pPr>
            <w:r>
              <w:rPr>
                <w:spacing w:val="8"/>
                <w:sz w:val="20"/>
                <w:szCs w:val="20"/>
              </w:rPr>
              <w:t>选址选线要求</w:t>
            </w:r>
          </w:p>
        </w:tc>
        <w:tc>
          <w:tcPr>
            <w:tcW w:w="3050" w:type="dxa"/>
            <w:gridSpan w:val="2"/>
            <w:tcBorders>
              <w:right w:val="single" w:color="000000" w:sz="6" w:space="0"/>
            </w:tcBorders>
            <w:vAlign w:val="top"/>
          </w:tcPr>
          <w:p w14:paraId="21813FBC">
            <w:pPr>
              <w:pStyle w:val="9"/>
              <w:spacing w:before="47" w:line="204" w:lineRule="auto"/>
              <w:ind w:left="938"/>
              <w:rPr>
                <w:sz w:val="20"/>
                <w:szCs w:val="20"/>
              </w:rPr>
            </w:pPr>
            <w:r>
              <w:rPr>
                <w:spacing w:val="7"/>
                <w:sz w:val="20"/>
                <w:szCs w:val="20"/>
              </w:rPr>
              <w:t>符合性分析</w:t>
            </w:r>
          </w:p>
        </w:tc>
      </w:tr>
      <w:tr w14:paraId="318674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 w:hRule="atLeast"/>
        </w:trPr>
        <w:tc>
          <w:tcPr>
            <w:tcW w:w="599" w:type="dxa"/>
            <w:vMerge w:val="continue"/>
            <w:tcBorders>
              <w:top w:val="nil"/>
              <w:left w:val="single" w:color="000000" w:sz="6" w:space="0"/>
              <w:bottom w:val="single" w:color="000000" w:sz="6" w:space="0"/>
            </w:tcBorders>
            <w:vAlign w:val="top"/>
          </w:tcPr>
          <w:p w14:paraId="69241E65">
            <w:pPr>
              <w:rPr>
                <w:rFonts w:ascii="Arial"/>
                <w:sz w:val="21"/>
              </w:rPr>
            </w:pPr>
          </w:p>
        </w:tc>
        <w:tc>
          <w:tcPr>
            <w:tcW w:w="137" w:type="dxa"/>
            <w:gridSpan w:val="2"/>
            <w:vMerge w:val="continue"/>
            <w:tcBorders>
              <w:top w:val="nil"/>
              <w:bottom w:val="single" w:color="000000" w:sz="6" w:space="0"/>
            </w:tcBorders>
            <w:vAlign w:val="top"/>
          </w:tcPr>
          <w:p w14:paraId="520EA907">
            <w:pPr>
              <w:rPr>
                <w:rFonts w:ascii="Arial"/>
                <w:sz w:val="21"/>
              </w:rPr>
            </w:pPr>
          </w:p>
        </w:tc>
        <w:tc>
          <w:tcPr>
            <w:tcW w:w="833" w:type="dxa"/>
            <w:gridSpan w:val="2"/>
            <w:tcBorders>
              <w:bottom w:val="single" w:color="000000" w:sz="6" w:space="0"/>
            </w:tcBorders>
            <w:vAlign w:val="top"/>
          </w:tcPr>
          <w:p w14:paraId="4A562EF8">
            <w:pPr>
              <w:spacing w:before="217" w:line="195" w:lineRule="auto"/>
              <w:ind w:left="379"/>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4970" w:type="dxa"/>
            <w:gridSpan w:val="3"/>
            <w:tcBorders>
              <w:bottom w:val="single" w:color="000000" w:sz="6" w:space="0"/>
            </w:tcBorders>
            <w:vAlign w:val="top"/>
          </w:tcPr>
          <w:p w14:paraId="2928C50D">
            <w:pPr>
              <w:pStyle w:val="9"/>
              <w:spacing w:before="44" w:line="243" w:lineRule="auto"/>
              <w:ind w:left="109" w:right="103" w:firstLine="421"/>
              <w:rPr>
                <w:sz w:val="20"/>
                <w:szCs w:val="20"/>
              </w:rPr>
            </w:pPr>
            <w:r>
              <w:rPr>
                <w:spacing w:val="16"/>
                <w:sz w:val="20"/>
                <w:szCs w:val="20"/>
              </w:rPr>
              <w:t>工程选址选线应符合规划环境影响评价文件的</w:t>
            </w:r>
            <w:r>
              <w:rPr>
                <w:spacing w:val="2"/>
                <w:sz w:val="20"/>
                <w:szCs w:val="20"/>
              </w:rPr>
              <w:t>要求。</w:t>
            </w:r>
          </w:p>
        </w:tc>
        <w:tc>
          <w:tcPr>
            <w:tcW w:w="3050" w:type="dxa"/>
            <w:gridSpan w:val="2"/>
            <w:tcBorders>
              <w:bottom w:val="single" w:color="000000" w:sz="6" w:space="0"/>
              <w:right w:val="single" w:color="000000" w:sz="6" w:space="0"/>
            </w:tcBorders>
            <w:vAlign w:val="top"/>
          </w:tcPr>
          <w:p w14:paraId="23876A8B">
            <w:pPr>
              <w:pStyle w:val="9"/>
              <w:spacing w:before="44" w:line="243" w:lineRule="auto"/>
              <w:ind w:left="115" w:right="241" w:firstLine="420"/>
              <w:rPr>
                <w:sz w:val="20"/>
                <w:szCs w:val="20"/>
              </w:rPr>
            </w:pPr>
            <w:r>
              <w:rPr>
                <w:spacing w:val="26"/>
                <w:sz w:val="20"/>
                <w:szCs w:val="20"/>
              </w:rPr>
              <w:t>本工程选址区域无规划</w:t>
            </w:r>
            <w:r>
              <w:rPr>
                <w:spacing w:val="7"/>
                <w:sz w:val="20"/>
                <w:szCs w:val="20"/>
              </w:rPr>
              <w:t>环境影响评价文件。</w:t>
            </w:r>
          </w:p>
        </w:tc>
      </w:tr>
    </w:tbl>
    <w:p w14:paraId="42D7ADFE">
      <w:pPr>
        <w:pStyle w:val="3"/>
      </w:pPr>
    </w:p>
    <w:p w14:paraId="71020E2D">
      <w:pPr>
        <w:sectPr>
          <w:footerReference r:id="rId71" w:type="default"/>
          <w:pgSz w:w="11906" w:h="16838"/>
          <w:pgMar w:top="1416" w:right="1151" w:bottom="1295" w:left="1150" w:header="0" w:footer="1133" w:gutter="0"/>
          <w:cols w:space="720" w:num="1"/>
        </w:sectPr>
      </w:pPr>
    </w:p>
    <w:tbl>
      <w:tblPr>
        <w:tblStyle w:val="8"/>
        <w:tblW w:w="9589"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99"/>
        <w:gridCol w:w="137"/>
        <w:gridCol w:w="834"/>
        <w:gridCol w:w="4970"/>
        <w:gridCol w:w="2902"/>
        <w:gridCol w:w="147"/>
      </w:tblGrid>
      <w:tr w14:paraId="074D40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24" w:hRule="atLeast"/>
        </w:trPr>
        <w:tc>
          <w:tcPr>
            <w:tcW w:w="599" w:type="dxa"/>
            <w:vMerge w:val="restart"/>
            <w:tcBorders>
              <w:top w:val="single" w:color="000000" w:sz="6" w:space="0"/>
              <w:left w:val="single" w:color="000000" w:sz="6" w:space="0"/>
              <w:bottom w:val="nil"/>
            </w:tcBorders>
            <w:vAlign w:val="top"/>
          </w:tcPr>
          <w:p w14:paraId="03B2AFB1">
            <w:pPr>
              <w:rPr>
                <w:rFonts w:ascii="Arial"/>
                <w:sz w:val="21"/>
              </w:rPr>
            </w:pPr>
          </w:p>
        </w:tc>
        <w:tc>
          <w:tcPr>
            <w:tcW w:w="137" w:type="dxa"/>
            <w:tcBorders>
              <w:top w:val="single" w:color="000000" w:sz="6" w:space="0"/>
              <w:bottom w:val="nil"/>
            </w:tcBorders>
            <w:vAlign w:val="top"/>
          </w:tcPr>
          <w:p w14:paraId="287A8AEA">
            <w:pPr>
              <w:rPr>
                <w:rFonts w:ascii="Arial"/>
                <w:sz w:val="21"/>
              </w:rPr>
            </w:pPr>
          </w:p>
        </w:tc>
        <w:tc>
          <w:tcPr>
            <w:tcW w:w="834" w:type="dxa"/>
            <w:tcBorders>
              <w:top w:val="single" w:color="000000" w:sz="6" w:space="0"/>
            </w:tcBorders>
            <w:vAlign w:val="top"/>
          </w:tcPr>
          <w:p w14:paraId="0E85B336">
            <w:pPr>
              <w:spacing w:line="279" w:lineRule="auto"/>
              <w:rPr>
                <w:rFonts w:ascii="Arial"/>
                <w:sz w:val="21"/>
              </w:rPr>
            </w:pPr>
          </w:p>
          <w:p w14:paraId="076EBC56">
            <w:pPr>
              <w:spacing w:line="279" w:lineRule="auto"/>
              <w:rPr>
                <w:rFonts w:ascii="Arial"/>
                <w:sz w:val="21"/>
              </w:rPr>
            </w:pPr>
          </w:p>
          <w:p w14:paraId="4D6535CA">
            <w:pPr>
              <w:spacing w:line="279" w:lineRule="auto"/>
              <w:rPr>
                <w:rFonts w:ascii="Arial"/>
                <w:sz w:val="21"/>
              </w:rPr>
            </w:pPr>
          </w:p>
          <w:p w14:paraId="165EFC48">
            <w:pPr>
              <w:spacing w:before="57" w:line="195" w:lineRule="auto"/>
              <w:ind w:left="359"/>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4970" w:type="dxa"/>
            <w:tcBorders>
              <w:top w:val="single" w:color="000000" w:sz="6" w:space="0"/>
            </w:tcBorders>
            <w:vAlign w:val="top"/>
          </w:tcPr>
          <w:p w14:paraId="3946A814">
            <w:pPr>
              <w:pStyle w:val="9"/>
              <w:spacing w:before="48" w:line="246" w:lineRule="auto"/>
              <w:ind w:left="107" w:right="104" w:firstLine="419"/>
              <w:jc w:val="both"/>
              <w:rPr>
                <w:sz w:val="20"/>
                <w:szCs w:val="20"/>
              </w:rPr>
            </w:pPr>
            <w:r>
              <w:rPr>
                <w:spacing w:val="16"/>
                <w:sz w:val="20"/>
                <w:szCs w:val="20"/>
              </w:rPr>
              <w:t>输变电建设项目选址选线应符合生态保护红线</w:t>
            </w:r>
            <w:r>
              <w:rPr>
                <w:spacing w:val="6"/>
                <w:sz w:val="20"/>
                <w:szCs w:val="20"/>
              </w:rPr>
              <w:t>管控要求，避让自然保护区、饮用水水源保护区等环境敏感区。确实因自然条件等因素限制无法避让自然保护区实验区、饮用水水源二级保护区等环境敏感区的输电线路，应在满足相关法律法规及管理要求的前提下对线路方案进行唯一性论证，并采取无害化方式</w:t>
            </w:r>
            <w:r>
              <w:rPr>
                <w:spacing w:val="3"/>
                <w:sz w:val="20"/>
                <w:szCs w:val="20"/>
              </w:rPr>
              <w:t>通过。</w:t>
            </w:r>
          </w:p>
        </w:tc>
        <w:tc>
          <w:tcPr>
            <w:tcW w:w="2902" w:type="dxa"/>
            <w:tcBorders>
              <w:top w:val="single" w:color="000000" w:sz="6" w:space="0"/>
            </w:tcBorders>
            <w:vAlign w:val="top"/>
          </w:tcPr>
          <w:p w14:paraId="4755E5E7">
            <w:pPr>
              <w:spacing w:line="254" w:lineRule="auto"/>
              <w:rPr>
                <w:rFonts w:ascii="Arial"/>
                <w:sz w:val="21"/>
              </w:rPr>
            </w:pPr>
          </w:p>
          <w:p w14:paraId="2F86CD68">
            <w:pPr>
              <w:pStyle w:val="9"/>
              <w:spacing w:before="65" w:line="251" w:lineRule="auto"/>
              <w:ind w:left="114" w:right="99" w:firstLine="420"/>
              <w:jc w:val="both"/>
              <w:rPr>
                <w:sz w:val="20"/>
                <w:szCs w:val="20"/>
              </w:rPr>
            </w:pPr>
            <w:r>
              <w:rPr>
                <w:spacing w:val="19"/>
                <w:sz w:val="20"/>
                <w:szCs w:val="20"/>
              </w:rPr>
              <w:t>本项</w:t>
            </w:r>
            <w:r>
              <w:rPr>
                <w:spacing w:val="-30"/>
                <w:sz w:val="20"/>
                <w:szCs w:val="20"/>
              </w:rPr>
              <w:t xml:space="preserve"> </w:t>
            </w:r>
            <w:r>
              <w:rPr>
                <w:spacing w:val="19"/>
                <w:sz w:val="20"/>
                <w:szCs w:val="20"/>
              </w:rPr>
              <w:t>目选址符合生态保</w:t>
            </w:r>
            <w:r>
              <w:rPr>
                <w:spacing w:val="6"/>
                <w:sz w:val="20"/>
                <w:szCs w:val="20"/>
              </w:rPr>
              <w:t>护红线管控要求，不涉及自然保护区、饮用水水源保护区等环境敏感区。本项目不包括输电线路工程。</w:t>
            </w:r>
          </w:p>
        </w:tc>
        <w:tc>
          <w:tcPr>
            <w:tcW w:w="147" w:type="dxa"/>
            <w:tcBorders>
              <w:top w:val="single" w:color="000000" w:sz="6" w:space="0"/>
              <w:bottom w:val="nil"/>
              <w:right w:val="single" w:color="000000" w:sz="6" w:space="0"/>
            </w:tcBorders>
            <w:vAlign w:val="top"/>
          </w:tcPr>
          <w:p w14:paraId="7D0712F3">
            <w:pPr>
              <w:rPr>
                <w:rFonts w:ascii="Arial"/>
                <w:sz w:val="21"/>
              </w:rPr>
            </w:pPr>
          </w:p>
        </w:tc>
      </w:tr>
      <w:tr w14:paraId="7AB448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599" w:type="dxa"/>
            <w:vMerge w:val="continue"/>
            <w:tcBorders>
              <w:top w:val="nil"/>
              <w:left w:val="single" w:color="000000" w:sz="6" w:space="0"/>
              <w:bottom w:val="nil"/>
            </w:tcBorders>
            <w:vAlign w:val="top"/>
          </w:tcPr>
          <w:p w14:paraId="437C4A52">
            <w:pPr>
              <w:rPr>
                <w:rFonts w:ascii="Arial"/>
                <w:sz w:val="21"/>
              </w:rPr>
            </w:pPr>
          </w:p>
        </w:tc>
        <w:tc>
          <w:tcPr>
            <w:tcW w:w="137" w:type="dxa"/>
            <w:tcBorders>
              <w:top w:val="nil"/>
              <w:bottom w:val="nil"/>
            </w:tcBorders>
            <w:vAlign w:val="top"/>
          </w:tcPr>
          <w:p w14:paraId="14BB19C2">
            <w:pPr>
              <w:rPr>
                <w:rFonts w:ascii="Arial"/>
                <w:sz w:val="21"/>
              </w:rPr>
            </w:pPr>
          </w:p>
        </w:tc>
        <w:tc>
          <w:tcPr>
            <w:tcW w:w="834" w:type="dxa"/>
            <w:vAlign w:val="top"/>
          </w:tcPr>
          <w:p w14:paraId="5DCC407E">
            <w:pPr>
              <w:spacing w:line="275" w:lineRule="auto"/>
              <w:rPr>
                <w:rFonts w:ascii="Arial"/>
                <w:sz w:val="21"/>
              </w:rPr>
            </w:pPr>
          </w:p>
          <w:p w14:paraId="76F2A785">
            <w:pPr>
              <w:spacing w:line="276" w:lineRule="auto"/>
              <w:rPr>
                <w:rFonts w:ascii="Arial"/>
                <w:sz w:val="21"/>
              </w:rPr>
            </w:pPr>
          </w:p>
          <w:p w14:paraId="288AA261">
            <w:pPr>
              <w:spacing w:before="57" w:line="195" w:lineRule="auto"/>
              <w:ind w:left="363"/>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4970" w:type="dxa"/>
            <w:vAlign w:val="top"/>
          </w:tcPr>
          <w:p w14:paraId="39A94A81">
            <w:pPr>
              <w:pStyle w:val="9"/>
              <w:spacing w:before="306" w:line="251" w:lineRule="auto"/>
              <w:ind w:left="106" w:right="104" w:firstLine="420"/>
              <w:jc w:val="both"/>
              <w:rPr>
                <w:sz w:val="20"/>
                <w:szCs w:val="20"/>
              </w:rPr>
            </w:pPr>
            <w:r>
              <w:rPr>
                <w:spacing w:val="16"/>
                <w:sz w:val="20"/>
                <w:szCs w:val="20"/>
              </w:rPr>
              <w:t>变电工程在选址时应按终期规模综合考虑进出</w:t>
            </w:r>
            <w:r>
              <w:rPr>
                <w:spacing w:val="6"/>
                <w:sz w:val="20"/>
                <w:szCs w:val="20"/>
              </w:rPr>
              <w:t>线走廊规划，避免进出线进入自然保护区、饮用水水</w:t>
            </w:r>
            <w:r>
              <w:rPr>
                <w:spacing w:val="8"/>
                <w:sz w:val="20"/>
                <w:szCs w:val="20"/>
              </w:rPr>
              <w:t>源保护区等环境敏感区。</w:t>
            </w:r>
          </w:p>
        </w:tc>
        <w:tc>
          <w:tcPr>
            <w:tcW w:w="2902" w:type="dxa"/>
            <w:vAlign w:val="top"/>
          </w:tcPr>
          <w:p w14:paraId="64DB691B">
            <w:pPr>
              <w:pStyle w:val="9"/>
              <w:spacing w:before="34" w:line="244" w:lineRule="auto"/>
              <w:ind w:left="115" w:right="99" w:firstLine="419"/>
              <w:jc w:val="both"/>
              <w:rPr>
                <w:sz w:val="20"/>
                <w:szCs w:val="20"/>
              </w:rPr>
            </w:pPr>
            <w:r>
              <w:rPr>
                <w:spacing w:val="26"/>
                <w:sz w:val="20"/>
                <w:szCs w:val="20"/>
              </w:rPr>
              <w:t>变电工程在选址时按终</w:t>
            </w:r>
            <w:r>
              <w:rPr>
                <w:spacing w:val="23"/>
                <w:sz w:val="20"/>
                <w:szCs w:val="20"/>
              </w:rPr>
              <w:t>期规模综合考虑进出线走廊</w:t>
            </w:r>
            <w:r>
              <w:rPr>
                <w:spacing w:val="6"/>
                <w:sz w:val="20"/>
                <w:szCs w:val="20"/>
              </w:rPr>
              <w:t>规划，进出线不涉及自然保护区、饮用水水源保护区等环境</w:t>
            </w:r>
            <w:r>
              <w:rPr>
                <w:spacing w:val="4"/>
                <w:sz w:val="20"/>
                <w:szCs w:val="20"/>
              </w:rPr>
              <w:t>敏感区。</w:t>
            </w:r>
          </w:p>
        </w:tc>
        <w:tc>
          <w:tcPr>
            <w:tcW w:w="147" w:type="dxa"/>
            <w:tcBorders>
              <w:top w:val="nil"/>
              <w:bottom w:val="nil"/>
              <w:right w:val="single" w:color="000000" w:sz="6" w:space="0"/>
            </w:tcBorders>
            <w:vAlign w:val="top"/>
          </w:tcPr>
          <w:p w14:paraId="1472E1AE">
            <w:pPr>
              <w:rPr>
                <w:rFonts w:ascii="Arial"/>
                <w:sz w:val="21"/>
              </w:rPr>
            </w:pPr>
          </w:p>
        </w:tc>
      </w:tr>
      <w:tr w14:paraId="7A19F4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7" w:hRule="atLeast"/>
        </w:trPr>
        <w:tc>
          <w:tcPr>
            <w:tcW w:w="599" w:type="dxa"/>
            <w:vMerge w:val="continue"/>
            <w:tcBorders>
              <w:top w:val="nil"/>
              <w:left w:val="single" w:color="000000" w:sz="6" w:space="0"/>
              <w:bottom w:val="nil"/>
            </w:tcBorders>
            <w:vAlign w:val="top"/>
          </w:tcPr>
          <w:p w14:paraId="1DA24124">
            <w:pPr>
              <w:rPr>
                <w:rFonts w:ascii="Arial"/>
                <w:sz w:val="21"/>
              </w:rPr>
            </w:pPr>
          </w:p>
        </w:tc>
        <w:tc>
          <w:tcPr>
            <w:tcW w:w="137" w:type="dxa"/>
            <w:tcBorders>
              <w:top w:val="nil"/>
              <w:bottom w:val="nil"/>
            </w:tcBorders>
            <w:vAlign w:val="top"/>
          </w:tcPr>
          <w:p w14:paraId="23A1DE89">
            <w:pPr>
              <w:rPr>
                <w:rFonts w:ascii="Arial"/>
                <w:sz w:val="21"/>
              </w:rPr>
            </w:pPr>
          </w:p>
        </w:tc>
        <w:tc>
          <w:tcPr>
            <w:tcW w:w="834" w:type="dxa"/>
            <w:vAlign w:val="top"/>
          </w:tcPr>
          <w:p w14:paraId="7385F3B0">
            <w:pPr>
              <w:spacing w:line="344" w:lineRule="auto"/>
              <w:rPr>
                <w:rFonts w:ascii="Arial"/>
                <w:sz w:val="21"/>
              </w:rPr>
            </w:pPr>
          </w:p>
          <w:p w14:paraId="4F563FAA">
            <w:pPr>
              <w:spacing w:line="345" w:lineRule="auto"/>
              <w:rPr>
                <w:rFonts w:ascii="Arial"/>
                <w:sz w:val="21"/>
              </w:rPr>
            </w:pPr>
          </w:p>
          <w:p w14:paraId="2190E207">
            <w:pPr>
              <w:spacing w:before="57" w:line="195" w:lineRule="auto"/>
              <w:ind w:left="35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4970" w:type="dxa"/>
            <w:vAlign w:val="top"/>
          </w:tcPr>
          <w:p w14:paraId="573D6837">
            <w:pPr>
              <w:rPr>
                <w:rFonts w:ascii="Arial"/>
                <w:sz w:val="21"/>
              </w:rPr>
            </w:pPr>
          </w:p>
          <w:p w14:paraId="5E902E09">
            <w:pPr>
              <w:pStyle w:val="9"/>
              <w:spacing w:before="65" w:line="252" w:lineRule="auto"/>
              <w:ind w:left="107" w:right="104" w:firstLine="420"/>
              <w:jc w:val="both"/>
              <w:rPr>
                <w:sz w:val="20"/>
                <w:szCs w:val="20"/>
              </w:rPr>
            </w:pPr>
            <w:r>
              <w:rPr>
                <w:spacing w:val="6"/>
                <w:sz w:val="20"/>
                <w:szCs w:val="20"/>
              </w:rPr>
              <w:t>户外变电工程及规划架空进出线选址选线时，应关注以居住、医疗卫生、文化教育、科研、行政办公等为主要功能的区域，采取综合措施，减少电磁和声</w:t>
            </w:r>
            <w:r>
              <w:rPr>
                <w:spacing w:val="5"/>
                <w:sz w:val="20"/>
                <w:szCs w:val="20"/>
              </w:rPr>
              <w:t>环境影响。</w:t>
            </w:r>
          </w:p>
        </w:tc>
        <w:tc>
          <w:tcPr>
            <w:tcW w:w="2902" w:type="dxa"/>
            <w:vAlign w:val="top"/>
          </w:tcPr>
          <w:p w14:paraId="2971A386">
            <w:pPr>
              <w:pStyle w:val="9"/>
              <w:spacing w:before="34" w:line="245" w:lineRule="auto"/>
              <w:ind w:left="114" w:right="99" w:firstLine="421"/>
              <w:jc w:val="both"/>
              <w:rPr>
                <w:sz w:val="20"/>
                <w:szCs w:val="20"/>
              </w:rPr>
            </w:pPr>
            <w:r>
              <w:rPr>
                <w:spacing w:val="19"/>
                <w:sz w:val="20"/>
                <w:szCs w:val="20"/>
              </w:rPr>
              <w:t>本项</w:t>
            </w:r>
            <w:r>
              <w:rPr>
                <w:spacing w:val="-30"/>
                <w:sz w:val="20"/>
                <w:szCs w:val="20"/>
              </w:rPr>
              <w:t xml:space="preserve"> </w:t>
            </w:r>
            <w:r>
              <w:rPr>
                <w:spacing w:val="19"/>
                <w:sz w:val="20"/>
                <w:szCs w:val="20"/>
              </w:rPr>
              <w:t>目选址不涉及以居</w:t>
            </w:r>
            <w:r>
              <w:rPr>
                <w:spacing w:val="6"/>
                <w:sz w:val="20"/>
                <w:szCs w:val="20"/>
              </w:rPr>
              <w:t>住、医疗卫生、文化教育、科研、行政办公等为主要功能的区域，并且在运营期采取相应环境保护措施，尽量减少对周</w:t>
            </w:r>
            <w:r>
              <w:rPr>
                <w:spacing w:val="8"/>
                <w:sz w:val="20"/>
                <w:szCs w:val="20"/>
              </w:rPr>
              <w:t>围的电磁和声环境影响。</w:t>
            </w:r>
          </w:p>
        </w:tc>
        <w:tc>
          <w:tcPr>
            <w:tcW w:w="147" w:type="dxa"/>
            <w:tcBorders>
              <w:top w:val="nil"/>
              <w:bottom w:val="nil"/>
              <w:right w:val="single" w:color="000000" w:sz="6" w:space="0"/>
            </w:tcBorders>
            <w:vAlign w:val="top"/>
          </w:tcPr>
          <w:p w14:paraId="30902A6A">
            <w:pPr>
              <w:rPr>
                <w:rFonts w:ascii="Arial"/>
                <w:sz w:val="21"/>
              </w:rPr>
            </w:pPr>
          </w:p>
        </w:tc>
      </w:tr>
      <w:tr w14:paraId="1FAC18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599" w:type="dxa"/>
            <w:vMerge w:val="continue"/>
            <w:tcBorders>
              <w:top w:val="nil"/>
              <w:left w:val="single" w:color="000000" w:sz="6" w:space="0"/>
              <w:bottom w:val="nil"/>
            </w:tcBorders>
            <w:vAlign w:val="top"/>
          </w:tcPr>
          <w:p w14:paraId="0E2AB545">
            <w:pPr>
              <w:rPr>
                <w:rFonts w:ascii="Arial"/>
                <w:sz w:val="21"/>
              </w:rPr>
            </w:pPr>
          </w:p>
        </w:tc>
        <w:tc>
          <w:tcPr>
            <w:tcW w:w="137" w:type="dxa"/>
            <w:tcBorders>
              <w:top w:val="nil"/>
              <w:bottom w:val="nil"/>
            </w:tcBorders>
            <w:vAlign w:val="top"/>
          </w:tcPr>
          <w:p w14:paraId="0CA8FED1">
            <w:pPr>
              <w:rPr>
                <w:rFonts w:ascii="Arial"/>
                <w:sz w:val="21"/>
              </w:rPr>
            </w:pPr>
          </w:p>
        </w:tc>
        <w:tc>
          <w:tcPr>
            <w:tcW w:w="834" w:type="dxa"/>
            <w:vAlign w:val="top"/>
          </w:tcPr>
          <w:p w14:paraId="2C6DF0D1">
            <w:pPr>
              <w:spacing w:line="288" w:lineRule="auto"/>
              <w:rPr>
                <w:rFonts w:ascii="Arial"/>
                <w:sz w:val="21"/>
              </w:rPr>
            </w:pPr>
          </w:p>
          <w:p w14:paraId="50B331B0">
            <w:pPr>
              <w:spacing w:before="58" w:line="192" w:lineRule="auto"/>
              <w:ind w:left="364"/>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4970" w:type="dxa"/>
            <w:vAlign w:val="top"/>
          </w:tcPr>
          <w:p w14:paraId="70732F48">
            <w:pPr>
              <w:pStyle w:val="9"/>
              <w:spacing w:before="34" w:line="239" w:lineRule="auto"/>
              <w:ind w:left="108" w:right="104" w:firstLine="439"/>
              <w:jc w:val="both"/>
              <w:rPr>
                <w:sz w:val="20"/>
                <w:szCs w:val="20"/>
              </w:rPr>
            </w:pPr>
            <w:r>
              <w:rPr>
                <w:spacing w:val="5"/>
                <w:sz w:val="20"/>
                <w:szCs w:val="20"/>
              </w:rPr>
              <w:t>同一走廊内的多回输电线路，宜采取同塔多回架</w:t>
            </w:r>
            <w:r>
              <w:rPr>
                <w:spacing w:val="6"/>
                <w:sz w:val="20"/>
                <w:szCs w:val="20"/>
              </w:rPr>
              <w:t>设、并行架设等形式，减少新开辟走廊，优化线路走</w:t>
            </w:r>
            <w:r>
              <w:rPr>
                <w:spacing w:val="8"/>
                <w:sz w:val="20"/>
                <w:szCs w:val="20"/>
              </w:rPr>
              <w:t>廊间距，降低环境影响。</w:t>
            </w:r>
          </w:p>
        </w:tc>
        <w:tc>
          <w:tcPr>
            <w:tcW w:w="2902" w:type="dxa"/>
            <w:vAlign w:val="top"/>
          </w:tcPr>
          <w:p w14:paraId="5D8F9CE4">
            <w:pPr>
              <w:pStyle w:val="9"/>
              <w:spacing w:before="172" w:line="252" w:lineRule="auto"/>
              <w:ind w:left="117" w:right="99" w:firstLine="418"/>
              <w:rPr>
                <w:sz w:val="20"/>
                <w:szCs w:val="20"/>
              </w:rPr>
            </w:pPr>
            <w:r>
              <w:rPr>
                <w:spacing w:val="19"/>
                <w:sz w:val="20"/>
                <w:szCs w:val="20"/>
              </w:rPr>
              <w:t>本项</w:t>
            </w:r>
            <w:r>
              <w:rPr>
                <w:spacing w:val="-30"/>
                <w:sz w:val="20"/>
                <w:szCs w:val="20"/>
              </w:rPr>
              <w:t xml:space="preserve"> </w:t>
            </w:r>
            <w:r>
              <w:rPr>
                <w:spacing w:val="19"/>
                <w:sz w:val="20"/>
                <w:szCs w:val="20"/>
              </w:rPr>
              <w:t>目不包括输电线路</w:t>
            </w:r>
            <w:r>
              <w:rPr>
                <w:spacing w:val="2"/>
                <w:sz w:val="20"/>
                <w:szCs w:val="20"/>
              </w:rPr>
              <w:t>工程。</w:t>
            </w:r>
          </w:p>
        </w:tc>
        <w:tc>
          <w:tcPr>
            <w:tcW w:w="147" w:type="dxa"/>
            <w:tcBorders>
              <w:top w:val="nil"/>
              <w:bottom w:val="nil"/>
              <w:right w:val="single" w:color="000000" w:sz="6" w:space="0"/>
            </w:tcBorders>
            <w:vAlign w:val="top"/>
          </w:tcPr>
          <w:p w14:paraId="3089CB5D">
            <w:pPr>
              <w:rPr>
                <w:rFonts w:ascii="Arial"/>
                <w:sz w:val="21"/>
              </w:rPr>
            </w:pPr>
          </w:p>
        </w:tc>
      </w:tr>
      <w:tr w14:paraId="0E4205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599" w:type="dxa"/>
            <w:vMerge w:val="continue"/>
            <w:tcBorders>
              <w:top w:val="nil"/>
              <w:left w:val="single" w:color="000000" w:sz="6" w:space="0"/>
              <w:bottom w:val="nil"/>
            </w:tcBorders>
            <w:vAlign w:val="top"/>
          </w:tcPr>
          <w:p w14:paraId="3725216D">
            <w:pPr>
              <w:rPr>
                <w:rFonts w:ascii="Arial"/>
                <w:sz w:val="21"/>
              </w:rPr>
            </w:pPr>
          </w:p>
        </w:tc>
        <w:tc>
          <w:tcPr>
            <w:tcW w:w="137" w:type="dxa"/>
            <w:tcBorders>
              <w:top w:val="nil"/>
              <w:bottom w:val="nil"/>
            </w:tcBorders>
            <w:vAlign w:val="top"/>
          </w:tcPr>
          <w:p w14:paraId="157FCD63">
            <w:pPr>
              <w:rPr>
                <w:rFonts w:ascii="Arial"/>
                <w:sz w:val="21"/>
              </w:rPr>
            </w:pPr>
          </w:p>
        </w:tc>
        <w:tc>
          <w:tcPr>
            <w:tcW w:w="834" w:type="dxa"/>
            <w:vAlign w:val="top"/>
          </w:tcPr>
          <w:p w14:paraId="1A5D29FD">
            <w:pPr>
              <w:spacing w:before="210" w:line="195" w:lineRule="auto"/>
              <w:ind w:left="363"/>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4970" w:type="dxa"/>
            <w:vAlign w:val="top"/>
          </w:tcPr>
          <w:p w14:paraId="7F59C08B">
            <w:pPr>
              <w:pStyle w:val="9"/>
              <w:spacing w:before="38" w:line="231" w:lineRule="auto"/>
              <w:ind w:left="106" w:right="104" w:firstLine="425"/>
              <w:rPr>
                <w:sz w:val="20"/>
                <w:szCs w:val="20"/>
              </w:rPr>
            </w:pPr>
            <w:r>
              <w:rPr>
                <w:spacing w:val="18"/>
                <w:sz w:val="20"/>
                <w:szCs w:val="20"/>
              </w:rPr>
              <w:t>原则上避免在</w:t>
            </w:r>
            <w:r>
              <w:rPr>
                <w:spacing w:val="49"/>
                <w:sz w:val="20"/>
                <w:szCs w:val="20"/>
              </w:rPr>
              <w:t xml:space="preserve"> </w:t>
            </w:r>
            <w:r>
              <w:rPr>
                <w:rFonts w:ascii="Times New Roman" w:hAnsi="Times New Roman" w:eastAsia="Times New Roman" w:cs="Times New Roman"/>
                <w:spacing w:val="18"/>
                <w:sz w:val="20"/>
                <w:szCs w:val="20"/>
              </w:rPr>
              <w:t xml:space="preserve">0  </w:t>
            </w:r>
            <w:r>
              <w:rPr>
                <w:spacing w:val="18"/>
                <w:sz w:val="20"/>
                <w:szCs w:val="20"/>
              </w:rPr>
              <w:t>类声环境功能区建设变电工</w:t>
            </w:r>
            <w:r>
              <w:rPr>
                <w:sz w:val="20"/>
                <w:szCs w:val="20"/>
              </w:rPr>
              <w:t>程。</w:t>
            </w:r>
          </w:p>
        </w:tc>
        <w:tc>
          <w:tcPr>
            <w:tcW w:w="2902" w:type="dxa"/>
            <w:vAlign w:val="top"/>
          </w:tcPr>
          <w:p w14:paraId="0D64CDAA">
            <w:pPr>
              <w:pStyle w:val="9"/>
              <w:spacing w:before="38" w:line="231" w:lineRule="auto"/>
              <w:ind w:left="123" w:right="99" w:firstLine="412"/>
              <w:rPr>
                <w:sz w:val="20"/>
                <w:szCs w:val="20"/>
              </w:rPr>
            </w:pPr>
            <w:r>
              <w:rPr>
                <w:spacing w:val="7"/>
                <w:sz w:val="20"/>
                <w:szCs w:val="20"/>
              </w:rPr>
              <w:t>本项目不在</w:t>
            </w:r>
            <w:r>
              <w:rPr>
                <w:spacing w:val="-57"/>
                <w:sz w:val="20"/>
                <w:szCs w:val="20"/>
              </w:rPr>
              <w:t xml:space="preserve"> </w:t>
            </w:r>
            <w:r>
              <w:rPr>
                <w:rFonts w:ascii="Times New Roman" w:hAnsi="Times New Roman" w:eastAsia="Times New Roman" w:cs="Times New Roman"/>
                <w:spacing w:val="7"/>
                <w:sz w:val="20"/>
                <w:szCs w:val="20"/>
              </w:rPr>
              <w:t>0</w:t>
            </w:r>
            <w:r>
              <w:rPr>
                <w:rFonts w:ascii="Times New Roman" w:hAnsi="Times New Roman" w:eastAsia="Times New Roman" w:cs="Times New Roman"/>
                <w:spacing w:val="-10"/>
                <w:sz w:val="20"/>
                <w:szCs w:val="20"/>
              </w:rPr>
              <w:t xml:space="preserve"> </w:t>
            </w:r>
            <w:r>
              <w:rPr>
                <w:spacing w:val="7"/>
                <w:sz w:val="20"/>
                <w:szCs w:val="20"/>
              </w:rPr>
              <w:t>类声环境功</w:t>
            </w:r>
            <w:r>
              <w:rPr>
                <w:spacing w:val="3"/>
                <w:sz w:val="20"/>
                <w:szCs w:val="20"/>
              </w:rPr>
              <w:t>能区内。</w:t>
            </w:r>
          </w:p>
        </w:tc>
        <w:tc>
          <w:tcPr>
            <w:tcW w:w="147" w:type="dxa"/>
            <w:tcBorders>
              <w:top w:val="nil"/>
              <w:bottom w:val="nil"/>
              <w:right w:val="single" w:color="000000" w:sz="6" w:space="0"/>
            </w:tcBorders>
            <w:vAlign w:val="top"/>
          </w:tcPr>
          <w:p w14:paraId="783DEFCB">
            <w:pPr>
              <w:rPr>
                <w:rFonts w:ascii="Arial"/>
                <w:sz w:val="21"/>
              </w:rPr>
            </w:pPr>
          </w:p>
        </w:tc>
      </w:tr>
      <w:tr w14:paraId="18DC6C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599" w:type="dxa"/>
            <w:vMerge w:val="continue"/>
            <w:tcBorders>
              <w:top w:val="nil"/>
              <w:left w:val="single" w:color="000000" w:sz="6" w:space="0"/>
              <w:bottom w:val="nil"/>
            </w:tcBorders>
            <w:vAlign w:val="top"/>
          </w:tcPr>
          <w:p w14:paraId="3C5FC0A6">
            <w:pPr>
              <w:rPr>
                <w:rFonts w:ascii="Arial"/>
                <w:sz w:val="21"/>
              </w:rPr>
            </w:pPr>
          </w:p>
        </w:tc>
        <w:tc>
          <w:tcPr>
            <w:tcW w:w="137" w:type="dxa"/>
            <w:tcBorders>
              <w:top w:val="nil"/>
              <w:bottom w:val="nil"/>
            </w:tcBorders>
            <w:vAlign w:val="top"/>
          </w:tcPr>
          <w:p w14:paraId="4362AF52">
            <w:pPr>
              <w:rPr>
                <w:rFonts w:ascii="Arial"/>
                <w:sz w:val="21"/>
              </w:rPr>
            </w:pPr>
          </w:p>
        </w:tc>
        <w:tc>
          <w:tcPr>
            <w:tcW w:w="834" w:type="dxa"/>
            <w:vAlign w:val="top"/>
          </w:tcPr>
          <w:p w14:paraId="5044D5CE">
            <w:pPr>
              <w:spacing w:line="424" w:lineRule="auto"/>
              <w:rPr>
                <w:rFonts w:ascii="Arial"/>
                <w:sz w:val="21"/>
              </w:rPr>
            </w:pPr>
          </w:p>
          <w:p w14:paraId="7DD18FFB">
            <w:pPr>
              <w:spacing w:before="58" w:line="192" w:lineRule="auto"/>
              <w:ind w:left="362"/>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4970" w:type="dxa"/>
            <w:vAlign w:val="top"/>
          </w:tcPr>
          <w:p w14:paraId="6258C96D">
            <w:pPr>
              <w:pStyle w:val="9"/>
              <w:spacing w:before="170" w:line="254" w:lineRule="auto"/>
              <w:ind w:left="107" w:right="104" w:firstLine="420"/>
              <w:jc w:val="both"/>
              <w:rPr>
                <w:sz w:val="20"/>
                <w:szCs w:val="20"/>
              </w:rPr>
            </w:pPr>
            <w:r>
              <w:rPr>
                <w:spacing w:val="6"/>
                <w:sz w:val="20"/>
                <w:szCs w:val="20"/>
              </w:rPr>
              <w:t>变电工程选址时，应综合考虑减少土地占用、植</w:t>
            </w:r>
            <w:r>
              <w:rPr>
                <w:spacing w:val="14"/>
                <w:sz w:val="20"/>
                <w:szCs w:val="20"/>
              </w:rPr>
              <w:t>被砍伐和弃土弃渣等，</w:t>
            </w:r>
            <w:r>
              <w:rPr>
                <w:spacing w:val="-55"/>
                <w:sz w:val="20"/>
                <w:szCs w:val="20"/>
              </w:rPr>
              <w:t xml:space="preserve"> </w:t>
            </w:r>
            <w:r>
              <w:rPr>
                <w:spacing w:val="14"/>
                <w:sz w:val="20"/>
                <w:szCs w:val="20"/>
              </w:rPr>
              <w:t>以减少对生态环境的不利影</w:t>
            </w:r>
            <w:r>
              <w:rPr>
                <w:sz w:val="20"/>
                <w:szCs w:val="20"/>
              </w:rPr>
              <w:t>响。</w:t>
            </w:r>
          </w:p>
        </w:tc>
        <w:tc>
          <w:tcPr>
            <w:tcW w:w="2902" w:type="dxa"/>
            <w:vAlign w:val="top"/>
          </w:tcPr>
          <w:p w14:paraId="47773ED1">
            <w:pPr>
              <w:pStyle w:val="9"/>
              <w:spacing w:before="38" w:line="241" w:lineRule="auto"/>
              <w:ind w:left="114" w:right="99" w:firstLine="420"/>
              <w:jc w:val="both"/>
              <w:rPr>
                <w:sz w:val="20"/>
                <w:szCs w:val="20"/>
              </w:rPr>
            </w:pPr>
            <w:r>
              <w:rPr>
                <w:spacing w:val="26"/>
                <w:sz w:val="20"/>
                <w:szCs w:val="20"/>
              </w:rPr>
              <w:t>本工程选址已综合考虑</w:t>
            </w:r>
            <w:r>
              <w:rPr>
                <w:spacing w:val="6"/>
                <w:sz w:val="20"/>
                <w:szCs w:val="20"/>
              </w:rPr>
              <w:t>减少土地占用、植被砍伐和弃土弃渣等，以减少对生态环境的不利影响。</w:t>
            </w:r>
          </w:p>
        </w:tc>
        <w:tc>
          <w:tcPr>
            <w:tcW w:w="147" w:type="dxa"/>
            <w:tcBorders>
              <w:top w:val="nil"/>
              <w:bottom w:val="nil"/>
              <w:right w:val="single" w:color="000000" w:sz="6" w:space="0"/>
            </w:tcBorders>
            <w:vAlign w:val="top"/>
          </w:tcPr>
          <w:p w14:paraId="2F4B9AF9">
            <w:pPr>
              <w:rPr>
                <w:rFonts w:ascii="Arial"/>
                <w:sz w:val="21"/>
              </w:rPr>
            </w:pPr>
          </w:p>
        </w:tc>
      </w:tr>
      <w:tr w14:paraId="3DA9F1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599" w:type="dxa"/>
            <w:vMerge w:val="continue"/>
            <w:tcBorders>
              <w:top w:val="nil"/>
              <w:left w:val="single" w:color="000000" w:sz="6" w:space="0"/>
              <w:bottom w:val="nil"/>
            </w:tcBorders>
            <w:vAlign w:val="top"/>
          </w:tcPr>
          <w:p w14:paraId="4B351A5C">
            <w:pPr>
              <w:rPr>
                <w:rFonts w:ascii="Arial"/>
                <w:sz w:val="21"/>
              </w:rPr>
            </w:pPr>
          </w:p>
        </w:tc>
        <w:tc>
          <w:tcPr>
            <w:tcW w:w="137" w:type="dxa"/>
            <w:tcBorders>
              <w:top w:val="nil"/>
              <w:bottom w:val="nil"/>
            </w:tcBorders>
            <w:vAlign w:val="top"/>
          </w:tcPr>
          <w:p w14:paraId="1FF0C220">
            <w:pPr>
              <w:rPr>
                <w:rFonts w:ascii="Arial"/>
                <w:sz w:val="21"/>
              </w:rPr>
            </w:pPr>
          </w:p>
        </w:tc>
        <w:tc>
          <w:tcPr>
            <w:tcW w:w="834" w:type="dxa"/>
            <w:vAlign w:val="top"/>
          </w:tcPr>
          <w:p w14:paraId="6A95F7E3">
            <w:pPr>
              <w:spacing w:before="211" w:line="195" w:lineRule="auto"/>
              <w:ind w:left="367"/>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4970" w:type="dxa"/>
            <w:vAlign w:val="top"/>
          </w:tcPr>
          <w:p w14:paraId="62262B6B">
            <w:pPr>
              <w:pStyle w:val="9"/>
              <w:spacing w:before="38" w:line="231" w:lineRule="auto"/>
              <w:ind w:left="108" w:right="104" w:firstLine="418"/>
              <w:rPr>
                <w:sz w:val="20"/>
                <w:szCs w:val="20"/>
              </w:rPr>
            </w:pPr>
            <w:r>
              <w:rPr>
                <w:spacing w:val="6"/>
                <w:sz w:val="20"/>
                <w:szCs w:val="20"/>
              </w:rPr>
              <w:t>输电线路宜避让集中林区，以减少林木砍伐，保护生态环境。</w:t>
            </w:r>
          </w:p>
        </w:tc>
        <w:tc>
          <w:tcPr>
            <w:tcW w:w="2902" w:type="dxa"/>
            <w:vAlign w:val="top"/>
          </w:tcPr>
          <w:p w14:paraId="40C39028">
            <w:pPr>
              <w:pStyle w:val="9"/>
              <w:spacing w:before="38" w:line="231" w:lineRule="auto"/>
              <w:ind w:left="117" w:right="99" w:firstLine="418"/>
              <w:rPr>
                <w:sz w:val="20"/>
                <w:szCs w:val="20"/>
              </w:rPr>
            </w:pPr>
            <w:r>
              <w:rPr>
                <w:spacing w:val="19"/>
                <w:sz w:val="20"/>
                <w:szCs w:val="20"/>
              </w:rPr>
              <w:t>本项</w:t>
            </w:r>
            <w:r>
              <w:rPr>
                <w:spacing w:val="-30"/>
                <w:sz w:val="20"/>
                <w:szCs w:val="20"/>
              </w:rPr>
              <w:t xml:space="preserve"> </w:t>
            </w:r>
            <w:r>
              <w:rPr>
                <w:spacing w:val="19"/>
                <w:sz w:val="20"/>
                <w:szCs w:val="20"/>
              </w:rPr>
              <w:t>目不包括输电线路</w:t>
            </w:r>
            <w:r>
              <w:rPr>
                <w:spacing w:val="2"/>
                <w:sz w:val="20"/>
                <w:szCs w:val="20"/>
              </w:rPr>
              <w:t>工程。</w:t>
            </w:r>
          </w:p>
        </w:tc>
        <w:tc>
          <w:tcPr>
            <w:tcW w:w="147" w:type="dxa"/>
            <w:tcBorders>
              <w:top w:val="nil"/>
              <w:bottom w:val="nil"/>
              <w:right w:val="single" w:color="000000" w:sz="6" w:space="0"/>
            </w:tcBorders>
            <w:vAlign w:val="top"/>
          </w:tcPr>
          <w:p w14:paraId="579A409B">
            <w:pPr>
              <w:rPr>
                <w:rFonts w:ascii="Arial"/>
                <w:sz w:val="21"/>
              </w:rPr>
            </w:pPr>
          </w:p>
        </w:tc>
      </w:tr>
      <w:tr w14:paraId="7A4588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599" w:type="dxa"/>
            <w:vMerge w:val="continue"/>
            <w:tcBorders>
              <w:top w:val="nil"/>
              <w:left w:val="single" w:color="000000" w:sz="6" w:space="0"/>
              <w:bottom w:val="nil"/>
            </w:tcBorders>
            <w:vAlign w:val="top"/>
          </w:tcPr>
          <w:p w14:paraId="069E3908">
            <w:pPr>
              <w:rPr>
                <w:rFonts w:ascii="Arial"/>
                <w:sz w:val="21"/>
              </w:rPr>
            </w:pPr>
          </w:p>
        </w:tc>
        <w:tc>
          <w:tcPr>
            <w:tcW w:w="137" w:type="dxa"/>
            <w:tcBorders>
              <w:top w:val="nil"/>
              <w:bottom w:val="nil"/>
            </w:tcBorders>
            <w:vAlign w:val="top"/>
          </w:tcPr>
          <w:p w14:paraId="763E859C">
            <w:pPr>
              <w:rPr>
                <w:rFonts w:ascii="Arial"/>
                <w:sz w:val="21"/>
              </w:rPr>
            </w:pPr>
          </w:p>
        </w:tc>
        <w:tc>
          <w:tcPr>
            <w:tcW w:w="834" w:type="dxa"/>
            <w:vAlign w:val="top"/>
          </w:tcPr>
          <w:p w14:paraId="2D8D40C6">
            <w:pPr>
              <w:spacing w:line="287" w:lineRule="auto"/>
              <w:rPr>
                <w:rFonts w:ascii="Arial"/>
                <w:sz w:val="21"/>
              </w:rPr>
            </w:pPr>
          </w:p>
          <w:p w14:paraId="6F6B652A">
            <w:pPr>
              <w:spacing w:before="57" w:line="195" w:lineRule="auto"/>
              <w:ind w:left="363"/>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tc>
        <w:tc>
          <w:tcPr>
            <w:tcW w:w="4970" w:type="dxa"/>
            <w:vAlign w:val="top"/>
          </w:tcPr>
          <w:p w14:paraId="01604AB4">
            <w:pPr>
              <w:pStyle w:val="9"/>
              <w:spacing w:before="40" w:line="237" w:lineRule="auto"/>
              <w:ind w:left="108" w:right="104" w:firstLine="417"/>
              <w:jc w:val="both"/>
              <w:rPr>
                <w:sz w:val="20"/>
                <w:szCs w:val="20"/>
              </w:rPr>
            </w:pPr>
            <w:r>
              <w:rPr>
                <w:spacing w:val="9"/>
                <w:sz w:val="20"/>
                <w:szCs w:val="20"/>
              </w:rPr>
              <w:t xml:space="preserve">进入自然保护区的输电线路，应按照 </w:t>
            </w:r>
            <w:r>
              <w:rPr>
                <w:rFonts w:ascii="Times New Roman" w:hAnsi="Times New Roman" w:eastAsia="Times New Roman" w:cs="Times New Roman"/>
                <w:sz w:val="20"/>
                <w:szCs w:val="20"/>
              </w:rPr>
              <w:t>HJ</w:t>
            </w:r>
            <w:r>
              <w:rPr>
                <w:rFonts w:ascii="Times New Roman" w:hAnsi="Times New Roman" w:eastAsia="Times New Roman" w:cs="Times New Roman"/>
                <w:spacing w:val="47"/>
                <w:w w:val="101"/>
                <w:sz w:val="20"/>
                <w:szCs w:val="20"/>
              </w:rPr>
              <w:t xml:space="preserve"> </w:t>
            </w:r>
            <w:r>
              <w:rPr>
                <w:rFonts w:ascii="Times New Roman" w:hAnsi="Times New Roman" w:eastAsia="Times New Roman" w:cs="Times New Roman"/>
                <w:spacing w:val="9"/>
                <w:sz w:val="20"/>
                <w:szCs w:val="20"/>
              </w:rPr>
              <w:t>19</w:t>
            </w:r>
            <w:r>
              <w:rPr>
                <w:rFonts w:ascii="Times New Roman" w:hAnsi="Times New Roman" w:eastAsia="Times New Roman" w:cs="Times New Roman"/>
                <w:spacing w:val="16"/>
                <w:sz w:val="20"/>
                <w:szCs w:val="20"/>
              </w:rPr>
              <w:t xml:space="preserve">  </w:t>
            </w:r>
            <w:r>
              <w:rPr>
                <w:spacing w:val="9"/>
                <w:sz w:val="20"/>
                <w:szCs w:val="20"/>
              </w:rPr>
              <w:t>的</w:t>
            </w:r>
            <w:r>
              <w:rPr>
                <w:spacing w:val="16"/>
                <w:sz w:val="20"/>
                <w:szCs w:val="20"/>
              </w:rPr>
              <w:t>要求开展生态现状调查，避让保护对象的集中分布</w:t>
            </w:r>
            <w:r>
              <w:rPr>
                <w:sz w:val="20"/>
                <w:szCs w:val="20"/>
              </w:rPr>
              <w:t>区。</w:t>
            </w:r>
          </w:p>
        </w:tc>
        <w:tc>
          <w:tcPr>
            <w:tcW w:w="2902" w:type="dxa"/>
            <w:vAlign w:val="top"/>
          </w:tcPr>
          <w:p w14:paraId="07CA1BBD">
            <w:pPr>
              <w:pStyle w:val="9"/>
              <w:spacing w:before="176" w:line="254" w:lineRule="auto"/>
              <w:ind w:left="130" w:right="99" w:firstLine="405"/>
              <w:rPr>
                <w:sz w:val="20"/>
                <w:szCs w:val="20"/>
              </w:rPr>
            </w:pPr>
            <w:r>
              <w:rPr>
                <w:spacing w:val="19"/>
                <w:sz w:val="20"/>
                <w:szCs w:val="20"/>
              </w:rPr>
              <w:t>本项</w:t>
            </w:r>
            <w:r>
              <w:rPr>
                <w:spacing w:val="-30"/>
                <w:sz w:val="20"/>
                <w:szCs w:val="20"/>
              </w:rPr>
              <w:t xml:space="preserve"> </w:t>
            </w:r>
            <w:r>
              <w:rPr>
                <w:spacing w:val="19"/>
                <w:sz w:val="20"/>
                <w:szCs w:val="20"/>
              </w:rPr>
              <w:t>目不涉及自然保护</w:t>
            </w:r>
            <w:r>
              <w:rPr>
                <w:spacing w:val="-8"/>
                <w:sz w:val="20"/>
                <w:szCs w:val="20"/>
              </w:rPr>
              <w:t>区。</w:t>
            </w:r>
          </w:p>
        </w:tc>
        <w:tc>
          <w:tcPr>
            <w:tcW w:w="147" w:type="dxa"/>
            <w:tcBorders>
              <w:top w:val="nil"/>
              <w:bottom w:val="nil"/>
              <w:right w:val="single" w:color="000000" w:sz="6" w:space="0"/>
            </w:tcBorders>
            <w:vAlign w:val="top"/>
          </w:tcPr>
          <w:p w14:paraId="22CF8E06">
            <w:pPr>
              <w:rPr>
                <w:rFonts w:ascii="Arial"/>
                <w:sz w:val="21"/>
              </w:rPr>
            </w:pPr>
          </w:p>
        </w:tc>
      </w:tr>
      <w:tr w14:paraId="23ECA4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9" w:hRule="atLeast"/>
        </w:trPr>
        <w:tc>
          <w:tcPr>
            <w:tcW w:w="599" w:type="dxa"/>
            <w:vMerge w:val="continue"/>
            <w:tcBorders>
              <w:top w:val="nil"/>
              <w:left w:val="single" w:color="000000" w:sz="6" w:space="0"/>
              <w:bottom w:val="single" w:color="000000" w:sz="6" w:space="0"/>
            </w:tcBorders>
            <w:vAlign w:val="top"/>
          </w:tcPr>
          <w:p w14:paraId="2F0F7064">
            <w:pPr>
              <w:rPr>
                <w:rFonts w:ascii="Arial"/>
                <w:sz w:val="21"/>
              </w:rPr>
            </w:pPr>
          </w:p>
        </w:tc>
        <w:tc>
          <w:tcPr>
            <w:tcW w:w="8990" w:type="dxa"/>
            <w:gridSpan w:val="5"/>
            <w:tcBorders>
              <w:bottom w:val="single" w:color="000000" w:sz="6" w:space="0"/>
              <w:right w:val="single" w:color="000000" w:sz="6" w:space="0"/>
            </w:tcBorders>
            <w:vAlign w:val="top"/>
          </w:tcPr>
          <w:p w14:paraId="67810851">
            <w:pPr>
              <w:pStyle w:val="9"/>
              <w:spacing w:before="46" w:line="220" w:lineRule="auto"/>
              <w:ind w:left="599"/>
            </w:pPr>
            <w:r>
              <w:rPr>
                <w:spacing w:val="-3"/>
              </w:rPr>
              <w:t>（</w:t>
            </w:r>
            <w:r>
              <w:rPr>
                <w:rFonts w:ascii="Times New Roman" w:hAnsi="Times New Roman" w:eastAsia="Times New Roman" w:cs="Times New Roman"/>
                <w:spacing w:val="-3"/>
              </w:rPr>
              <w:t>3</w:t>
            </w:r>
            <w:r>
              <w:rPr>
                <w:spacing w:val="-3"/>
              </w:rPr>
              <w:t>）选址合理性分析</w:t>
            </w:r>
          </w:p>
          <w:p w14:paraId="5BDE8AD1">
            <w:pPr>
              <w:pStyle w:val="9"/>
              <w:spacing w:before="181" w:line="359" w:lineRule="auto"/>
              <w:ind w:left="107" w:right="41" w:firstLine="480"/>
            </w:pPr>
            <w:r>
              <w:rPr>
                <w:spacing w:val="-3"/>
              </w:rPr>
              <w:t>本项目在可研设计阶段已取得相关用地文件，项目符合国家土</w:t>
            </w:r>
            <w:r>
              <w:rPr>
                <w:spacing w:val="-4"/>
              </w:rPr>
              <w:t>地供应政策。根据</w:t>
            </w:r>
            <w:r>
              <w:rPr>
                <w:spacing w:val="-8"/>
              </w:rPr>
              <w:t>相关部门复函文件，本项目用地范围不在生态保护红线范围内，不占用永久基本农田，不在集中式饮用水源保护区内，未压覆已查明重要矿产资源，项目区域内未发现文物，</w:t>
            </w:r>
            <w:r>
              <w:rPr>
                <w:spacing w:val="-3"/>
              </w:rPr>
              <w:t>无军事设施。本项目用地占用天然牧草地，但不属于基本草原，不占用各级自然保护区</w:t>
            </w:r>
            <w:r>
              <w:rPr>
                <w:rFonts w:ascii="Times New Roman" w:hAnsi="Times New Roman" w:eastAsia="Times New Roman" w:cs="Times New Roman"/>
                <w:spacing w:val="-3"/>
              </w:rPr>
              <w:t>(</w:t>
            </w:r>
            <w:r>
              <w:rPr>
                <w:spacing w:val="-3"/>
              </w:rPr>
              <w:t>地</w:t>
            </w:r>
            <w:r>
              <w:rPr>
                <w:rFonts w:ascii="Times New Roman" w:hAnsi="Times New Roman" w:eastAsia="Times New Roman" w:cs="Times New Roman"/>
                <w:spacing w:val="-3"/>
              </w:rPr>
              <w:t>)</w:t>
            </w:r>
            <w:r>
              <w:rPr>
                <w:rFonts w:ascii="Times New Roman" w:hAnsi="Times New Roman" w:eastAsia="Times New Roman" w:cs="Times New Roman"/>
                <w:spacing w:val="-33"/>
              </w:rPr>
              <w:t xml:space="preserve"> </w:t>
            </w:r>
            <w:r>
              <w:rPr>
                <w:spacing w:val="-3"/>
              </w:rPr>
              <w:t>、草原核心保护区。</w:t>
            </w:r>
          </w:p>
          <w:p w14:paraId="2B68DDDF">
            <w:pPr>
              <w:pStyle w:val="9"/>
              <w:spacing w:before="1" w:line="362" w:lineRule="auto"/>
              <w:ind w:left="106" w:right="3" w:firstLine="510"/>
            </w:pPr>
            <w:r>
              <w:rPr>
                <w:spacing w:val="-6"/>
              </w:rPr>
              <w:t>由上表可知，本项目符合《输变电建设项目环境保护技术要求》（</w:t>
            </w:r>
            <w:r>
              <w:rPr>
                <w:rFonts w:ascii="Times New Roman" w:hAnsi="Times New Roman" w:eastAsia="Times New Roman" w:cs="Times New Roman"/>
                <w:spacing w:val="-6"/>
              </w:rPr>
              <w:t>HJ</w:t>
            </w:r>
            <w:r>
              <w:rPr>
                <w:rFonts w:ascii="Times New Roman" w:hAnsi="Times New Roman" w:eastAsia="Times New Roman" w:cs="Times New Roman"/>
                <w:spacing w:val="38"/>
              </w:rPr>
              <w:t xml:space="preserve"> </w:t>
            </w:r>
            <w:r>
              <w:rPr>
                <w:rFonts w:ascii="Times New Roman" w:hAnsi="Times New Roman" w:eastAsia="Times New Roman" w:cs="Times New Roman"/>
                <w:spacing w:val="-6"/>
              </w:rPr>
              <w:t>1113-2020</w:t>
            </w:r>
            <w:r>
              <w:rPr>
                <w:spacing w:val="-6"/>
              </w:rPr>
              <w:t>）</w:t>
            </w:r>
            <w:r>
              <w:rPr>
                <w:spacing w:val="-2"/>
              </w:rPr>
              <w:t>选址选线要求。</w:t>
            </w:r>
          </w:p>
          <w:p w14:paraId="7C28AA2E">
            <w:pPr>
              <w:pStyle w:val="9"/>
              <w:spacing w:before="118" w:line="335" w:lineRule="auto"/>
              <w:ind w:left="126" w:right="521" w:firstLine="461"/>
            </w:pPr>
            <w:r>
              <w:rPr>
                <w:spacing w:val="-2"/>
              </w:rPr>
              <w:t>根据现状监测数据可知，夏营地升压站的电磁、噪声均满足相关标准要求。</w:t>
            </w:r>
            <w:r>
              <w:rPr>
                <w:spacing w:val="-3"/>
              </w:rPr>
              <w:t>因此，本项目的选址合理</w:t>
            </w:r>
          </w:p>
        </w:tc>
      </w:tr>
    </w:tbl>
    <w:p w14:paraId="1431912E">
      <w:pPr>
        <w:pStyle w:val="3"/>
      </w:pPr>
    </w:p>
    <w:p w14:paraId="210DCBE2">
      <w:pPr>
        <w:sectPr>
          <w:footerReference r:id="rId72" w:type="default"/>
          <w:pgSz w:w="11906" w:h="16838"/>
          <w:pgMar w:top="1416" w:right="1151" w:bottom="1295" w:left="1150" w:header="0" w:footer="1133" w:gutter="0"/>
          <w:cols w:space="720" w:num="1"/>
        </w:sectPr>
      </w:pPr>
    </w:p>
    <w:p w14:paraId="3B063A04">
      <w:pPr>
        <w:spacing w:before="129" w:line="215" w:lineRule="auto"/>
        <w:ind w:left="2997"/>
        <w:outlineLvl w:val="0"/>
        <w:rPr>
          <w:rFonts w:ascii="宋体" w:hAnsi="宋体" w:eastAsia="宋体" w:cs="宋体"/>
          <w:sz w:val="30"/>
          <w:szCs w:val="30"/>
        </w:rPr>
      </w:pPr>
      <w:r>
        <w:rPr>
          <w:rFonts w:ascii="宋体" w:hAnsi="宋体" w:eastAsia="宋体" w:cs="宋体"/>
          <w:b/>
          <w:bCs/>
          <w:spacing w:val="-4"/>
          <w:sz w:val="30"/>
          <w:szCs w:val="30"/>
        </w:rPr>
        <w:t>五、主要生态环境保护措施</w:t>
      </w:r>
    </w:p>
    <w:tbl>
      <w:tblPr>
        <w:tblStyle w:val="8"/>
        <w:tblW w:w="95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05"/>
        <w:gridCol w:w="9059"/>
      </w:tblGrid>
      <w:tr w14:paraId="5C717E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347" w:hRule="atLeast"/>
        </w:trPr>
        <w:tc>
          <w:tcPr>
            <w:tcW w:w="505" w:type="dxa"/>
            <w:tcBorders>
              <w:right w:val="single" w:color="000000" w:sz="2" w:space="0"/>
            </w:tcBorders>
            <w:vAlign w:val="top"/>
          </w:tcPr>
          <w:p w14:paraId="67E08C82">
            <w:pPr>
              <w:spacing w:line="241" w:lineRule="auto"/>
              <w:rPr>
                <w:rFonts w:ascii="Arial"/>
                <w:sz w:val="21"/>
              </w:rPr>
            </w:pPr>
          </w:p>
          <w:p w14:paraId="6AC77AA6">
            <w:pPr>
              <w:spacing w:line="241" w:lineRule="auto"/>
              <w:rPr>
                <w:rFonts w:ascii="Arial"/>
                <w:sz w:val="21"/>
              </w:rPr>
            </w:pPr>
          </w:p>
          <w:p w14:paraId="478260EA">
            <w:pPr>
              <w:spacing w:line="241" w:lineRule="auto"/>
              <w:rPr>
                <w:rFonts w:ascii="Arial"/>
                <w:sz w:val="21"/>
              </w:rPr>
            </w:pPr>
          </w:p>
          <w:p w14:paraId="17844070">
            <w:pPr>
              <w:spacing w:line="241" w:lineRule="auto"/>
              <w:rPr>
                <w:rFonts w:ascii="Arial"/>
                <w:sz w:val="21"/>
              </w:rPr>
            </w:pPr>
          </w:p>
          <w:p w14:paraId="317929F5">
            <w:pPr>
              <w:spacing w:line="241" w:lineRule="auto"/>
              <w:rPr>
                <w:rFonts w:ascii="Arial"/>
                <w:sz w:val="21"/>
              </w:rPr>
            </w:pPr>
          </w:p>
          <w:p w14:paraId="178B909E">
            <w:pPr>
              <w:spacing w:line="241" w:lineRule="auto"/>
              <w:rPr>
                <w:rFonts w:ascii="Arial"/>
                <w:sz w:val="21"/>
              </w:rPr>
            </w:pPr>
          </w:p>
          <w:p w14:paraId="3A858857">
            <w:pPr>
              <w:spacing w:line="241" w:lineRule="auto"/>
              <w:rPr>
                <w:rFonts w:ascii="Arial"/>
                <w:sz w:val="21"/>
              </w:rPr>
            </w:pPr>
          </w:p>
          <w:p w14:paraId="792511D8">
            <w:pPr>
              <w:spacing w:line="241" w:lineRule="auto"/>
              <w:rPr>
                <w:rFonts w:ascii="Arial"/>
                <w:sz w:val="21"/>
              </w:rPr>
            </w:pPr>
          </w:p>
          <w:p w14:paraId="06A47909">
            <w:pPr>
              <w:spacing w:line="241" w:lineRule="auto"/>
              <w:rPr>
                <w:rFonts w:ascii="Arial"/>
                <w:sz w:val="21"/>
              </w:rPr>
            </w:pPr>
          </w:p>
          <w:p w14:paraId="76C4518E">
            <w:pPr>
              <w:spacing w:line="241" w:lineRule="auto"/>
              <w:rPr>
                <w:rFonts w:ascii="Arial"/>
                <w:sz w:val="21"/>
              </w:rPr>
            </w:pPr>
          </w:p>
          <w:p w14:paraId="24F569D8">
            <w:pPr>
              <w:spacing w:line="241" w:lineRule="auto"/>
              <w:rPr>
                <w:rFonts w:ascii="Arial"/>
                <w:sz w:val="21"/>
              </w:rPr>
            </w:pPr>
          </w:p>
          <w:p w14:paraId="2B05D389">
            <w:pPr>
              <w:spacing w:line="241" w:lineRule="auto"/>
              <w:rPr>
                <w:rFonts w:ascii="Arial"/>
                <w:sz w:val="21"/>
              </w:rPr>
            </w:pPr>
          </w:p>
          <w:p w14:paraId="136B6027">
            <w:pPr>
              <w:spacing w:line="241" w:lineRule="auto"/>
              <w:rPr>
                <w:rFonts w:ascii="Arial"/>
                <w:sz w:val="21"/>
              </w:rPr>
            </w:pPr>
          </w:p>
          <w:p w14:paraId="14EAA3C1">
            <w:pPr>
              <w:spacing w:line="241" w:lineRule="auto"/>
              <w:rPr>
                <w:rFonts w:ascii="Arial"/>
                <w:sz w:val="21"/>
              </w:rPr>
            </w:pPr>
          </w:p>
          <w:p w14:paraId="2BB4A23C">
            <w:pPr>
              <w:spacing w:line="241" w:lineRule="auto"/>
              <w:rPr>
                <w:rFonts w:ascii="Arial"/>
                <w:sz w:val="21"/>
              </w:rPr>
            </w:pPr>
          </w:p>
          <w:p w14:paraId="25001CC5">
            <w:pPr>
              <w:spacing w:line="241" w:lineRule="auto"/>
              <w:rPr>
                <w:rFonts w:ascii="Arial"/>
                <w:sz w:val="21"/>
              </w:rPr>
            </w:pPr>
          </w:p>
          <w:p w14:paraId="6E102502">
            <w:pPr>
              <w:spacing w:line="241" w:lineRule="auto"/>
              <w:rPr>
                <w:rFonts w:ascii="Arial"/>
                <w:sz w:val="21"/>
              </w:rPr>
            </w:pPr>
          </w:p>
          <w:p w14:paraId="534A8937">
            <w:pPr>
              <w:spacing w:line="241" w:lineRule="auto"/>
              <w:rPr>
                <w:rFonts w:ascii="Arial"/>
                <w:sz w:val="21"/>
              </w:rPr>
            </w:pPr>
          </w:p>
          <w:p w14:paraId="7235D340">
            <w:pPr>
              <w:spacing w:line="241" w:lineRule="auto"/>
              <w:rPr>
                <w:rFonts w:ascii="Arial"/>
                <w:sz w:val="21"/>
              </w:rPr>
            </w:pPr>
          </w:p>
          <w:p w14:paraId="11E55EFA">
            <w:pPr>
              <w:spacing w:line="241" w:lineRule="auto"/>
              <w:rPr>
                <w:rFonts w:ascii="Arial"/>
                <w:sz w:val="21"/>
              </w:rPr>
            </w:pPr>
          </w:p>
          <w:p w14:paraId="644FFCB4">
            <w:pPr>
              <w:spacing w:line="242" w:lineRule="auto"/>
              <w:rPr>
                <w:rFonts w:ascii="Arial"/>
                <w:sz w:val="21"/>
              </w:rPr>
            </w:pPr>
          </w:p>
          <w:p w14:paraId="1C3A380C">
            <w:pPr>
              <w:spacing w:line="242" w:lineRule="auto"/>
              <w:rPr>
                <w:rFonts w:ascii="Arial"/>
                <w:sz w:val="21"/>
              </w:rPr>
            </w:pPr>
          </w:p>
          <w:p w14:paraId="34B3D2D0">
            <w:pPr>
              <w:spacing w:line="242" w:lineRule="auto"/>
              <w:rPr>
                <w:rFonts w:ascii="Arial"/>
                <w:sz w:val="21"/>
              </w:rPr>
            </w:pPr>
          </w:p>
          <w:p w14:paraId="4B1A4113">
            <w:pPr>
              <w:spacing w:line="242" w:lineRule="auto"/>
              <w:rPr>
                <w:rFonts w:ascii="Arial"/>
                <w:sz w:val="21"/>
              </w:rPr>
            </w:pPr>
          </w:p>
          <w:p w14:paraId="6F73D3F3">
            <w:pPr>
              <w:pStyle w:val="9"/>
              <w:spacing w:before="65" w:line="252" w:lineRule="auto"/>
              <w:ind w:left="40" w:right="43"/>
              <w:outlineLvl w:val="1"/>
              <w:rPr>
                <w:sz w:val="20"/>
                <w:szCs w:val="20"/>
              </w:rPr>
            </w:pPr>
            <w:r>
              <w:rPr>
                <w:spacing w:val="5"/>
                <w:sz w:val="20"/>
                <w:szCs w:val="20"/>
              </w:rPr>
              <w:t>施工</w:t>
            </w:r>
            <w:r>
              <w:rPr>
                <w:spacing w:val="4"/>
                <w:sz w:val="20"/>
                <w:szCs w:val="20"/>
              </w:rPr>
              <w:t>期生态环境保护措</w:t>
            </w:r>
            <w:r>
              <w:rPr>
                <w:spacing w:val="28"/>
                <w:w w:val="138"/>
                <w:sz w:val="20"/>
                <w:szCs w:val="20"/>
              </w:rPr>
              <w:t>施</w:t>
            </w:r>
          </w:p>
        </w:tc>
        <w:tc>
          <w:tcPr>
            <w:tcW w:w="9059" w:type="dxa"/>
            <w:tcBorders>
              <w:left w:val="single" w:color="000000" w:sz="2" w:space="0"/>
            </w:tcBorders>
            <w:vAlign w:val="top"/>
          </w:tcPr>
          <w:p w14:paraId="4B2668C1">
            <w:pPr>
              <w:pStyle w:val="9"/>
              <w:spacing w:before="166" w:line="220" w:lineRule="auto"/>
              <w:ind w:left="593"/>
              <w:outlineLvl w:val="1"/>
            </w:pPr>
            <w:r>
              <w:rPr>
                <w:rFonts w:ascii="Times New Roman" w:hAnsi="Times New Roman" w:eastAsia="Times New Roman" w:cs="Times New Roman"/>
                <w:b/>
                <w:bCs/>
                <w:spacing w:val="-3"/>
              </w:rPr>
              <w:t>1.</w:t>
            </w:r>
            <w:r>
              <w:rPr>
                <w:b/>
                <w:bCs/>
                <w:spacing w:val="-3"/>
              </w:rPr>
              <w:t>生态环境保护措施</w:t>
            </w:r>
          </w:p>
          <w:p w14:paraId="0A968606">
            <w:pPr>
              <w:pStyle w:val="9"/>
              <w:spacing w:before="175" w:line="219" w:lineRule="auto"/>
              <w:ind w:left="598"/>
            </w:pPr>
            <w:r>
              <w:rPr>
                <w:b/>
                <w:bCs/>
                <w:spacing w:val="-4"/>
              </w:rPr>
              <w:t>（</w:t>
            </w:r>
            <w:r>
              <w:rPr>
                <w:rFonts w:ascii="Times New Roman" w:hAnsi="Times New Roman" w:eastAsia="Times New Roman" w:cs="Times New Roman"/>
                <w:b/>
                <w:bCs/>
                <w:spacing w:val="-4"/>
              </w:rPr>
              <w:t>1</w:t>
            </w:r>
            <w:r>
              <w:rPr>
                <w:b/>
                <w:bCs/>
                <w:spacing w:val="-4"/>
              </w:rPr>
              <w:t>）严格限定施工区域</w:t>
            </w:r>
          </w:p>
          <w:p w14:paraId="4205E43B">
            <w:pPr>
              <w:pStyle w:val="9"/>
              <w:spacing w:before="174" w:line="354" w:lineRule="auto"/>
              <w:ind w:left="106" w:right="102" w:firstLine="483"/>
              <w:jc w:val="both"/>
            </w:pPr>
            <w:r>
              <w:rPr>
                <w:spacing w:val="-1"/>
              </w:rPr>
              <w:t>建设单位以合同形式要求施工单位在升压站施工过程中严</w:t>
            </w:r>
            <w:r>
              <w:rPr>
                <w:spacing w:val="-2"/>
              </w:rPr>
              <w:t>格按照设计要求，控制</w:t>
            </w:r>
            <w:r>
              <w:rPr>
                <w:spacing w:val="-1"/>
              </w:rPr>
              <w:t>开挖范围及开挖量，将施工活动限制在站区和施工生产生活区范围内，对于</w:t>
            </w:r>
            <w:r>
              <w:rPr>
                <w:spacing w:val="-2"/>
              </w:rPr>
              <w:t>进站道路</w:t>
            </w:r>
            <w:r>
              <w:rPr>
                <w:spacing w:val="-1"/>
              </w:rPr>
              <w:t>施工活动限制在道路沿线施工临时占地范围以内，施工过程严格规定施工人</w:t>
            </w:r>
            <w:r>
              <w:rPr>
                <w:spacing w:val="-2"/>
              </w:rPr>
              <w:t>员进入项</w:t>
            </w:r>
            <w:r>
              <w:rPr>
                <w:spacing w:val="-1"/>
              </w:rPr>
              <w:t>目区的路径及施工机具的放置场地；施工期间，建筑垃圾集中收集后日产日</w:t>
            </w:r>
            <w:r>
              <w:rPr>
                <w:spacing w:val="-2"/>
              </w:rPr>
              <w:t>清，建筑</w:t>
            </w:r>
            <w:r>
              <w:rPr>
                <w:spacing w:val="-1"/>
              </w:rPr>
              <w:t>垃圾不随意堆放，不得造成对施工区域周边生态植被的压占，从而对生态环</w:t>
            </w:r>
            <w:r>
              <w:rPr>
                <w:spacing w:val="-2"/>
              </w:rPr>
              <w:t>境产生影</w:t>
            </w:r>
            <w:r>
              <w:t>响；项目施工区域内不设弃土场，最大限度减</w:t>
            </w:r>
            <w:r>
              <w:rPr>
                <w:spacing w:val="-1"/>
              </w:rPr>
              <w:t>小对动物生境的破坏。</w:t>
            </w:r>
          </w:p>
          <w:p w14:paraId="3D5E0632">
            <w:pPr>
              <w:pStyle w:val="9"/>
              <w:spacing w:line="219" w:lineRule="auto"/>
              <w:ind w:left="598"/>
            </w:pPr>
            <w:r>
              <w:rPr>
                <w:b/>
                <w:bCs/>
                <w:spacing w:val="-5"/>
              </w:rPr>
              <w:t>（</w:t>
            </w:r>
            <w:r>
              <w:rPr>
                <w:rFonts w:ascii="Times New Roman" w:hAnsi="Times New Roman" w:eastAsia="Times New Roman" w:cs="Times New Roman"/>
                <w:b/>
                <w:bCs/>
                <w:spacing w:val="-5"/>
              </w:rPr>
              <w:t>2</w:t>
            </w:r>
            <w:r>
              <w:rPr>
                <w:b/>
                <w:bCs/>
                <w:spacing w:val="-5"/>
              </w:rPr>
              <w:t>）植被保护措施</w:t>
            </w:r>
          </w:p>
          <w:p w14:paraId="21C0D19C">
            <w:pPr>
              <w:pStyle w:val="9"/>
              <w:spacing w:before="171" w:line="354" w:lineRule="auto"/>
              <w:ind w:left="106" w:right="102" w:firstLine="481"/>
              <w:jc w:val="both"/>
            </w:pPr>
            <w:r>
              <w:rPr>
                <w:spacing w:val="-1"/>
              </w:rPr>
              <w:t>本工程土地利用类型主要为天然牧草地，施工期间尽量利用了</w:t>
            </w:r>
            <w:r>
              <w:rPr>
                <w:spacing w:val="-2"/>
              </w:rPr>
              <w:t>现有的道路进行施</w:t>
            </w:r>
            <w:r>
              <w:rPr>
                <w:spacing w:val="-1"/>
              </w:rPr>
              <w:t>工，减少占用临时施工用地，减小项目影响范围；对土建施工场地采取围挡</w:t>
            </w:r>
            <w:r>
              <w:rPr>
                <w:spacing w:val="-2"/>
              </w:rPr>
              <w:t>、遮盖的</w:t>
            </w:r>
            <w:r>
              <w:rPr>
                <w:spacing w:val="-1"/>
              </w:rPr>
              <w:t>措施，避免由于风雨天气可能造成的风蚀和水蚀；对护路树采取高跨设计减</w:t>
            </w:r>
            <w:r>
              <w:rPr>
                <w:spacing w:val="-2"/>
              </w:rPr>
              <w:t>少对护路</w:t>
            </w:r>
            <w:r>
              <w:rPr>
                <w:spacing w:val="-1"/>
              </w:rPr>
              <w:t>树砍伐。并根据地形地貌，尽量减少对地表植被的破坏。合理选定塔位。在</w:t>
            </w:r>
            <w:r>
              <w:rPr>
                <w:spacing w:val="-2"/>
              </w:rPr>
              <w:t>升压站选</w:t>
            </w:r>
            <w:r>
              <w:rPr>
                <w:spacing w:val="-1"/>
              </w:rPr>
              <w:t>址时，尽量避开陡坡和易发生塌方、滑坡、冲沟和其他地质灾害的不良地段</w:t>
            </w:r>
            <w:r>
              <w:rPr>
                <w:spacing w:val="-2"/>
              </w:rPr>
              <w:t>，选择植</w:t>
            </w:r>
            <w:r>
              <w:rPr>
                <w:spacing w:val="-1"/>
              </w:rPr>
              <w:t>被密集的地区。对升压站周围土质松散，无植被或植被稀琉的地区，须砌挡</w:t>
            </w:r>
            <w:r>
              <w:rPr>
                <w:spacing w:val="-2"/>
              </w:rPr>
              <w:t>土墙或护</w:t>
            </w:r>
            <w:r>
              <w:rPr>
                <w:spacing w:val="-1"/>
              </w:rPr>
              <w:t>坡。保护周边的天然植被或人工植被。天然植被对于水土保持具有非常重要</w:t>
            </w:r>
            <w:r>
              <w:rPr>
                <w:spacing w:val="-2"/>
              </w:rPr>
              <w:t>的作用。</w:t>
            </w:r>
            <w:r>
              <w:rPr>
                <w:spacing w:val="-1"/>
              </w:rPr>
              <w:t>施工完成后，对施工基面遗留的废弃碎石等进行清理，对硬化地面进行翻松</w:t>
            </w:r>
            <w:r>
              <w:rPr>
                <w:spacing w:val="-2"/>
              </w:rPr>
              <w:t>，表土覆</w:t>
            </w:r>
            <w:r>
              <w:rPr>
                <w:spacing w:val="-1"/>
              </w:rPr>
              <w:t>在地表，以减少对周围植被的影响。</w:t>
            </w:r>
          </w:p>
          <w:p w14:paraId="382D90F7">
            <w:pPr>
              <w:pStyle w:val="9"/>
              <w:spacing w:before="1" w:line="218" w:lineRule="auto"/>
              <w:jc w:val="right"/>
            </w:pPr>
            <w:r>
              <w:rPr>
                <w:spacing w:val="-6"/>
              </w:rPr>
              <w:t>工程施工期间，采取以上植被保护措施，工程施工对植被的影响在可接受范围内。</w:t>
            </w:r>
          </w:p>
          <w:p w14:paraId="1BC27FAA">
            <w:pPr>
              <w:pStyle w:val="9"/>
              <w:spacing w:before="176" w:line="220" w:lineRule="auto"/>
              <w:ind w:left="598"/>
            </w:pPr>
            <w:r>
              <w:rPr>
                <w:b/>
                <w:bCs/>
                <w:spacing w:val="-4"/>
              </w:rPr>
              <w:t>（</w:t>
            </w:r>
            <w:r>
              <w:rPr>
                <w:rFonts w:ascii="Times New Roman" w:hAnsi="Times New Roman" w:eastAsia="Times New Roman" w:cs="Times New Roman"/>
                <w:b/>
                <w:bCs/>
                <w:spacing w:val="-4"/>
              </w:rPr>
              <w:t>3</w:t>
            </w:r>
            <w:r>
              <w:rPr>
                <w:b/>
                <w:bCs/>
                <w:spacing w:val="-4"/>
              </w:rPr>
              <w:t>）野生动物保护措施</w:t>
            </w:r>
          </w:p>
          <w:p w14:paraId="52C3FF55">
            <w:pPr>
              <w:pStyle w:val="9"/>
              <w:spacing w:before="174" w:line="354" w:lineRule="auto"/>
              <w:ind w:left="106" w:right="102" w:firstLine="480"/>
              <w:jc w:val="both"/>
            </w:pPr>
            <w:r>
              <w:rPr>
                <w:spacing w:val="-1"/>
              </w:rPr>
              <w:t>加强监测对可能撞伤的鸟类进行了及时救护；在野生动物活动较</w:t>
            </w:r>
            <w:r>
              <w:rPr>
                <w:spacing w:val="-2"/>
              </w:rPr>
              <w:t>为频繁的季节，</w:t>
            </w:r>
            <w:r>
              <w:rPr>
                <w:spacing w:val="-1"/>
              </w:rPr>
              <w:t>及时了解了工程对区域生态环境的影响；加强了对升压站维护人员的环保教</w:t>
            </w:r>
            <w:r>
              <w:rPr>
                <w:spacing w:val="-2"/>
              </w:rPr>
              <w:t>育，严禁</w:t>
            </w:r>
            <w:r>
              <w:rPr>
                <w:spacing w:val="-1"/>
              </w:rPr>
              <w:t>捕猎野生动物，在工程周围遇到鸟巢、雏鸟和野生动物时在林业部门和环保</w:t>
            </w:r>
            <w:r>
              <w:rPr>
                <w:spacing w:val="-2"/>
              </w:rPr>
              <w:t>部门专业</w:t>
            </w:r>
            <w:r>
              <w:rPr>
                <w:spacing w:val="-1"/>
              </w:rPr>
              <w:t>人员的指导下进行了妥善安置；施工结束后，对施工扰动区域及临时占地区</w:t>
            </w:r>
            <w:r>
              <w:rPr>
                <w:spacing w:val="-2"/>
              </w:rPr>
              <w:t>域进行平</w:t>
            </w:r>
            <w:r>
              <w:rPr>
                <w:spacing w:val="-1"/>
              </w:rPr>
              <w:t>整和原生态恢复，减少对于野生动物生境的改变。定期对升压站周边生态保</w:t>
            </w:r>
            <w:r>
              <w:rPr>
                <w:spacing w:val="-2"/>
              </w:rPr>
              <w:t>护和防护</w:t>
            </w:r>
            <w:r>
              <w:t>措施及设施进行了检查，及时修复了遭破坏的设施，并进</w:t>
            </w:r>
            <w:r>
              <w:rPr>
                <w:spacing w:val="-1"/>
              </w:rPr>
              <w:t>行了动态调整与更新。</w:t>
            </w:r>
          </w:p>
          <w:p w14:paraId="57F8C2DD">
            <w:pPr>
              <w:pStyle w:val="9"/>
              <w:spacing w:line="219" w:lineRule="auto"/>
              <w:ind w:left="598"/>
            </w:pPr>
            <w:r>
              <w:rPr>
                <w:b/>
                <w:bCs/>
                <w:spacing w:val="-5"/>
              </w:rPr>
              <w:t>（</w:t>
            </w:r>
            <w:r>
              <w:rPr>
                <w:rFonts w:ascii="Times New Roman" w:hAnsi="Times New Roman" w:eastAsia="Times New Roman" w:cs="Times New Roman"/>
                <w:b/>
                <w:bCs/>
                <w:spacing w:val="-5"/>
              </w:rPr>
              <w:t>5</w:t>
            </w:r>
            <w:r>
              <w:rPr>
                <w:b/>
                <w:bCs/>
                <w:spacing w:val="-5"/>
              </w:rPr>
              <w:t>）水土保持措施</w:t>
            </w:r>
          </w:p>
          <w:p w14:paraId="017A94C6">
            <w:pPr>
              <w:pStyle w:val="9"/>
              <w:spacing w:before="172" w:line="289" w:lineRule="auto"/>
              <w:ind w:left="118" w:right="41" w:firstLine="468"/>
            </w:pPr>
            <w:r>
              <w:rPr>
                <w:spacing w:val="-1"/>
              </w:rPr>
              <w:t>认真搞好施工组织设计，并合理安排施工进度，尽量减少临时工</w:t>
            </w:r>
            <w:r>
              <w:rPr>
                <w:spacing w:val="-2"/>
              </w:rPr>
              <w:t>程占地，缩短临</w:t>
            </w:r>
            <w:r>
              <w:rPr>
                <w:spacing w:val="-6"/>
              </w:rPr>
              <w:t>时占地使用时间，及时恢复土地原有功能；对施工建材、土石方等采取拦挡苫</w:t>
            </w:r>
            <w:r>
              <w:rPr>
                <w:spacing w:val="-7"/>
              </w:rPr>
              <w:t>盖措施，</w:t>
            </w:r>
          </w:p>
        </w:tc>
      </w:tr>
    </w:tbl>
    <w:p w14:paraId="467973D7">
      <w:pPr>
        <w:pStyle w:val="3"/>
      </w:pPr>
    </w:p>
    <w:p w14:paraId="7725FCF3">
      <w:pPr>
        <w:sectPr>
          <w:footerReference r:id="rId73" w:type="default"/>
          <w:pgSz w:w="11907" w:h="16840"/>
          <w:pgMar w:top="1431" w:right="1164" w:bottom="1295" w:left="1163" w:header="0" w:footer="1133" w:gutter="0"/>
          <w:cols w:space="720" w:num="1"/>
        </w:sectPr>
      </w:pPr>
    </w:p>
    <w:p w14:paraId="22DFE3E9">
      <w:pPr>
        <w:spacing w:line="89" w:lineRule="auto"/>
        <w:rPr>
          <w:rFonts w:ascii="Arial"/>
          <w:sz w:val="2"/>
        </w:rPr>
      </w:pPr>
    </w:p>
    <w:tbl>
      <w:tblPr>
        <w:tblStyle w:val="8"/>
        <w:tblW w:w="95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05"/>
        <w:gridCol w:w="9059"/>
      </w:tblGrid>
      <w:tr w14:paraId="6C881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807" w:hRule="atLeast"/>
        </w:trPr>
        <w:tc>
          <w:tcPr>
            <w:tcW w:w="505" w:type="dxa"/>
            <w:tcBorders>
              <w:right w:val="single" w:color="000000" w:sz="2" w:space="0"/>
            </w:tcBorders>
            <w:vAlign w:val="top"/>
          </w:tcPr>
          <w:p w14:paraId="00735235">
            <w:pPr>
              <w:rPr>
                <w:rFonts w:ascii="Arial"/>
                <w:sz w:val="21"/>
              </w:rPr>
            </w:pPr>
          </w:p>
        </w:tc>
        <w:tc>
          <w:tcPr>
            <w:tcW w:w="9059" w:type="dxa"/>
            <w:tcBorders>
              <w:left w:val="single" w:color="000000" w:sz="2" w:space="0"/>
            </w:tcBorders>
            <w:vAlign w:val="top"/>
          </w:tcPr>
          <w:p w14:paraId="2D3F512C">
            <w:pPr>
              <w:pStyle w:val="9"/>
              <w:spacing w:before="167" w:line="354" w:lineRule="auto"/>
              <w:ind w:left="108" w:right="102" w:hanging="3"/>
            </w:pPr>
            <w:r>
              <w:rPr>
                <w:spacing w:val="-1"/>
              </w:rPr>
              <w:t>避免降雨时水流直接冲刷；临时堆土在土体表面覆上密目网防治水土流失。施</w:t>
            </w:r>
            <w:r>
              <w:rPr>
                <w:spacing w:val="-2"/>
              </w:rPr>
              <w:t>工结束</w:t>
            </w:r>
            <w:r>
              <w:rPr>
                <w:spacing w:val="-1"/>
              </w:rPr>
              <w:t>后，立即进行了土地整治，实施植物种植措施。</w:t>
            </w:r>
          </w:p>
          <w:p w14:paraId="01F14A7F">
            <w:pPr>
              <w:pStyle w:val="9"/>
              <w:spacing w:line="219" w:lineRule="auto"/>
              <w:ind w:left="598"/>
            </w:pPr>
            <w:r>
              <w:rPr>
                <w:b/>
                <w:bCs/>
                <w:spacing w:val="-3"/>
              </w:rPr>
              <w:t>（</w:t>
            </w:r>
            <w:r>
              <w:rPr>
                <w:rFonts w:ascii="Times New Roman" w:hAnsi="Times New Roman" w:eastAsia="Times New Roman" w:cs="Times New Roman"/>
                <w:b/>
                <w:bCs/>
                <w:spacing w:val="-3"/>
              </w:rPr>
              <w:t>6</w:t>
            </w:r>
            <w:r>
              <w:rPr>
                <w:b/>
                <w:bCs/>
                <w:spacing w:val="-3"/>
              </w:rPr>
              <w:t>）对草地的保护与施工用地占用恢复补偿措施</w:t>
            </w:r>
          </w:p>
          <w:p w14:paraId="03A435A3">
            <w:pPr>
              <w:pStyle w:val="9"/>
              <w:spacing w:before="174" w:line="354" w:lineRule="auto"/>
              <w:ind w:left="110" w:right="102" w:firstLine="476"/>
            </w:pPr>
            <w:r>
              <w:rPr>
                <w:spacing w:val="-1"/>
              </w:rPr>
              <w:t>根据现状调查统计，天然牧草地占地面积</w:t>
            </w:r>
            <w:r>
              <w:rPr>
                <w:spacing w:val="-43"/>
              </w:rPr>
              <w:t xml:space="preserve"> </w:t>
            </w:r>
            <w:r>
              <w:rPr>
                <w:rFonts w:ascii="Times New Roman" w:hAnsi="Times New Roman" w:eastAsia="Times New Roman" w:cs="Times New Roman"/>
                <w:spacing w:val="-1"/>
              </w:rPr>
              <w:t>81.66hm</w:t>
            </w:r>
            <w:r>
              <w:rPr>
                <w:rFonts w:ascii="Times New Roman" w:hAnsi="Times New Roman" w:eastAsia="Times New Roman" w:cs="Times New Roman"/>
                <w:spacing w:val="-2"/>
                <w:position w:val="8"/>
                <w:sz w:val="15"/>
                <w:szCs w:val="15"/>
              </w:rPr>
              <w:t xml:space="preserve">2 </w:t>
            </w:r>
            <w:r>
              <w:rPr>
                <w:spacing w:val="-2"/>
              </w:rPr>
              <w:t>，</w:t>
            </w:r>
            <w:r>
              <w:rPr>
                <w:spacing w:val="-69"/>
              </w:rPr>
              <w:t xml:space="preserve"> </w:t>
            </w:r>
            <w:r>
              <w:rPr>
                <w:spacing w:val="-2"/>
              </w:rPr>
              <w:t>占总评价范围</w:t>
            </w:r>
            <w:r>
              <w:rPr>
                <w:spacing w:val="-47"/>
              </w:rPr>
              <w:t xml:space="preserve"> </w:t>
            </w:r>
            <w:r>
              <w:rPr>
                <w:rFonts w:ascii="Times New Roman" w:hAnsi="Times New Roman" w:eastAsia="Times New Roman" w:cs="Times New Roman"/>
                <w:spacing w:val="-2"/>
              </w:rPr>
              <w:t>62.71%</w:t>
            </w:r>
            <w:r>
              <w:rPr>
                <w:rFonts w:ascii="Times New Roman" w:hAnsi="Times New Roman" w:eastAsia="Times New Roman" w:cs="Times New Roman"/>
                <w:spacing w:val="-23"/>
              </w:rPr>
              <w:t xml:space="preserve"> </w:t>
            </w:r>
            <w:r>
              <w:rPr>
                <w:spacing w:val="-2"/>
              </w:rPr>
              <w:t>。本</w:t>
            </w:r>
            <w:r>
              <w:rPr>
                <w:spacing w:val="-3"/>
              </w:rPr>
              <w:t>项目永久征地及临时施工营地占用草地，</w:t>
            </w:r>
            <w:r>
              <w:rPr>
                <w:spacing w:val="-57"/>
              </w:rPr>
              <w:t xml:space="preserve"> </w:t>
            </w:r>
            <w:r>
              <w:rPr>
                <w:spacing w:val="-3"/>
              </w:rPr>
              <w:t>占用</w:t>
            </w:r>
            <w:r>
              <w:rPr>
                <w:spacing w:val="-56"/>
              </w:rPr>
              <w:t xml:space="preserve"> </w:t>
            </w:r>
            <w:r>
              <w:rPr>
                <w:rFonts w:ascii="Times New Roman" w:hAnsi="Times New Roman" w:eastAsia="Times New Roman" w:cs="Times New Roman"/>
                <w:spacing w:val="-3"/>
              </w:rPr>
              <w:t>4.4hm</w:t>
            </w:r>
            <w:r>
              <w:rPr>
                <w:rFonts w:ascii="Times New Roman" w:hAnsi="Times New Roman" w:eastAsia="Times New Roman" w:cs="Times New Roman"/>
                <w:spacing w:val="-3"/>
                <w:position w:val="7"/>
                <w:sz w:val="15"/>
                <w:szCs w:val="15"/>
              </w:rPr>
              <w:t xml:space="preserve">2 </w:t>
            </w:r>
            <w:r>
              <w:rPr>
                <w:spacing w:val="-3"/>
              </w:rPr>
              <w:t>。草地影响消减措施如下：</w:t>
            </w:r>
          </w:p>
          <w:p w14:paraId="57A59D3E">
            <w:pPr>
              <w:pStyle w:val="9"/>
              <w:spacing w:before="6" w:line="353" w:lineRule="auto"/>
              <w:ind w:left="106" w:right="102" w:firstLine="499"/>
            </w:pPr>
            <w:r>
              <w:rPr>
                <w:rFonts w:ascii="Times New Roman" w:hAnsi="Times New Roman" w:eastAsia="Times New Roman" w:cs="Times New Roman"/>
                <w:spacing w:val="2"/>
              </w:rPr>
              <w:t>1</w:t>
            </w:r>
            <w:r>
              <w:rPr>
                <w:spacing w:val="2"/>
              </w:rPr>
              <w:t>）施工开始前，要求建设单位尽可能不占或者少占草</w:t>
            </w:r>
            <w:r>
              <w:rPr>
                <w:spacing w:val="1"/>
              </w:rPr>
              <w:t>地。施工单位必须先与当</w:t>
            </w:r>
            <w:r>
              <w:rPr>
                <w:spacing w:val="-1"/>
              </w:rPr>
              <w:t>地草业管理部门取得联系，协调有关施工道路、临时用地等占用草地的问题</w:t>
            </w:r>
            <w:r>
              <w:rPr>
                <w:spacing w:val="-2"/>
              </w:rPr>
              <w:t>，取得草</w:t>
            </w:r>
            <w:r>
              <w:rPr>
                <w:spacing w:val="-1"/>
              </w:rPr>
              <w:t>业部门同意后施工。施工过程中尽量减少对作业区周围草地的破坏。剥离占</w:t>
            </w:r>
            <w:r>
              <w:rPr>
                <w:spacing w:val="-2"/>
              </w:rPr>
              <w:t>地范围内</w:t>
            </w:r>
            <w:r>
              <w:rPr>
                <w:spacing w:val="1"/>
              </w:rPr>
              <w:t>的表土，剥离厚度</w:t>
            </w:r>
            <w:r>
              <w:rPr>
                <w:spacing w:val="-43"/>
              </w:rPr>
              <w:t xml:space="preserve"> </w:t>
            </w:r>
            <w:r>
              <w:rPr>
                <w:rFonts w:ascii="Times New Roman" w:hAnsi="Times New Roman" w:eastAsia="Times New Roman" w:cs="Times New Roman"/>
                <w:spacing w:val="1"/>
              </w:rPr>
              <w:t>20</w:t>
            </w:r>
            <w:r>
              <w:rPr>
                <w:rFonts w:ascii="Times New Roman" w:hAnsi="Times New Roman" w:eastAsia="Times New Roman" w:cs="Times New Roman"/>
              </w:rPr>
              <w:t>cm</w:t>
            </w:r>
            <w:r>
              <w:rPr>
                <w:rFonts w:ascii="Times New Roman" w:hAnsi="Times New Roman" w:eastAsia="Times New Roman" w:cs="Times New Roman"/>
                <w:spacing w:val="-28"/>
              </w:rPr>
              <w:t xml:space="preserve"> </w:t>
            </w:r>
            <w:r>
              <w:rPr>
                <w:spacing w:val="1"/>
              </w:rPr>
              <w:t>，集中收集堆存，工程结束后，对施工场地进行清理，清除</w:t>
            </w:r>
            <w:r>
              <w:rPr>
                <w:spacing w:val="-1"/>
              </w:rPr>
              <w:t>硬化混凝土，人工播撒披碱草等适宜当地生长的草种，可在雨季前播撒，让</w:t>
            </w:r>
            <w:r>
              <w:rPr>
                <w:spacing w:val="-2"/>
              </w:rPr>
              <w:t>其自然恢</w:t>
            </w:r>
            <w:r>
              <w:t>复，不宜种植的地区，施工结束及时回填表</w:t>
            </w:r>
            <w:r>
              <w:rPr>
                <w:spacing w:val="-1"/>
              </w:rPr>
              <w:t>土，以自然恢复为主。</w:t>
            </w:r>
          </w:p>
          <w:p w14:paraId="24E4BEDE">
            <w:pPr>
              <w:pStyle w:val="9"/>
              <w:spacing w:before="3" w:line="353" w:lineRule="auto"/>
              <w:ind w:left="106" w:right="102" w:firstLine="475"/>
            </w:pPr>
            <w:r>
              <w:rPr>
                <w:rFonts w:ascii="Times New Roman" w:hAnsi="Times New Roman" w:eastAsia="Times New Roman" w:cs="Times New Roman"/>
                <w:spacing w:val="2"/>
              </w:rPr>
              <w:t>2</w:t>
            </w:r>
            <w:r>
              <w:rPr>
                <w:spacing w:val="2"/>
              </w:rPr>
              <w:t>）施工过程中，原材料应集中堆放于材料仓库内，砂石堆场进行苫盖；废弃料</w:t>
            </w:r>
            <w:r>
              <w:rPr>
                <w:spacing w:val="-1"/>
              </w:rPr>
              <w:t>应集中放置，不得乱堆乱放，随意扩大占地范围；运输车辆应沿施工便道</w:t>
            </w:r>
            <w:r>
              <w:rPr>
                <w:spacing w:val="-2"/>
              </w:rPr>
              <w:t>行驶，不得</w:t>
            </w:r>
            <w:r>
              <w:rPr>
                <w:spacing w:val="-1"/>
              </w:rPr>
              <w:t>随意增加施工便道占用草原面积，将影响减小至最小范围。</w:t>
            </w:r>
          </w:p>
          <w:p w14:paraId="050EC6BA">
            <w:pPr>
              <w:pStyle w:val="9"/>
              <w:spacing w:before="6" w:line="353" w:lineRule="auto"/>
              <w:ind w:left="106" w:right="41" w:firstLine="480"/>
            </w:pPr>
            <w:r>
              <w:rPr>
                <w:rFonts w:ascii="Times New Roman" w:hAnsi="Times New Roman" w:eastAsia="Times New Roman" w:cs="Times New Roman"/>
                <w:spacing w:val="2"/>
              </w:rPr>
              <w:t>3</w:t>
            </w:r>
            <w:r>
              <w:rPr>
                <w:spacing w:val="2"/>
              </w:rPr>
              <w:t>）充分重视征地对周边民众带来的影响，严格按照国家林业和草原局《草原征</w:t>
            </w:r>
            <w:r>
              <w:rPr>
                <w:spacing w:val="-1"/>
              </w:rPr>
              <w:t>占用审核审批管理规范》和内蒙古自治区林业和草原局《内蒙古自治区草</w:t>
            </w:r>
            <w:r>
              <w:rPr>
                <w:spacing w:val="-2"/>
              </w:rPr>
              <w:t>原征占用审</w:t>
            </w:r>
            <w:r>
              <w:rPr>
                <w:spacing w:val="-1"/>
              </w:rPr>
              <w:t>核审批管理规定》以及内蒙古自治区人民政府批准的《内蒙古自治区基本</w:t>
            </w:r>
            <w:r>
              <w:rPr>
                <w:spacing w:val="-2"/>
              </w:rPr>
              <w:t>草原保护条</w:t>
            </w:r>
            <w:r>
              <w:rPr>
                <w:spacing w:val="-6"/>
              </w:rPr>
              <w:t>例》《关于占用、征用农民土地计费标准》的相关规定，对征用的草地进行合理补偿，</w:t>
            </w:r>
            <w:r>
              <w:rPr>
                <w:spacing w:val="-1"/>
              </w:rPr>
              <w:t>使被征地民众的损失得到应有的补偿，使他们的生活水平不因征地而明显</w:t>
            </w:r>
            <w:r>
              <w:rPr>
                <w:spacing w:val="-2"/>
              </w:rPr>
              <w:t>下降，使被</w:t>
            </w:r>
            <w:r>
              <w:rPr>
                <w:spacing w:val="-1"/>
              </w:rPr>
              <w:t>征地民众生活不受影响。</w:t>
            </w:r>
          </w:p>
          <w:p w14:paraId="3AB48E56">
            <w:pPr>
              <w:pStyle w:val="9"/>
              <w:spacing w:before="1" w:line="219" w:lineRule="auto"/>
              <w:ind w:left="598"/>
            </w:pPr>
            <w:r>
              <w:rPr>
                <w:b/>
                <w:bCs/>
                <w:spacing w:val="-3"/>
              </w:rPr>
              <w:t>（</w:t>
            </w:r>
            <w:r>
              <w:rPr>
                <w:rFonts w:ascii="Times New Roman" w:hAnsi="Times New Roman" w:eastAsia="Times New Roman" w:cs="Times New Roman"/>
                <w:b/>
                <w:bCs/>
                <w:spacing w:val="-3"/>
              </w:rPr>
              <w:t>7</w:t>
            </w:r>
            <w:r>
              <w:rPr>
                <w:b/>
                <w:bCs/>
                <w:spacing w:val="-3"/>
              </w:rPr>
              <w:t>）</w:t>
            </w:r>
            <w:r>
              <w:rPr>
                <w:spacing w:val="-3"/>
              </w:rPr>
              <w:t xml:space="preserve"> </w:t>
            </w:r>
            <w:r>
              <w:rPr>
                <w:b/>
                <w:bCs/>
                <w:spacing w:val="-3"/>
              </w:rPr>
              <w:t>生态植被保护和恢复措施</w:t>
            </w:r>
          </w:p>
          <w:p w14:paraId="4B9E48F0">
            <w:pPr>
              <w:pStyle w:val="9"/>
              <w:spacing w:before="174" w:line="354" w:lineRule="auto"/>
              <w:ind w:left="106" w:right="102" w:firstLine="498"/>
            </w:pPr>
            <w:r>
              <w:rPr>
                <w:rFonts w:ascii="Times New Roman" w:hAnsi="Times New Roman" w:eastAsia="Times New Roman" w:cs="Times New Roman"/>
                <w:spacing w:val="2"/>
              </w:rPr>
              <w:t>1</w:t>
            </w:r>
            <w:r>
              <w:rPr>
                <w:spacing w:val="2"/>
              </w:rPr>
              <w:t>）施工前，对施工范围临时设施的布置要进行严格的</w:t>
            </w:r>
            <w:r>
              <w:rPr>
                <w:spacing w:val="1"/>
              </w:rPr>
              <w:t>审查，既少占草地，不占</w:t>
            </w:r>
            <w:r>
              <w:rPr>
                <w:spacing w:val="-2"/>
              </w:rPr>
              <w:t>耕地，又方便施工。</w:t>
            </w:r>
          </w:p>
          <w:p w14:paraId="0A590405">
            <w:pPr>
              <w:pStyle w:val="9"/>
              <w:spacing w:before="1" w:line="219" w:lineRule="auto"/>
              <w:ind w:left="582"/>
            </w:pPr>
            <w:r>
              <w:rPr>
                <w:rFonts w:ascii="Times New Roman" w:hAnsi="Times New Roman" w:eastAsia="Times New Roman" w:cs="Times New Roman"/>
              </w:rPr>
              <w:t>2</w:t>
            </w:r>
            <w:r>
              <w:t>）严格按照设计文件确定征占土地范围，进行地表植</w:t>
            </w:r>
            <w:r>
              <w:rPr>
                <w:spacing w:val="-1"/>
              </w:rPr>
              <w:t>被的清理工作。</w:t>
            </w:r>
          </w:p>
          <w:p w14:paraId="432EC1F3">
            <w:pPr>
              <w:pStyle w:val="9"/>
              <w:spacing w:before="174" w:line="354" w:lineRule="auto"/>
              <w:ind w:left="107" w:right="102" w:firstLine="479"/>
            </w:pPr>
            <w:r>
              <w:rPr>
                <w:rFonts w:ascii="Times New Roman" w:hAnsi="Times New Roman" w:eastAsia="Times New Roman" w:cs="Times New Roman"/>
                <w:spacing w:val="2"/>
              </w:rPr>
              <w:t>3</w:t>
            </w:r>
            <w:r>
              <w:rPr>
                <w:spacing w:val="2"/>
              </w:rPr>
              <w:t>）新建道路尽量避绕植被覆盖度高的草地，针对确实无法避绕的区域建议进行</w:t>
            </w:r>
            <w:r>
              <w:rPr>
                <w:spacing w:val="-2"/>
              </w:rPr>
              <w:t>植被移栽工作。</w:t>
            </w:r>
          </w:p>
          <w:p w14:paraId="72878E58">
            <w:pPr>
              <w:pStyle w:val="9"/>
              <w:spacing w:before="3" w:line="353" w:lineRule="auto"/>
              <w:ind w:left="106" w:right="22" w:firstLine="475"/>
            </w:pPr>
            <w:r>
              <w:rPr>
                <w:rFonts w:ascii="Times New Roman" w:hAnsi="Times New Roman" w:eastAsia="Times New Roman" w:cs="Times New Roman"/>
                <w:spacing w:val="-2"/>
              </w:rPr>
              <w:t>4</w:t>
            </w:r>
            <w:r>
              <w:rPr>
                <w:spacing w:val="-2"/>
              </w:rPr>
              <w:t>）工程施工过程中，不允许将工程临时废渣随处乱排，更不允许排入河</w:t>
            </w:r>
            <w:r>
              <w:rPr>
                <w:spacing w:val="-3"/>
              </w:rPr>
              <w:t>流水面、</w:t>
            </w:r>
            <w:r>
              <w:rPr>
                <w:spacing w:val="-1"/>
              </w:rPr>
              <w:t>坑塘水面、内陆滩涂中；场内运输车辆严格按照指定运输道路行驶，不得驶</w:t>
            </w:r>
            <w:r>
              <w:rPr>
                <w:spacing w:val="-2"/>
              </w:rPr>
              <w:t>入干河及破坏河边植被。</w:t>
            </w:r>
          </w:p>
          <w:p w14:paraId="489A036A">
            <w:pPr>
              <w:pStyle w:val="9"/>
              <w:spacing w:before="1" w:line="218" w:lineRule="auto"/>
              <w:ind w:left="589"/>
            </w:pPr>
            <w:r>
              <w:rPr>
                <w:rFonts w:ascii="Times New Roman" w:hAnsi="Times New Roman" w:eastAsia="Times New Roman" w:cs="Times New Roman"/>
                <w:spacing w:val="2"/>
              </w:rPr>
              <w:t>5</w:t>
            </w:r>
            <w:r>
              <w:rPr>
                <w:spacing w:val="2"/>
              </w:rPr>
              <w:t>）施工营区等临时建筑尽可能采用成品或简易拼装方式，尽量减轻对土壤及植</w:t>
            </w:r>
          </w:p>
        </w:tc>
      </w:tr>
    </w:tbl>
    <w:p w14:paraId="7F1FDE16">
      <w:pPr>
        <w:pStyle w:val="3"/>
      </w:pPr>
    </w:p>
    <w:p w14:paraId="215EF49D">
      <w:pPr>
        <w:sectPr>
          <w:footerReference r:id="rId74" w:type="default"/>
          <w:pgSz w:w="11907" w:h="16840"/>
          <w:pgMar w:top="1431" w:right="1164" w:bottom="1295" w:left="1163" w:header="0" w:footer="1133" w:gutter="0"/>
          <w:cols w:space="720" w:num="1"/>
        </w:sectPr>
      </w:pPr>
    </w:p>
    <w:p w14:paraId="77911EFE">
      <w:pPr>
        <w:spacing w:line="89" w:lineRule="auto"/>
        <w:rPr>
          <w:rFonts w:ascii="Arial"/>
          <w:sz w:val="2"/>
        </w:rPr>
      </w:pPr>
    </w:p>
    <w:tbl>
      <w:tblPr>
        <w:tblStyle w:val="8"/>
        <w:tblW w:w="95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05"/>
        <w:gridCol w:w="9059"/>
      </w:tblGrid>
      <w:tr w14:paraId="3C032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27" w:hRule="atLeast"/>
        </w:trPr>
        <w:tc>
          <w:tcPr>
            <w:tcW w:w="505" w:type="dxa"/>
            <w:tcBorders>
              <w:right w:val="single" w:color="000000" w:sz="2" w:space="0"/>
            </w:tcBorders>
            <w:vAlign w:val="top"/>
          </w:tcPr>
          <w:p w14:paraId="7DBD9DFD">
            <w:pPr>
              <w:rPr>
                <w:rFonts w:ascii="Arial"/>
                <w:sz w:val="21"/>
              </w:rPr>
            </w:pPr>
          </w:p>
        </w:tc>
        <w:tc>
          <w:tcPr>
            <w:tcW w:w="9059" w:type="dxa"/>
            <w:tcBorders>
              <w:left w:val="single" w:color="000000" w:sz="2" w:space="0"/>
            </w:tcBorders>
            <w:vAlign w:val="top"/>
          </w:tcPr>
          <w:p w14:paraId="346CF7A3">
            <w:pPr>
              <w:pStyle w:val="9"/>
              <w:spacing w:before="169" w:line="219" w:lineRule="auto"/>
              <w:ind w:left="106"/>
            </w:pPr>
            <w:r>
              <w:rPr>
                <w:spacing w:val="-2"/>
              </w:rPr>
              <w:t>被的破坏。</w:t>
            </w:r>
          </w:p>
          <w:p w14:paraId="723FE4E5">
            <w:pPr>
              <w:pStyle w:val="9"/>
              <w:spacing w:before="174" w:line="354" w:lineRule="auto"/>
              <w:ind w:left="106" w:right="161" w:firstLine="481"/>
            </w:pPr>
            <w:r>
              <w:rPr>
                <w:rFonts w:ascii="Times New Roman" w:hAnsi="Times New Roman" w:eastAsia="Times New Roman" w:cs="Times New Roman"/>
              </w:rPr>
              <w:t>6</w:t>
            </w:r>
            <w:r>
              <w:t>）凡因升压站施工破坏植被而造成裸露的土地应在施工结束后立即整治利用，</w:t>
            </w:r>
            <w:r>
              <w:rPr>
                <w:spacing w:val="-1"/>
              </w:rPr>
              <w:t>采用披碱草等当地乡土种进行植被恢复。</w:t>
            </w:r>
          </w:p>
          <w:p w14:paraId="08CDAC53">
            <w:pPr>
              <w:pStyle w:val="9"/>
              <w:spacing w:line="220" w:lineRule="auto"/>
              <w:ind w:left="598"/>
            </w:pPr>
            <w:r>
              <w:rPr>
                <w:b/>
                <w:bCs/>
                <w:spacing w:val="-4"/>
              </w:rPr>
              <w:t>（</w:t>
            </w:r>
            <w:r>
              <w:rPr>
                <w:rFonts w:ascii="Times New Roman" w:hAnsi="Times New Roman" w:eastAsia="Times New Roman" w:cs="Times New Roman"/>
                <w:b/>
                <w:bCs/>
                <w:spacing w:val="-4"/>
              </w:rPr>
              <w:t>8</w:t>
            </w:r>
            <w:r>
              <w:rPr>
                <w:b/>
                <w:bCs/>
                <w:spacing w:val="-4"/>
              </w:rPr>
              <w:t>）主要生态恢复措施</w:t>
            </w:r>
          </w:p>
          <w:p w14:paraId="4BF7FC65">
            <w:pPr>
              <w:pStyle w:val="9"/>
              <w:spacing w:before="171" w:line="354" w:lineRule="auto"/>
              <w:ind w:left="106" w:right="102" w:firstLine="480"/>
              <w:jc w:val="both"/>
            </w:pPr>
            <w:r>
              <w:rPr>
                <w:spacing w:val="-1"/>
              </w:rPr>
              <w:t>科学规划施工场地，合理安排施工进度，尽量减少临时工程占地</w:t>
            </w:r>
            <w:r>
              <w:rPr>
                <w:spacing w:val="-2"/>
              </w:rPr>
              <w:t>，缩短临时占地</w:t>
            </w:r>
            <w:r>
              <w:rPr>
                <w:spacing w:val="-1"/>
              </w:rPr>
              <w:t>使用时间，及时恢复土地原有功能。施工结束后根据地形条件和占用的土</w:t>
            </w:r>
            <w:r>
              <w:rPr>
                <w:spacing w:val="-2"/>
              </w:rPr>
              <w:t>地类型，以</w:t>
            </w:r>
            <w:r>
              <w:rPr>
                <w:spacing w:val="-1"/>
              </w:rPr>
              <w:t>因地制宜的原则对施工占地区域裸露地进行土地功能恢复，植被恢复和绿</w:t>
            </w:r>
            <w:r>
              <w:rPr>
                <w:spacing w:val="-2"/>
              </w:rPr>
              <w:t>化。针对不</w:t>
            </w:r>
            <w:r>
              <w:rPr>
                <w:spacing w:val="-1"/>
              </w:rPr>
              <w:t>同的占地类型，应采取有针对性的生态恢复措施，如：施工前进行表土剥</w:t>
            </w:r>
            <w:r>
              <w:rPr>
                <w:spacing w:val="-2"/>
              </w:rPr>
              <w:t>离，表土单</w:t>
            </w:r>
            <w:r>
              <w:rPr>
                <w:spacing w:val="-1"/>
              </w:rPr>
              <w:t>独存放并采取遮盖措施，施工结束后进行表土回填，采取自然恢复的方式</w:t>
            </w:r>
            <w:r>
              <w:rPr>
                <w:spacing w:val="-2"/>
              </w:rPr>
              <w:t>进行植被恢</w:t>
            </w:r>
            <w:r>
              <w:rPr>
                <w:spacing w:val="-1"/>
              </w:rPr>
              <w:t>复，确有必要时，撒播适宜当地环境的草籽进行植被恢复。</w:t>
            </w:r>
          </w:p>
          <w:p w14:paraId="6839BA33">
            <w:pPr>
              <w:pStyle w:val="9"/>
              <w:spacing w:before="1" w:line="354" w:lineRule="auto"/>
              <w:ind w:left="107" w:right="102" w:firstLine="480"/>
            </w:pPr>
            <w:r>
              <w:rPr>
                <w:spacing w:val="-1"/>
              </w:rPr>
              <w:t>本项目临时占地类型以天然牧草地为主。占用的草地及其他临</w:t>
            </w:r>
            <w:r>
              <w:rPr>
                <w:spacing w:val="-2"/>
              </w:rPr>
              <w:t>时用地应恢复原有</w:t>
            </w:r>
            <w:r>
              <w:rPr>
                <w:spacing w:val="-1"/>
              </w:rPr>
              <w:t>使用功能。本项目生态环境保护典型措施设计图见附图</w:t>
            </w:r>
            <w:r>
              <w:rPr>
                <w:spacing w:val="-46"/>
              </w:rPr>
              <w:t xml:space="preserve"> </w:t>
            </w:r>
            <w:r>
              <w:rPr>
                <w:rFonts w:ascii="Times New Roman" w:hAnsi="Times New Roman" w:eastAsia="Times New Roman" w:cs="Times New Roman"/>
                <w:spacing w:val="-1"/>
              </w:rPr>
              <w:t>5</w:t>
            </w:r>
            <w:r>
              <w:rPr>
                <w:spacing w:val="-1"/>
              </w:rPr>
              <w:t>。</w:t>
            </w:r>
          </w:p>
          <w:p w14:paraId="23F75275">
            <w:pPr>
              <w:pStyle w:val="9"/>
              <w:spacing w:line="220" w:lineRule="auto"/>
              <w:ind w:left="598"/>
            </w:pPr>
            <w:r>
              <w:rPr>
                <w:spacing w:val="-3"/>
              </w:rPr>
              <w:t>（</w:t>
            </w:r>
            <w:r>
              <w:rPr>
                <w:rFonts w:ascii="Times New Roman" w:hAnsi="Times New Roman" w:eastAsia="Times New Roman" w:cs="Times New Roman"/>
                <w:spacing w:val="-3"/>
              </w:rPr>
              <w:t>10</w:t>
            </w:r>
            <w:r>
              <w:rPr>
                <w:spacing w:val="-3"/>
              </w:rPr>
              <w:t>）土地复垦</w:t>
            </w:r>
          </w:p>
          <w:p w14:paraId="7D4003E9">
            <w:pPr>
              <w:pStyle w:val="9"/>
              <w:spacing w:before="171" w:line="354" w:lineRule="auto"/>
              <w:ind w:left="107" w:right="102" w:firstLine="479"/>
            </w:pPr>
            <w:r>
              <w:rPr>
                <w:spacing w:val="-2"/>
              </w:rPr>
              <w:t>根据“宜草则草、宜农则农</w:t>
            </w:r>
            <w:r>
              <w:rPr>
                <w:spacing w:val="-88"/>
              </w:rPr>
              <w:t xml:space="preserve"> </w:t>
            </w:r>
            <w:r>
              <w:rPr>
                <w:spacing w:val="-2"/>
              </w:rPr>
              <w:t>”的原则进行土地复垦，土地复垦是增加可</w:t>
            </w:r>
            <w:r>
              <w:rPr>
                <w:spacing w:val="-3"/>
              </w:rPr>
              <w:t>利用土地</w:t>
            </w:r>
            <w:r>
              <w:rPr>
                <w:spacing w:val="-1"/>
              </w:rPr>
              <w:t>面积，实现土地总量动态平衡的有效措施，是提高土地质量，促进土地</w:t>
            </w:r>
            <w:r>
              <w:rPr>
                <w:spacing w:val="-2"/>
              </w:rPr>
              <w:t>集约化利用的</w:t>
            </w:r>
            <w:r>
              <w:rPr>
                <w:spacing w:val="-1"/>
              </w:rPr>
              <w:t>重要手段。积极开展土地复垦，对于缓解人地矛盾，改善牧业生产条件</w:t>
            </w:r>
            <w:r>
              <w:rPr>
                <w:spacing w:val="-2"/>
              </w:rPr>
              <w:t>和生态环境具</w:t>
            </w:r>
            <w:r>
              <w:rPr>
                <w:spacing w:val="-1"/>
              </w:rPr>
              <w:t>有极其重要的意义。项目区实施土地复垦措施的过程中，通过全面规划</w:t>
            </w:r>
            <w:r>
              <w:rPr>
                <w:spacing w:val="-2"/>
              </w:rPr>
              <w:t>、综合治理，</w:t>
            </w:r>
            <w:r>
              <w:rPr>
                <w:spacing w:val="-1"/>
              </w:rPr>
              <w:t>完善项目区基础设施配套程度，改善牧业生产条件和生态环境，提高土</w:t>
            </w:r>
            <w:r>
              <w:rPr>
                <w:spacing w:val="-2"/>
              </w:rPr>
              <w:t>地质量，增加</w:t>
            </w:r>
            <w:r>
              <w:rPr>
                <w:spacing w:val="-1"/>
              </w:rPr>
              <w:t>可利用土地面积，增加土壤肥力，满足植物生长要求，使原支离破碎不</w:t>
            </w:r>
            <w:r>
              <w:rPr>
                <w:spacing w:val="-2"/>
              </w:rPr>
              <w:t>可利用的土地</w:t>
            </w:r>
            <w:r>
              <w:rPr>
                <w:spacing w:val="-1"/>
              </w:rPr>
              <w:t>逐步变为适宜耕作的土地。</w:t>
            </w:r>
          </w:p>
          <w:p w14:paraId="5BF08885">
            <w:pPr>
              <w:pStyle w:val="9"/>
              <w:spacing w:line="220" w:lineRule="auto"/>
              <w:ind w:left="587"/>
            </w:pPr>
            <w:r>
              <w:rPr>
                <w:spacing w:val="-1"/>
              </w:rPr>
              <w:t>土地复垦生态恢复标准如下：</w:t>
            </w:r>
          </w:p>
          <w:p w14:paraId="0DFDFA8F">
            <w:pPr>
              <w:pStyle w:val="9"/>
              <w:spacing w:before="174" w:line="217" w:lineRule="auto"/>
              <w:ind w:left="586"/>
            </w:pPr>
            <w:r>
              <w:rPr>
                <w:spacing w:val="-1"/>
              </w:rPr>
              <w:t>①土壤厚度：恢复至原状。</w:t>
            </w:r>
          </w:p>
          <w:p w14:paraId="5335470A">
            <w:pPr>
              <w:pStyle w:val="9"/>
              <w:spacing w:before="176" w:line="212" w:lineRule="auto"/>
              <w:ind w:left="585"/>
            </w:pPr>
            <w:r>
              <w:rPr>
                <w:spacing w:val="-1"/>
              </w:rPr>
              <w:t>②土壤酸碱度：覆土层土壤</w:t>
            </w:r>
            <w:r>
              <w:rPr>
                <w:spacing w:val="-58"/>
              </w:rPr>
              <w:t xml:space="preserve"> </w:t>
            </w:r>
            <w:r>
              <w:rPr>
                <w:rFonts w:ascii="Times New Roman" w:hAnsi="Times New Roman" w:eastAsia="Times New Roman" w:cs="Times New Roman"/>
                <w:spacing w:val="-1"/>
              </w:rPr>
              <w:t xml:space="preserve">pH </w:t>
            </w:r>
            <w:r>
              <w:rPr>
                <w:spacing w:val="-1"/>
              </w:rPr>
              <w:t>值维持在</w:t>
            </w:r>
            <w:r>
              <w:rPr>
                <w:spacing w:val="-45"/>
              </w:rPr>
              <w:t xml:space="preserve"> </w:t>
            </w:r>
            <w:r>
              <w:rPr>
                <w:rFonts w:ascii="Times New Roman" w:hAnsi="Times New Roman" w:eastAsia="Times New Roman" w:cs="Times New Roman"/>
                <w:spacing w:val="-1"/>
              </w:rPr>
              <w:t xml:space="preserve">8.0 </w:t>
            </w:r>
            <w:r>
              <w:rPr>
                <w:spacing w:val="-1"/>
              </w:rPr>
              <w:t>左右。</w:t>
            </w:r>
          </w:p>
          <w:p w14:paraId="229D4C68">
            <w:pPr>
              <w:pStyle w:val="9"/>
              <w:spacing w:before="186" w:line="217" w:lineRule="auto"/>
              <w:ind w:left="585"/>
            </w:pPr>
            <w:r>
              <w:rPr>
                <w:spacing w:val="-1"/>
              </w:rPr>
              <w:t>③适宜植物：选择草本植被。</w:t>
            </w:r>
          </w:p>
          <w:p w14:paraId="3E863CA8">
            <w:pPr>
              <w:pStyle w:val="9"/>
              <w:spacing w:before="179" w:line="219" w:lineRule="auto"/>
              <w:ind w:left="586"/>
            </w:pPr>
            <w:r>
              <w:rPr>
                <w:spacing w:val="-1"/>
              </w:rPr>
              <w:t>种植主要技术措施标准如下：</w:t>
            </w:r>
          </w:p>
          <w:p w14:paraId="22093542">
            <w:pPr>
              <w:pStyle w:val="9"/>
              <w:spacing w:before="174" w:line="288" w:lineRule="auto"/>
              <w:ind w:left="107" w:right="102" w:firstLine="480"/>
            </w:pPr>
            <w:r>
              <w:rPr>
                <w:spacing w:val="-3"/>
              </w:rPr>
              <w:t>草本：种植披碱草，条播、撒播，播量为</w:t>
            </w:r>
            <w:r>
              <w:rPr>
                <w:spacing w:val="-43"/>
              </w:rPr>
              <w:t xml:space="preserve"> </w:t>
            </w:r>
            <w:r>
              <w:rPr>
                <w:rFonts w:ascii="Times New Roman" w:hAnsi="Times New Roman" w:eastAsia="Times New Roman" w:cs="Times New Roman"/>
                <w:spacing w:val="-3"/>
              </w:rPr>
              <w:t>50kg/hm</w:t>
            </w:r>
            <w:r>
              <w:rPr>
                <w:rFonts w:ascii="Times New Roman" w:hAnsi="Times New Roman" w:eastAsia="Times New Roman" w:cs="Times New Roman"/>
                <w:spacing w:val="-3"/>
                <w:position w:val="7"/>
                <w:sz w:val="15"/>
                <w:szCs w:val="15"/>
              </w:rPr>
              <w:t>2</w:t>
            </w:r>
            <w:r>
              <w:rPr>
                <w:rFonts w:ascii="Times New Roman" w:hAnsi="Times New Roman" w:eastAsia="Times New Roman" w:cs="Times New Roman"/>
                <w:spacing w:val="-10"/>
                <w:position w:val="7"/>
                <w:sz w:val="15"/>
                <w:szCs w:val="15"/>
              </w:rPr>
              <w:t xml:space="preserve"> </w:t>
            </w:r>
            <w:r>
              <w:rPr>
                <w:spacing w:val="-3"/>
              </w:rPr>
              <w:t>，播后轻微压实，可适当施肥</w:t>
            </w:r>
            <w:r>
              <w:rPr>
                <w:spacing w:val="-2"/>
              </w:rPr>
              <w:t>提高成活率。</w:t>
            </w:r>
          </w:p>
        </w:tc>
      </w:tr>
    </w:tbl>
    <w:p w14:paraId="236A23D5">
      <w:pPr>
        <w:pStyle w:val="3"/>
      </w:pPr>
    </w:p>
    <w:p w14:paraId="37E74AE0">
      <w:pPr>
        <w:sectPr>
          <w:footerReference r:id="rId75" w:type="default"/>
          <w:pgSz w:w="11907" w:h="16840"/>
          <w:pgMar w:top="1431" w:right="1164" w:bottom="1295" w:left="1163" w:header="0" w:footer="1133" w:gutter="0"/>
          <w:cols w:space="720" w:num="1"/>
        </w:sectPr>
      </w:pPr>
    </w:p>
    <w:p w14:paraId="3053B3A6">
      <w:pPr>
        <w:spacing w:line="89" w:lineRule="auto"/>
        <w:rPr>
          <w:rFonts w:ascii="Arial"/>
          <w:sz w:val="2"/>
        </w:rPr>
      </w:pPr>
    </w:p>
    <w:tbl>
      <w:tblPr>
        <w:tblStyle w:val="8"/>
        <w:tblW w:w="95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5"/>
        <w:gridCol w:w="112"/>
        <w:gridCol w:w="743"/>
        <w:gridCol w:w="881"/>
        <w:gridCol w:w="1014"/>
        <w:gridCol w:w="1205"/>
        <w:gridCol w:w="982"/>
        <w:gridCol w:w="1308"/>
        <w:gridCol w:w="809"/>
        <w:gridCol w:w="941"/>
        <w:gridCol w:w="942"/>
        <w:gridCol w:w="122"/>
      </w:tblGrid>
      <w:tr w14:paraId="1E352E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33" w:hRule="atLeast"/>
        </w:trPr>
        <w:tc>
          <w:tcPr>
            <w:tcW w:w="505" w:type="dxa"/>
            <w:vMerge w:val="restart"/>
            <w:tcBorders>
              <w:top w:val="single" w:color="000000" w:sz="6" w:space="0"/>
              <w:left w:val="single" w:color="000000" w:sz="6" w:space="0"/>
              <w:bottom w:val="nil"/>
            </w:tcBorders>
            <w:vAlign w:val="top"/>
          </w:tcPr>
          <w:p w14:paraId="62167EBB">
            <w:pPr>
              <w:rPr>
                <w:rFonts w:ascii="Arial"/>
                <w:sz w:val="21"/>
              </w:rPr>
            </w:pPr>
          </w:p>
        </w:tc>
        <w:tc>
          <w:tcPr>
            <w:tcW w:w="9059" w:type="dxa"/>
            <w:gridSpan w:val="11"/>
            <w:tcBorders>
              <w:top w:val="single" w:color="000000" w:sz="6" w:space="0"/>
              <w:right w:val="single" w:color="000000" w:sz="6" w:space="0"/>
            </w:tcBorders>
            <w:vAlign w:val="top"/>
          </w:tcPr>
          <w:p w14:paraId="3D52596C">
            <w:pPr>
              <w:spacing w:before="4" w:line="6381" w:lineRule="exact"/>
              <w:ind w:firstLine="1672"/>
            </w:pPr>
            <w:r>
              <w:rPr>
                <w:position w:val="-127"/>
              </w:rPr>
              <w:drawing>
                <wp:inline distT="0" distB="0" distL="0" distR="0">
                  <wp:extent cx="3924300" cy="4051935"/>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255"/>
                          <a:stretch>
                            <a:fillRect/>
                          </a:stretch>
                        </pic:blipFill>
                        <pic:spPr>
                          <a:xfrm>
                            <a:off x="0" y="0"/>
                            <a:ext cx="3924300" cy="4052315"/>
                          </a:xfrm>
                          <a:prstGeom prst="rect">
                            <a:avLst/>
                          </a:prstGeom>
                        </pic:spPr>
                      </pic:pic>
                    </a:graphicData>
                  </a:graphic>
                </wp:inline>
              </w:drawing>
            </w:r>
          </w:p>
          <w:p w14:paraId="22382440">
            <w:pPr>
              <w:pStyle w:val="9"/>
              <w:spacing w:before="174" w:line="219" w:lineRule="auto"/>
              <w:ind w:left="2556"/>
            </w:pPr>
            <w:r>
              <w:rPr>
                <w:b/>
                <w:bCs/>
                <w:spacing w:val="-3"/>
              </w:rPr>
              <w:t>图</w:t>
            </w:r>
            <w:r>
              <w:rPr>
                <w:spacing w:val="-52"/>
              </w:rPr>
              <w:t xml:space="preserve"> </w:t>
            </w:r>
            <w:r>
              <w:rPr>
                <w:rFonts w:ascii="Times New Roman" w:hAnsi="Times New Roman" w:eastAsia="Times New Roman" w:cs="Times New Roman"/>
                <w:b/>
                <w:bCs/>
                <w:spacing w:val="-3"/>
              </w:rPr>
              <w:t xml:space="preserve">5-1    </w:t>
            </w:r>
            <w:r>
              <w:rPr>
                <w:b/>
                <w:bCs/>
                <w:spacing w:val="-3"/>
              </w:rPr>
              <w:t>临时施工用地植被恢复措施示意图</w:t>
            </w:r>
          </w:p>
          <w:p w14:paraId="1A75CC5E">
            <w:pPr>
              <w:pStyle w:val="9"/>
              <w:spacing w:before="315" w:line="217" w:lineRule="auto"/>
              <w:ind w:left="585"/>
            </w:pPr>
            <w:r>
              <w:rPr>
                <w:spacing w:val="-1"/>
              </w:rPr>
              <w:t>④临时占地恢复情况</w:t>
            </w:r>
          </w:p>
          <w:p w14:paraId="6F4E4D63">
            <w:pPr>
              <w:pStyle w:val="9"/>
              <w:spacing w:before="187" w:line="362" w:lineRule="auto"/>
              <w:ind w:left="107" w:right="22" w:firstLine="479"/>
            </w:pPr>
            <w:r>
              <w:rPr>
                <w:spacing w:val="-1"/>
              </w:rPr>
              <w:t>根据《环境影响评价技术导则 输变电》（</w:t>
            </w:r>
            <w:r>
              <w:rPr>
                <w:rFonts w:ascii="Times New Roman" w:hAnsi="Times New Roman" w:eastAsia="Times New Roman" w:cs="Times New Roman"/>
                <w:spacing w:val="-1"/>
              </w:rPr>
              <w:t>HJ24-2020</w:t>
            </w:r>
            <w:r>
              <w:rPr>
                <w:spacing w:val="4"/>
              </w:rPr>
              <w:t>），</w:t>
            </w:r>
            <w:r>
              <w:rPr>
                <w:spacing w:val="-1"/>
              </w:rPr>
              <w:t>输变电建设项目生态环</w:t>
            </w:r>
            <w:r>
              <w:rPr>
                <w:spacing w:val="-3"/>
              </w:rPr>
              <w:t>境影响主要考虑施工期。本项目于</w:t>
            </w:r>
            <w:r>
              <w:rPr>
                <w:spacing w:val="-55"/>
              </w:rPr>
              <w:t xml:space="preserve"> </w:t>
            </w:r>
            <w:r>
              <w:rPr>
                <w:rFonts w:ascii="Times New Roman" w:hAnsi="Times New Roman" w:eastAsia="Times New Roman" w:cs="Times New Roman"/>
                <w:spacing w:val="-3"/>
              </w:rPr>
              <w:t xml:space="preserve">2012 </w:t>
            </w:r>
            <w:r>
              <w:rPr>
                <w:spacing w:val="-3"/>
              </w:rPr>
              <w:t>年开工建设，</w:t>
            </w:r>
            <w:r>
              <w:rPr>
                <w:rFonts w:ascii="Times New Roman" w:hAnsi="Times New Roman" w:eastAsia="Times New Roman" w:cs="Times New Roman"/>
                <w:spacing w:val="-3"/>
              </w:rPr>
              <w:t xml:space="preserve">2023 </w:t>
            </w:r>
            <w:r>
              <w:rPr>
                <w:spacing w:val="-3"/>
              </w:rPr>
              <w:t>年</w:t>
            </w:r>
            <w:r>
              <w:rPr>
                <w:spacing w:val="-32"/>
              </w:rPr>
              <w:t xml:space="preserve"> </w:t>
            </w:r>
            <w:r>
              <w:rPr>
                <w:rFonts w:ascii="Times New Roman" w:hAnsi="Times New Roman" w:eastAsia="Times New Roman" w:cs="Times New Roman"/>
                <w:spacing w:val="-3"/>
              </w:rPr>
              <w:t xml:space="preserve">11 </w:t>
            </w:r>
            <w:r>
              <w:rPr>
                <w:spacing w:val="-3"/>
              </w:rPr>
              <w:t>月完工投运</w:t>
            </w:r>
            <w:r>
              <w:rPr>
                <w:spacing w:val="-4"/>
              </w:rPr>
              <w:t>，施工期</w:t>
            </w:r>
            <w:r>
              <w:rPr>
                <w:spacing w:val="-5"/>
              </w:rPr>
              <w:t>已结束，相应污染也已消失，经现场踏勘，项目施工营地</w:t>
            </w:r>
            <w:r>
              <w:rPr>
                <w:spacing w:val="-6"/>
              </w:rPr>
              <w:t>植被目前已恢复至原有水平。</w:t>
            </w:r>
          </w:p>
          <w:p w14:paraId="185A6296">
            <w:pPr>
              <w:pStyle w:val="9"/>
              <w:spacing w:line="216" w:lineRule="auto"/>
              <w:ind w:left="2954"/>
            </w:pPr>
            <w:r>
              <w:rPr>
                <w:b/>
                <w:bCs/>
                <w:spacing w:val="-2"/>
              </w:rPr>
              <w:t>表</w:t>
            </w:r>
            <w:r>
              <w:rPr>
                <w:spacing w:val="-49"/>
              </w:rPr>
              <w:t xml:space="preserve"> </w:t>
            </w:r>
            <w:r>
              <w:rPr>
                <w:rFonts w:ascii="Times New Roman" w:hAnsi="Times New Roman" w:eastAsia="Times New Roman" w:cs="Times New Roman"/>
                <w:b/>
                <w:bCs/>
                <w:spacing w:val="-2"/>
              </w:rPr>
              <w:t xml:space="preserve">5-1      </w:t>
            </w:r>
            <w:r>
              <w:rPr>
                <w:b/>
                <w:bCs/>
                <w:spacing w:val="-2"/>
              </w:rPr>
              <w:t>临时占地恢复情况一览表</w:t>
            </w:r>
          </w:p>
        </w:tc>
      </w:tr>
      <w:tr w14:paraId="0CF669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505" w:type="dxa"/>
            <w:vMerge w:val="continue"/>
            <w:tcBorders>
              <w:top w:val="nil"/>
              <w:left w:val="single" w:color="000000" w:sz="6" w:space="0"/>
              <w:bottom w:val="nil"/>
            </w:tcBorders>
            <w:vAlign w:val="top"/>
          </w:tcPr>
          <w:p w14:paraId="58FF1A4D">
            <w:pPr>
              <w:rPr>
                <w:rFonts w:ascii="Arial"/>
                <w:sz w:val="21"/>
              </w:rPr>
            </w:pPr>
          </w:p>
        </w:tc>
        <w:tc>
          <w:tcPr>
            <w:tcW w:w="112" w:type="dxa"/>
            <w:tcBorders>
              <w:top w:val="nil"/>
              <w:bottom w:val="nil"/>
            </w:tcBorders>
            <w:vAlign w:val="top"/>
          </w:tcPr>
          <w:p w14:paraId="7BA72DB9">
            <w:pPr>
              <w:rPr>
                <w:rFonts w:ascii="Arial"/>
                <w:sz w:val="21"/>
              </w:rPr>
            </w:pPr>
          </w:p>
        </w:tc>
        <w:tc>
          <w:tcPr>
            <w:tcW w:w="743" w:type="dxa"/>
            <w:vAlign w:val="top"/>
          </w:tcPr>
          <w:p w14:paraId="5FE81635">
            <w:pPr>
              <w:pStyle w:val="9"/>
              <w:spacing w:before="174" w:line="256" w:lineRule="auto"/>
              <w:ind w:left="264" w:right="61" w:hanging="209"/>
              <w:rPr>
                <w:sz w:val="20"/>
                <w:szCs w:val="20"/>
              </w:rPr>
            </w:pPr>
            <w:r>
              <w:rPr>
                <w:spacing w:val="7"/>
                <w:sz w:val="20"/>
                <w:szCs w:val="20"/>
              </w:rPr>
              <w:t>施工场</w:t>
            </w:r>
            <w:r>
              <w:rPr>
                <w:sz w:val="20"/>
                <w:szCs w:val="20"/>
              </w:rPr>
              <w:t>地</w:t>
            </w:r>
          </w:p>
        </w:tc>
        <w:tc>
          <w:tcPr>
            <w:tcW w:w="881" w:type="dxa"/>
            <w:vAlign w:val="top"/>
          </w:tcPr>
          <w:p w14:paraId="4A71E6C6">
            <w:pPr>
              <w:spacing w:line="244" w:lineRule="auto"/>
              <w:rPr>
                <w:rFonts w:ascii="Arial"/>
                <w:sz w:val="21"/>
              </w:rPr>
            </w:pPr>
          </w:p>
          <w:p w14:paraId="1384DF48">
            <w:pPr>
              <w:pStyle w:val="9"/>
              <w:spacing w:before="65" w:line="228" w:lineRule="auto"/>
              <w:ind w:left="21"/>
              <w:rPr>
                <w:sz w:val="20"/>
                <w:szCs w:val="20"/>
              </w:rPr>
            </w:pPr>
            <w:r>
              <w:rPr>
                <w:spacing w:val="7"/>
                <w:sz w:val="20"/>
                <w:szCs w:val="20"/>
              </w:rPr>
              <w:t>扰动面积</w:t>
            </w:r>
          </w:p>
        </w:tc>
        <w:tc>
          <w:tcPr>
            <w:tcW w:w="1014" w:type="dxa"/>
            <w:vAlign w:val="top"/>
          </w:tcPr>
          <w:p w14:paraId="3CBA2076">
            <w:pPr>
              <w:spacing w:line="243" w:lineRule="auto"/>
              <w:rPr>
                <w:rFonts w:ascii="Arial"/>
                <w:sz w:val="21"/>
              </w:rPr>
            </w:pPr>
          </w:p>
          <w:p w14:paraId="23E295F4">
            <w:pPr>
              <w:pStyle w:val="9"/>
              <w:spacing w:before="65" w:line="228" w:lineRule="auto"/>
              <w:ind w:left="122"/>
              <w:rPr>
                <w:sz w:val="20"/>
                <w:szCs w:val="20"/>
              </w:rPr>
            </w:pPr>
            <w:r>
              <w:rPr>
                <w:spacing w:val="-2"/>
                <w:sz w:val="20"/>
                <w:szCs w:val="20"/>
              </w:rPr>
              <w:t>占地类型</w:t>
            </w:r>
          </w:p>
        </w:tc>
        <w:tc>
          <w:tcPr>
            <w:tcW w:w="1205" w:type="dxa"/>
            <w:vAlign w:val="top"/>
          </w:tcPr>
          <w:p w14:paraId="38820E4F">
            <w:pPr>
              <w:pStyle w:val="9"/>
              <w:spacing w:before="174" w:line="253" w:lineRule="auto"/>
              <w:ind w:left="498" w:right="79" w:hanging="396"/>
              <w:rPr>
                <w:sz w:val="20"/>
                <w:szCs w:val="20"/>
              </w:rPr>
            </w:pPr>
            <w:r>
              <w:rPr>
                <w:spacing w:val="3"/>
                <w:sz w:val="20"/>
                <w:szCs w:val="20"/>
              </w:rPr>
              <w:t>已采取的措</w:t>
            </w:r>
            <w:r>
              <w:rPr>
                <w:spacing w:val="1"/>
                <w:sz w:val="20"/>
                <w:szCs w:val="20"/>
              </w:rPr>
              <w:t>施</w:t>
            </w:r>
          </w:p>
        </w:tc>
        <w:tc>
          <w:tcPr>
            <w:tcW w:w="982" w:type="dxa"/>
            <w:vAlign w:val="top"/>
          </w:tcPr>
          <w:p w14:paraId="7FE217FE">
            <w:pPr>
              <w:pStyle w:val="9"/>
              <w:spacing w:before="174" w:line="252" w:lineRule="auto"/>
              <w:ind w:left="285" w:right="70" w:hanging="207"/>
              <w:rPr>
                <w:sz w:val="20"/>
                <w:szCs w:val="20"/>
              </w:rPr>
            </w:pPr>
            <w:r>
              <w:rPr>
                <w:spacing w:val="6"/>
                <w:sz w:val="20"/>
                <w:szCs w:val="20"/>
              </w:rPr>
              <w:t>现状植被</w:t>
            </w:r>
            <w:r>
              <w:rPr>
                <w:spacing w:val="4"/>
                <w:sz w:val="20"/>
                <w:szCs w:val="20"/>
              </w:rPr>
              <w:t>情况</w:t>
            </w:r>
          </w:p>
        </w:tc>
        <w:tc>
          <w:tcPr>
            <w:tcW w:w="1308" w:type="dxa"/>
            <w:vAlign w:val="top"/>
          </w:tcPr>
          <w:p w14:paraId="7076D995">
            <w:pPr>
              <w:spacing w:line="244" w:lineRule="auto"/>
              <w:rPr>
                <w:rFonts w:ascii="Arial"/>
                <w:sz w:val="21"/>
              </w:rPr>
            </w:pPr>
          </w:p>
          <w:p w14:paraId="3DED9A23">
            <w:pPr>
              <w:pStyle w:val="9"/>
              <w:spacing w:before="65" w:line="228" w:lineRule="auto"/>
              <w:ind w:left="242"/>
              <w:rPr>
                <w:sz w:val="20"/>
                <w:szCs w:val="20"/>
              </w:rPr>
            </w:pPr>
            <w:r>
              <w:rPr>
                <w:spacing w:val="7"/>
                <w:sz w:val="20"/>
                <w:szCs w:val="20"/>
              </w:rPr>
              <w:t>影响情况</w:t>
            </w:r>
          </w:p>
        </w:tc>
        <w:tc>
          <w:tcPr>
            <w:tcW w:w="809" w:type="dxa"/>
            <w:vAlign w:val="top"/>
          </w:tcPr>
          <w:p w14:paraId="1EC253AC">
            <w:pPr>
              <w:pStyle w:val="9"/>
              <w:spacing w:before="37" w:line="228" w:lineRule="auto"/>
              <w:ind w:left="101"/>
              <w:rPr>
                <w:sz w:val="20"/>
                <w:szCs w:val="20"/>
              </w:rPr>
            </w:pPr>
            <w:r>
              <w:rPr>
                <w:spacing w:val="6"/>
                <w:sz w:val="20"/>
                <w:szCs w:val="20"/>
              </w:rPr>
              <w:t>须进一</w:t>
            </w:r>
          </w:p>
          <w:p w14:paraId="71CF634E">
            <w:pPr>
              <w:pStyle w:val="9"/>
              <w:spacing w:before="26" w:line="227" w:lineRule="auto"/>
              <w:ind w:left="100"/>
              <w:rPr>
                <w:sz w:val="20"/>
                <w:szCs w:val="20"/>
              </w:rPr>
            </w:pPr>
            <w:r>
              <w:rPr>
                <w:spacing w:val="6"/>
                <w:sz w:val="20"/>
                <w:szCs w:val="20"/>
              </w:rPr>
              <w:t>步采取</w:t>
            </w:r>
          </w:p>
          <w:p w14:paraId="51CDA45C">
            <w:pPr>
              <w:pStyle w:val="9"/>
              <w:spacing w:before="25" w:line="207" w:lineRule="auto"/>
              <w:ind w:left="115"/>
              <w:rPr>
                <w:sz w:val="20"/>
                <w:szCs w:val="20"/>
              </w:rPr>
            </w:pPr>
            <w:r>
              <w:rPr>
                <w:spacing w:val="1"/>
                <w:sz w:val="20"/>
                <w:szCs w:val="20"/>
              </w:rPr>
              <w:t>的措施</w:t>
            </w:r>
          </w:p>
        </w:tc>
        <w:tc>
          <w:tcPr>
            <w:tcW w:w="941" w:type="dxa"/>
            <w:vAlign w:val="top"/>
          </w:tcPr>
          <w:p w14:paraId="7F46E4C2">
            <w:pPr>
              <w:spacing w:line="244" w:lineRule="auto"/>
              <w:rPr>
                <w:rFonts w:ascii="Arial"/>
                <w:sz w:val="21"/>
              </w:rPr>
            </w:pPr>
          </w:p>
          <w:p w14:paraId="7917F0FF">
            <w:pPr>
              <w:pStyle w:val="9"/>
              <w:spacing w:before="65" w:line="229" w:lineRule="auto"/>
              <w:ind w:left="270"/>
              <w:rPr>
                <w:sz w:val="20"/>
                <w:szCs w:val="20"/>
              </w:rPr>
            </w:pPr>
            <w:r>
              <w:rPr>
                <w:spacing w:val="4"/>
                <w:sz w:val="20"/>
                <w:szCs w:val="20"/>
              </w:rPr>
              <w:t>位置</w:t>
            </w:r>
          </w:p>
        </w:tc>
        <w:tc>
          <w:tcPr>
            <w:tcW w:w="942" w:type="dxa"/>
            <w:vAlign w:val="top"/>
          </w:tcPr>
          <w:p w14:paraId="45F32BEA">
            <w:pPr>
              <w:spacing w:line="244" w:lineRule="auto"/>
              <w:rPr>
                <w:rFonts w:ascii="Arial"/>
                <w:sz w:val="21"/>
              </w:rPr>
            </w:pPr>
          </w:p>
          <w:p w14:paraId="4D52F6BF">
            <w:pPr>
              <w:pStyle w:val="9"/>
              <w:spacing w:before="65" w:line="228" w:lineRule="auto"/>
              <w:ind w:left="63"/>
              <w:rPr>
                <w:sz w:val="20"/>
                <w:szCs w:val="20"/>
              </w:rPr>
            </w:pPr>
            <w:r>
              <w:rPr>
                <w:spacing w:val="6"/>
                <w:sz w:val="20"/>
                <w:szCs w:val="20"/>
              </w:rPr>
              <w:t>恢复时间</w:t>
            </w:r>
          </w:p>
        </w:tc>
        <w:tc>
          <w:tcPr>
            <w:tcW w:w="122" w:type="dxa"/>
            <w:tcBorders>
              <w:top w:val="nil"/>
              <w:bottom w:val="nil"/>
              <w:right w:val="single" w:color="000000" w:sz="6" w:space="0"/>
            </w:tcBorders>
            <w:vAlign w:val="top"/>
          </w:tcPr>
          <w:p w14:paraId="46477004">
            <w:pPr>
              <w:rPr>
                <w:rFonts w:ascii="Arial"/>
                <w:sz w:val="21"/>
              </w:rPr>
            </w:pPr>
          </w:p>
        </w:tc>
      </w:tr>
      <w:tr w14:paraId="6406DE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5" w:hRule="atLeast"/>
        </w:trPr>
        <w:tc>
          <w:tcPr>
            <w:tcW w:w="505" w:type="dxa"/>
            <w:vMerge w:val="continue"/>
            <w:tcBorders>
              <w:top w:val="nil"/>
              <w:left w:val="single" w:color="000000" w:sz="6" w:space="0"/>
              <w:bottom w:val="nil"/>
            </w:tcBorders>
            <w:vAlign w:val="top"/>
          </w:tcPr>
          <w:p w14:paraId="5B6728AE">
            <w:pPr>
              <w:rPr>
                <w:rFonts w:ascii="Arial"/>
                <w:sz w:val="21"/>
              </w:rPr>
            </w:pPr>
          </w:p>
        </w:tc>
        <w:tc>
          <w:tcPr>
            <w:tcW w:w="112" w:type="dxa"/>
            <w:tcBorders>
              <w:top w:val="nil"/>
              <w:bottom w:val="nil"/>
            </w:tcBorders>
            <w:vAlign w:val="top"/>
          </w:tcPr>
          <w:p w14:paraId="10D317E1">
            <w:pPr>
              <w:rPr>
                <w:rFonts w:ascii="Arial"/>
                <w:sz w:val="21"/>
              </w:rPr>
            </w:pPr>
          </w:p>
        </w:tc>
        <w:tc>
          <w:tcPr>
            <w:tcW w:w="743" w:type="dxa"/>
            <w:vAlign w:val="top"/>
          </w:tcPr>
          <w:p w14:paraId="2F7814B7">
            <w:pPr>
              <w:spacing w:line="381" w:lineRule="auto"/>
              <w:rPr>
                <w:rFonts w:ascii="Arial"/>
                <w:sz w:val="21"/>
              </w:rPr>
            </w:pPr>
          </w:p>
          <w:p w14:paraId="40D8D0BA">
            <w:pPr>
              <w:pStyle w:val="9"/>
              <w:spacing w:before="65" w:line="259" w:lineRule="auto"/>
              <w:ind w:left="264" w:right="61" w:hanging="209"/>
              <w:rPr>
                <w:sz w:val="20"/>
                <w:szCs w:val="20"/>
              </w:rPr>
            </w:pPr>
            <w:r>
              <w:rPr>
                <w:spacing w:val="7"/>
                <w:sz w:val="20"/>
                <w:szCs w:val="20"/>
              </w:rPr>
              <w:t>施工营</w:t>
            </w:r>
            <w:r>
              <w:rPr>
                <w:sz w:val="20"/>
                <w:szCs w:val="20"/>
              </w:rPr>
              <w:t>地</w:t>
            </w:r>
          </w:p>
        </w:tc>
        <w:tc>
          <w:tcPr>
            <w:tcW w:w="881" w:type="dxa"/>
            <w:vAlign w:val="top"/>
          </w:tcPr>
          <w:p w14:paraId="34842812">
            <w:pPr>
              <w:spacing w:line="270" w:lineRule="auto"/>
              <w:rPr>
                <w:rFonts w:ascii="Arial"/>
                <w:sz w:val="21"/>
              </w:rPr>
            </w:pPr>
          </w:p>
          <w:p w14:paraId="207562EE">
            <w:pPr>
              <w:spacing w:line="271" w:lineRule="auto"/>
              <w:rPr>
                <w:rFonts w:ascii="Arial"/>
                <w:sz w:val="21"/>
              </w:rPr>
            </w:pPr>
          </w:p>
          <w:p w14:paraId="75CC292D">
            <w:pPr>
              <w:spacing w:before="58" w:line="216" w:lineRule="auto"/>
              <w:ind w:left="116"/>
              <w:rPr>
                <w:rFonts w:ascii="Times New Roman" w:hAnsi="Times New Roman" w:eastAsia="Times New Roman" w:cs="Times New Roman"/>
                <w:sz w:val="13"/>
                <w:szCs w:val="13"/>
              </w:rPr>
            </w:pPr>
            <w:r>
              <w:rPr>
                <w:rFonts w:ascii="Times New Roman" w:hAnsi="Times New Roman" w:eastAsia="Times New Roman" w:cs="Times New Roman"/>
                <w:spacing w:val="3"/>
                <w:sz w:val="20"/>
                <w:szCs w:val="20"/>
              </w:rPr>
              <w:t>5000m</w:t>
            </w:r>
            <w:r>
              <w:rPr>
                <w:rFonts w:ascii="Times New Roman" w:hAnsi="Times New Roman" w:eastAsia="Times New Roman" w:cs="Times New Roman"/>
                <w:spacing w:val="3"/>
                <w:position w:val="6"/>
                <w:sz w:val="13"/>
                <w:szCs w:val="13"/>
              </w:rPr>
              <w:t>2</w:t>
            </w:r>
          </w:p>
        </w:tc>
        <w:tc>
          <w:tcPr>
            <w:tcW w:w="1014" w:type="dxa"/>
            <w:vAlign w:val="top"/>
          </w:tcPr>
          <w:p w14:paraId="075A0DB0">
            <w:pPr>
              <w:spacing w:line="381" w:lineRule="auto"/>
              <w:rPr>
                <w:rFonts w:ascii="Arial"/>
                <w:sz w:val="21"/>
              </w:rPr>
            </w:pPr>
          </w:p>
          <w:p w14:paraId="72D690AC">
            <w:pPr>
              <w:pStyle w:val="9"/>
              <w:spacing w:before="65" w:line="259" w:lineRule="auto"/>
              <w:ind w:left="402" w:right="91" w:hanging="310"/>
              <w:rPr>
                <w:sz w:val="20"/>
                <w:szCs w:val="20"/>
              </w:rPr>
            </w:pPr>
            <w:r>
              <w:rPr>
                <w:spacing w:val="6"/>
                <w:sz w:val="20"/>
                <w:szCs w:val="20"/>
              </w:rPr>
              <w:t>天然牧草</w:t>
            </w:r>
            <w:r>
              <w:rPr>
                <w:sz w:val="20"/>
                <w:szCs w:val="20"/>
              </w:rPr>
              <w:t>地</w:t>
            </w:r>
          </w:p>
        </w:tc>
        <w:tc>
          <w:tcPr>
            <w:tcW w:w="1205" w:type="dxa"/>
            <w:vAlign w:val="top"/>
          </w:tcPr>
          <w:p w14:paraId="54AEF063">
            <w:pPr>
              <w:spacing w:line="246" w:lineRule="auto"/>
              <w:rPr>
                <w:rFonts w:ascii="Arial"/>
                <w:sz w:val="21"/>
              </w:rPr>
            </w:pPr>
          </w:p>
          <w:p w14:paraId="5F247966">
            <w:pPr>
              <w:pStyle w:val="9"/>
              <w:spacing w:before="65" w:line="228" w:lineRule="auto"/>
              <w:ind w:left="4"/>
              <w:rPr>
                <w:sz w:val="20"/>
                <w:szCs w:val="20"/>
              </w:rPr>
            </w:pPr>
            <w:r>
              <w:rPr>
                <w:spacing w:val="-2"/>
                <w:sz w:val="20"/>
                <w:szCs w:val="20"/>
              </w:rPr>
              <w:t>撒播草籽、人</w:t>
            </w:r>
          </w:p>
          <w:p w14:paraId="6D20EBED">
            <w:pPr>
              <w:pStyle w:val="9"/>
              <w:spacing w:before="24" w:line="228" w:lineRule="auto"/>
              <w:ind w:left="82"/>
              <w:rPr>
                <w:sz w:val="20"/>
                <w:szCs w:val="20"/>
              </w:rPr>
            </w:pPr>
            <w:r>
              <w:rPr>
                <w:spacing w:val="7"/>
                <w:sz w:val="20"/>
                <w:szCs w:val="20"/>
              </w:rPr>
              <w:t>工抚育及自</w:t>
            </w:r>
          </w:p>
          <w:p w14:paraId="5DB451AB">
            <w:pPr>
              <w:pStyle w:val="9"/>
              <w:spacing w:before="27" w:line="228" w:lineRule="auto"/>
              <w:ind w:left="291"/>
              <w:rPr>
                <w:sz w:val="20"/>
                <w:szCs w:val="20"/>
              </w:rPr>
            </w:pPr>
            <w:r>
              <w:rPr>
                <w:spacing w:val="6"/>
                <w:sz w:val="20"/>
                <w:szCs w:val="20"/>
              </w:rPr>
              <w:t>然恢复</w:t>
            </w:r>
          </w:p>
        </w:tc>
        <w:tc>
          <w:tcPr>
            <w:tcW w:w="982" w:type="dxa"/>
            <w:vAlign w:val="top"/>
          </w:tcPr>
          <w:p w14:paraId="35488B88">
            <w:pPr>
              <w:spacing w:line="246" w:lineRule="auto"/>
              <w:rPr>
                <w:rFonts w:ascii="Arial"/>
                <w:sz w:val="21"/>
              </w:rPr>
            </w:pPr>
          </w:p>
          <w:p w14:paraId="291439BC">
            <w:pPr>
              <w:pStyle w:val="9"/>
              <w:spacing w:before="65" w:line="228" w:lineRule="auto"/>
              <w:jc w:val="right"/>
              <w:rPr>
                <w:sz w:val="20"/>
                <w:szCs w:val="20"/>
              </w:rPr>
            </w:pPr>
            <w:r>
              <w:rPr>
                <w:spacing w:val="-7"/>
                <w:sz w:val="20"/>
                <w:szCs w:val="20"/>
              </w:rPr>
              <w:t>披碱草，盖</w:t>
            </w:r>
          </w:p>
          <w:p w14:paraId="35B36C6D">
            <w:pPr>
              <w:pStyle w:val="9"/>
              <w:spacing w:before="24" w:line="228" w:lineRule="auto"/>
              <w:ind w:left="66"/>
              <w:rPr>
                <w:sz w:val="20"/>
                <w:szCs w:val="20"/>
              </w:rPr>
            </w:pPr>
            <w:r>
              <w:rPr>
                <w:spacing w:val="4"/>
                <w:sz w:val="20"/>
                <w:szCs w:val="20"/>
              </w:rPr>
              <w:t>度</w:t>
            </w:r>
            <w:r>
              <w:rPr>
                <w:spacing w:val="-38"/>
                <w:sz w:val="20"/>
                <w:szCs w:val="20"/>
              </w:rPr>
              <w:t xml:space="preserve"> </w:t>
            </w:r>
            <w:r>
              <w:rPr>
                <w:rFonts w:ascii="Times New Roman" w:hAnsi="Times New Roman" w:eastAsia="Times New Roman" w:cs="Times New Roman"/>
                <w:spacing w:val="4"/>
                <w:sz w:val="20"/>
                <w:szCs w:val="20"/>
              </w:rPr>
              <w:t>70%</w:t>
            </w:r>
            <w:r>
              <w:rPr>
                <w:spacing w:val="4"/>
                <w:sz w:val="20"/>
                <w:szCs w:val="20"/>
              </w:rPr>
              <w:t>以</w:t>
            </w:r>
          </w:p>
          <w:p w14:paraId="2CDB94A3">
            <w:pPr>
              <w:pStyle w:val="9"/>
              <w:spacing w:before="25" w:line="241" w:lineRule="auto"/>
              <w:ind w:left="393"/>
              <w:rPr>
                <w:sz w:val="20"/>
                <w:szCs w:val="20"/>
              </w:rPr>
            </w:pPr>
            <w:r>
              <w:rPr>
                <w:sz w:val="20"/>
                <w:szCs w:val="20"/>
              </w:rPr>
              <w:t>上</w:t>
            </w:r>
          </w:p>
        </w:tc>
        <w:tc>
          <w:tcPr>
            <w:tcW w:w="1308" w:type="dxa"/>
            <w:vAlign w:val="top"/>
          </w:tcPr>
          <w:p w14:paraId="1A730AD2">
            <w:pPr>
              <w:spacing w:line="246" w:lineRule="auto"/>
              <w:rPr>
                <w:rFonts w:ascii="Arial"/>
                <w:sz w:val="21"/>
              </w:rPr>
            </w:pPr>
          </w:p>
          <w:p w14:paraId="4E253276">
            <w:pPr>
              <w:pStyle w:val="9"/>
              <w:spacing w:before="65" w:line="228" w:lineRule="auto"/>
              <w:ind w:left="32"/>
              <w:rPr>
                <w:sz w:val="20"/>
                <w:szCs w:val="20"/>
              </w:rPr>
            </w:pPr>
            <w:r>
              <w:rPr>
                <w:spacing w:val="7"/>
                <w:sz w:val="20"/>
                <w:szCs w:val="20"/>
              </w:rPr>
              <w:t>无影响，已恢</w:t>
            </w:r>
          </w:p>
          <w:p w14:paraId="3D25F9A2">
            <w:pPr>
              <w:pStyle w:val="9"/>
              <w:spacing w:before="23" w:line="228" w:lineRule="auto"/>
              <w:ind w:left="36"/>
              <w:rPr>
                <w:sz w:val="20"/>
                <w:szCs w:val="20"/>
              </w:rPr>
            </w:pPr>
            <w:r>
              <w:rPr>
                <w:spacing w:val="7"/>
                <w:sz w:val="20"/>
                <w:szCs w:val="20"/>
              </w:rPr>
              <w:t>复为草地至自</w:t>
            </w:r>
          </w:p>
          <w:p w14:paraId="1A141327">
            <w:pPr>
              <w:pStyle w:val="9"/>
              <w:spacing w:before="26" w:line="228" w:lineRule="auto"/>
              <w:ind w:left="346"/>
              <w:rPr>
                <w:sz w:val="20"/>
                <w:szCs w:val="20"/>
              </w:rPr>
            </w:pPr>
            <w:r>
              <w:rPr>
                <w:spacing w:val="6"/>
                <w:sz w:val="20"/>
                <w:szCs w:val="20"/>
              </w:rPr>
              <w:t>然水平</w:t>
            </w:r>
          </w:p>
        </w:tc>
        <w:tc>
          <w:tcPr>
            <w:tcW w:w="809" w:type="dxa"/>
            <w:vAlign w:val="top"/>
          </w:tcPr>
          <w:p w14:paraId="43D46501">
            <w:pPr>
              <w:spacing w:line="278" w:lineRule="auto"/>
              <w:rPr>
                <w:rFonts w:ascii="Arial"/>
                <w:sz w:val="21"/>
              </w:rPr>
            </w:pPr>
          </w:p>
          <w:p w14:paraId="1D799078">
            <w:pPr>
              <w:spacing w:line="279" w:lineRule="auto"/>
              <w:rPr>
                <w:rFonts w:ascii="Arial"/>
                <w:sz w:val="21"/>
              </w:rPr>
            </w:pPr>
          </w:p>
          <w:p w14:paraId="0238E6EE">
            <w:pPr>
              <w:spacing w:before="58" w:line="199" w:lineRule="auto"/>
              <w:ind w:left="37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941" w:type="dxa"/>
            <w:vAlign w:val="top"/>
          </w:tcPr>
          <w:p w14:paraId="4DE23FE7">
            <w:pPr>
              <w:pStyle w:val="9"/>
              <w:spacing w:before="176" w:line="229" w:lineRule="auto"/>
              <w:ind w:left="59"/>
              <w:rPr>
                <w:sz w:val="20"/>
                <w:szCs w:val="20"/>
              </w:rPr>
            </w:pPr>
            <w:r>
              <w:rPr>
                <w:spacing w:val="7"/>
                <w:sz w:val="20"/>
                <w:szCs w:val="20"/>
              </w:rPr>
              <w:t>位于升压</w:t>
            </w:r>
          </w:p>
          <w:p w14:paraId="089C75FB">
            <w:pPr>
              <w:pStyle w:val="9"/>
              <w:spacing w:before="25" w:line="228" w:lineRule="auto"/>
              <w:ind w:left="60"/>
              <w:rPr>
                <w:sz w:val="20"/>
                <w:szCs w:val="20"/>
              </w:rPr>
            </w:pPr>
            <w:r>
              <w:rPr>
                <w:spacing w:val="4"/>
                <w:sz w:val="20"/>
                <w:szCs w:val="20"/>
              </w:rPr>
              <w:t>站南侧，</w:t>
            </w:r>
          </w:p>
          <w:p w14:paraId="14C6C8C2">
            <w:pPr>
              <w:pStyle w:val="9"/>
              <w:spacing w:before="25" w:line="254" w:lineRule="auto"/>
              <w:ind w:left="165" w:right="46" w:hanging="102"/>
              <w:rPr>
                <w:sz w:val="20"/>
                <w:szCs w:val="20"/>
              </w:rPr>
            </w:pPr>
            <w:r>
              <w:rPr>
                <w:spacing w:val="6"/>
                <w:sz w:val="20"/>
                <w:szCs w:val="20"/>
              </w:rPr>
              <w:t>不涉及生态红线</w:t>
            </w:r>
          </w:p>
        </w:tc>
        <w:tc>
          <w:tcPr>
            <w:tcW w:w="942" w:type="dxa"/>
            <w:vAlign w:val="top"/>
          </w:tcPr>
          <w:p w14:paraId="055F4EA6">
            <w:pPr>
              <w:spacing w:line="382" w:lineRule="auto"/>
              <w:rPr>
                <w:rFonts w:ascii="Arial"/>
                <w:sz w:val="21"/>
              </w:rPr>
            </w:pPr>
          </w:p>
          <w:p w14:paraId="304759F8">
            <w:pPr>
              <w:pStyle w:val="9"/>
              <w:spacing w:before="65" w:line="254" w:lineRule="auto"/>
              <w:ind w:left="381" w:hanging="371"/>
              <w:rPr>
                <w:sz w:val="20"/>
                <w:szCs w:val="20"/>
              </w:rPr>
            </w:pPr>
            <w:r>
              <w:rPr>
                <w:rFonts w:ascii="Times New Roman" w:hAnsi="Times New Roman" w:eastAsia="Times New Roman" w:cs="Times New Roman"/>
                <w:spacing w:val="-2"/>
                <w:sz w:val="20"/>
                <w:szCs w:val="20"/>
              </w:rPr>
              <w:t>2023</w:t>
            </w:r>
            <w:r>
              <w:rPr>
                <w:rFonts w:ascii="Times New Roman" w:hAnsi="Times New Roman" w:eastAsia="Times New Roman" w:cs="Times New Roman"/>
                <w:spacing w:val="13"/>
                <w:sz w:val="20"/>
                <w:szCs w:val="20"/>
              </w:rPr>
              <w:t xml:space="preserve"> </w:t>
            </w:r>
            <w:r>
              <w:rPr>
                <w:spacing w:val="-2"/>
                <w:sz w:val="20"/>
                <w:szCs w:val="20"/>
              </w:rPr>
              <w:t>年</w:t>
            </w:r>
            <w:r>
              <w:rPr>
                <w:spacing w:val="-24"/>
                <w:sz w:val="20"/>
                <w:szCs w:val="20"/>
              </w:rPr>
              <w:t xml:space="preserve"> </w:t>
            </w:r>
            <w:r>
              <w:rPr>
                <w:rFonts w:ascii="Times New Roman" w:hAnsi="Times New Roman" w:eastAsia="Times New Roman" w:cs="Times New Roman"/>
                <w:spacing w:val="-2"/>
                <w:sz w:val="20"/>
                <w:szCs w:val="20"/>
              </w:rPr>
              <w:t>11</w:t>
            </w:r>
            <w:r>
              <w:rPr>
                <w:sz w:val="20"/>
                <w:szCs w:val="20"/>
              </w:rPr>
              <w:t>月</w:t>
            </w:r>
          </w:p>
        </w:tc>
        <w:tc>
          <w:tcPr>
            <w:tcW w:w="122" w:type="dxa"/>
            <w:tcBorders>
              <w:top w:val="nil"/>
              <w:bottom w:val="nil"/>
              <w:right w:val="single" w:color="000000" w:sz="6" w:space="0"/>
            </w:tcBorders>
            <w:vAlign w:val="top"/>
          </w:tcPr>
          <w:p w14:paraId="2FE3F702">
            <w:pPr>
              <w:rPr>
                <w:rFonts w:ascii="Arial"/>
                <w:sz w:val="21"/>
              </w:rPr>
            </w:pPr>
          </w:p>
        </w:tc>
      </w:tr>
      <w:tr w14:paraId="374181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6" w:hRule="atLeast"/>
        </w:trPr>
        <w:tc>
          <w:tcPr>
            <w:tcW w:w="505" w:type="dxa"/>
            <w:vMerge w:val="continue"/>
            <w:tcBorders>
              <w:top w:val="nil"/>
              <w:left w:val="single" w:color="000000" w:sz="6" w:space="0"/>
              <w:bottom w:val="nil"/>
            </w:tcBorders>
            <w:vAlign w:val="top"/>
          </w:tcPr>
          <w:p w14:paraId="12AC3985">
            <w:pPr>
              <w:rPr>
                <w:rFonts w:ascii="Arial"/>
                <w:sz w:val="21"/>
              </w:rPr>
            </w:pPr>
          </w:p>
        </w:tc>
        <w:tc>
          <w:tcPr>
            <w:tcW w:w="112" w:type="dxa"/>
            <w:tcBorders>
              <w:top w:val="nil"/>
              <w:bottom w:val="nil"/>
            </w:tcBorders>
            <w:vAlign w:val="top"/>
          </w:tcPr>
          <w:p w14:paraId="2A8DCE00">
            <w:pPr>
              <w:rPr>
                <w:rFonts w:ascii="Arial"/>
                <w:sz w:val="21"/>
              </w:rPr>
            </w:pPr>
          </w:p>
        </w:tc>
        <w:tc>
          <w:tcPr>
            <w:tcW w:w="743" w:type="dxa"/>
            <w:vAlign w:val="top"/>
          </w:tcPr>
          <w:p w14:paraId="0BE3F665">
            <w:pPr>
              <w:spacing w:line="385" w:lineRule="auto"/>
              <w:rPr>
                <w:rFonts w:ascii="Arial"/>
                <w:sz w:val="21"/>
              </w:rPr>
            </w:pPr>
          </w:p>
          <w:p w14:paraId="0D0FDEE6">
            <w:pPr>
              <w:pStyle w:val="9"/>
              <w:spacing w:before="65" w:line="252" w:lineRule="auto"/>
              <w:ind w:left="263" w:right="61" w:hanging="208"/>
              <w:rPr>
                <w:sz w:val="20"/>
                <w:szCs w:val="20"/>
              </w:rPr>
            </w:pPr>
            <w:r>
              <w:rPr>
                <w:spacing w:val="7"/>
                <w:sz w:val="20"/>
                <w:szCs w:val="20"/>
              </w:rPr>
              <w:t>表土堆</w:t>
            </w:r>
            <w:r>
              <w:rPr>
                <w:spacing w:val="1"/>
                <w:sz w:val="20"/>
                <w:szCs w:val="20"/>
              </w:rPr>
              <w:t>场</w:t>
            </w:r>
          </w:p>
        </w:tc>
        <w:tc>
          <w:tcPr>
            <w:tcW w:w="881" w:type="dxa"/>
            <w:vAlign w:val="top"/>
          </w:tcPr>
          <w:p w14:paraId="1E425E84">
            <w:pPr>
              <w:spacing w:line="272" w:lineRule="auto"/>
              <w:rPr>
                <w:rFonts w:ascii="Arial"/>
                <w:sz w:val="21"/>
              </w:rPr>
            </w:pPr>
          </w:p>
          <w:p w14:paraId="3066171B">
            <w:pPr>
              <w:spacing w:line="272" w:lineRule="auto"/>
              <w:rPr>
                <w:rFonts w:ascii="Arial"/>
                <w:sz w:val="21"/>
              </w:rPr>
            </w:pPr>
          </w:p>
          <w:p w14:paraId="57884F40">
            <w:pPr>
              <w:spacing w:before="57" w:line="216" w:lineRule="auto"/>
              <w:ind w:left="131"/>
              <w:rPr>
                <w:rFonts w:ascii="Times New Roman" w:hAnsi="Times New Roman" w:eastAsia="Times New Roman" w:cs="Times New Roman"/>
                <w:sz w:val="13"/>
                <w:szCs w:val="13"/>
              </w:rPr>
            </w:pPr>
            <w:r>
              <w:rPr>
                <w:rFonts w:ascii="Times New Roman" w:hAnsi="Times New Roman" w:eastAsia="Times New Roman" w:cs="Times New Roman"/>
                <w:spacing w:val="1"/>
                <w:sz w:val="20"/>
                <w:szCs w:val="20"/>
              </w:rPr>
              <w:t>1000m</w:t>
            </w:r>
            <w:r>
              <w:rPr>
                <w:rFonts w:ascii="Times New Roman" w:hAnsi="Times New Roman" w:eastAsia="Times New Roman" w:cs="Times New Roman"/>
                <w:spacing w:val="1"/>
                <w:position w:val="6"/>
                <w:sz w:val="13"/>
                <w:szCs w:val="13"/>
              </w:rPr>
              <w:t>2</w:t>
            </w:r>
          </w:p>
        </w:tc>
        <w:tc>
          <w:tcPr>
            <w:tcW w:w="1014" w:type="dxa"/>
            <w:vAlign w:val="top"/>
          </w:tcPr>
          <w:p w14:paraId="5B9D49E5">
            <w:pPr>
              <w:spacing w:line="386" w:lineRule="auto"/>
              <w:rPr>
                <w:rFonts w:ascii="Arial"/>
                <w:sz w:val="21"/>
              </w:rPr>
            </w:pPr>
          </w:p>
          <w:p w14:paraId="7EAEF6F1">
            <w:pPr>
              <w:pStyle w:val="9"/>
              <w:spacing w:before="65" w:line="252" w:lineRule="auto"/>
              <w:ind w:left="332" w:right="91" w:hanging="243"/>
              <w:rPr>
                <w:sz w:val="20"/>
                <w:szCs w:val="20"/>
              </w:rPr>
            </w:pPr>
            <w:r>
              <w:rPr>
                <w:spacing w:val="6"/>
                <w:sz w:val="20"/>
                <w:szCs w:val="20"/>
              </w:rPr>
              <w:t>升压站内</w:t>
            </w:r>
            <w:r>
              <w:rPr>
                <w:spacing w:val="-13"/>
                <w:sz w:val="20"/>
                <w:szCs w:val="20"/>
              </w:rPr>
              <w:t>占地</w:t>
            </w:r>
          </w:p>
        </w:tc>
        <w:tc>
          <w:tcPr>
            <w:tcW w:w="1205" w:type="dxa"/>
            <w:vAlign w:val="top"/>
          </w:tcPr>
          <w:p w14:paraId="3C6E4E70">
            <w:pPr>
              <w:spacing w:line="384" w:lineRule="auto"/>
              <w:rPr>
                <w:rFonts w:ascii="Arial"/>
                <w:sz w:val="21"/>
              </w:rPr>
            </w:pPr>
          </w:p>
          <w:p w14:paraId="31C63C9E">
            <w:pPr>
              <w:pStyle w:val="9"/>
              <w:spacing w:before="65" w:line="252" w:lineRule="auto"/>
              <w:ind w:left="102" w:right="79" w:hanging="21"/>
              <w:rPr>
                <w:sz w:val="20"/>
                <w:szCs w:val="20"/>
              </w:rPr>
            </w:pPr>
            <w:r>
              <w:rPr>
                <w:spacing w:val="7"/>
                <w:sz w:val="20"/>
                <w:szCs w:val="20"/>
              </w:rPr>
              <w:t>升压站地面</w:t>
            </w:r>
            <w:r>
              <w:rPr>
                <w:spacing w:val="3"/>
                <w:sz w:val="20"/>
                <w:szCs w:val="20"/>
              </w:rPr>
              <w:t>已全部硬化</w:t>
            </w:r>
          </w:p>
        </w:tc>
        <w:tc>
          <w:tcPr>
            <w:tcW w:w="982" w:type="dxa"/>
            <w:vAlign w:val="top"/>
          </w:tcPr>
          <w:p w14:paraId="28D276D2">
            <w:pPr>
              <w:spacing w:line="280" w:lineRule="auto"/>
              <w:rPr>
                <w:rFonts w:ascii="Arial"/>
                <w:sz w:val="21"/>
              </w:rPr>
            </w:pPr>
          </w:p>
          <w:p w14:paraId="15FB2EA5">
            <w:pPr>
              <w:spacing w:line="280" w:lineRule="auto"/>
              <w:rPr>
                <w:rFonts w:ascii="Arial"/>
                <w:sz w:val="21"/>
              </w:rPr>
            </w:pPr>
          </w:p>
          <w:p w14:paraId="60A0A558">
            <w:pPr>
              <w:spacing w:before="58" w:line="199" w:lineRule="auto"/>
              <w:ind w:left="46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308" w:type="dxa"/>
            <w:vAlign w:val="top"/>
          </w:tcPr>
          <w:p w14:paraId="1BEE9B3C">
            <w:pPr>
              <w:spacing w:line="260" w:lineRule="auto"/>
              <w:rPr>
                <w:rFonts w:ascii="Arial"/>
                <w:sz w:val="21"/>
              </w:rPr>
            </w:pPr>
          </w:p>
          <w:p w14:paraId="7A789758">
            <w:pPr>
              <w:spacing w:line="261" w:lineRule="auto"/>
              <w:rPr>
                <w:rFonts w:ascii="Arial"/>
                <w:sz w:val="21"/>
              </w:rPr>
            </w:pPr>
          </w:p>
          <w:p w14:paraId="54CDAB64">
            <w:pPr>
              <w:pStyle w:val="9"/>
              <w:spacing w:before="65" w:line="228" w:lineRule="auto"/>
              <w:ind w:left="347"/>
              <w:rPr>
                <w:sz w:val="20"/>
                <w:szCs w:val="20"/>
              </w:rPr>
            </w:pPr>
            <w:r>
              <w:rPr>
                <w:spacing w:val="6"/>
                <w:sz w:val="20"/>
                <w:szCs w:val="20"/>
              </w:rPr>
              <w:t>无影响</w:t>
            </w:r>
          </w:p>
        </w:tc>
        <w:tc>
          <w:tcPr>
            <w:tcW w:w="809" w:type="dxa"/>
            <w:vAlign w:val="top"/>
          </w:tcPr>
          <w:p w14:paraId="66A56B28">
            <w:pPr>
              <w:spacing w:line="280" w:lineRule="auto"/>
              <w:rPr>
                <w:rFonts w:ascii="Arial"/>
                <w:sz w:val="21"/>
              </w:rPr>
            </w:pPr>
          </w:p>
          <w:p w14:paraId="3FB72F9A">
            <w:pPr>
              <w:spacing w:line="280" w:lineRule="auto"/>
              <w:rPr>
                <w:rFonts w:ascii="Arial"/>
                <w:sz w:val="21"/>
              </w:rPr>
            </w:pPr>
          </w:p>
          <w:p w14:paraId="6DB3F954">
            <w:pPr>
              <w:spacing w:before="58" w:line="199" w:lineRule="auto"/>
              <w:ind w:left="37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941" w:type="dxa"/>
            <w:vAlign w:val="top"/>
          </w:tcPr>
          <w:p w14:paraId="0FD9E203">
            <w:pPr>
              <w:pStyle w:val="9"/>
              <w:spacing w:before="42" w:line="229" w:lineRule="auto"/>
              <w:ind w:left="59"/>
              <w:rPr>
                <w:sz w:val="20"/>
                <w:szCs w:val="20"/>
              </w:rPr>
            </w:pPr>
            <w:r>
              <w:rPr>
                <w:spacing w:val="7"/>
                <w:sz w:val="20"/>
                <w:szCs w:val="20"/>
              </w:rPr>
              <w:t>位于升压</w:t>
            </w:r>
          </w:p>
          <w:p w14:paraId="5026B404">
            <w:pPr>
              <w:pStyle w:val="9"/>
              <w:spacing w:before="25" w:line="228" w:lineRule="auto"/>
              <w:ind w:left="60"/>
              <w:rPr>
                <w:sz w:val="20"/>
                <w:szCs w:val="20"/>
              </w:rPr>
            </w:pPr>
            <w:r>
              <w:rPr>
                <w:spacing w:val="7"/>
                <w:sz w:val="20"/>
                <w:szCs w:val="20"/>
              </w:rPr>
              <w:t>站内西北</w:t>
            </w:r>
          </w:p>
          <w:p w14:paraId="6375C906">
            <w:pPr>
              <w:pStyle w:val="9"/>
              <w:spacing w:before="24" w:line="227" w:lineRule="auto"/>
              <w:ind w:left="63"/>
              <w:rPr>
                <w:sz w:val="20"/>
                <w:szCs w:val="20"/>
              </w:rPr>
            </w:pPr>
            <w:r>
              <w:rPr>
                <w:spacing w:val="6"/>
                <w:sz w:val="20"/>
                <w:szCs w:val="20"/>
              </w:rPr>
              <w:t>角，不涉</w:t>
            </w:r>
          </w:p>
          <w:p w14:paraId="06399B9E">
            <w:pPr>
              <w:pStyle w:val="9"/>
              <w:spacing w:before="26" w:line="229" w:lineRule="auto"/>
              <w:ind w:left="378" w:right="46" w:hanging="320"/>
              <w:rPr>
                <w:sz w:val="20"/>
                <w:szCs w:val="20"/>
              </w:rPr>
            </w:pPr>
            <w:r>
              <w:rPr>
                <w:spacing w:val="7"/>
                <w:sz w:val="20"/>
                <w:szCs w:val="20"/>
              </w:rPr>
              <w:t>及生态红</w:t>
            </w:r>
            <w:r>
              <w:rPr>
                <w:sz w:val="20"/>
                <w:szCs w:val="20"/>
              </w:rPr>
              <w:t>线</w:t>
            </w:r>
          </w:p>
        </w:tc>
        <w:tc>
          <w:tcPr>
            <w:tcW w:w="942" w:type="dxa"/>
            <w:vAlign w:val="top"/>
          </w:tcPr>
          <w:p w14:paraId="69EAEDFD">
            <w:pPr>
              <w:spacing w:line="384" w:lineRule="auto"/>
              <w:rPr>
                <w:rFonts w:ascii="Arial"/>
                <w:sz w:val="21"/>
              </w:rPr>
            </w:pPr>
          </w:p>
          <w:p w14:paraId="4DC066F1">
            <w:pPr>
              <w:pStyle w:val="9"/>
              <w:spacing w:before="65" w:line="252" w:lineRule="auto"/>
              <w:ind w:left="381" w:hanging="371"/>
              <w:rPr>
                <w:sz w:val="20"/>
                <w:szCs w:val="20"/>
              </w:rPr>
            </w:pPr>
            <w:r>
              <w:rPr>
                <w:rFonts w:ascii="Times New Roman" w:hAnsi="Times New Roman" w:eastAsia="Times New Roman" w:cs="Times New Roman"/>
                <w:spacing w:val="-2"/>
                <w:sz w:val="20"/>
                <w:szCs w:val="20"/>
              </w:rPr>
              <w:t>2023</w:t>
            </w:r>
            <w:r>
              <w:rPr>
                <w:rFonts w:ascii="Times New Roman" w:hAnsi="Times New Roman" w:eastAsia="Times New Roman" w:cs="Times New Roman"/>
                <w:spacing w:val="13"/>
                <w:sz w:val="20"/>
                <w:szCs w:val="20"/>
              </w:rPr>
              <w:t xml:space="preserve"> </w:t>
            </w:r>
            <w:r>
              <w:rPr>
                <w:spacing w:val="-2"/>
                <w:sz w:val="20"/>
                <w:szCs w:val="20"/>
              </w:rPr>
              <w:t>年</w:t>
            </w:r>
            <w:r>
              <w:rPr>
                <w:spacing w:val="-24"/>
                <w:sz w:val="20"/>
                <w:szCs w:val="20"/>
              </w:rPr>
              <w:t xml:space="preserve"> </w:t>
            </w:r>
            <w:r>
              <w:rPr>
                <w:rFonts w:ascii="Times New Roman" w:hAnsi="Times New Roman" w:eastAsia="Times New Roman" w:cs="Times New Roman"/>
                <w:spacing w:val="-2"/>
                <w:sz w:val="20"/>
                <w:szCs w:val="20"/>
              </w:rPr>
              <w:t>11</w:t>
            </w:r>
            <w:r>
              <w:rPr>
                <w:sz w:val="20"/>
                <w:szCs w:val="20"/>
              </w:rPr>
              <w:t>月</w:t>
            </w:r>
          </w:p>
        </w:tc>
        <w:tc>
          <w:tcPr>
            <w:tcW w:w="122" w:type="dxa"/>
            <w:tcBorders>
              <w:top w:val="nil"/>
              <w:bottom w:val="nil"/>
              <w:right w:val="single" w:color="000000" w:sz="6" w:space="0"/>
            </w:tcBorders>
            <w:vAlign w:val="top"/>
          </w:tcPr>
          <w:p w14:paraId="4F95CE75">
            <w:pPr>
              <w:rPr>
                <w:rFonts w:ascii="Arial"/>
                <w:sz w:val="21"/>
              </w:rPr>
            </w:pPr>
          </w:p>
        </w:tc>
      </w:tr>
      <w:tr w14:paraId="021DEA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505" w:type="dxa"/>
            <w:vMerge w:val="continue"/>
            <w:tcBorders>
              <w:top w:val="nil"/>
              <w:left w:val="single" w:color="000000" w:sz="6" w:space="0"/>
              <w:bottom w:val="single" w:color="000000" w:sz="6" w:space="0"/>
            </w:tcBorders>
            <w:vAlign w:val="top"/>
          </w:tcPr>
          <w:p w14:paraId="7B4C5C83">
            <w:pPr>
              <w:rPr>
                <w:rFonts w:ascii="Arial"/>
                <w:sz w:val="21"/>
              </w:rPr>
            </w:pPr>
          </w:p>
        </w:tc>
        <w:tc>
          <w:tcPr>
            <w:tcW w:w="112" w:type="dxa"/>
            <w:tcBorders>
              <w:top w:val="nil"/>
              <w:bottom w:val="single" w:color="000000" w:sz="6" w:space="0"/>
            </w:tcBorders>
            <w:vAlign w:val="top"/>
          </w:tcPr>
          <w:p w14:paraId="3816EA2B">
            <w:pPr>
              <w:rPr>
                <w:rFonts w:ascii="Arial"/>
                <w:sz w:val="21"/>
              </w:rPr>
            </w:pPr>
          </w:p>
        </w:tc>
        <w:tc>
          <w:tcPr>
            <w:tcW w:w="743" w:type="dxa"/>
            <w:tcBorders>
              <w:bottom w:val="single" w:color="000000" w:sz="6" w:space="0"/>
            </w:tcBorders>
            <w:vAlign w:val="top"/>
          </w:tcPr>
          <w:p w14:paraId="775BC08A">
            <w:pPr>
              <w:pStyle w:val="9"/>
              <w:spacing w:before="183" w:line="229" w:lineRule="auto"/>
              <w:ind w:left="162"/>
              <w:rPr>
                <w:sz w:val="20"/>
                <w:szCs w:val="20"/>
              </w:rPr>
            </w:pPr>
            <w:r>
              <w:rPr>
                <w:spacing w:val="4"/>
                <w:sz w:val="20"/>
                <w:szCs w:val="20"/>
              </w:rPr>
              <w:t>合计</w:t>
            </w:r>
          </w:p>
        </w:tc>
        <w:tc>
          <w:tcPr>
            <w:tcW w:w="881" w:type="dxa"/>
            <w:tcBorders>
              <w:bottom w:val="single" w:color="000000" w:sz="6" w:space="0"/>
            </w:tcBorders>
            <w:vAlign w:val="top"/>
          </w:tcPr>
          <w:p w14:paraId="6BB94C8D">
            <w:pPr>
              <w:spacing w:before="199" w:line="216" w:lineRule="auto"/>
              <w:ind w:left="115"/>
              <w:rPr>
                <w:rFonts w:ascii="Times New Roman" w:hAnsi="Times New Roman" w:eastAsia="Times New Roman" w:cs="Times New Roman"/>
                <w:sz w:val="13"/>
                <w:szCs w:val="13"/>
              </w:rPr>
            </w:pPr>
            <w:r>
              <w:rPr>
                <w:rFonts w:ascii="Times New Roman" w:hAnsi="Times New Roman" w:eastAsia="Times New Roman" w:cs="Times New Roman"/>
                <w:spacing w:val="3"/>
                <w:sz w:val="20"/>
                <w:szCs w:val="20"/>
              </w:rPr>
              <w:t>6000m</w:t>
            </w:r>
            <w:r>
              <w:rPr>
                <w:rFonts w:ascii="Times New Roman" w:hAnsi="Times New Roman" w:eastAsia="Times New Roman" w:cs="Times New Roman"/>
                <w:spacing w:val="3"/>
                <w:position w:val="6"/>
                <w:sz w:val="13"/>
                <w:szCs w:val="13"/>
              </w:rPr>
              <w:t>2</w:t>
            </w:r>
          </w:p>
        </w:tc>
        <w:tc>
          <w:tcPr>
            <w:tcW w:w="6259" w:type="dxa"/>
            <w:gridSpan w:val="6"/>
            <w:tcBorders>
              <w:bottom w:val="single" w:color="000000" w:sz="6" w:space="0"/>
            </w:tcBorders>
            <w:vAlign w:val="top"/>
          </w:tcPr>
          <w:p w14:paraId="28720563">
            <w:pPr>
              <w:spacing w:before="215" w:line="199" w:lineRule="auto"/>
              <w:ind w:left="30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942" w:type="dxa"/>
            <w:tcBorders>
              <w:bottom w:val="single" w:color="000000" w:sz="6" w:space="0"/>
            </w:tcBorders>
            <w:vAlign w:val="top"/>
          </w:tcPr>
          <w:p w14:paraId="52443608">
            <w:pPr>
              <w:spacing w:before="215" w:line="199" w:lineRule="auto"/>
              <w:ind w:left="44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22" w:type="dxa"/>
            <w:tcBorders>
              <w:top w:val="nil"/>
              <w:bottom w:val="single" w:color="000000" w:sz="6" w:space="0"/>
              <w:right w:val="single" w:color="000000" w:sz="6" w:space="0"/>
            </w:tcBorders>
            <w:vAlign w:val="top"/>
          </w:tcPr>
          <w:p w14:paraId="4E398445">
            <w:pPr>
              <w:rPr>
                <w:rFonts w:ascii="Arial"/>
                <w:sz w:val="21"/>
              </w:rPr>
            </w:pPr>
          </w:p>
        </w:tc>
      </w:tr>
    </w:tbl>
    <w:p w14:paraId="2343A043">
      <w:pPr>
        <w:pStyle w:val="3"/>
      </w:pPr>
    </w:p>
    <w:p w14:paraId="04B26831">
      <w:pPr>
        <w:sectPr>
          <w:footerReference r:id="rId76" w:type="default"/>
          <w:pgSz w:w="11907" w:h="16840"/>
          <w:pgMar w:top="1431" w:right="1164" w:bottom="1295" w:left="1163" w:header="0" w:footer="1133" w:gutter="0"/>
          <w:cols w:space="720" w:num="1"/>
        </w:sectPr>
      </w:pPr>
    </w:p>
    <w:p w14:paraId="6DA0FA27">
      <w:pPr>
        <w:spacing w:line="89" w:lineRule="auto"/>
        <w:rPr>
          <w:rFonts w:ascii="Arial"/>
          <w:sz w:val="2"/>
        </w:rPr>
      </w:pPr>
    </w:p>
    <w:tbl>
      <w:tblPr>
        <w:tblStyle w:val="8"/>
        <w:tblW w:w="95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5"/>
        <w:gridCol w:w="113"/>
        <w:gridCol w:w="4441"/>
        <w:gridCol w:w="4325"/>
        <w:gridCol w:w="180"/>
      </w:tblGrid>
      <w:tr w14:paraId="097A4E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4" w:hRule="atLeast"/>
        </w:trPr>
        <w:tc>
          <w:tcPr>
            <w:tcW w:w="505" w:type="dxa"/>
            <w:vMerge w:val="restart"/>
            <w:tcBorders>
              <w:top w:val="single" w:color="000000" w:sz="6" w:space="0"/>
              <w:left w:val="single" w:color="000000" w:sz="6" w:space="0"/>
              <w:bottom w:val="nil"/>
            </w:tcBorders>
            <w:vAlign w:val="top"/>
          </w:tcPr>
          <w:p w14:paraId="1908F8E5">
            <w:pPr>
              <w:rPr>
                <w:rFonts w:ascii="Arial"/>
                <w:sz w:val="21"/>
              </w:rPr>
            </w:pPr>
          </w:p>
        </w:tc>
        <w:tc>
          <w:tcPr>
            <w:tcW w:w="113" w:type="dxa"/>
            <w:tcBorders>
              <w:top w:val="single" w:color="000000" w:sz="6" w:space="0"/>
              <w:bottom w:val="nil"/>
            </w:tcBorders>
            <w:vAlign w:val="top"/>
          </w:tcPr>
          <w:p w14:paraId="01D12B01">
            <w:pPr>
              <w:rPr>
                <w:rFonts w:ascii="Arial"/>
                <w:sz w:val="21"/>
              </w:rPr>
            </w:pPr>
          </w:p>
        </w:tc>
        <w:tc>
          <w:tcPr>
            <w:tcW w:w="4441" w:type="dxa"/>
            <w:tcBorders>
              <w:top w:val="single" w:color="000000" w:sz="6" w:space="0"/>
            </w:tcBorders>
            <w:vAlign w:val="top"/>
          </w:tcPr>
          <w:p w14:paraId="35C11709">
            <w:pPr>
              <w:spacing w:before="138" w:line="2643" w:lineRule="exact"/>
              <w:ind w:firstLine="452"/>
            </w:pPr>
            <w:r>
              <w:rPr>
                <w:position w:val="-52"/>
              </w:rPr>
              <w:drawing>
                <wp:inline distT="0" distB="0" distL="0" distR="0">
                  <wp:extent cx="2237105" cy="1677670"/>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256"/>
                          <a:stretch>
                            <a:fillRect/>
                          </a:stretch>
                        </pic:blipFill>
                        <pic:spPr>
                          <a:xfrm>
                            <a:off x="0" y="0"/>
                            <a:ext cx="2237231" cy="1677924"/>
                          </a:xfrm>
                          <a:prstGeom prst="rect">
                            <a:avLst/>
                          </a:prstGeom>
                        </pic:spPr>
                      </pic:pic>
                    </a:graphicData>
                  </a:graphic>
                </wp:inline>
              </w:drawing>
            </w:r>
          </w:p>
        </w:tc>
        <w:tc>
          <w:tcPr>
            <w:tcW w:w="4325" w:type="dxa"/>
            <w:tcBorders>
              <w:top w:val="single" w:color="000000" w:sz="6" w:space="0"/>
            </w:tcBorders>
            <w:vAlign w:val="top"/>
          </w:tcPr>
          <w:p w14:paraId="5CA347A8">
            <w:pPr>
              <w:spacing w:before="16" w:line="2878" w:lineRule="exact"/>
              <w:ind w:firstLine="237"/>
            </w:pPr>
            <w:r>
              <w:rPr>
                <w:position w:val="-57"/>
              </w:rPr>
              <w:drawing>
                <wp:inline distT="0" distB="0" distL="0" distR="0">
                  <wp:extent cx="2444115" cy="1826895"/>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257"/>
                          <a:stretch>
                            <a:fillRect/>
                          </a:stretch>
                        </pic:blipFill>
                        <pic:spPr>
                          <a:xfrm>
                            <a:off x="0" y="0"/>
                            <a:ext cx="2444496" cy="1827403"/>
                          </a:xfrm>
                          <a:prstGeom prst="rect">
                            <a:avLst/>
                          </a:prstGeom>
                        </pic:spPr>
                      </pic:pic>
                    </a:graphicData>
                  </a:graphic>
                </wp:inline>
              </w:drawing>
            </w:r>
          </w:p>
        </w:tc>
        <w:tc>
          <w:tcPr>
            <w:tcW w:w="180" w:type="dxa"/>
            <w:tcBorders>
              <w:top w:val="single" w:color="000000" w:sz="6" w:space="0"/>
              <w:bottom w:val="nil"/>
              <w:right w:val="single" w:color="000000" w:sz="6" w:space="0"/>
            </w:tcBorders>
            <w:vAlign w:val="top"/>
          </w:tcPr>
          <w:p w14:paraId="50175E0C">
            <w:pPr>
              <w:rPr>
                <w:rFonts w:ascii="Arial"/>
                <w:sz w:val="21"/>
              </w:rPr>
            </w:pPr>
          </w:p>
        </w:tc>
      </w:tr>
      <w:tr w14:paraId="072980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05" w:type="dxa"/>
            <w:vMerge w:val="continue"/>
            <w:tcBorders>
              <w:top w:val="nil"/>
              <w:left w:val="single" w:color="000000" w:sz="6" w:space="0"/>
              <w:bottom w:val="nil"/>
            </w:tcBorders>
            <w:vAlign w:val="top"/>
          </w:tcPr>
          <w:p w14:paraId="2A483D06">
            <w:pPr>
              <w:rPr>
                <w:rFonts w:ascii="Arial"/>
                <w:sz w:val="21"/>
              </w:rPr>
            </w:pPr>
          </w:p>
        </w:tc>
        <w:tc>
          <w:tcPr>
            <w:tcW w:w="113" w:type="dxa"/>
            <w:tcBorders>
              <w:top w:val="nil"/>
              <w:bottom w:val="nil"/>
            </w:tcBorders>
            <w:vAlign w:val="top"/>
          </w:tcPr>
          <w:p w14:paraId="4F55ADE1">
            <w:pPr>
              <w:rPr>
                <w:rFonts w:ascii="Arial"/>
                <w:sz w:val="21"/>
              </w:rPr>
            </w:pPr>
          </w:p>
        </w:tc>
        <w:tc>
          <w:tcPr>
            <w:tcW w:w="4441" w:type="dxa"/>
            <w:vAlign w:val="top"/>
          </w:tcPr>
          <w:p w14:paraId="1DC5E6E8">
            <w:pPr>
              <w:pStyle w:val="9"/>
              <w:spacing w:before="38" w:line="206" w:lineRule="auto"/>
              <w:ind w:left="542"/>
            </w:pPr>
            <w:r>
              <w:rPr>
                <w:spacing w:val="-1"/>
              </w:rPr>
              <w:t>表土堆场在升压站内，现已硬化</w:t>
            </w:r>
          </w:p>
        </w:tc>
        <w:tc>
          <w:tcPr>
            <w:tcW w:w="4325" w:type="dxa"/>
            <w:vAlign w:val="top"/>
          </w:tcPr>
          <w:p w14:paraId="5E885B5F">
            <w:pPr>
              <w:pStyle w:val="9"/>
              <w:spacing w:before="38" w:line="206" w:lineRule="auto"/>
              <w:ind w:left="731"/>
            </w:pPr>
            <w:r>
              <w:rPr>
                <w:spacing w:val="-1"/>
              </w:rPr>
              <w:t>施工营地已采取披碱草恢复</w:t>
            </w:r>
          </w:p>
        </w:tc>
        <w:tc>
          <w:tcPr>
            <w:tcW w:w="180" w:type="dxa"/>
            <w:tcBorders>
              <w:top w:val="nil"/>
              <w:bottom w:val="nil"/>
              <w:right w:val="single" w:color="000000" w:sz="6" w:space="0"/>
            </w:tcBorders>
            <w:vAlign w:val="top"/>
          </w:tcPr>
          <w:p w14:paraId="7EAACBD3">
            <w:pPr>
              <w:rPr>
                <w:rFonts w:ascii="Arial"/>
                <w:sz w:val="21"/>
              </w:rPr>
            </w:pPr>
          </w:p>
        </w:tc>
      </w:tr>
      <w:tr w14:paraId="27BF64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7" w:hRule="atLeast"/>
        </w:trPr>
        <w:tc>
          <w:tcPr>
            <w:tcW w:w="505" w:type="dxa"/>
            <w:vMerge w:val="continue"/>
            <w:tcBorders>
              <w:top w:val="nil"/>
              <w:left w:val="single" w:color="000000" w:sz="6" w:space="0"/>
              <w:bottom w:val="nil"/>
            </w:tcBorders>
            <w:vAlign w:val="top"/>
          </w:tcPr>
          <w:p w14:paraId="4CCCF099">
            <w:pPr>
              <w:rPr>
                <w:rFonts w:ascii="Arial"/>
                <w:sz w:val="21"/>
              </w:rPr>
            </w:pPr>
          </w:p>
        </w:tc>
        <w:tc>
          <w:tcPr>
            <w:tcW w:w="113" w:type="dxa"/>
            <w:tcBorders>
              <w:top w:val="nil"/>
              <w:bottom w:val="nil"/>
            </w:tcBorders>
            <w:vAlign w:val="top"/>
          </w:tcPr>
          <w:p w14:paraId="2405928B">
            <w:pPr>
              <w:rPr>
                <w:rFonts w:ascii="Arial"/>
                <w:sz w:val="21"/>
              </w:rPr>
            </w:pPr>
          </w:p>
        </w:tc>
        <w:tc>
          <w:tcPr>
            <w:tcW w:w="4441" w:type="dxa"/>
            <w:vAlign w:val="top"/>
          </w:tcPr>
          <w:p w14:paraId="62229D71">
            <w:pPr>
              <w:spacing w:before="4" w:line="2753" w:lineRule="exact"/>
              <w:ind w:firstLine="370"/>
            </w:pPr>
            <w:r>
              <w:rPr>
                <w:position w:val="-55"/>
              </w:rPr>
              <w:drawing>
                <wp:inline distT="0" distB="0" distL="0" distR="0">
                  <wp:extent cx="2340610" cy="1747520"/>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258"/>
                          <a:stretch>
                            <a:fillRect/>
                          </a:stretch>
                        </pic:blipFill>
                        <pic:spPr>
                          <a:xfrm>
                            <a:off x="0" y="0"/>
                            <a:ext cx="2340864" cy="1747774"/>
                          </a:xfrm>
                          <a:prstGeom prst="rect">
                            <a:avLst/>
                          </a:prstGeom>
                        </pic:spPr>
                      </pic:pic>
                    </a:graphicData>
                  </a:graphic>
                </wp:inline>
              </w:drawing>
            </w:r>
          </w:p>
        </w:tc>
        <w:tc>
          <w:tcPr>
            <w:tcW w:w="4325" w:type="dxa"/>
            <w:vAlign w:val="top"/>
          </w:tcPr>
          <w:p w14:paraId="6899B70F">
            <w:pPr>
              <w:spacing w:before="45" w:line="2683" w:lineRule="exact"/>
              <w:ind w:firstLine="374"/>
            </w:pPr>
            <w:r>
              <w:rPr>
                <w:position w:val="-53"/>
              </w:rPr>
              <w:drawing>
                <wp:inline distT="0" distB="0" distL="0" distR="0">
                  <wp:extent cx="2270125" cy="1703705"/>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259"/>
                          <a:stretch>
                            <a:fillRect/>
                          </a:stretch>
                        </pic:blipFill>
                        <pic:spPr>
                          <a:xfrm>
                            <a:off x="0" y="0"/>
                            <a:ext cx="2270759" cy="1703831"/>
                          </a:xfrm>
                          <a:prstGeom prst="rect">
                            <a:avLst/>
                          </a:prstGeom>
                        </pic:spPr>
                      </pic:pic>
                    </a:graphicData>
                  </a:graphic>
                </wp:inline>
              </w:drawing>
            </w:r>
          </w:p>
        </w:tc>
        <w:tc>
          <w:tcPr>
            <w:tcW w:w="180" w:type="dxa"/>
            <w:tcBorders>
              <w:top w:val="nil"/>
              <w:bottom w:val="nil"/>
              <w:right w:val="single" w:color="000000" w:sz="6" w:space="0"/>
            </w:tcBorders>
            <w:vAlign w:val="top"/>
          </w:tcPr>
          <w:p w14:paraId="77ECF725">
            <w:pPr>
              <w:rPr>
                <w:rFonts w:ascii="Arial"/>
                <w:sz w:val="21"/>
              </w:rPr>
            </w:pPr>
          </w:p>
        </w:tc>
      </w:tr>
      <w:tr w14:paraId="6B4EAC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505" w:type="dxa"/>
            <w:vMerge w:val="continue"/>
            <w:tcBorders>
              <w:top w:val="nil"/>
              <w:left w:val="single" w:color="000000" w:sz="6" w:space="0"/>
              <w:bottom w:val="nil"/>
            </w:tcBorders>
            <w:vAlign w:val="top"/>
          </w:tcPr>
          <w:p w14:paraId="29C8D8A0">
            <w:pPr>
              <w:rPr>
                <w:rFonts w:ascii="Arial"/>
                <w:sz w:val="21"/>
              </w:rPr>
            </w:pPr>
          </w:p>
        </w:tc>
        <w:tc>
          <w:tcPr>
            <w:tcW w:w="113" w:type="dxa"/>
            <w:tcBorders>
              <w:top w:val="nil"/>
              <w:bottom w:val="nil"/>
            </w:tcBorders>
            <w:vAlign w:val="top"/>
          </w:tcPr>
          <w:p w14:paraId="3E1352F2">
            <w:pPr>
              <w:rPr>
                <w:rFonts w:ascii="Arial"/>
                <w:sz w:val="21"/>
              </w:rPr>
            </w:pPr>
          </w:p>
        </w:tc>
        <w:tc>
          <w:tcPr>
            <w:tcW w:w="4441" w:type="dxa"/>
            <w:vAlign w:val="top"/>
          </w:tcPr>
          <w:p w14:paraId="76BBBFC1">
            <w:pPr>
              <w:pStyle w:val="9"/>
              <w:spacing w:before="41" w:line="204" w:lineRule="auto"/>
              <w:ind w:left="1385"/>
            </w:pPr>
            <w:r>
              <w:rPr>
                <w:spacing w:val="-2"/>
              </w:rPr>
              <w:t>升压站内已硬化</w:t>
            </w:r>
          </w:p>
        </w:tc>
        <w:tc>
          <w:tcPr>
            <w:tcW w:w="4325" w:type="dxa"/>
            <w:vAlign w:val="top"/>
          </w:tcPr>
          <w:p w14:paraId="1D53BE78">
            <w:pPr>
              <w:pStyle w:val="9"/>
              <w:spacing w:before="41" w:line="204" w:lineRule="auto"/>
              <w:ind w:left="730"/>
            </w:pPr>
            <w:r>
              <w:rPr>
                <w:spacing w:val="-1"/>
              </w:rPr>
              <w:t>进站道路两侧草地生长情况</w:t>
            </w:r>
          </w:p>
        </w:tc>
        <w:tc>
          <w:tcPr>
            <w:tcW w:w="180" w:type="dxa"/>
            <w:tcBorders>
              <w:top w:val="nil"/>
              <w:bottom w:val="nil"/>
              <w:right w:val="single" w:color="000000" w:sz="6" w:space="0"/>
            </w:tcBorders>
            <w:vAlign w:val="top"/>
          </w:tcPr>
          <w:p w14:paraId="1B45C1B0">
            <w:pPr>
              <w:rPr>
                <w:rFonts w:ascii="Arial"/>
                <w:sz w:val="21"/>
              </w:rPr>
            </w:pPr>
          </w:p>
        </w:tc>
      </w:tr>
      <w:tr w14:paraId="6D3FDA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9" w:hRule="atLeast"/>
        </w:trPr>
        <w:tc>
          <w:tcPr>
            <w:tcW w:w="505" w:type="dxa"/>
            <w:vMerge w:val="continue"/>
            <w:tcBorders>
              <w:top w:val="nil"/>
              <w:left w:val="single" w:color="000000" w:sz="6" w:space="0"/>
              <w:bottom w:val="single" w:color="000000" w:sz="6" w:space="0"/>
            </w:tcBorders>
            <w:vAlign w:val="top"/>
          </w:tcPr>
          <w:p w14:paraId="39B7CCD3">
            <w:pPr>
              <w:rPr>
                <w:rFonts w:ascii="Arial"/>
                <w:sz w:val="21"/>
              </w:rPr>
            </w:pPr>
          </w:p>
        </w:tc>
        <w:tc>
          <w:tcPr>
            <w:tcW w:w="9059" w:type="dxa"/>
            <w:gridSpan w:val="4"/>
            <w:tcBorders>
              <w:bottom w:val="single" w:color="000000" w:sz="6" w:space="0"/>
              <w:right w:val="single" w:color="000000" w:sz="6" w:space="0"/>
            </w:tcBorders>
            <w:vAlign w:val="top"/>
          </w:tcPr>
          <w:p w14:paraId="3A2B939A">
            <w:pPr>
              <w:pStyle w:val="9"/>
              <w:spacing w:before="169" w:line="219" w:lineRule="auto"/>
              <w:ind w:left="3279"/>
              <w:outlineLvl w:val="1"/>
            </w:pPr>
            <w:r>
              <w:rPr>
                <w:b/>
                <w:bCs/>
                <w:spacing w:val="-7"/>
              </w:rPr>
              <w:t>图</w:t>
            </w:r>
            <w:r>
              <w:rPr>
                <w:spacing w:val="-45"/>
              </w:rPr>
              <w:t xml:space="preserve"> </w:t>
            </w:r>
            <w:r>
              <w:rPr>
                <w:rFonts w:ascii="Times New Roman" w:hAnsi="Times New Roman" w:eastAsia="Times New Roman" w:cs="Times New Roman"/>
                <w:b/>
                <w:bCs/>
                <w:spacing w:val="-7"/>
              </w:rPr>
              <w:t>5-2</w:t>
            </w:r>
            <w:r>
              <w:rPr>
                <w:rFonts w:ascii="Times New Roman" w:hAnsi="Times New Roman" w:eastAsia="Times New Roman" w:cs="Times New Roman"/>
                <w:b/>
                <w:bCs/>
                <w:spacing w:val="6"/>
              </w:rPr>
              <w:t xml:space="preserve">    </w:t>
            </w:r>
            <w:r>
              <w:rPr>
                <w:b/>
                <w:bCs/>
                <w:spacing w:val="-7"/>
              </w:rPr>
              <w:t>临时用地恢复情况图</w:t>
            </w:r>
          </w:p>
          <w:p w14:paraId="7015B4D5">
            <w:pPr>
              <w:pStyle w:val="9"/>
              <w:spacing w:before="175" w:line="220" w:lineRule="auto"/>
              <w:ind w:left="583"/>
              <w:outlineLvl w:val="1"/>
            </w:pPr>
            <w:r>
              <w:rPr>
                <w:rFonts w:ascii="Times New Roman" w:hAnsi="Times New Roman" w:eastAsia="Times New Roman" w:cs="Times New Roman"/>
                <w:b/>
                <w:bCs/>
                <w:spacing w:val="-2"/>
              </w:rPr>
              <w:t xml:space="preserve">2  </w:t>
            </w:r>
            <w:r>
              <w:rPr>
                <w:b/>
                <w:bCs/>
                <w:spacing w:val="-2"/>
              </w:rPr>
              <w:t>声环境保护措施</w:t>
            </w:r>
          </w:p>
          <w:p w14:paraId="4036937C">
            <w:pPr>
              <w:pStyle w:val="9"/>
              <w:spacing w:before="173" w:line="354" w:lineRule="auto"/>
              <w:ind w:left="118" w:right="102" w:firstLine="467"/>
            </w:pPr>
            <w:r>
              <w:rPr>
                <w:spacing w:val="-2"/>
              </w:rPr>
              <w:t>施工期间必须按《建筑施工噪声排放标准》（</w:t>
            </w:r>
            <w:r>
              <w:rPr>
                <w:rFonts w:ascii="Times New Roman" w:hAnsi="Times New Roman" w:eastAsia="Times New Roman" w:cs="Times New Roman"/>
                <w:spacing w:val="-2"/>
              </w:rPr>
              <w:t>GB12523-2</w:t>
            </w:r>
            <w:r>
              <w:rPr>
                <w:rFonts w:ascii="Times New Roman" w:hAnsi="Times New Roman" w:eastAsia="Times New Roman" w:cs="Times New Roman"/>
                <w:spacing w:val="-3"/>
              </w:rPr>
              <w:t>025</w:t>
            </w:r>
            <w:r>
              <w:rPr>
                <w:spacing w:val="-3"/>
              </w:rPr>
              <w:t>）的规定，进行施工</w:t>
            </w:r>
            <w:r>
              <w:rPr>
                <w:spacing w:val="-1"/>
              </w:rPr>
              <w:t>时段、施工噪声声级的控制。施工单位应落实以下噪声污染防治措施。</w:t>
            </w:r>
          </w:p>
          <w:p w14:paraId="34150034">
            <w:pPr>
              <w:pStyle w:val="9"/>
              <w:spacing w:before="1" w:line="353" w:lineRule="auto"/>
              <w:ind w:left="122" w:right="102" w:firstLine="476"/>
            </w:pPr>
            <w:r>
              <w:rPr>
                <w:spacing w:val="2"/>
              </w:rPr>
              <w:t>（</w:t>
            </w:r>
            <w:r>
              <w:rPr>
                <w:rFonts w:ascii="Times New Roman" w:hAnsi="Times New Roman" w:eastAsia="Times New Roman" w:cs="Times New Roman"/>
                <w:spacing w:val="2"/>
              </w:rPr>
              <w:t>1</w:t>
            </w:r>
            <w:r>
              <w:rPr>
                <w:spacing w:val="2"/>
              </w:rPr>
              <w:t>）施工期间，尽量选用优质低噪声施工机械设备。确需夜间施工时</w:t>
            </w:r>
            <w:r>
              <w:rPr>
                <w:spacing w:val="1"/>
              </w:rPr>
              <w:t>，必须经</w:t>
            </w:r>
            <w:r>
              <w:rPr>
                <w:spacing w:val="-2"/>
              </w:rPr>
              <w:t>当地环境保护行政主管部门同意，并告知公众。</w:t>
            </w:r>
          </w:p>
          <w:p w14:paraId="24CA77D6">
            <w:pPr>
              <w:pStyle w:val="9"/>
              <w:spacing w:before="1" w:line="353" w:lineRule="auto"/>
              <w:ind w:left="107" w:right="102" w:firstLine="490"/>
            </w:pPr>
            <w:r>
              <w:rPr>
                <w:spacing w:val="2"/>
              </w:rPr>
              <w:t>（</w:t>
            </w:r>
            <w:r>
              <w:rPr>
                <w:rFonts w:ascii="Times New Roman" w:hAnsi="Times New Roman" w:eastAsia="Times New Roman" w:cs="Times New Roman"/>
                <w:spacing w:val="2"/>
              </w:rPr>
              <w:t>2</w:t>
            </w:r>
            <w:r>
              <w:rPr>
                <w:spacing w:val="2"/>
              </w:rPr>
              <w:t>）加强施工机械的维修、管理，保证施工机械处于低噪声、高效率</w:t>
            </w:r>
            <w:r>
              <w:rPr>
                <w:spacing w:val="1"/>
              </w:rPr>
              <w:t>的良好工</w:t>
            </w:r>
            <w:r>
              <w:rPr>
                <w:spacing w:val="-3"/>
              </w:rPr>
              <w:t>作状态。</w:t>
            </w:r>
          </w:p>
          <w:p w14:paraId="28680B8C">
            <w:pPr>
              <w:pStyle w:val="9"/>
              <w:spacing w:before="1" w:line="354" w:lineRule="auto"/>
              <w:ind w:left="106" w:right="102" w:firstLine="492"/>
            </w:pPr>
            <w:r>
              <w:rPr>
                <w:spacing w:val="2"/>
              </w:rPr>
              <w:t>（</w:t>
            </w:r>
            <w:r>
              <w:rPr>
                <w:rFonts w:ascii="Times New Roman" w:hAnsi="Times New Roman" w:eastAsia="Times New Roman" w:cs="Times New Roman"/>
                <w:spacing w:val="2"/>
              </w:rPr>
              <w:t>3</w:t>
            </w:r>
            <w:r>
              <w:rPr>
                <w:spacing w:val="2"/>
              </w:rPr>
              <w:t>）合理布置施工场地，电动机、水泵、搅拌机等强噪声设备安置于</w:t>
            </w:r>
            <w:r>
              <w:rPr>
                <w:spacing w:val="1"/>
              </w:rPr>
              <w:t>单独的工</w:t>
            </w:r>
            <w:r>
              <w:rPr>
                <w:spacing w:val="-3"/>
              </w:rPr>
              <w:t>棚内。</w:t>
            </w:r>
          </w:p>
          <w:p w14:paraId="189519AE">
            <w:pPr>
              <w:pStyle w:val="9"/>
              <w:spacing w:before="3" w:line="353" w:lineRule="auto"/>
              <w:ind w:left="110" w:right="102" w:firstLine="477"/>
              <w:jc w:val="both"/>
            </w:pPr>
            <w:r>
              <w:rPr>
                <w:spacing w:val="-1"/>
              </w:rPr>
              <w:t>本工程施工所用的施工机械较少，且以人力施工为主。在施工</w:t>
            </w:r>
            <w:r>
              <w:rPr>
                <w:spacing w:val="-2"/>
              </w:rPr>
              <w:t>过程中，绞磨机等设备产生一定的机械噪声，其声级一般小于</w:t>
            </w:r>
            <w:r>
              <w:rPr>
                <w:spacing w:val="-51"/>
              </w:rPr>
              <w:t xml:space="preserve"> </w:t>
            </w:r>
            <w:r>
              <w:rPr>
                <w:rFonts w:ascii="Times New Roman" w:hAnsi="Times New Roman" w:eastAsia="Times New Roman" w:cs="Times New Roman"/>
                <w:spacing w:val="-2"/>
              </w:rPr>
              <w:t>70dB</w:t>
            </w:r>
            <w:r>
              <w:rPr>
                <w:spacing w:val="-2"/>
              </w:rPr>
              <w:t>（</w:t>
            </w:r>
            <w:r>
              <w:rPr>
                <w:rFonts w:ascii="Times New Roman" w:hAnsi="Times New Roman" w:eastAsia="Times New Roman" w:cs="Times New Roman"/>
                <w:spacing w:val="-2"/>
              </w:rPr>
              <w:t>A</w:t>
            </w:r>
            <w:r>
              <w:rPr>
                <w:spacing w:val="-2"/>
              </w:rPr>
              <w:t>）。因此</w:t>
            </w:r>
            <w:r>
              <w:rPr>
                <w:spacing w:val="-3"/>
              </w:rPr>
              <w:t>，本工程施工产生的噪</w:t>
            </w:r>
            <w:r>
              <w:rPr>
                <w:spacing w:val="-1"/>
              </w:rPr>
              <w:t>声对施工点周围环境影响很小。</w:t>
            </w:r>
          </w:p>
          <w:p w14:paraId="6062AC44">
            <w:pPr>
              <w:pStyle w:val="9"/>
              <w:spacing w:before="1" w:line="219" w:lineRule="auto"/>
              <w:ind w:left="581"/>
              <w:outlineLvl w:val="1"/>
            </w:pPr>
            <w:r>
              <w:rPr>
                <w:rFonts w:ascii="Times New Roman" w:hAnsi="Times New Roman" w:eastAsia="Times New Roman" w:cs="Times New Roman"/>
                <w:b/>
                <w:bCs/>
                <w:spacing w:val="-2"/>
              </w:rPr>
              <w:t xml:space="preserve">3  </w:t>
            </w:r>
            <w:r>
              <w:rPr>
                <w:b/>
                <w:bCs/>
                <w:spacing w:val="-2"/>
              </w:rPr>
              <w:t>水环境保护措施</w:t>
            </w:r>
          </w:p>
          <w:p w14:paraId="13F7A432">
            <w:pPr>
              <w:pStyle w:val="9"/>
              <w:spacing w:before="173" w:line="289" w:lineRule="auto"/>
              <w:ind w:left="106" w:right="102" w:firstLine="484"/>
            </w:pPr>
            <w:r>
              <w:rPr>
                <w:spacing w:val="-1"/>
              </w:rPr>
              <w:t>项目施工期的主要废水污染物为生活污水和施工废水。</w:t>
            </w:r>
            <w:r>
              <w:rPr>
                <w:spacing w:val="-2"/>
              </w:rPr>
              <w:t>如管理不当，会对项目附</w:t>
            </w:r>
            <w:r>
              <w:rPr>
                <w:spacing w:val="-1"/>
              </w:rPr>
              <w:t>近环境带来一定影响，因此需采取一定废水环境保护措施，减少施工废水对</w:t>
            </w:r>
            <w:r>
              <w:rPr>
                <w:spacing w:val="-2"/>
              </w:rPr>
              <w:t>水环境的</w:t>
            </w:r>
          </w:p>
        </w:tc>
      </w:tr>
    </w:tbl>
    <w:p w14:paraId="2315BA7A">
      <w:pPr>
        <w:pStyle w:val="3"/>
      </w:pPr>
    </w:p>
    <w:p w14:paraId="5F6832A2">
      <w:pPr>
        <w:sectPr>
          <w:footerReference r:id="rId77" w:type="default"/>
          <w:pgSz w:w="11907" w:h="16840"/>
          <w:pgMar w:top="1431" w:right="1164" w:bottom="1295" w:left="1163" w:header="0" w:footer="1133" w:gutter="0"/>
          <w:cols w:space="720" w:num="1"/>
        </w:sectPr>
      </w:pPr>
    </w:p>
    <w:p w14:paraId="47A227CE">
      <w:pPr>
        <w:spacing w:line="89" w:lineRule="auto"/>
        <w:rPr>
          <w:rFonts w:ascii="Arial"/>
          <w:sz w:val="2"/>
        </w:rPr>
      </w:pPr>
    </w:p>
    <w:tbl>
      <w:tblPr>
        <w:tblStyle w:val="8"/>
        <w:tblW w:w="95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05"/>
        <w:gridCol w:w="9059"/>
      </w:tblGrid>
      <w:tr w14:paraId="5FE382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807" w:hRule="atLeast"/>
        </w:trPr>
        <w:tc>
          <w:tcPr>
            <w:tcW w:w="505" w:type="dxa"/>
            <w:tcBorders>
              <w:right w:val="single" w:color="000000" w:sz="2" w:space="0"/>
            </w:tcBorders>
            <w:vAlign w:val="top"/>
          </w:tcPr>
          <w:p w14:paraId="0285DB97">
            <w:pPr>
              <w:rPr>
                <w:rFonts w:ascii="Arial"/>
                <w:sz w:val="21"/>
              </w:rPr>
            </w:pPr>
          </w:p>
        </w:tc>
        <w:tc>
          <w:tcPr>
            <w:tcW w:w="9059" w:type="dxa"/>
            <w:tcBorders>
              <w:left w:val="single" w:color="000000" w:sz="2" w:space="0"/>
            </w:tcBorders>
            <w:vAlign w:val="top"/>
          </w:tcPr>
          <w:p w14:paraId="168EF60B">
            <w:pPr>
              <w:pStyle w:val="9"/>
              <w:spacing w:before="169" w:line="221" w:lineRule="auto"/>
              <w:ind w:left="106"/>
            </w:pPr>
            <w:r>
              <w:rPr>
                <w:spacing w:val="-4"/>
              </w:rPr>
              <w:t>影响。</w:t>
            </w:r>
          </w:p>
          <w:p w14:paraId="35B7377B">
            <w:pPr>
              <w:pStyle w:val="9"/>
              <w:spacing w:before="171" w:line="354" w:lineRule="auto"/>
              <w:ind w:left="106" w:right="102" w:firstLine="491"/>
            </w:pPr>
            <w:r>
              <w:rPr>
                <w:spacing w:val="2"/>
              </w:rPr>
              <w:t>（</w:t>
            </w:r>
            <w:r>
              <w:rPr>
                <w:rFonts w:ascii="Times New Roman" w:hAnsi="Times New Roman" w:eastAsia="Times New Roman" w:cs="Times New Roman"/>
                <w:spacing w:val="2"/>
              </w:rPr>
              <w:t>1</w:t>
            </w:r>
            <w:r>
              <w:rPr>
                <w:spacing w:val="2"/>
              </w:rPr>
              <w:t>）因地制宜，在施工现场建造沉淀池、化粪池等污水临时处理设施</w:t>
            </w:r>
            <w:r>
              <w:rPr>
                <w:spacing w:val="1"/>
              </w:rPr>
              <w:t>，对含油</w:t>
            </w:r>
            <w:r>
              <w:t>量大的施工机械冲洗水或悬浮物含量高的其他施工</w:t>
            </w:r>
            <w:r>
              <w:rPr>
                <w:spacing w:val="-1"/>
              </w:rPr>
              <w:t>废水经处理后循环回用。</w:t>
            </w:r>
          </w:p>
          <w:p w14:paraId="2176A770">
            <w:pPr>
              <w:pStyle w:val="9"/>
              <w:spacing w:before="1" w:line="353" w:lineRule="auto"/>
              <w:ind w:left="106" w:right="102" w:firstLine="491"/>
            </w:pPr>
            <w:r>
              <w:rPr>
                <w:spacing w:val="2"/>
              </w:rPr>
              <w:t>（</w:t>
            </w:r>
            <w:r>
              <w:rPr>
                <w:rFonts w:ascii="Times New Roman" w:hAnsi="Times New Roman" w:eastAsia="Times New Roman" w:cs="Times New Roman"/>
                <w:spacing w:val="2"/>
              </w:rPr>
              <w:t>2</w:t>
            </w:r>
            <w:r>
              <w:rPr>
                <w:spacing w:val="2"/>
              </w:rPr>
              <w:t>）针对砂石料堆放场、临时弃土场等设置排水沟，并采取一定的防</w:t>
            </w:r>
            <w:r>
              <w:rPr>
                <w:spacing w:val="1"/>
              </w:rPr>
              <w:t>雨水冲刷</w:t>
            </w:r>
            <w:r>
              <w:rPr>
                <w:spacing w:val="-1"/>
              </w:rPr>
              <w:t>措施，防止地面漫流，破坏周边水土。</w:t>
            </w:r>
          </w:p>
          <w:p w14:paraId="508B4436">
            <w:pPr>
              <w:pStyle w:val="9"/>
              <w:spacing w:before="1" w:line="353" w:lineRule="auto"/>
              <w:ind w:left="108" w:right="102" w:firstLine="489"/>
            </w:pPr>
            <w:r>
              <w:rPr>
                <w:spacing w:val="2"/>
              </w:rPr>
              <w:t>（</w:t>
            </w:r>
            <w:r>
              <w:rPr>
                <w:rFonts w:ascii="Times New Roman" w:hAnsi="Times New Roman" w:eastAsia="Times New Roman" w:cs="Times New Roman"/>
                <w:spacing w:val="2"/>
              </w:rPr>
              <w:t>3</w:t>
            </w:r>
            <w:r>
              <w:rPr>
                <w:spacing w:val="2"/>
              </w:rPr>
              <w:t>）针对施工人员生活污水设置临时防渗化粪池，生活污水经临时化</w:t>
            </w:r>
            <w:r>
              <w:rPr>
                <w:spacing w:val="1"/>
              </w:rPr>
              <w:t>粪池处理</w:t>
            </w:r>
            <w:r>
              <w:t>后定期拉运至污水处理厂统一处理。严禁向季节性河</w:t>
            </w:r>
            <w:r>
              <w:rPr>
                <w:spacing w:val="-1"/>
              </w:rPr>
              <w:t>流内排放施工人员生活污水。</w:t>
            </w:r>
          </w:p>
          <w:p w14:paraId="4380E067">
            <w:pPr>
              <w:pStyle w:val="9"/>
              <w:spacing w:before="1" w:line="354" w:lineRule="auto"/>
              <w:ind w:left="106" w:right="22" w:firstLine="492"/>
            </w:pPr>
            <w:r>
              <w:rPr>
                <w:spacing w:val="-3"/>
              </w:rPr>
              <w:t>（</w:t>
            </w:r>
            <w:r>
              <w:rPr>
                <w:rFonts w:ascii="Times New Roman" w:hAnsi="Times New Roman" w:eastAsia="Times New Roman" w:cs="Times New Roman"/>
                <w:spacing w:val="-3"/>
              </w:rPr>
              <w:t>4</w:t>
            </w:r>
            <w:r>
              <w:rPr>
                <w:spacing w:val="-3"/>
              </w:rPr>
              <w:t>）严禁向场内耕地直接排放废水及倾倒土石方、生活垃圾等固体废物；水泥、</w:t>
            </w:r>
            <w:r>
              <w:rPr>
                <w:spacing w:val="-1"/>
              </w:rPr>
              <w:t>黄砂等砂石料需集中堆放，防止散料被雨水冲刷而污染地下水。</w:t>
            </w:r>
          </w:p>
          <w:p w14:paraId="45C5B53F">
            <w:pPr>
              <w:pStyle w:val="9"/>
              <w:spacing w:before="1" w:line="353" w:lineRule="auto"/>
              <w:ind w:left="106" w:right="102" w:firstLine="492"/>
            </w:pPr>
            <w:r>
              <w:rPr>
                <w:spacing w:val="2"/>
              </w:rPr>
              <w:t>（</w:t>
            </w:r>
            <w:r>
              <w:rPr>
                <w:rFonts w:ascii="Times New Roman" w:hAnsi="Times New Roman" w:eastAsia="Times New Roman" w:cs="Times New Roman"/>
                <w:spacing w:val="2"/>
              </w:rPr>
              <w:t>5</w:t>
            </w:r>
            <w:r>
              <w:rPr>
                <w:spacing w:val="2"/>
              </w:rPr>
              <w:t>）施工生产废水经处理后全部回用于施工生产工序，不外排。严禁</w:t>
            </w:r>
            <w:r>
              <w:rPr>
                <w:spacing w:val="1"/>
              </w:rPr>
              <w:t>向季节性</w:t>
            </w:r>
            <w:r>
              <w:rPr>
                <w:spacing w:val="-1"/>
              </w:rPr>
              <w:t>河流内排放施工生产废水。</w:t>
            </w:r>
          </w:p>
          <w:p w14:paraId="26CD1ACF">
            <w:pPr>
              <w:pStyle w:val="9"/>
              <w:spacing w:before="1" w:line="218" w:lineRule="auto"/>
              <w:ind w:left="598"/>
            </w:pPr>
            <w:r>
              <w:rPr>
                <w:spacing w:val="-1"/>
              </w:rPr>
              <w:t>（</w:t>
            </w:r>
            <w:r>
              <w:rPr>
                <w:rFonts w:ascii="Times New Roman" w:hAnsi="Times New Roman" w:eastAsia="Times New Roman" w:cs="Times New Roman"/>
                <w:spacing w:val="-1"/>
              </w:rPr>
              <w:t>6</w:t>
            </w:r>
            <w:r>
              <w:rPr>
                <w:spacing w:val="-1"/>
              </w:rPr>
              <w:t>）本项目施工期各种临时工程的选址远离季节性河流。</w:t>
            </w:r>
          </w:p>
          <w:p w14:paraId="40C0D778">
            <w:pPr>
              <w:pStyle w:val="9"/>
              <w:spacing w:before="175" w:line="354" w:lineRule="auto"/>
              <w:ind w:left="110" w:right="102" w:firstLine="475"/>
            </w:pPr>
            <w:r>
              <w:rPr>
                <w:spacing w:val="-1"/>
              </w:rPr>
              <w:t>在做好上述环保措施的基础上，施工过程中产生的废污水不会对周</w:t>
            </w:r>
            <w:r>
              <w:rPr>
                <w:spacing w:val="-2"/>
              </w:rPr>
              <w:t>围水环境产生</w:t>
            </w:r>
            <w:r>
              <w:rPr>
                <w:spacing w:val="-3"/>
              </w:rPr>
              <w:t>不良影响。</w:t>
            </w:r>
          </w:p>
          <w:p w14:paraId="148DD228">
            <w:pPr>
              <w:pStyle w:val="9"/>
              <w:spacing w:line="220" w:lineRule="auto"/>
              <w:ind w:left="583"/>
              <w:outlineLvl w:val="1"/>
            </w:pPr>
            <w:r>
              <w:rPr>
                <w:rFonts w:ascii="Times New Roman" w:hAnsi="Times New Roman" w:eastAsia="Times New Roman" w:cs="Times New Roman"/>
                <w:b/>
                <w:bCs/>
                <w:spacing w:val="-6"/>
              </w:rPr>
              <w:t>4</w:t>
            </w:r>
            <w:r>
              <w:rPr>
                <w:rFonts w:ascii="Times New Roman" w:hAnsi="Times New Roman" w:eastAsia="Times New Roman" w:cs="Times New Roman"/>
                <w:b/>
                <w:bCs/>
                <w:spacing w:val="17"/>
              </w:rPr>
              <w:t xml:space="preserve">  </w:t>
            </w:r>
            <w:r>
              <w:rPr>
                <w:b/>
                <w:bCs/>
                <w:spacing w:val="-6"/>
              </w:rPr>
              <w:t>固体废物保护措施</w:t>
            </w:r>
          </w:p>
          <w:p w14:paraId="6F8A3F6B">
            <w:pPr>
              <w:pStyle w:val="9"/>
              <w:spacing w:before="174" w:line="354" w:lineRule="auto"/>
              <w:ind w:left="107" w:right="102" w:firstLine="480"/>
            </w:pPr>
            <w:r>
              <w:rPr>
                <w:spacing w:val="-1"/>
              </w:rPr>
              <w:t>本项目施工期间产生的固体废物主要为开挖的土石方、废弃的</w:t>
            </w:r>
            <w:r>
              <w:rPr>
                <w:spacing w:val="-2"/>
              </w:rPr>
              <w:t>建筑垃圾及生活垃</w:t>
            </w:r>
            <w:r>
              <w:rPr>
                <w:spacing w:val="-6"/>
              </w:rPr>
              <w:t>圾。</w:t>
            </w:r>
          </w:p>
          <w:p w14:paraId="446AA586">
            <w:pPr>
              <w:pStyle w:val="9"/>
              <w:spacing w:before="4" w:line="353" w:lineRule="auto"/>
              <w:ind w:left="106" w:right="102" w:firstLine="480"/>
              <w:jc w:val="both"/>
            </w:pPr>
            <w:r>
              <w:rPr>
                <w:spacing w:val="-1"/>
              </w:rPr>
              <w:t>本项目升压站基础项目采取挖高垫低，项目开挖土石方全部在</w:t>
            </w:r>
            <w:r>
              <w:rPr>
                <w:spacing w:val="-2"/>
              </w:rPr>
              <w:t>场内周转，用于就</w:t>
            </w:r>
            <w:r>
              <w:rPr>
                <w:spacing w:val="-1"/>
              </w:rPr>
              <w:t>地平衡、绿地和道路建设。项目施工过程中还会产生一部分建筑垃圾，另</w:t>
            </w:r>
            <w:r>
              <w:rPr>
                <w:spacing w:val="-2"/>
              </w:rPr>
              <w:t>外还有一部</w:t>
            </w:r>
            <w:r>
              <w:rPr>
                <w:spacing w:val="-1"/>
              </w:rPr>
              <w:t>分施工人员产生的生活垃圾。生活垃圾暂存于施工营地垃圾箱内，定期委</w:t>
            </w:r>
            <w:r>
              <w:rPr>
                <w:spacing w:val="-2"/>
              </w:rPr>
              <w:t>托环卫部门</w:t>
            </w:r>
            <w:r>
              <w:rPr>
                <w:spacing w:val="-1"/>
              </w:rPr>
              <w:t>清运。对于产生的建筑垃圾和生活垃圾应分别堆放，并委托相关部门及时</w:t>
            </w:r>
            <w:r>
              <w:rPr>
                <w:spacing w:val="-2"/>
              </w:rPr>
              <w:t>清运至指定垃圾填埋场。</w:t>
            </w:r>
          </w:p>
          <w:p w14:paraId="6AB65E0E">
            <w:pPr>
              <w:pStyle w:val="9"/>
              <w:spacing w:line="220" w:lineRule="auto"/>
              <w:ind w:left="585"/>
              <w:outlineLvl w:val="1"/>
            </w:pPr>
            <w:r>
              <w:rPr>
                <w:rFonts w:ascii="Times New Roman" w:hAnsi="Times New Roman" w:eastAsia="Times New Roman" w:cs="Times New Roman"/>
                <w:b/>
                <w:bCs/>
                <w:spacing w:val="-2"/>
              </w:rPr>
              <w:t xml:space="preserve">5  </w:t>
            </w:r>
            <w:r>
              <w:rPr>
                <w:b/>
                <w:bCs/>
                <w:spacing w:val="-2"/>
              </w:rPr>
              <w:t>施工期扬尘保护措施</w:t>
            </w:r>
          </w:p>
          <w:p w14:paraId="29C1CB2C">
            <w:pPr>
              <w:pStyle w:val="9"/>
              <w:spacing w:before="176" w:line="335" w:lineRule="auto"/>
              <w:ind w:left="106" w:right="102" w:firstLine="479"/>
              <w:jc w:val="both"/>
            </w:pPr>
            <w:r>
              <w:rPr>
                <w:spacing w:val="-1"/>
              </w:rPr>
              <w:t>施工期的施工扬尘，主要是施工过程中产生的，施工扬尘影响主要</w:t>
            </w:r>
            <w:r>
              <w:rPr>
                <w:spacing w:val="-2"/>
              </w:rPr>
              <w:t>在升压站施工</w:t>
            </w:r>
            <w:r>
              <w:rPr>
                <w:spacing w:val="-1"/>
              </w:rPr>
              <w:t>范围本工程应设定施工区域，在施工区域边界设临时围墙或拦挡设施，能</w:t>
            </w:r>
            <w:r>
              <w:rPr>
                <w:spacing w:val="-2"/>
              </w:rPr>
              <w:t>起到一定防</w:t>
            </w:r>
            <w:r>
              <w:rPr>
                <w:spacing w:val="-1"/>
              </w:rPr>
              <w:t>止扬尘作用；同时避免施工材料、土方等影响周边居民生活、影响周边环</w:t>
            </w:r>
            <w:r>
              <w:rPr>
                <w:spacing w:val="-2"/>
              </w:rPr>
              <w:t>境。施工中</w:t>
            </w:r>
            <w:r>
              <w:rPr>
                <w:spacing w:val="-1"/>
              </w:rPr>
              <w:t>应注重文明施工管理，定期对施工场地洒水抑尘、及时清理建筑垃圾和余</w:t>
            </w:r>
            <w:r>
              <w:rPr>
                <w:spacing w:val="-2"/>
              </w:rPr>
              <w:t>土；开挖后</w:t>
            </w:r>
            <w:r>
              <w:rPr>
                <w:spacing w:val="-1"/>
              </w:rPr>
              <w:t>的土石方及建筑材料应定点堆放，采取拦挡、苫盖措施，并对临时弃土、</w:t>
            </w:r>
            <w:r>
              <w:rPr>
                <w:spacing w:val="-2"/>
              </w:rPr>
              <w:t>弃渣等易产</w:t>
            </w:r>
            <w:r>
              <w:rPr>
                <w:spacing w:val="-1"/>
              </w:rPr>
              <w:t>生扬尘点采取喷水抑尘措施，特别是在大风季节强化管理，要求大风天停</w:t>
            </w:r>
            <w:r>
              <w:rPr>
                <w:spacing w:val="-2"/>
              </w:rPr>
              <w:t>止土石方施</w:t>
            </w:r>
            <w:r>
              <w:rPr>
                <w:spacing w:val="-1"/>
              </w:rPr>
              <w:t>工，并做必要的遮掩覆盖；粉性材料堆放在料棚内，施工工地定期喷洒，</w:t>
            </w:r>
            <w:r>
              <w:rPr>
                <w:spacing w:val="-2"/>
              </w:rPr>
              <w:t>施工建筑设</w:t>
            </w:r>
          </w:p>
        </w:tc>
      </w:tr>
    </w:tbl>
    <w:p w14:paraId="1C464B24">
      <w:pPr>
        <w:pStyle w:val="3"/>
      </w:pPr>
    </w:p>
    <w:p w14:paraId="64520438">
      <w:pPr>
        <w:sectPr>
          <w:footerReference r:id="rId78" w:type="default"/>
          <w:pgSz w:w="11907" w:h="16840"/>
          <w:pgMar w:top="1431" w:right="1164" w:bottom="1295" w:left="1163" w:header="0" w:footer="1133" w:gutter="0"/>
          <w:cols w:space="720" w:num="1"/>
        </w:sectPr>
      </w:pPr>
    </w:p>
    <w:p w14:paraId="695B4396">
      <w:pPr>
        <w:spacing w:line="89" w:lineRule="auto"/>
        <w:rPr>
          <w:rFonts w:ascii="Arial"/>
          <w:sz w:val="2"/>
        </w:rPr>
      </w:pPr>
    </w:p>
    <w:tbl>
      <w:tblPr>
        <w:tblStyle w:val="8"/>
        <w:tblW w:w="95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05"/>
        <w:gridCol w:w="9059"/>
      </w:tblGrid>
      <w:tr w14:paraId="544740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29" w:hRule="atLeast"/>
        </w:trPr>
        <w:tc>
          <w:tcPr>
            <w:tcW w:w="505" w:type="dxa"/>
            <w:tcBorders>
              <w:bottom w:val="single" w:color="000000" w:sz="2" w:space="0"/>
              <w:right w:val="single" w:color="000000" w:sz="2" w:space="0"/>
            </w:tcBorders>
            <w:vAlign w:val="top"/>
          </w:tcPr>
          <w:p w14:paraId="0BB3F7ED">
            <w:pPr>
              <w:rPr>
                <w:rFonts w:ascii="Arial"/>
                <w:sz w:val="21"/>
              </w:rPr>
            </w:pPr>
          </w:p>
        </w:tc>
        <w:tc>
          <w:tcPr>
            <w:tcW w:w="9059" w:type="dxa"/>
            <w:tcBorders>
              <w:left w:val="single" w:color="000000" w:sz="2" w:space="0"/>
              <w:bottom w:val="single" w:color="000000" w:sz="2" w:space="0"/>
            </w:tcBorders>
            <w:vAlign w:val="top"/>
          </w:tcPr>
          <w:p w14:paraId="5208FC26">
            <w:pPr>
              <w:pStyle w:val="9"/>
              <w:spacing w:before="167" w:line="289" w:lineRule="auto"/>
              <w:ind w:left="108" w:right="102" w:hanging="3"/>
            </w:pPr>
            <w:r>
              <w:rPr>
                <w:spacing w:val="-1"/>
              </w:rPr>
              <w:t>置滞尘网，以减少施工扬尘的产生；运输车辆必须进行苫盖，避免对周围环境</w:t>
            </w:r>
            <w:r>
              <w:rPr>
                <w:spacing w:val="-2"/>
              </w:rPr>
              <w:t>造成扬</w:t>
            </w:r>
            <w:r>
              <w:rPr>
                <w:spacing w:val="-3"/>
              </w:rPr>
              <w:t>尘污染。</w:t>
            </w:r>
          </w:p>
        </w:tc>
      </w:tr>
      <w:tr w14:paraId="3F466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83" w:hRule="atLeast"/>
        </w:trPr>
        <w:tc>
          <w:tcPr>
            <w:tcW w:w="505" w:type="dxa"/>
            <w:tcBorders>
              <w:top w:val="single" w:color="000000" w:sz="2" w:space="0"/>
              <w:right w:val="single" w:color="000000" w:sz="2" w:space="0"/>
            </w:tcBorders>
            <w:vAlign w:val="top"/>
          </w:tcPr>
          <w:p w14:paraId="01964AE2">
            <w:pPr>
              <w:spacing w:line="248" w:lineRule="auto"/>
              <w:rPr>
                <w:rFonts w:ascii="Arial"/>
                <w:sz w:val="21"/>
              </w:rPr>
            </w:pPr>
          </w:p>
          <w:p w14:paraId="5196A136">
            <w:pPr>
              <w:spacing w:line="248" w:lineRule="auto"/>
              <w:rPr>
                <w:rFonts w:ascii="Arial"/>
                <w:sz w:val="21"/>
              </w:rPr>
            </w:pPr>
          </w:p>
          <w:p w14:paraId="37687380">
            <w:pPr>
              <w:spacing w:line="248" w:lineRule="auto"/>
              <w:rPr>
                <w:rFonts w:ascii="Arial"/>
                <w:sz w:val="21"/>
              </w:rPr>
            </w:pPr>
          </w:p>
          <w:p w14:paraId="636A8BE7">
            <w:pPr>
              <w:spacing w:line="248" w:lineRule="auto"/>
              <w:rPr>
                <w:rFonts w:ascii="Arial"/>
                <w:sz w:val="21"/>
              </w:rPr>
            </w:pPr>
          </w:p>
          <w:p w14:paraId="4E8B5B37">
            <w:pPr>
              <w:spacing w:line="248" w:lineRule="auto"/>
              <w:rPr>
                <w:rFonts w:ascii="Arial"/>
                <w:sz w:val="21"/>
              </w:rPr>
            </w:pPr>
          </w:p>
          <w:p w14:paraId="1F4D3797">
            <w:pPr>
              <w:spacing w:line="248" w:lineRule="auto"/>
              <w:rPr>
                <w:rFonts w:ascii="Arial"/>
                <w:sz w:val="21"/>
              </w:rPr>
            </w:pPr>
          </w:p>
          <w:p w14:paraId="2F0514A7">
            <w:pPr>
              <w:spacing w:line="248" w:lineRule="auto"/>
              <w:rPr>
                <w:rFonts w:ascii="Arial"/>
                <w:sz w:val="21"/>
              </w:rPr>
            </w:pPr>
          </w:p>
          <w:p w14:paraId="2F8EF2BD">
            <w:pPr>
              <w:spacing w:line="248" w:lineRule="auto"/>
              <w:rPr>
                <w:rFonts w:ascii="Arial"/>
                <w:sz w:val="21"/>
              </w:rPr>
            </w:pPr>
          </w:p>
          <w:p w14:paraId="0D1E4EF9">
            <w:pPr>
              <w:spacing w:line="248" w:lineRule="auto"/>
              <w:rPr>
                <w:rFonts w:ascii="Arial"/>
                <w:sz w:val="21"/>
              </w:rPr>
            </w:pPr>
          </w:p>
          <w:p w14:paraId="1B535964">
            <w:pPr>
              <w:spacing w:line="248" w:lineRule="auto"/>
              <w:rPr>
                <w:rFonts w:ascii="Arial"/>
                <w:sz w:val="21"/>
              </w:rPr>
            </w:pPr>
          </w:p>
          <w:p w14:paraId="6F9F9C34">
            <w:pPr>
              <w:spacing w:line="248" w:lineRule="auto"/>
              <w:rPr>
                <w:rFonts w:ascii="Arial"/>
                <w:sz w:val="21"/>
              </w:rPr>
            </w:pPr>
          </w:p>
          <w:p w14:paraId="03D53879">
            <w:pPr>
              <w:spacing w:line="248" w:lineRule="auto"/>
              <w:rPr>
                <w:rFonts w:ascii="Arial"/>
                <w:sz w:val="21"/>
              </w:rPr>
            </w:pPr>
          </w:p>
          <w:p w14:paraId="1655AAC3">
            <w:pPr>
              <w:spacing w:line="248" w:lineRule="auto"/>
              <w:rPr>
                <w:rFonts w:ascii="Arial"/>
                <w:sz w:val="21"/>
              </w:rPr>
            </w:pPr>
          </w:p>
          <w:p w14:paraId="737D2FC3">
            <w:pPr>
              <w:spacing w:line="248" w:lineRule="auto"/>
              <w:rPr>
                <w:rFonts w:ascii="Arial"/>
                <w:sz w:val="21"/>
              </w:rPr>
            </w:pPr>
          </w:p>
          <w:p w14:paraId="0ABF6595">
            <w:pPr>
              <w:spacing w:line="248" w:lineRule="auto"/>
              <w:rPr>
                <w:rFonts w:ascii="Arial"/>
                <w:sz w:val="21"/>
              </w:rPr>
            </w:pPr>
          </w:p>
          <w:p w14:paraId="48473435">
            <w:pPr>
              <w:spacing w:line="248" w:lineRule="auto"/>
              <w:rPr>
                <w:rFonts w:ascii="Arial"/>
                <w:sz w:val="21"/>
              </w:rPr>
            </w:pPr>
          </w:p>
          <w:p w14:paraId="64E34C6E">
            <w:pPr>
              <w:spacing w:line="248" w:lineRule="auto"/>
              <w:rPr>
                <w:rFonts w:ascii="Arial"/>
                <w:sz w:val="21"/>
              </w:rPr>
            </w:pPr>
          </w:p>
          <w:p w14:paraId="35F744F9">
            <w:pPr>
              <w:spacing w:line="248" w:lineRule="auto"/>
              <w:rPr>
                <w:rFonts w:ascii="Arial"/>
                <w:sz w:val="21"/>
              </w:rPr>
            </w:pPr>
          </w:p>
          <w:p w14:paraId="12815044">
            <w:pPr>
              <w:spacing w:line="248" w:lineRule="auto"/>
              <w:rPr>
                <w:rFonts w:ascii="Arial"/>
                <w:sz w:val="21"/>
              </w:rPr>
            </w:pPr>
          </w:p>
          <w:p w14:paraId="1F65CFA6">
            <w:pPr>
              <w:spacing w:line="248" w:lineRule="auto"/>
              <w:rPr>
                <w:rFonts w:ascii="Arial"/>
                <w:sz w:val="21"/>
              </w:rPr>
            </w:pPr>
          </w:p>
          <w:p w14:paraId="2A11DC7B">
            <w:pPr>
              <w:spacing w:line="248" w:lineRule="auto"/>
              <w:rPr>
                <w:rFonts w:ascii="Arial"/>
                <w:sz w:val="21"/>
              </w:rPr>
            </w:pPr>
          </w:p>
          <w:p w14:paraId="71EC6B29">
            <w:pPr>
              <w:spacing w:line="248" w:lineRule="auto"/>
              <w:rPr>
                <w:rFonts w:ascii="Arial"/>
                <w:sz w:val="21"/>
              </w:rPr>
            </w:pPr>
          </w:p>
          <w:p w14:paraId="29F3E02A">
            <w:pPr>
              <w:pStyle w:val="9"/>
              <w:spacing w:before="65" w:line="252" w:lineRule="auto"/>
              <w:ind w:left="41" w:right="43"/>
              <w:outlineLvl w:val="2"/>
              <w:rPr>
                <w:sz w:val="20"/>
                <w:szCs w:val="20"/>
              </w:rPr>
            </w:pPr>
            <w:r>
              <w:rPr>
                <w:spacing w:val="4"/>
                <w:sz w:val="20"/>
                <w:szCs w:val="20"/>
              </w:rPr>
              <w:t>运营期生态环境保护措</w:t>
            </w:r>
            <w:r>
              <w:rPr>
                <w:spacing w:val="28"/>
                <w:w w:val="138"/>
                <w:sz w:val="20"/>
                <w:szCs w:val="20"/>
              </w:rPr>
              <w:t>施</w:t>
            </w:r>
          </w:p>
        </w:tc>
        <w:tc>
          <w:tcPr>
            <w:tcW w:w="9059" w:type="dxa"/>
            <w:tcBorders>
              <w:top w:val="single" w:color="000000" w:sz="2" w:space="0"/>
              <w:left w:val="single" w:color="000000" w:sz="2" w:space="0"/>
            </w:tcBorders>
            <w:vAlign w:val="top"/>
          </w:tcPr>
          <w:p w14:paraId="1BEC70D9">
            <w:pPr>
              <w:pStyle w:val="9"/>
              <w:spacing w:before="163" w:line="220" w:lineRule="auto"/>
              <w:ind w:left="593"/>
              <w:outlineLvl w:val="1"/>
            </w:pPr>
            <w:r>
              <w:rPr>
                <w:rFonts w:ascii="Times New Roman" w:hAnsi="Times New Roman" w:eastAsia="Times New Roman" w:cs="Times New Roman"/>
                <w:b/>
                <w:bCs/>
                <w:spacing w:val="-3"/>
              </w:rPr>
              <w:t xml:space="preserve">1  </w:t>
            </w:r>
            <w:r>
              <w:rPr>
                <w:b/>
                <w:bCs/>
                <w:spacing w:val="-3"/>
              </w:rPr>
              <w:t>生态环境保护措施</w:t>
            </w:r>
          </w:p>
          <w:p w14:paraId="270CD40A">
            <w:pPr>
              <w:pStyle w:val="9"/>
              <w:spacing w:before="175" w:line="219" w:lineRule="auto"/>
              <w:ind w:left="593"/>
              <w:outlineLvl w:val="1"/>
            </w:pPr>
            <w:r>
              <w:rPr>
                <w:rFonts w:ascii="Times New Roman" w:hAnsi="Times New Roman" w:eastAsia="Times New Roman" w:cs="Times New Roman"/>
                <w:b/>
                <w:bCs/>
                <w:spacing w:val="-3"/>
              </w:rPr>
              <w:t xml:space="preserve">1.1 </w:t>
            </w:r>
            <w:r>
              <w:rPr>
                <w:b/>
                <w:bCs/>
                <w:spacing w:val="-3"/>
              </w:rPr>
              <w:t>对植物的保护措施</w:t>
            </w:r>
          </w:p>
          <w:p w14:paraId="5C5E7B23">
            <w:pPr>
              <w:pStyle w:val="9"/>
              <w:spacing w:before="174" w:line="354" w:lineRule="auto"/>
              <w:ind w:left="126" w:right="102" w:firstLine="461"/>
            </w:pPr>
            <w:r>
              <w:rPr>
                <w:spacing w:val="-1"/>
              </w:rPr>
              <w:t>本项目运营期对临时施工用地进行植被恢复的土地加强抚育管</w:t>
            </w:r>
            <w:r>
              <w:rPr>
                <w:spacing w:val="-2"/>
              </w:rPr>
              <w:t>理，使之恢复原有</w:t>
            </w:r>
            <w:r>
              <w:rPr>
                <w:spacing w:val="-5"/>
              </w:rPr>
              <w:t>的生态功能。</w:t>
            </w:r>
          </w:p>
          <w:p w14:paraId="4A953614">
            <w:pPr>
              <w:pStyle w:val="9"/>
              <w:spacing w:before="6" w:line="353" w:lineRule="auto"/>
              <w:ind w:left="106" w:right="51" w:firstLine="479"/>
              <w:jc w:val="both"/>
            </w:pPr>
            <w:r>
              <w:rPr>
                <w:spacing w:val="-1"/>
              </w:rPr>
              <w:t>施工生产生活区在施工中破坏了地表植被，因此，在施工结束后需</w:t>
            </w:r>
            <w:r>
              <w:rPr>
                <w:spacing w:val="-2"/>
              </w:rPr>
              <w:t>要人工种草进</w:t>
            </w:r>
            <w:r>
              <w:rPr>
                <w:spacing w:val="2"/>
              </w:rPr>
              <w:t>行植被恢复。施工生产生活区所占区域选择羊草</w:t>
            </w:r>
            <w:r>
              <w:rPr>
                <w:rFonts w:ascii="Times New Roman" w:hAnsi="Times New Roman" w:eastAsia="Times New Roman" w:cs="Times New Roman"/>
                <w:spacing w:val="2"/>
              </w:rPr>
              <w:t>+</w:t>
            </w:r>
            <w:r>
              <w:rPr>
                <w:spacing w:val="2"/>
              </w:rPr>
              <w:t>紫苜蓿草进行</w:t>
            </w:r>
            <w:r>
              <w:rPr>
                <w:spacing w:val="1"/>
              </w:rPr>
              <w:t>人工撒播。在播种之</w:t>
            </w:r>
            <w:r>
              <w:rPr>
                <w:spacing w:val="-1"/>
              </w:rPr>
              <w:t>前，用农药拌种或用杀虫剂和保水剂等对种子进行丸衣化处理，以预防种</w:t>
            </w:r>
            <w:r>
              <w:rPr>
                <w:spacing w:val="-2"/>
              </w:rPr>
              <w:t>子传播病虫</w:t>
            </w:r>
            <w:r>
              <w:rPr>
                <w:spacing w:val="-4"/>
              </w:rPr>
              <w:t>害和病虫对种子、植株的危害。播种时，经处理的草籽与化肥按</w:t>
            </w:r>
            <w:r>
              <w:rPr>
                <w:spacing w:val="-14"/>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30"/>
              </w:rPr>
              <w:t xml:space="preserve"> </w:t>
            </w:r>
            <w:r>
              <w:rPr>
                <w:spacing w:val="-4"/>
              </w:rPr>
              <w:t>：</w:t>
            </w:r>
            <w:r>
              <w:rPr>
                <w:rFonts w:ascii="Times New Roman" w:hAnsi="Times New Roman" w:eastAsia="Times New Roman" w:cs="Times New Roman"/>
                <w:spacing w:val="-4"/>
              </w:rPr>
              <w:t>0.5</w:t>
            </w:r>
            <w:r>
              <w:rPr>
                <w:rFonts w:ascii="Times New Roman" w:hAnsi="Times New Roman" w:eastAsia="Times New Roman" w:cs="Times New Roman"/>
                <w:spacing w:val="29"/>
                <w:w w:val="101"/>
              </w:rPr>
              <w:t xml:space="preserve"> </w:t>
            </w:r>
            <w:r>
              <w:rPr>
                <w:spacing w:val="-4"/>
              </w:rPr>
              <w:t>的比例拌合。</w:t>
            </w:r>
            <w:r>
              <w:rPr>
                <w:spacing w:val="-1"/>
              </w:rPr>
              <w:t>运营期时需要对植被恢复区域加强抚育管理，关注植物的长势情况，对植</w:t>
            </w:r>
            <w:r>
              <w:rPr>
                <w:spacing w:val="-2"/>
              </w:rPr>
              <w:t>被恢复较差的区域进行补种。</w:t>
            </w:r>
          </w:p>
          <w:p w14:paraId="48FDAE54">
            <w:pPr>
              <w:pStyle w:val="9"/>
              <w:spacing w:before="1" w:line="353" w:lineRule="auto"/>
              <w:ind w:left="128" w:right="102" w:firstLine="459"/>
            </w:pPr>
            <w:r>
              <w:rPr>
                <w:spacing w:val="-1"/>
              </w:rPr>
              <w:t>本项目对升压站生活管理区进行绿化，在进场道路两侧、临时</w:t>
            </w:r>
            <w:r>
              <w:rPr>
                <w:spacing w:val="-2"/>
              </w:rPr>
              <w:t>施工营地及生活区围墙周围进行绿化，主要种植多年生牧草，如披碱草等。</w:t>
            </w:r>
          </w:p>
          <w:p w14:paraId="5BA82D42">
            <w:pPr>
              <w:pStyle w:val="9"/>
              <w:spacing w:line="217" w:lineRule="auto"/>
              <w:ind w:left="586"/>
            </w:pPr>
            <w:r>
              <w:rPr>
                <w:spacing w:val="-2"/>
              </w:rPr>
              <w:t>①草树种优选原则</w:t>
            </w:r>
          </w:p>
          <w:p w14:paraId="47D1FAD7">
            <w:pPr>
              <w:pStyle w:val="9"/>
              <w:spacing w:before="178" w:line="355" w:lineRule="auto"/>
              <w:ind w:left="106" w:right="102" w:firstLine="480"/>
            </w:pPr>
            <w:r>
              <w:rPr>
                <w:spacing w:val="-2"/>
              </w:rPr>
              <w:t>根据项目区气候特征及不同防治区的立地条件，本着“适地适树，适地</w:t>
            </w:r>
            <w:r>
              <w:rPr>
                <w:spacing w:val="-3"/>
              </w:rPr>
              <w:t>适草</w:t>
            </w:r>
            <w:r>
              <w:rPr>
                <w:spacing w:val="-88"/>
              </w:rPr>
              <w:t xml:space="preserve"> </w:t>
            </w:r>
            <w:r>
              <w:rPr>
                <w:spacing w:val="-3"/>
              </w:rPr>
              <w:t>”及</w:t>
            </w:r>
            <w:r>
              <w:rPr>
                <w:spacing w:val="-1"/>
              </w:rPr>
              <w:t>注重项目区绿化、相互协调的原则，经实地调查，适宜本区域及本区域种</w:t>
            </w:r>
            <w:r>
              <w:rPr>
                <w:spacing w:val="-2"/>
              </w:rPr>
              <w:t>植较成功的</w:t>
            </w:r>
            <w:r>
              <w:rPr>
                <w:spacing w:val="-3"/>
              </w:rPr>
              <w:t>草树种如表</w:t>
            </w:r>
            <w:r>
              <w:rPr>
                <w:spacing w:val="-45"/>
              </w:rPr>
              <w:t xml:space="preserve"> </w:t>
            </w:r>
            <w:r>
              <w:rPr>
                <w:rFonts w:ascii="Times New Roman" w:hAnsi="Times New Roman" w:eastAsia="Times New Roman" w:cs="Times New Roman"/>
                <w:spacing w:val="-3"/>
              </w:rPr>
              <w:t>5-2</w:t>
            </w:r>
            <w:r>
              <w:rPr>
                <w:spacing w:val="-3"/>
              </w:rPr>
              <w:t>。</w:t>
            </w:r>
          </w:p>
          <w:p w14:paraId="38AD92C5">
            <w:pPr>
              <w:pStyle w:val="9"/>
              <w:spacing w:before="3" w:line="219" w:lineRule="auto"/>
              <w:ind w:left="2354"/>
            </w:pPr>
            <w:r>
              <w:rPr>
                <w:b/>
                <w:bCs/>
                <w:spacing w:val="-2"/>
              </w:rPr>
              <w:t>表</w:t>
            </w:r>
            <w:r>
              <w:rPr>
                <w:spacing w:val="-48"/>
              </w:rPr>
              <w:t xml:space="preserve"> </w:t>
            </w:r>
            <w:r>
              <w:rPr>
                <w:rFonts w:ascii="Times New Roman" w:hAnsi="Times New Roman" w:eastAsia="Times New Roman" w:cs="Times New Roman"/>
                <w:b/>
                <w:bCs/>
                <w:spacing w:val="-2"/>
              </w:rPr>
              <w:t xml:space="preserve">5-2      </w:t>
            </w:r>
            <w:r>
              <w:rPr>
                <w:b/>
                <w:bCs/>
                <w:spacing w:val="-2"/>
              </w:rPr>
              <w:t>水土保持植物措施优选草树种表</w:t>
            </w:r>
          </w:p>
          <w:p w14:paraId="7A7D261E">
            <w:pPr>
              <w:spacing w:line="15" w:lineRule="exact"/>
            </w:pPr>
          </w:p>
          <w:tbl>
            <w:tblPr>
              <w:tblStyle w:val="8"/>
              <w:tblW w:w="7645" w:type="dxa"/>
              <w:tblInd w:w="69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604"/>
              <w:gridCol w:w="5041"/>
            </w:tblGrid>
            <w:tr w14:paraId="741BA3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2604" w:type="dxa"/>
                  <w:vAlign w:val="top"/>
                </w:tcPr>
                <w:p w14:paraId="6DFB53C9">
                  <w:pPr>
                    <w:pStyle w:val="9"/>
                    <w:spacing w:before="69" w:line="230" w:lineRule="auto"/>
                    <w:ind w:left="1100"/>
                    <w:outlineLvl w:val="2"/>
                    <w:rPr>
                      <w:sz w:val="20"/>
                      <w:szCs w:val="20"/>
                    </w:rPr>
                  </w:pPr>
                  <w:r>
                    <w:rPr>
                      <w:spacing w:val="3"/>
                      <w:sz w:val="20"/>
                      <w:szCs w:val="20"/>
                    </w:rPr>
                    <w:t>名称</w:t>
                  </w:r>
                </w:p>
              </w:tc>
              <w:tc>
                <w:tcPr>
                  <w:tcW w:w="5041" w:type="dxa"/>
                  <w:vAlign w:val="top"/>
                </w:tcPr>
                <w:p w14:paraId="1BDDB4F2">
                  <w:pPr>
                    <w:pStyle w:val="9"/>
                    <w:spacing w:before="69" w:line="228" w:lineRule="auto"/>
                    <w:ind w:left="2315"/>
                    <w:outlineLvl w:val="2"/>
                    <w:rPr>
                      <w:sz w:val="20"/>
                      <w:szCs w:val="20"/>
                    </w:rPr>
                  </w:pPr>
                  <w:r>
                    <w:rPr>
                      <w:spacing w:val="4"/>
                      <w:sz w:val="20"/>
                      <w:szCs w:val="20"/>
                    </w:rPr>
                    <w:t>种类</w:t>
                  </w:r>
                </w:p>
              </w:tc>
            </w:tr>
            <w:tr w14:paraId="7DD6D0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 w:hRule="atLeast"/>
              </w:trPr>
              <w:tc>
                <w:tcPr>
                  <w:tcW w:w="2604" w:type="dxa"/>
                  <w:vAlign w:val="top"/>
                </w:tcPr>
                <w:p w14:paraId="6A1CF778">
                  <w:pPr>
                    <w:pStyle w:val="9"/>
                    <w:spacing w:before="68" w:line="228" w:lineRule="auto"/>
                    <w:ind w:left="1205"/>
                    <w:outlineLvl w:val="2"/>
                    <w:rPr>
                      <w:sz w:val="20"/>
                      <w:szCs w:val="20"/>
                    </w:rPr>
                  </w:pPr>
                  <w:r>
                    <w:rPr>
                      <w:sz w:val="20"/>
                      <w:szCs w:val="20"/>
                    </w:rPr>
                    <w:t>草</w:t>
                  </w:r>
                </w:p>
              </w:tc>
              <w:tc>
                <w:tcPr>
                  <w:tcW w:w="5041" w:type="dxa"/>
                  <w:vAlign w:val="top"/>
                </w:tcPr>
                <w:p w14:paraId="20576CE5">
                  <w:pPr>
                    <w:pStyle w:val="9"/>
                    <w:spacing w:before="68" w:line="228" w:lineRule="auto"/>
                    <w:ind w:left="2209"/>
                    <w:outlineLvl w:val="2"/>
                    <w:rPr>
                      <w:sz w:val="20"/>
                      <w:szCs w:val="20"/>
                    </w:rPr>
                  </w:pPr>
                  <w:r>
                    <w:rPr>
                      <w:spacing w:val="6"/>
                      <w:sz w:val="20"/>
                      <w:szCs w:val="20"/>
                    </w:rPr>
                    <w:t>披碱草</w:t>
                  </w:r>
                </w:p>
              </w:tc>
            </w:tr>
          </w:tbl>
          <w:p w14:paraId="48CAE3BA">
            <w:pPr>
              <w:pStyle w:val="9"/>
              <w:spacing w:before="162" w:line="220" w:lineRule="auto"/>
              <w:ind w:left="593"/>
              <w:outlineLvl w:val="1"/>
            </w:pPr>
            <w:r>
              <w:rPr>
                <w:rFonts w:ascii="Times New Roman" w:hAnsi="Times New Roman" w:eastAsia="Times New Roman" w:cs="Times New Roman"/>
                <w:b/>
                <w:bCs/>
                <w:spacing w:val="-3"/>
              </w:rPr>
              <w:t xml:space="preserve">1.2 </w:t>
            </w:r>
            <w:r>
              <w:rPr>
                <w:b/>
                <w:bCs/>
                <w:spacing w:val="-3"/>
              </w:rPr>
              <w:t>野生动物保护措施</w:t>
            </w:r>
          </w:p>
          <w:p w14:paraId="37D7CC81">
            <w:pPr>
              <w:pStyle w:val="9"/>
              <w:spacing w:before="174" w:line="354" w:lineRule="auto"/>
              <w:ind w:left="106" w:right="102" w:firstLine="480"/>
            </w:pPr>
            <w:r>
              <w:rPr>
                <w:spacing w:val="-1"/>
              </w:rPr>
              <w:t>①在野生动物活动较为频繁的季节，结合相关生态管理活动的开展</w:t>
            </w:r>
            <w:r>
              <w:rPr>
                <w:spacing w:val="-2"/>
              </w:rPr>
              <w:t>，及时了解工</w:t>
            </w:r>
            <w:r>
              <w:rPr>
                <w:spacing w:val="-1"/>
              </w:rPr>
              <w:t>程对区域生态环境的影响。</w:t>
            </w:r>
          </w:p>
          <w:p w14:paraId="51C08E3C">
            <w:pPr>
              <w:pStyle w:val="9"/>
              <w:spacing w:before="1" w:line="354" w:lineRule="auto"/>
              <w:ind w:left="106" w:right="102" w:firstLine="478"/>
            </w:pPr>
            <w:r>
              <w:rPr>
                <w:spacing w:val="-1"/>
              </w:rPr>
              <w:t>②加强对升压站维护人员的环保教育，严禁捕猎野生动物，如在工程</w:t>
            </w:r>
            <w:r>
              <w:rPr>
                <w:spacing w:val="-2"/>
              </w:rPr>
              <w:t>周围遇到鸟</w:t>
            </w:r>
            <w:r>
              <w:t>巢、雏鸟和野生动物，需在林业部门和环保部门专业人员</w:t>
            </w:r>
            <w:r>
              <w:rPr>
                <w:spacing w:val="-1"/>
              </w:rPr>
              <w:t>的指导下进行妥善安置。</w:t>
            </w:r>
          </w:p>
          <w:p w14:paraId="02258261">
            <w:pPr>
              <w:pStyle w:val="9"/>
              <w:spacing w:before="1" w:line="353" w:lineRule="auto"/>
              <w:ind w:left="112" w:right="129" w:firstLine="472"/>
            </w:pPr>
            <w:r>
              <w:rPr>
                <w:spacing w:val="-2"/>
              </w:rPr>
              <w:t>③定期对升压站生态保护和防护措施及设施进行检查，及时修复遭破坏的设施，并进行动态调整与更新。</w:t>
            </w:r>
          </w:p>
          <w:p w14:paraId="0B89C749">
            <w:pPr>
              <w:pStyle w:val="9"/>
              <w:spacing w:line="220" w:lineRule="auto"/>
              <w:ind w:left="583"/>
              <w:outlineLvl w:val="1"/>
            </w:pPr>
            <w:r>
              <w:rPr>
                <w:rFonts w:ascii="Times New Roman" w:hAnsi="Times New Roman" w:eastAsia="Times New Roman" w:cs="Times New Roman"/>
                <w:b/>
                <w:bCs/>
                <w:spacing w:val="-7"/>
              </w:rPr>
              <w:t>2</w:t>
            </w:r>
            <w:r>
              <w:rPr>
                <w:rFonts w:ascii="Times New Roman" w:hAnsi="Times New Roman" w:eastAsia="Times New Roman" w:cs="Times New Roman"/>
                <w:b/>
                <w:bCs/>
                <w:spacing w:val="21"/>
                <w:w w:val="101"/>
              </w:rPr>
              <w:t xml:space="preserve">  </w:t>
            </w:r>
            <w:r>
              <w:rPr>
                <w:b/>
                <w:bCs/>
                <w:spacing w:val="-7"/>
              </w:rPr>
              <w:t>电磁环境保护措施</w:t>
            </w:r>
          </w:p>
          <w:p w14:paraId="5283952F">
            <w:pPr>
              <w:pStyle w:val="9"/>
              <w:spacing w:before="174" w:line="219" w:lineRule="auto"/>
              <w:ind w:left="598"/>
            </w:pPr>
            <w:r>
              <w:rPr>
                <w:spacing w:val="2"/>
              </w:rPr>
              <w:t>（</w:t>
            </w:r>
            <w:r>
              <w:rPr>
                <w:rFonts w:ascii="Times New Roman" w:hAnsi="Times New Roman" w:eastAsia="Times New Roman" w:cs="Times New Roman"/>
                <w:spacing w:val="2"/>
              </w:rPr>
              <w:t>1</w:t>
            </w:r>
            <w:r>
              <w:rPr>
                <w:spacing w:val="2"/>
              </w:rPr>
              <w:t>）合理布局，在满足升压站内电气布局设计要求的前提下，加大主</w:t>
            </w:r>
            <w:r>
              <w:rPr>
                <w:spacing w:val="1"/>
              </w:rPr>
              <w:t>变与厂界</w:t>
            </w:r>
          </w:p>
        </w:tc>
      </w:tr>
    </w:tbl>
    <w:p w14:paraId="3C7A2FD5">
      <w:pPr>
        <w:pStyle w:val="3"/>
      </w:pPr>
    </w:p>
    <w:p w14:paraId="09200019">
      <w:pPr>
        <w:sectPr>
          <w:footerReference r:id="rId79" w:type="default"/>
          <w:pgSz w:w="11907" w:h="16840"/>
          <w:pgMar w:top="1431" w:right="1164" w:bottom="1292" w:left="1163" w:header="0" w:footer="1133" w:gutter="0"/>
          <w:cols w:space="720" w:num="1"/>
        </w:sectPr>
      </w:pPr>
    </w:p>
    <w:p w14:paraId="294A657E">
      <w:pPr>
        <w:spacing w:line="89" w:lineRule="auto"/>
        <w:rPr>
          <w:rFonts w:ascii="Arial"/>
          <w:sz w:val="2"/>
        </w:rPr>
      </w:pPr>
    </w:p>
    <w:tbl>
      <w:tblPr>
        <w:tblStyle w:val="8"/>
        <w:tblW w:w="95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05"/>
        <w:gridCol w:w="9059"/>
      </w:tblGrid>
      <w:tr w14:paraId="328D8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437" w:hRule="atLeast"/>
        </w:trPr>
        <w:tc>
          <w:tcPr>
            <w:tcW w:w="505" w:type="dxa"/>
            <w:tcBorders>
              <w:right w:val="single" w:color="000000" w:sz="2" w:space="0"/>
            </w:tcBorders>
            <w:vAlign w:val="top"/>
          </w:tcPr>
          <w:p w14:paraId="3976F6D3">
            <w:pPr>
              <w:rPr>
                <w:rFonts w:ascii="Arial"/>
                <w:sz w:val="21"/>
              </w:rPr>
            </w:pPr>
          </w:p>
        </w:tc>
        <w:tc>
          <w:tcPr>
            <w:tcW w:w="9059" w:type="dxa"/>
            <w:tcBorders>
              <w:left w:val="single" w:color="000000" w:sz="2" w:space="0"/>
            </w:tcBorders>
            <w:vAlign w:val="top"/>
          </w:tcPr>
          <w:p w14:paraId="316299A4">
            <w:pPr>
              <w:pStyle w:val="9"/>
              <w:spacing w:before="156" w:line="354" w:lineRule="auto"/>
              <w:ind w:left="106" w:right="102" w:firstLine="20"/>
              <w:jc w:val="both"/>
            </w:pPr>
            <w:r>
              <w:rPr>
                <w:spacing w:val="-2"/>
              </w:rPr>
              <w:t>的距离；加强电磁环境影响宣传，消除公众的恐惧心理，设置明显的警告标志。进一</w:t>
            </w:r>
            <w:r>
              <w:rPr>
                <w:spacing w:val="6"/>
              </w:rPr>
              <w:t>步将变压器等产生的电磁辐射环境影响降到</w:t>
            </w:r>
            <w:r>
              <w:rPr>
                <w:spacing w:val="5"/>
              </w:rPr>
              <w:t>最低水平，最大限度的保障公众身体健</w:t>
            </w:r>
            <w:r>
              <w:rPr>
                <w:spacing w:val="-5"/>
              </w:rPr>
              <w:t>康。</w:t>
            </w:r>
          </w:p>
          <w:p w14:paraId="1C29D170">
            <w:pPr>
              <w:pStyle w:val="9"/>
              <w:spacing w:before="1" w:line="354" w:lineRule="auto"/>
              <w:ind w:left="126" w:right="102" w:firstLine="471"/>
            </w:pPr>
            <w:r>
              <w:rPr>
                <w:spacing w:val="2"/>
              </w:rPr>
              <w:t>（</w:t>
            </w:r>
            <w:r>
              <w:rPr>
                <w:rFonts w:ascii="Times New Roman" w:hAnsi="Times New Roman" w:eastAsia="Times New Roman" w:cs="Times New Roman"/>
                <w:spacing w:val="2"/>
              </w:rPr>
              <w:t>2</w:t>
            </w:r>
            <w:r>
              <w:rPr>
                <w:spacing w:val="2"/>
              </w:rPr>
              <w:t>）应使用设计合理的绝缘子，要特别关注绝缘子的几何形状及关键</w:t>
            </w:r>
            <w:r>
              <w:rPr>
                <w:spacing w:val="1"/>
              </w:rPr>
              <w:t>部位材料</w:t>
            </w:r>
            <w:r>
              <w:rPr>
                <w:spacing w:val="-1"/>
              </w:rPr>
              <w:t>的特性，尽量使用能改善绝缘子表面或沿绝缘子串电压分布的保护装置。</w:t>
            </w:r>
          </w:p>
          <w:p w14:paraId="5FAF89C1">
            <w:pPr>
              <w:pStyle w:val="9"/>
              <w:spacing w:before="1" w:line="353" w:lineRule="auto"/>
              <w:ind w:left="106" w:right="102" w:firstLine="492"/>
            </w:pPr>
            <w:r>
              <w:rPr>
                <w:spacing w:val="2"/>
              </w:rPr>
              <w:t>（</w:t>
            </w:r>
            <w:r>
              <w:rPr>
                <w:rFonts w:ascii="Times New Roman" w:hAnsi="Times New Roman" w:eastAsia="Times New Roman" w:cs="Times New Roman"/>
                <w:spacing w:val="2"/>
              </w:rPr>
              <w:t>3</w:t>
            </w:r>
            <w:r>
              <w:rPr>
                <w:spacing w:val="2"/>
              </w:rPr>
              <w:t>）在安装高压设备时，应保证所有的固定螺栓都可靠拧紧，导电元</w:t>
            </w:r>
            <w:r>
              <w:rPr>
                <w:spacing w:val="1"/>
              </w:rPr>
              <w:t>件尽可能</w:t>
            </w:r>
            <w:r>
              <w:rPr>
                <w:spacing w:val="-1"/>
              </w:rPr>
              <w:t>接地或连接导线电位，提高屏蔽效果。</w:t>
            </w:r>
          </w:p>
          <w:p w14:paraId="16F0757E">
            <w:pPr>
              <w:pStyle w:val="9"/>
              <w:spacing w:before="1" w:line="353" w:lineRule="auto"/>
              <w:ind w:left="106" w:right="102" w:firstLine="491"/>
            </w:pPr>
            <w:r>
              <w:rPr>
                <w:spacing w:val="2"/>
              </w:rPr>
              <w:t>（</w:t>
            </w:r>
            <w:r>
              <w:rPr>
                <w:rFonts w:ascii="Times New Roman" w:hAnsi="Times New Roman" w:eastAsia="Times New Roman" w:cs="Times New Roman"/>
                <w:spacing w:val="2"/>
              </w:rPr>
              <w:t>4</w:t>
            </w:r>
            <w:r>
              <w:rPr>
                <w:spacing w:val="2"/>
              </w:rPr>
              <w:t>）应对站区内升压站的工作人员进行电磁防护知识的培训，尽量减</w:t>
            </w:r>
            <w:r>
              <w:rPr>
                <w:spacing w:val="1"/>
              </w:rPr>
              <w:t>少在高电</w:t>
            </w:r>
            <w:r>
              <w:rPr>
                <w:spacing w:val="-1"/>
              </w:rPr>
              <w:t>磁区域的停留时间，以减小电磁辐射影响。</w:t>
            </w:r>
          </w:p>
          <w:p w14:paraId="687E4283">
            <w:pPr>
              <w:pStyle w:val="9"/>
              <w:spacing w:line="220" w:lineRule="auto"/>
              <w:ind w:left="581"/>
              <w:outlineLvl w:val="1"/>
            </w:pPr>
            <w:r>
              <w:rPr>
                <w:rFonts w:ascii="Times New Roman" w:hAnsi="Times New Roman" w:eastAsia="Times New Roman" w:cs="Times New Roman"/>
                <w:b/>
                <w:bCs/>
                <w:spacing w:val="-2"/>
              </w:rPr>
              <w:t xml:space="preserve">3  </w:t>
            </w:r>
            <w:r>
              <w:rPr>
                <w:b/>
                <w:bCs/>
                <w:spacing w:val="-2"/>
              </w:rPr>
              <w:t>声环境影响防治措施</w:t>
            </w:r>
          </w:p>
          <w:p w14:paraId="46AC99E2">
            <w:pPr>
              <w:pStyle w:val="9"/>
              <w:spacing w:before="181" w:line="362" w:lineRule="auto"/>
              <w:ind w:left="128" w:right="105" w:firstLine="469"/>
            </w:pPr>
            <w:r>
              <w:rPr>
                <w:spacing w:val="2"/>
              </w:rPr>
              <w:t>（</w:t>
            </w:r>
            <w:r>
              <w:rPr>
                <w:rFonts w:ascii="Times New Roman" w:hAnsi="Times New Roman" w:eastAsia="Times New Roman" w:cs="Times New Roman"/>
                <w:spacing w:val="2"/>
              </w:rPr>
              <w:t>1</w:t>
            </w:r>
            <w:r>
              <w:rPr>
                <w:spacing w:val="2"/>
              </w:rPr>
              <w:t>）项目设计时应合理布局场区，合理布局升压站，主变布置在</w:t>
            </w:r>
            <w:r>
              <w:rPr>
                <w:spacing w:val="1"/>
              </w:rPr>
              <w:t>场地中间，周</w:t>
            </w:r>
            <w:r>
              <w:rPr>
                <w:spacing w:val="-3"/>
              </w:rPr>
              <w:t>围布置主控楼等辅助建筑。</w:t>
            </w:r>
          </w:p>
          <w:p w14:paraId="19AE69AB">
            <w:pPr>
              <w:pStyle w:val="9"/>
              <w:spacing w:before="2" w:line="361" w:lineRule="auto"/>
              <w:ind w:left="110" w:right="105" w:firstLine="487"/>
            </w:pPr>
            <w:r>
              <w:rPr>
                <w:spacing w:val="2"/>
              </w:rPr>
              <w:t>（</w:t>
            </w:r>
            <w:r>
              <w:rPr>
                <w:rFonts w:ascii="Times New Roman" w:hAnsi="Times New Roman" w:eastAsia="Times New Roman" w:cs="Times New Roman"/>
                <w:spacing w:val="2"/>
              </w:rPr>
              <w:t>2</w:t>
            </w:r>
            <w:r>
              <w:rPr>
                <w:spacing w:val="2"/>
              </w:rPr>
              <w:t>）选用低噪声主变压器等设备，并加强维护管理，确保设备在</w:t>
            </w:r>
            <w:r>
              <w:rPr>
                <w:spacing w:val="1"/>
              </w:rPr>
              <w:t>正常状态下运</w:t>
            </w:r>
            <w:r>
              <w:rPr>
                <w:spacing w:val="-7"/>
              </w:rPr>
              <w:t>行。</w:t>
            </w:r>
          </w:p>
          <w:p w14:paraId="3D186238">
            <w:pPr>
              <w:pStyle w:val="9"/>
              <w:spacing w:line="219" w:lineRule="auto"/>
              <w:ind w:left="598"/>
            </w:pPr>
            <w:r>
              <w:rPr>
                <w:spacing w:val="-1"/>
              </w:rPr>
              <w:t>（</w:t>
            </w:r>
            <w:r>
              <w:rPr>
                <w:rFonts w:ascii="Times New Roman" w:hAnsi="Times New Roman" w:eastAsia="Times New Roman" w:cs="Times New Roman"/>
                <w:spacing w:val="-1"/>
              </w:rPr>
              <w:t>3</w:t>
            </w:r>
            <w:r>
              <w:rPr>
                <w:spacing w:val="-1"/>
              </w:rPr>
              <w:t>）升压站周围植树种草进行绿化，通过绿化带衰减降低噪声。</w:t>
            </w:r>
          </w:p>
          <w:p w14:paraId="07548053">
            <w:pPr>
              <w:pStyle w:val="9"/>
              <w:spacing w:before="186" w:line="361" w:lineRule="auto"/>
              <w:ind w:left="106" w:right="41" w:firstLine="492"/>
            </w:pPr>
            <w:r>
              <w:rPr>
                <w:spacing w:val="2"/>
              </w:rPr>
              <w:t>（</w:t>
            </w:r>
            <w:r>
              <w:rPr>
                <w:rFonts w:ascii="Times New Roman" w:hAnsi="Times New Roman" w:eastAsia="Times New Roman" w:cs="Times New Roman"/>
                <w:spacing w:val="2"/>
              </w:rPr>
              <w:t>4</w:t>
            </w:r>
            <w:r>
              <w:rPr>
                <w:spacing w:val="2"/>
              </w:rPr>
              <w:t>）变压器等变配电设备的低频噪声容易引起人群和动物的烦恼</w:t>
            </w:r>
            <w:r>
              <w:rPr>
                <w:spacing w:val="1"/>
              </w:rPr>
              <w:t>，因此应做好</w:t>
            </w:r>
            <w:r>
              <w:rPr>
                <w:spacing w:val="-6"/>
              </w:rPr>
              <w:t>变压器等设备基础的隔振处理；合理布局升压站，并针对升压站室内变配电设备噪声，</w:t>
            </w:r>
            <w:r>
              <w:rPr>
                <w:spacing w:val="-1"/>
              </w:rPr>
              <w:t>采取室内壁吸声处理措施，可降低低频噪声烦恼度。</w:t>
            </w:r>
          </w:p>
          <w:p w14:paraId="2146D068">
            <w:pPr>
              <w:pStyle w:val="9"/>
              <w:spacing w:line="358" w:lineRule="auto"/>
              <w:ind w:left="106" w:right="102" w:firstLine="481"/>
            </w:pPr>
            <w:r>
              <w:rPr>
                <w:spacing w:val="-1"/>
              </w:rPr>
              <w:t>经采取上述措施后，设备噪声衰减到厂界后的噪声值大大降</w:t>
            </w:r>
            <w:r>
              <w:rPr>
                <w:spacing w:val="-2"/>
              </w:rPr>
              <w:t>低，可满足厂界噪声</w:t>
            </w:r>
            <w:r>
              <w:rPr>
                <w:spacing w:val="-1"/>
              </w:rPr>
              <w:t>排放标准的要求。因此，项目采取的噪声防治措施是可行的。</w:t>
            </w:r>
          </w:p>
          <w:p w14:paraId="711BC250">
            <w:pPr>
              <w:pStyle w:val="9"/>
              <w:spacing w:before="1" w:line="219" w:lineRule="auto"/>
              <w:ind w:left="583"/>
              <w:outlineLvl w:val="1"/>
            </w:pPr>
            <w:r>
              <w:rPr>
                <w:rFonts w:ascii="Times New Roman" w:hAnsi="Times New Roman" w:eastAsia="Times New Roman" w:cs="Times New Roman"/>
                <w:b/>
                <w:bCs/>
                <w:spacing w:val="-2"/>
              </w:rPr>
              <w:t xml:space="preserve">4  </w:t>
            </w:r>
            <w:r>
              <w:rPr>
                <w:b/>
                <w:bCs/>
                <w:spacing w:val="-2"/>
              </w:rPr>
              <w:t>水环境影响保护措施</w:t>
            </w:r>
          </w:p>
          <w:p w14:paraId="7B60C237">
            <w:pPr>
              <w:pStyle w:val="9"/>
              <w:spacing w:before="175" w:line="354" w:lineRule="auto"/>
              <w:ind w:left="107" w:right="102" w:firstLine="480"/>
              <w:jc w:val="both"/>
            </w:pPr>
            <w:r>
              <w:rPr>
                <w:spacing w:val="-1"/>
              </w:rPr>
              <w:t>本项目升压站产生的生活污水汇集后流至设在站区内的化粪池</w:t>
            </w:r>
            <w:r>
              <w:rPr>
                <w:spacing w:val="-2"/>
              </w:rPr>
              <w:t>，排入站内地埋式</w:t>
            </w:r>
            <w:r>
              <w:t>一体化设施处置后，用于厂区绿化、道路抑尘等，站内建设</w:t>
            </w:r>
            <w:r>
              <w:rPr>
                <w:spacing w:val="-29"/>
              </w:rPr>
              <w:t xml:space="preserve"> </w:t>
            </w:r>
            <w:r>
              <w:rPr>
                <w:rFonts w:ascii="Times New Roman" w:hAnsi="Times New Roman" w:eastAsia="Times New Roman" w:cs="Times New Roman"/>
              </w:rPr>
              <w:t xml:space="preserve">1 </w:t>
            </w:r>
            <w:r>
              <w:t>座</w:t>
            </w:r>
            <w:r>
              <w:rPr>
                <w:spacing w:val="-41"/>
              </w:rPr>
              <w:t xml:space="preserve"> </w:t>
            </w:r>
            <w:r>
              <w:rPr>
                <w:rFonts w:ascii="Times New Roman" w:hAnsi="Times New Roman" w:eastAsia="Times New Roman" w:cs="Times New Roman"/>
              </w:rPr>
              <w:t>80</w:t>
            </w:r>
            <w:r>
              <w:rPr>
                <w:rFonts w:ascii="Times New Roman" w:hAnsi="Times New Roman" w:eastAsia="Times New Roman" w:cs="Times New Roman"/>
                <w:spacing w:val="-1"/>
              </w:rPr>
              <w:t>m</w:t>
            </w:r>
            <w:r>
              <w:rPr>
                <w:rFonts w:ascii="Times New Roman" w:hAnsi="Times New Roman" w:eastAsia="Times New Roman" w:cs="Times New Roman"/>
                <w:spacing w:val="-1"/>
                <w:position w:val="8"/>
                <w:sz w:val="15"/>
                <w:szCs w:val="15"/>
              </w:rPr>
              <w:t xml:space="preserve">3  </w:t>
            </w:r>
            <w:r>
              <w:rPr>
                <w:spacing w:val="-1"/>
              </w:rPr>
              <w:t>的蓄水池，冬季在蓄水池内暂存，冬储夏用。</w:t>
            </w:r>
          </w:p>
          <w:p w14:paraId="212A7234">
            <w:pPr>
              <w:pStyle w:val="9"/>
              <w:spacing w:line="220" w:lineRule="auto"/>
              <w:ind w:left="585"/>
              <w:outlineLvl w:val="1"/>
            </w:pPr>
            <w:r>
              <w:rPr>
                <w:rFonts w:ascii="Times New Roman" w:hAnsi="Times New Roman" w:eastAsia="Times New Roman" w:cs="Times New Roman"/>
                <w:b/>
                <w:bCs/>
                <w:spacing w:val="-6"/>
              </w:rPr>
              <w:t>5</w:t>
            </w:r>
            <w:r>
              <w:rPr>
                <w:rFonts w:ascii="Times New Roman" w:hAnsi="Times New Roman" w:eastAsia="Times New Roman" w:cs="Times New Roman"/>
                <w:b/>
                <w:bCs/>
                <w:spacing w:val="15"/>
                <w:w w:val="101"/>
              </w:rPr>
              <w:t xml:space="preserve">  </w:t>
            </w:r>
            <w:r>
              <w:rPr>
                <w:b/>
                <w:bCs/>
                <w:spacing w:val="-6"/>
              </w:rPr>
              <w:t>固体废物保护措施</w:t>
            </w:r>
          </w:p>
          <w:p w14:paraId="39CE1356">
            <w:pPr>
              <w:pStyle w:val="9"/>
              <w:spacing w:before="175" w:line="219" w:lineRule="auto"/>
              <w:ind w:left="605"/>
            </w:pPr>
            <w:r>
              <w:rPr>
                <w:rFonts w:ascii="Times New Roman" w:hAnsi="Times New Roman" w:eastAsia="Times New Roman" w:cs="Times New Roman"/>
                <w:spacing w:val="-4"/>
              </w:rPr>
              <w:t>1</w:t>
            </w:r>
            <w:r>
              <w:rPr>
                <w:rFonts w:ascii="Times New Roman" w:hAnsi="Times New Roman" w:eastAsia="Times New Roman" w:cs="Times New Roman"/>
                <w:spacing w:val="-30"/>
              </w:rPr>
              <w:t xml:space="preserve"> </w:t>
            </w:r>
            <w:r>
              <w:rPr>
                <w:spacing w:val="-4"/>
              </w:rPr>
              <w:t>、一般固体废弃物环境影响分析</w:t>
            </w:r>
          </w:p>
          <w:p w14:paraId="7B9185EA">
            <w:pPr>
              <w:pStyle w:val="9"/>
              <w:spacing w:before="173" w:line="220" w:lineRule="auto"/>
              <w:ind w:left="598"/>
            </w:pPr>
            <w:r>
              <w:rPr>
                <w:spacing w:val="-3"/>
              </w:rPr>
              <w:t>（</w:t>
            </w:r>
            <w:r>
              <w:rPr>
                <w:rFonts w:ascii="Times New Roman" w:hAnsi="Times New Roman" w:eastAsia="Times New Roman" w:cs="Times New Roman"/>
                <w:spacing w:val="-3"/>
              </w:rPr>
              <w:t>1</w:t>
            </w:r>
            <w:r>
              <w:rPr>
                <w:spacing w:val="-3"/>
              </w:rPr>
              <w:t>）生活垃圾</w:t>
            </w:r>
          </w:p>
          <w:p w14:paraId="2BE7F36A">
            <w:pPr>
              <w:pStyle w:val="9"/>
              <w:spacing w:before="176" w:line="288" w:lineRule="auto"/>
              <w:ind w:left="106" w:right="41" w:firstLine="480"/>
            </w:pPr>
            <w:r>
              <w:rPr>
                <w:spacing w:val="-6"/>
              </w:rPr>
              <w:t>本项目检修每班最多</w:t>
            </w:r>
            <w:r>
              <w:rPr>
                <w:spacing w:val="-32"/>
              </w:rPr>
              <w:t xml:space="preserve"> </w:t>
            </w:r>
            <w:r>
              <w:rPr>
                <w:rFonts w:ascii="Times New Roman" w:hAnsi="Times New Roman" w:eastAsia="Times New Roman" w:cs="Times New Roman"/>
                <w:spacing w:val="-6"/>
              </w:rPr>
              <w:t xml:space="preserve">10 </w:t>
            </w:r>
            <w:r>
              <w:rPr>
                <w:spacing w:val="-6"/>
              </w:rPr>
              <w:t>人，按人均垃圾产生量</w:t>
            </w:r>
            <w:r>
              <w:rPr>
                <w:spacing w:val="-32"/>
              </w:rPr>
              <w:t xml:space="preserve"> </w:t>
            </w:r>
            <w:r>
              <w:rPr>
                <w:rFonts w:ascii="Times New Roman" w:hAnsi="Times New Roman" w:eastAsia="Times New Roman" w:cs="Times New Roman"/>
                <w:spacing w:val="-7"/>
              </w:rPr>
              <w:t>1kg/</w:t>
            </w:r>
            <w:r>
              <w:rPr>
                <w:spacing w:val="-7"/>
              </w:rPr>
              <w:t>人</w:t>
            </w:r>
            <w:r>
              <w:rPr>
                <w:spacing w:val="-28"/>
              </w:rPr>
              <w:t xml:space="preserve"> </w:t>
            </w:r>
            <w:r>
              <w:rPr>
                <w:spacing w:val="-7"/>
              </w:rPr>
              <w:t>·</w:t>
            </w:r>
            <w:r>
              <w:rPr>
                <w:rFonts w:ascii="Times New Roman" w:hAnsi="Times New Roman" w:eastAsia="Times New Roman" w:cs="Times New Roman"/>
                <w:spacing w:val="-7"/>
              </w:rPr>
              <w:t xml:space="preserve">d </w:t>
            </w:r>
            <w:r>
              <w:rPr>
                <w:spacing w:val="-7"/>
              </w:rPr>
              <w:t>计，则生活垃圾年产生</w:t>
            </w:r>
            <w:r>
              <w:rPr>
                <w:spacing w:val="-5"/>
              </w:rPr>
              <w:t>量为</w:t>
            </w:r>
            <w:r>
              <w:rPr>
                <w:spacing w:val="-50"/>
              </w:rPr>
              <w:t xml:space="preserve"> </w:t>
            </w:r>
            <w:r>
              <w:rPr>
                <w:rFonts w:ascii="Times New Roman" w:hAnsi="Times New Roman" w:eastAsia="Times New Roman" w:cs="Times New Roman"/>
                <w:spacing w:val="-5"/>
              </w:rPr>
              <w:t>3.65t/a</w:t>
            </w:r>
            <w:r>
              <w:rPr>
                <w:spacing w:val="-5"/>
              </w:rPr>
              <w:t>，生活垃圾经垃圾桶集中收集</w:t>
            </w:r>
            <w:r>
              <w:rPr>
                <w:spacing w:val="-6"/>
              </w:rPr>
              <w:t>后，委托霍林郭勒市环境卫生服务中心处置，</w:t>
            </w:r>
          </w:p>
        </w:tc>
      </w:tr>
    </w:tbl>
    <w:p w14:paraId="715E0051">
      <w:pPr>
        <w:pStyle w:val="3"/>
      </w:pPr>
    </w:p>
    <w:p w14:paraId="7C205543">
      <w:pPr>
        <w:sectPr>
          <w:footerReference r:id="rId80" w:type="default"/>
          <w:pgSz w:w="11907" w:h="16840"/>
          <w:pgMar w:top="1431" w:right="1164" w:bottom="1295" w:left="1163" w:header="0" w:footer="1133" w:gutter="0"/>
          <w:cols w:space="720" w:num="1"/>
        </w:sectPr>
      </w:pPr>
    </w:p>
    <w:p w14:paraId="6D3899D8">
      <w:pPr>
        <w:spacing w:line="89" w:lineRule="auto"/>
        <w:rPr>
          <w:rFonts w:ascii="Arial"/>
          <w:sz w:val="2"/>
        </w:rPr>
      </w:pPr>
    </w:p>
    <w:tbl>
      <w:tblPr>
        <w:tblStyle w:val="8"/>
        <w:tblW w:w="95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05"/>
        <w:gridCol w:w="9059"/>
      </w:tblGrid>
      <w:tr w14:paraId="54CFF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797" w:hRule="atLeast"/>
        </w:trPr>
        <w:tc>
          <w:tcPr>
            <w:tcW w:w="505" w:type="dxa"/>
            <w:tcBorders>
              <w:right w:val="single" w:color="000000" w:sz="2" w:space="0"/>
            </w:tcBorders>
            <w:vAlign w:val="top"/>
          </w:tcPr>
          <w:p w14:paraId="6C4DA152">
            <w:pPr>
              <w:rPr>
                <w:rFonts w:ascii="Arial"/>
                <w:sz w:val="21"/>
              </w:rPr>
            </w:pPr>
          </w:p>
        </w:tc>
        <w:tc>
          <w:tcPr>
            <w:tcW w:w="9059" w:type="dxa"/>
            <w:tcBorders>
              <w:left w:val="single" w:color="000000" w:sz="2" w:space="0"/>
            </w:tcBorders>
            <w:vAlign w:val="top"/>
          </w:tcPr>
          <w:p w14:paraId="620E05E0">
            <w:pPr>
              <w:pStyle w:val="9"/>
              <w:spacing w:before="156" w:line="219" w:lineRule="auto"/>
              <w:ind w:left="110"/>
            </w:pPr>
            <w:r>
              <w:rPr>
                <w:spacing w:val="-2"/>
              </w:rPr>
              <w:t>不会对周围的环境造成影响。</w:t>
            </w:r>
          </w:p>
          <w:p w14:paraId="7AF0AA25">
            <w:pPr>
              <w:pStyle w:val="9"/>
              <w:spacing w:before="177" w:line="219" w:lineRule="auto"/>
              <w:ind w:left="598"/>
            </w:pPr>
            <w:r>
              <w:rPr>
                <w:spacing w:val="-2"/>
              </w:rPr>
              <w:t>（</w:t>
            </w:r>
            <w:r>
              <w:rPr>
                <w:rFonts w:ascii="Times New Roman" w:hAnsi="Times New Roman" w:eastAsia="Times New Roman" w:cs="Times New Roman"/>
                <w:spacing w:val="-2"/>
              </w:rPr>
              <w:t>2</w:t>
            </w:r>
            <w:r>
              <w:rPr>
                <w:spacing w:val="-2"/>
              </w:rPr>
              <w:t>）污水处理设施污泥</w:t>
            </w:r>
          </w:p>
          <w:p w14:paraId="46592095">
            <w:pPr>
              <w:pStyle w:val="9"/>
              <w:spacing w:before="174" w:line="354" w:lineRule="auto"/>
              <w:ind w:left="106" w:right="102" w:firstLine="483"/>
            </w:pPr>
            <w:r>
              <w:t>一体化污水处理设施产生的污泥约</w:t>
            </w:r>
            <w:r>
              <w:rPr>
                <w:spacing w:val="-45"/>
              </w:rPr>
              <w:t xml:space="preserve"> </w:t>
            </w:r>
            <w:r>
              <w:rPr>
                <w:rFonts w:ascii="Times New Roman" w:hAnsi="Times New Roman" w:eastAsia="Times New Roman" w:cs="Times New Roman"/>
              </w:rPr>
              <w:t>0.</w:t>
            </w:r>
            <w:r>
              <w:rPr>
                <w:rFonts w:ascii="Times New Roman" w:hAnsi="Times New Roman" w:eastAsia="Times New Roman" w:cs="Times New Roman"/>
                <w:spacing w:val="-32"/>
              </w:rPr>
              <w:t xml:space="preserve"> </w:t>
            </w:r>
            <w:r>
              <w:rPr>
                <w:rFonts w:ascii="Times New Roman" w:hAnsi="Times New Roman" w:eastAsia="Times New Roman" w:cs="Times New Roman"/>
              </w:rPr>
              <w:t>1t/a</w:t>
            </w:r>
            <w:r>
              <w:rPr>
                <w:rFonts w:ascii="Times New Roman" w:hAnsi="Times New Roman" w:eastAsia="Times New Roman" w:cs="Times New Roman"/>
                <w:spacing w:val="-29"/>
              </w:rPr>
              <w:t xml:space="preserve"> </w:t>
            </w:r>
            <w:r>
              <w:t>，与生活垃圾一同经收集后委托霍林郭</w:t>
            </w:r>
            <w:r>
              <w:rPr>
                <w:spacing w:val="-1"/>
              </w:rPr>
              <w:t>勒市环境卫生服务中心处置。</w:t>
            </w:r>
          </w:p>
          <w:p w14:paraId="4DC57F07">
            <w:pPr>
              <w:pStyle w:val="9"/>
              <w:spacing w:line="220" w:lineRule="auto"/>
              <w:ind w:left="582"/>
            </w:pPr>
            <w:r>
              <w:rPr>
                <w:rFonts w:ascii="Times New Roman" w:hAnsi="Times New Roman" w:eastAsia="Times New Roman" w:cs="Times New Roman"/>
                <w:spacing w:val="-3"/>
              </w:rPr>
              <w:t>2</w:t>
            </w:r>
            <w:r>
              <w:rPr>
                <w:rFonts w:ascii="Times New Roman" w:hAnsi="Times New Roman" w:eastAsia="Times New Roman" w:cs="Times New Roman"/>
                <w:spacing w:val="-31"/>
              </w:rPr>
              <w:t xml:space="preserve"> </w:t>
            </w:r>
            <w:r>
              <w:rPr>
                <w:spacing w:val="-3"/>
              </w:rPr>
              <w:t>、危险废物环境影响分析</w:t>
            </w:r>
          </w:p>
          <w:p w14:paraId="540AA3F7">
            <w:pPr>
              <w:pStyle w:val="9"/>
              <w:spacing w:before="174" w:line="219" w:lineRule="auto"/>
              <w:ind w:left="587"/>
            </w:pPr>
            <w:r>
              <w:t>本项目产生的危险废物主要为废铅蓄电池、升压站内</w:t>
            </w:r>
            <w:r>
              <w:rPr>
                <w:spacing w:val="-1"/>
              </w:rPr>
              <w:t>维修废油、主变事故废油。</w:t>
            </w:r>
          </w:p>
          <w:p w14:paraId="35D1C00E">
            <w:pPr>
              <w:pStyle w:val="9"/>
              <w:spacing w:before="174" w:line="219" w:lineRule="auto"/>
              <w:ind w:left="598"/>
            </w:pPr>
            <w:r>
              <w:rPr>
                <w:spacing w:val="-3"/>
              </w:rPr>
              <w:t>（</w:t>
            </w:r>
            <w:r>
              <w:rPr>
                <w:rFonts w:ascii="Times New Roman" w:hAnsi="Times New Roman" w:eastAsia="Times New Roman" w:cs="Times New Roman"/>
                <w:spacing w:val="-3"/>
              </w:rPr>
              <w:t>1</w:t>
            </w:r>
            <w:r>
              <w:rPr>
                <w:spacing w:val="-3"/>
              </w:rPr>
              <w:t>）废蓄电池</w:t>
            </w:r>
          </w:p>
          <w:p w14:paraId="57219DA9">
            <w:pPr>
              <w:pStyle w:val="9"/>
              <w:spacing w:before="175" w:line="354" w:lineRule="auto"/>
              <w:ind w:left="106" w:right="102" w:firstLine="482"/>
            </w:pPr>
            <w:r>
              <w:rPr>
                <w:spacing w:val="-1"/>
              </w:rPr>
              <w:t>升压站直流系统中采用免维护铅蓄电池，根据建设单位提供</w:t>
            </w:r>
            <w:r>
              <w:rPr>
                <w:spacing w:val="-2"/>
              </w:rPr>
              <w:t>资料，升压站铅蓄电</w:t>
            </w:r>
            <w:r>
              <w:t>池寿命为</w:t>
            </w:r>
            <w:r>
              <w:rPr>
                <w:spacing w:val="-34"/>
              </w:rPr>
              <w:t xml:space="preserve"> </w:t>
            </w:r>
            <w:r>
              <w:rPr>
                <w:rFonts w:ascii="Times New Roman" w:hAnsi="Times New Roman" w:eastAsia="Times New Roman" w:cs="Times New Roman"/>
              </w:rPr>
              <w:t xml:space="preserve">3-5 </w:t>
            </w:r>
            <w:r>
              <w:t>年，每</w:t>
            </w:r>
            <w:r>
              <w:rPr>
                <w:spacing w:val="-47"/>
              </w:rPr>
              <w:t xml:space="preserve"> </w:t>
            </w:r>
            <w:r>
              <w:rPr>
                <w:rFonts w:ascii="Times New Roman" w:hAnsi="Times New Roman" w:eastAsia="Times New Roman" w:cs="Times New Roman"/>
              </w:rPr>
              <w:t xml:space="preserve">3-5 </w:t>
            </w:r>
            <w:r>
              <w:t>年更换一次。根据国家危险废物名录，废蓄电池属危险废物</w:t>
            </w:r>
            <w:r>
              <w:rPr>
                <w:spacing w:val="-1"/>
              </w:rPr>
              <w:t>（</w:t>
            </w:r>
            <w:r>
              <w:rPr>
                <w:rFonts w:ascii="Times New Roman" w:hAnsi="Times New Roman" w:eastAsia="Times New Roman" w:cs="Times New Roman"/>
                <w:spacing w:val="-1"/>
              </w:rPr>
              <w:t xml:space="preserve">HW31 </w:t>
            </w:r>
            <w:r>
              <w:rPr>
                <w:spacing w:val="-1"/>
              </w:rPr>
              <w:t>其他废物，废物代码</w:t>
            </w:r>
            <w:r>
              <w:rPr>
                <w:spacing w:val="-51"/>
              </w:rPr>
              <w:t xml:space="preserve"> </w:t>
            </w:r>
            <w:r>
              <w:rPr>
                <w:rFonts w:ascii="Times New Roman" w:hAnsi="Times New Roman" w:eastAsia="Times New Roman" w:cs="Times New Roman"/>
                <w:spacing w:val="-1"/>
              </w:rPr>
              <w:t>900-052-31</w:t>
            </w:r>
            <w:r>
              <w:rPr>
                <w:spacing w:val="11"/>
              </w:rPr>
              <w:t>），</w:t>
            </w:r>
            <w:r>
              <w:rPr>
                <w:spacing w:val="-1"/>
              </w:rPr>
              <w:t>升压站废铅蓄电池五年内最大产生量为</w:t>
            </w:r>
            <w:r>
              <w:rPr>
                <w:rFonts w:ascii="Times New Roman" w:hAnsi="Times New Roman" w:eastAsia="Times New Roman" w:cs="Times New Roman"/>
                <w:spacing w:val="-1"/>
              </w:rPr>
              <w:t>0.08t</w:t>
            </w:r>
            <w:r>
              <w:rPr>
                <w:rFonts w:ascii="Times New Roman" w:hAnsi="Times New Roman" w:eastAsia="Times New Roman" w:cs="Times New Roman"/>
                <w:spacing w:val="-31"/>
              </w:rPr>
              <w:t xml:space="preserve"> </w:t>
            </w:r>
            <w:r>
              <w:rPr>
                <w:spacing w:val="-1"/>
              </w:rPr>
              <w:t>，更换后暂存在场内危废暂存间内，定期由有资质的单位回</w:t>
            </w:r>
            <w:r>
              <w:rPr>
                <w:spacing w:val="-2"/>
              </w:rPr>
              <w:t>收处置。</w:t>
            </w:r>
          </w:p>
          <w:p w14:paraId="57B73C37">
            <w:pPr>
              <w:pStyle w:val="9"/>
              <w:spacing w:line="219" w:lineRule="auto"/>
              <w:ind w:left="598"/>
            </w:pPr>
            <w:r>
              <w:rPr>
                <w:spacing w:val="-2"/>
              </w:rPr>
              <w:t>（</w:t>
            </w:r>
            <w:r>
              <w:rPr>
                <w:rFonts w:ascii="Times New Roman" w:hAnsi="Times New Roman" w:eastAsia="Times New Roman" w:cs="Times New Roman"/>
                <w:spacing w:val="-2"/>
              </w:rPr>
              <w:t>2</w:t>
            </w:r>
            <w:r>
              <w:rPr>
                <w:spacing w:val="-2"/>
              </w:rPr>
              <w:t>）主变压器事故状态下废变压器油</w:t>
            </w:r>
          </w:p>
          <w:p w14:paraId="76FCA796">
            <w:pPr>
              <w:pStyle w:val="9"/>
              <w:spacing w:before="174" w:line="354" w:lineRule="auto"/>
              <w:ind w:left="107" w:right="22" w:firstLine="480"/>
            </w:pPr>
            <w:r>
              <w:rPr>
                <w:spacing w:val="1"/>
              </w:rPr>
              <w:t>主变压器正常运行时不产生废油，发生事故时</w:t>
            </w:r>
            <w:r>
              <w:t>将变压器油排入事故池临时贮存。</w:t>
            </w:r>
            <w:r>
              <w:rPr>
                <w:spacing w:val="-1"/>
              </w:rPr>
              <w:t>为保证主变压器一旦发生事故时，变压器油不流到站外而污染环境，同</w:t>
            </w:r>
            <w:r>
              <w:rPr>
                <w:spacing w:val="-2"/>
              </w:rPr>
              <w:t>时又能回收变压器油，本项目升压站内设有</w:t>
            </w:r>
            <w:r>
              <w:rPr>
                <w:spacing w:val="-35"/>
              </w:rPr>
              <w:t xml:space="preserve"> </w:t>
            </w:r>
            <w:r>
              <w:rPr>
                <w:rFonts w:ascii="Times New Roman" w:hAnsi="Times New Roman" w:eastAsia="Times New Roman" w:cs="Times New Roman"/>
                <w:spacing w:val="-2"/>
              </w:rPr>
              <w:t>2</w:t>
            </w:r>
            <w:r>
              <w:rPr>
                <w:rFonts w:ascii="Times New Roman" w:hAnsi="Times New Roman" w:eastAsia="Times New Roman" w:cs="Times New Roman"/>
                <w:spacing w:val="30"/>
              </w:rPr>
              <w:t xml:space="preserve"> </w:t>
            </w:r>
            <w:r>
              <w:rPr>
                <w:spacing w:val="-2"/>
              </w:rPr>
              <w:t>台</w:t>
            </w:r>
            <w:r>
              <w:rPr>
                <w:spacing w:val="-27"/>
              </w:rPr>
              <w:t xml:space="preserve"> </w:t>
            </w:r>
            <w:r>
              <w:rPr>
                <w:rFonts w:ascii="Times New Roman" w:hAnsi="Times New Roman" w:eastAsia="Times New Roman" w:cs="Times New Roman"/>
                <w:spacing w:val="-2"/>
              </w:rPr>
              <w:t xml:space="preserve">150MVA </w:t>
            </w:r>
            <w:r>
              <w:rPr>
                <w:spacing w:val="-2"/>
              </w:rPr>
              <w:t>主变压器，单台</w:t>
            </w:r>
            <w:r>
              <w:rPr>
                <w:spacing w:val="-27"/>
              </w:rPr>
              <w:t xml:space="preserve"> </w:t>
            </w:r>
            <w:r>
              <w:rPr>
                <w:rFonts w:ascii="Times New Roman" w:hAnsi="Times New Roman" w:eastAsia="Times New Roman" w:cs="Times New Roman"/>
                <w:spacing w:val="-2"/>
              </w:rPr>
              <w:t xml:space="preserve">150MVA </w:t>
            </w:r>
            <w:r>
              <w:rPr>
                <w:spacing w:val="-2"/>
              </w:rPr>
              <w:t>主变压器绝缘</w:t>
            </w:r>
            <w:r>
              <w:rPr>
                <w:spacing w:val="-8"/>
              </w:rPr>
              <w:t>油质量约为</w:t>
            </w:r>
            <w:r>
              <w:rPr>
                <w:rFonts w:ascii="Times New Roman" w:hAnsi="Times New Roman" w:eastAsia="Times New Roman" w:cs="Times New Roman"/>
                <w:spacing w:val="-8"/>
              </w:rPr>
              <w:t>43.3t</w:t>
            </w:r>
            <w:r>
              <w:rPr>
                <w:spacing w:val="-8"/>
              </w:rPr>
              <w:t>，</w:t>
            </w:r>
            <w:r>
              <w:rPr>
                <w:rFonts w:ascii="Times New Roman" w:hAnsi="Times New Roman" w:eastAsia="Times New Roman" w:cs="Times New Roman"/>
                <w:spacing w:val="-8"/>
              </w:rPr>
              <w:t xml:space="preserve">1 </w:t>
            </w:r>
            <w:r>
              <w:rPr>
                <w:spacing w:val="-8"/>
              </w:rPr>
              <w:t>台</w:t>
            </w:r>
            <w:r>
              <w:rPr>
                <w:spacing w:val="-61"/>
              </w:rPr>
              <w:t xml:space="preserve"> </w:t>
            </w:r>
            <w:r>
              <w:rPr>
                <w:rFonts w:ascii="Times New Roman" w:hAnsi="Times New Roman" w:eastAsia="Times New Roman" w:cs="Times New Roman"/>
                <w:spacing w:val="-8"/>
              </w:rPr>
              <w:t>125MVA</w:t>
            </w:r>
            <w:r>
              <w:rPr>
                <w:rFonts w:ascii="Times New Roman" w:hAnsi="Times New Roman" w:eastAsia="Times New Roman" w:cs="Times New Roman"/>
                <w:spacing w:val="-18"/>
              </w:rPr>
              <w:t xml:space="preserve"> </w:t>
            </w:r>
            <w:r>
              <w:rPr>
                <w:spacing w:val="-8"/>
              </w:rPr>
              <w:t>主变</w:t>
            </w:r>
            <w:r>
              <w:rPr>
                <w:spacing w:val="-9"/>
              </w:rPr>
              <w:t>压器，主变压器绝缘油质量约为</w:t>
            </w:r>
            <w:r>
              <w:rPr>
                <w:rFonts w:ascii="Times New Roman" w:hAnsi="Times New Roman" w:eastAsia="Times New Roman" w:cs="Times New Roman"/>
                <w:spacing w:val="-9"/>
              </w:rPr>
              <w:t>35.8t</w:t>
            </w:r>
            <w:r>
              <w:rPr>
                <w:spacing w:val="-9"/>
              </w:rPr>
              <w:t>，</w:t>
            </w:r>
            <w:r>
              <w:rPr>
                <w:rFonts w:ascii="Times New Roman" w:hAnsi="Times New Roman" w:eastAsia="Times New Roman" w:cs="Times New Roman"/>
                <w:spacing w:val="-9"/>
              </w:rPr>
              <w:t xml:space="preserve">1 </w:t>
            </w:r>
            <w:r>
              <w:rPr>
                <w:spacing w:val="-9"/>
              </w:rPr>
              <w:t>台</w:t>
            </w:r>
            <w:r>
              <w:rPr>
                <w:rFonts w:ascii="Times New Roman" w:hAnsi="Times New Roman" w:eastAsia="Times New Roman" w:cs="Times New Roman"/>
                <w:spacing w:val="-9"/>
              </w:rPr>
              <w:t>240MVA</w:t>
            </w:r>
            <w:r>
              <w:rPr>
                <w:spacing w:val="-5"/>
              </w:rPr>
              <w:t>主变压器，主变压器绝缘油质量约为</w:t>
            </w:r>
            <w:r>
              <w:rPr>
                <w:spacing w:val="-48"/>
              </w:rPr>
              <w:t xml:space="preserve"> </w:t>
            </w:r>
            <w:r>
              <w:rPr>
                <w:rFonts w:ascii="Times New Roman" w:hAnsi="Times New Roman" w:eastAsia="Times New Roman" w:cs="Times New Roman"/>
                <w:spacing w:val="-5"/>
              </w:rPr>
              <w:t>52t</w:t>
            </w:r>
            <w:r>
              <w:rPr>
                <w:spacing w:val="-5"/>
              </w:rPr>
              <w:t>，按照油比重</w:t>
            </w:r>
            <w:r>
              <w:rPr>
                <w:spacing w:val="-52"/>
              </w:rPr>
              <w:t xml:space="preserve"> </w:t>
            </w:r>
            <w:r>
              <w:rPr>
                <w:rFonts w:ascii="Times New Roman" w:hAnsi="Times New Roman" w:eastAsia="Times New Roman" w:cs="Times New Roman"/>
                <w:spacing w:val="-5"/>
              </w:rPr>
              <w:t>0.895t/m</w:t>
            </w:r>
            <w:r>
              <w:rPr>
                <w:rFonts w:ascii="Times New Roman" w:hAnsi="Times New Roman" w:eastAsia="Times New Roman" w:cs="Times New Roman"/>
                <w:spacing w:val="-5"/>
                <w:position w:val="8"/>
                <w:sz w:val="15"/>
                <w:szCs w:val="15"/>
              </w:rPr>
              <w:t>3</w:t>
            </w:r>
            <w:r>
              <w:rPr>
                <w:spacing w:val="-5"/>
              </w:rPr>
              <w:t>，折算体</w:t>
            </w:r>
            <w:r>
              <w:rPr>
                <w:spacing w:val="-6"/>
              </w:rPr>
              <w:t>积约为</w:t>
            </w:r>
            <w:r>
              <w:rPr>
                <w:spacing w:val="-48"/>
              </w:rPr>
              <w:t xml:space="preserve"> </w:t>
            </w:r>
            <w:r>
              <w:rPr>
                <w:rFonts w:ascii="Times New Roman" w:hAnsi="Times New Roman" w:eastAsia="Times New Roman" w:cs="Times New Roman"/>
                <w:spacing w:val="-6"/>
              </w:rPr>
              <w:t>58m</w:t>
            </w:r>
            <w:r>
              <w:rPr>
                <w:rFonts w:ascii="Times New Roman" w:hAnsi="Times New Roman" w:eastAsia="Times New Roman" w:cs="Times New Roman"/>
                <w:spacing w:val="-6"/>
                <w:position w:val="8"/>
                <w:sz w:val="15"/>
                <w:szCs w:val="15"/>
              </w:rPr>
              <w:t>3</w:t>
            </w:r>
            <w:r>
              <w:rPr>
                <w:spacing w:val="-6"/>
              </w:rPr>
              <w:t>。</w:t>
            </w:r>
          </w:p>
          <w:p w14:paraId="2D8D42D4">
            <w:pPr>
              <w:pStyle w:val="9"/>
              <w:spacing w:before="1" w:line="353" w:lineRule="auto"/>
              <w:ind w:left="107" w:right="102" w:firstLine="480"/>
            </w:pPr>
            <w:r>
              <w:rPr>
                <w:spacing w:val="-3"/>
              </w:rPr>
              <w:t>贮油坑的四周设挡油坎，高出地面</w:t>
            </w:r>
            <w:r>
              <w:rPr>
                <w:spacing w:val="-20"/>
              </w:rPr>
              <w:t xml:space="preserve"> </w:t>
            </w:r>
            <w:r>
              <w:rPr>
                <w:rFonts w:ascii="Times New Roman" w:hAnsi="Times New Roman" w:eastAsia="Times New Roman" w:cs="Times New Roman"/>
                <w:spacing w:val="-3"/>
              </w:rPr>
              <w:t>100mm</w:t>
            </w:r>
            <w:r>
              <w:rPr>
                <w:rFonts w:ascii="Times New Roman" w:hAnsi="Times New Roman" w:eastAsia="Times New Roman" w:cs="Times New Roman"/>
                <w:spacing w:val="-31"/>
              </w:rPr>
              <w:t xml:space="preserve"> </w:t>
            </w:r>
            <w:r>
              <w:rPr>
                <w:spacing w:val="-3"/>
              </w:rPr>
              <w:t>，坑内铺设厚度为</w:t>
            </w:r>
            <w:r>
              <w:rPr>
                <w:spacing w:val="-55"/>
              </w:rPr>
              <w:t xml:space="preserve"> </w:t>
            </w:r>
            <w:r>
              <w:rPr>
                <w:rFonts w:ascii="Times New Roman" w:hAnsi="Times New Roman" w:eastAsia="Times New Roman" w:cs="Times New Roman"/>
                <w:spacing w:val="-3"/>
              </w:rPr>
              <w:t>250mm</w:t>
            </w:r>
            <w:r>
              <w:rPr>
                <w:rFonts w:ascii="Times New Roman" w:hAnsi="Times New Roman" w:eastAsia="Times New Roman" w:cs="Times New Roman"/>
                <w:spacing w:val="30"/>
                <w:w w:val="101"/>
              </w:rPr>
              <w:t xml:space="preserve"> </w:t>
            </w:r>
            <w:r>
              <w:rPr>
                <w:spacing w:val="-3"/>
              </w:rPr>
              <w:t>的卵石，卵</w:t>
            </w:r>
            <w:r>
              <w:rPr>
                <w:spacing w:val="1"/>
              </w:rPr>
              <w:t>石粒径为</w:t>
            </w:r>
            <w:r>
              <w:rPr>
                <w:rFonts w:ascii="Times New Roman" w:hAnsi="Times New Roman" w:eastAsia="Times New Roman" w:cs="Times New Roman"/>
                <w:spacing w:val="1"/>
              </w:rPr>
              <w:t>50</w:t>
            </w:r>
            <w:r>
              <w:rPr>
                <w:spacing w:val="1"/>
              </w:rPr>
              <w:t>～</w:t>
            </w:r>
            <w:r>
              <w:rPr>
                <w:rFonts w:ascii="Times New Roman" w:hAnsi="Times New Roman" w:eastAsia="Times New Roman" w:cs="Times New Roman"/>
                <w:spacing w:val="1"/>
              </w:rPr>
              <w:t>80</w:t>
            </w:r>
            <w:r>
              <w:rPr>
                <w:rFonts w:ascii="Times New Roman" w:hAnsi="Times New Roman" w:eastAsia="Times New Roman" w:cs="Times New Roman"/>
              </w:rPr>
              <w:t>mm</w:t>
            </w:r>
            <w:r>
              <w:rPr>
                <w:rFonts w:ascii="Times New Roman" w:hAnsi="Times New Roman" w:eastAsia="Times New Roman" w:cs="Times New Roman"/>
                <w:spacing w:val="-30"/>
              </w:rPr>
              <w:t xml:space="preserve"> </w:t>
            </w:r>
            <w:r>
              <w:rPr>
                <w:spacing w:val="1"/>
              </w:rPr>
              <w:t>，坑底设有排油管，能</w:t>
            </w:r>
            <w:r>
              <w:t>将事故油及消防废水排至事故油池中。</w:t>
            </w:r>
          </w:p>
          <w:p w14:paraId="3F0ECFA1">
            <w:pPr>
              <w:pStyle w:val="9"/>
              <w:spacing w:before="5" w:line="353" w:lineRule="auto"/>
              <w:ind w:left="106" w:right="102" w:firstLine="480"/>
            </w:pPr>
            <w:r>
              <w:rPr>
                <w:spacing w:val="1"/>
              </w:rPr>
              <w:t>事故油池有效容积按单台变压器最大事故排油量的</w:t>
            </w:r>
            <w:r>
              <w:rPr>
                <w:spacing w:val="-11"/>
              </w:rPr>
              <w:t xml:space="preserve"> </w:t>
            </w:r>
            <w:r>
              <w:rPr>
                <w:rFonts w:ascii="Times New Roman" w:hAnsi="Times New Roman" w:eastAsia="Times New Roman" w:cs="Times New Roman"/>
                <w:spacing w:val="1"/>
              </w:rPr>
              <w:t>100%</w:t>
            </w:r>
            <w:r>
              <w:rPr>
                <w:spacing w:val="1"/>
              </w:rPr>
              <w:t>考虑，本项目共设置</w:t>
            </w:r>
            <w:r>
              <w:rPr>
                <w:spacing w:val="-27"/>
              </w:rPr>
              <w:t xml:space="preserve"> </w:t>
            </w:r>
            <w:r>
              <w:rPr>
                <w:rFonts w:ascii="Times New Roman" w:hAnsi="Times New Roman" w:eastAsia="Times New Roman" w:cs="Times New Roman"/>
                <w:spacing w:val="1"/>
              </w:rPr>
              <w:t>1</w:t>
            </w:r>
            <w:r>
              <w:rPr>
                <w:spacing w:val="-2"/>
              </w:rPr>
              <w:t>台主变，事故油池尺寸有效容积为</w:t>
            </w:r>
            <w:r>
              <w:rPr>
                <w:spacing w:val="-38"/>
              </w:rPr>
              <w:t xml:space="preserve"> </w:t>
            </w:r>
            <w:r>
              <w:rPr>
                <w:rFonts w:ascii="Times New Roman" w:hAnsi="Times New Roman" w:eastAsia="Times New Roman" w:cs="Times New Roman"/>
                <w:spacing w:val="-2"/>
              </w:rPr>
              <w:t>60m</w:t>
            </w:r>
            <w:r>
              <w:rPr>
                <w:rFonts w:ascii="Times New Roman" w:hAnsi="Times New Roman" w:eastAsia="Times New Roman" w:cs="Times New Roman"/>
                <w:spacing w:val="-2"/>
                <w:position w:val="8"/>
                <w:sz w:val="15"/>
                <w:szCs w:val="15"/>
              </w:rPr>
              <w:t xml:space="preserve">3 </w:t>
            </w:r>
            <w:r>
              <w:rPr>
                <w:spacing w:val="-2"/>
              </w:rPr>
              <w:t>。主变事故油池顶板井盖高出地面</w:t>
            </w:r>
            <w:r>
              <w:rPr>
                <w:spacing w:val="-30"/>
              </w:rPr>
              <w:t xml:space="preserve"> </w:t>
            </w:r>
            <w:r>
              <w:rPr>
                <w:rFonts w:ascii="Times New Roman" w:hAnsi="Times New Roman" w:eastAsia="Times New Roman" w:cs="Times New Roman"/>
                <w:spacing w:val="-2"/>
              </w:rPr>
              <w:t>150mm</w:t>
            </w:r>
            <w:r>
              <w:rPr>
                <w:rFonts w:ascii="Times New Roman" w:hAnsi="Times New Roman" w:eastAsia="Times New Roman" w:cs="Times New Roman"/>
                <w:spacing w:val="-24"/>
              </w:rPr>
              <w:t xml:space="preserve"> </w:t>
            </w:r>
            <w:r>
              <w:rPr>
                <w:spacing w:val="-2"/>
              </w:rPr>
              <w:t>。</w:t>
            </w:r>
            <w:r>
              <w:rPr>
                <w:spacing w:val="2"/>
              </w:rPr>
              <w:t>采用</w:t>
            </w:r>
            <w:r>
              <w:rPr>
                <w:spacing w:val="-28"/>
              </w:rPr>
              <w:t xml:space="preserve"> </w:t>
            </w:r>
            <w:r>
              <w:rPr>
                <w:rFonts w:ascii="Times New Roman" w:hAnsi="Times New Roman" w:eastAsia="Times New Roman" w:cs="Times New Roman"/>
                <w:spacing w:val="2"/>
              </w:rPr>
              <w:t>C30P8</w:t>
            </w:r>
            <w:r>
              <w:rPr>
                <w:rFonts w:ascii="Times New Roman" w:hAnsi="Times New Roman" w:eastAsia="Times New Roman" w:cs="Times New Roman"/>
                <w:spacing w:val="16"/>
                <w:w w:val="101"/>
              </w:rPr>
              <w:t xml:space="preserve"> </w:t>
            </w:r>
            <w:r>
              <w:rPr>
                <w:spacing w:val="2"/>
              </w:rPr>
              <w:t>抗渗钢筋混凝土整版基础基础底板、墙板</w:t>
            </w:r>
            <w:r>
              <w:rPr>
                <w:spacing w:val="-48"/>
              </w:rPr>
              <w:t xml:space="preserve"> </w:t>
            </w:r>
            <w:r>
              <w:rPr>
                <w:rFonts w:ascii="Times New Roman" w:hAnsi="Times New Roman" w:eastAsia="Times New Roman" w:cs="Times New Roman"/>
                <w:spacing w:val="2"/>
              </w:rPr>
              <w:t>250</w:t>
            </w:r>
            <w:r>
              <w:rPr>
                <w:rFonts w:ascii="Times New Roman" w:hAnsi="Times New Roman" w:eastAsia="Times New Roman" w:cs="Times New Roman"/>
              </w:rPr>
              <w:t>mm</w:t>
            </w:r>
            <w:r>
              <w:rPr>
                <w:rFonts w:ascii="Times New Roman" w:hAnsi="Times New Roman" w:eastAsia="Times New Roman" w:cs="Times New Roman"/>
                <w:spacing w:val="23"/>
              </w:rPr>
              <w:t xml:space="preserve"> </w:t>
            </w:r>
            <w:r>
              <w:rPr>
                <w:spacing w:val="2"/>
              </w:rPr>
              <w:t>厚，</w:t>
            </w:r>
            <w:r>
              <w:rPr>
                <w:rFonts w:ascii="Times New Roman" w:hAnsi="Times New Roman" w:eastAsia="Times New Roman" w:cs="Times New Roman"/>
                <w:spacing w:val="2"/>
              </w:rPr>
              <w:t>100</w:t>
            </w:r>
            <w:r>
              <w:rPr>
                <w:rFonts w:ascii="Times New Roman" w:hAnsi="Times New Roman" w:eastAsia="Times New Roman" w:cs="Times New Roman"/>
              </w:rPr>
              <w:t>mm</w:t>
            </w:r>
            <w:r>
              <w:rPr>
                <w:rFonts w:ascii="Times New Roman" w:hAnsi="Times New Roman" w:eastAsia="Times New Roman" w:cs="Times New Roman"/>
                <w:spacing w:val="23"/>
              </w:rPr>
              <w:t xml:space="preserve"> </w:t>
            </w:r>
            <w:r>
              <w:rPr>
                <w:spacing w:val="2"/>
              </w:rPr>
              <w:t>厚的</w:t>
            </w:r>
            <w:r>
              <w:rPr>
                <w:spacing w:val="-44"/>
              </w:rPr>
              <w:t xml:space="preserve"> </w:t>
            </w:r>
            <w:r>
              <w:rPr>
                <w:rFonts w:ascii="Times New Roman" w:hAnsi="Times New Roman" w:eastAsia="Times New Roman" w:cs="Times New Roman"/>
                <w:spacing w:val="2"/>
              </w:rPr>
              <w:t>C20</w:t>
            </w:r>
            <w:r>
              <w:rPr>
                <w:spacing w:val="-3"/>
              </w:rPr>
              <w:t>混凝土垫层，防渗层为</w:t>
            </w:r>
            <w:r>
              <w:rPr>
                <w:spacing w:val="-55"/>
              </w:rPr>
              <w:t xml:space="preserve"> </w:t>
            </w:r>
            <w:r>
              <w:rPr>
                <w:rFonts w:ascii="Times New Roman" w:hAnsi="Times New Roman" w:eastAsia="Times New Roman" w:cs="Times New Roman"/>
                <w:spacing w:val="-3"/>
              </w:rPr>
              <w:t>2mm</w:t>
            </w:r>
            <w:r>
              <w:rPr>
                <w:rFonts w:ascii="Times New Roman" w:hAnsi="Times New Roman" w:eastAsia="Times New Roman" w:cs="Times New Roman"/>
                <w:spacing w:val="16"/>
              </w:rPr>
              <w:t xml:space="preserve"> </w:t>
            </w:r>
            <w:r>
              <w:rPr>
                <w:spacing w:val="-3"/>
              </w:rPr>
              <w:t>厚高密度聚乙烯膜，渗透系数≤</w:t>
            </w:r>
            <w:r>
              <w:rPr>
                <w:rFonts w:ascii="Times New Roman" w:hAnsi="Times New Roman" w:eastAsia="Times New Roman" w:cs="Times New Roman"/>
                <w:spacing w:val="-4"/>
              </w:rPr>
              <w:t>10</w:t>
            </w:r>
            <w:r>
              <w:rPr>
                <w:rFonts w:ascii="Times New Roman" w:hAnsi="Times New Roman" w:eastAsia="Times New Roman" w:cs="Times New Roman"/>
                <w:spacing w:val="-4"/>
                <w:position w:val="8"/>
                <w:sz w:val="15"/>
                <w:szCs w:val="15"/>
              </w:rPr>
              <w:t>-</w:t>
            </w:r>
            <w:r>
              <w:rPr>
                <w:rFonts w:ascii="Times New Roman" w:hAnsi="Times New Roman" w:eastAsia="Times New Roman" w:cs="Times New Roman"/>
                <w:spacing w:val="-21"/>
                <w:position w:val="8"/>
                <w:sz w:val="15"/>
                <w:szCs w:val="15"/>
              </w:rPr>
              <w:t xml:space="preserve"> </w:t>
            </w:r>
            <w:r>
              <w:rPr>
                <w:rFonts w:ascii="Times New Roman" w:hAnsi="Times New Roman" w:eastAsia="Times New Roman" w:cs="Times New Roman"/>
                <w:spacing w:val="-4"/>
                <w:position w:val="8"/>
                <w:sz w:val="15"/>
                <w:szCs w:val="15"/>
              </w:rPr>
              <w:t>10</w:t>
            </w:r>
            <w:r>
              <w:rPr>
                <w:rFonts w:ascii="Times New Roman" w:hAnsi="Times New Roman" w:eastAsia="Times New Roman" w:cs="Times New Roman"/>
                <w:spacing w:val="-4"/>
              </w:rPr>
              <w:t>cm/s</w:t>
            </w:r>
            <w:r>
              <w:rPr>
                <w:spacing w:val="-4"/>
              </w:rPr>
              <w:t>，油池内外壁和</w:t>
            </w:r>
            <w:r>
              <w:rPr>
                <w:spacing w:val="-2"/>
              </w:rPr>
              <w:t>底板抹防水砂浆厚</w:t>
            </w:r>
            <w:r>
              <w:rPr>
                <w:spacing w:val="-44"/>
              </w:rPr>
              <w:t xml:space="preserve"> </w:t>
            </w:r>
            <w:r>
              <w:rPr>
                <w:rFonts w:ascii="Times New Roman" w:hAnsi="Times New Roman" w:eastAsia="Times New Roman" w:cs="Times New Roman"/>
                <w:spacing w:val="-2"/>
              </w:rPr>
              <w:t>20mm</w:t>
            </w:r>
            <w:r>
              <w:rPr>
                <w:spacing w:val="-2"/>
              </w:rPr>
              <w:t>。</w:t>
            </w:r>
          </w:p>
          <w:p w14:paraId="3F4319ED">
            <w:pPr>
              <w:pStyle w:val="9"/>
              <w:spacing w:before="1" w:line="354" w:lineRule="auto"/>
              <w:ind w:left="106" w:right="102" w:firstLine="480"/>
              <w:jc w:val="both"/>
            </w:pPr>
            <w:r>
              <w:rPr>
                <w:spacing w:val="2"/>
              </w:rPr>
              <w:t>根据《变压器事故油池设计计算》中变压器事故油池工作过程（</w:t>
            </w:r>
            <w:r>
              <w:rPr>
                <w:rFonts w:ascii="Times New Roman" w:hAnsi="Times New Roman" w:eastAsia="Times New Roman" w:cs="Times New Roman"/>
                <w:spacing w:val="2"/>
              </w:rPr>
              <w:t>1</w:t>
            </w:r>
            <w:r>
              <w:rPr>
                <w:spacing w:val="2"/>
              </w:rPr>
              <w:t>）在变压器没</w:t>
            </w:r>
            <w:r>
              <w:rPr>
                <w:spacing w:val="-1"/>
              </w:rPr>
              <w:t>有发生事故时，事故油池内保存一定高度的水，在日常维护时，注意定期</w:t>
            </w:r>
            <w:r>
              <w:rPr>
                <w:spacing w:val="-2"/>
              </w:rPr>
              <w:t>补水，保持</w:t>
            </w:r>
            <w:r>
              <w:rPr>
                <w:spacing w:val="-1"/>
              </w:rPr>
              <w:t>一定高度的水面，因此，在事故油池设计时事故油池的容积一定会大于变</w:t>
            </w:r>
            <w:r>
              <w:rPr>
                <w:spacing w:val="-2"/>
              </w:rPr>
              <w:t>压器油的体</w:t>
            </w:r>
            <w:r>
              <w:rPr>
                <w:spacing w:val="-1"/>
              </w:rPr>
              <w:t>积。发生事故时，事故废油在事故油池内暂存</w:t>
            </w:r>
            <w:r>
              <w:rPr>
                <w:spacing w:val="-25"/>
              </w:rPr>
              <w:t xml:space="preserve"> </w:t>
            </w:r>
            <w:r>
              <w:rPr>
                <w:rFonts w:ascii="Times New Roman" w:hAnsi="Times New Roman" w:eastAsia="Times New Roman" w:cs="Times New Roman"/>
                <w:spacing w:val="-1"/>
              </w:rPr>
              <w:t xml:space="preserve">1-2 </w:t>
            </w:r>
            <w:r>
              <w:rPr>
                <w:spacing w:val="-1"/>
              </w:rPr>
              <w:t>天，要求建设单位委托有资质的单</w:t>
            </w:r>
            <w:r>
              <w:rPr>
                <w:spacing w:val="-2"/>
              </w:rPr>
              <w:t>位及时拉运处</w:t>
            </w:r>
          </w:p>
          <w:p w14:paraId="035CC197">
            <w:pPr>
              <w:pStyle w:val="9"/>
              <w:spacing w:line="219" w:lineRule="auto"/>
              <w:ind w:left="598"/>
            </w:pPr>
            <w:r>
              <w:rPr>
                <w:spacing w:val="-3"/>
              </w:rPr>
              <w:t>（</w:t>
            </w:r>
            <w:r>
              <w:rPr>
                <w:rFonts w:ascii="Times New Roman" w:hAnsi="Times New Roman" w:eastAsia="Times New Roman" w:cs="Times New Roman"/>
                <w:spacing w:val="-3"/>
              </w:rPr>
              <w:t>3</w:t>
            </w:r>
            <w:r>
              <w:rPr>
                <w:spacing w:val="-3"/>
              </w:rPr>
              <w:t>）维修废油</w:t>
            </w:r>
          </w:p>
        </w:tc>
      </w:tr>
    </w:tbl>
    <w:p w14:paraId="42F2640D">
      <w:pPr>
        <w:pStyle w:val="3"/>
      </w:pPr>
    </w:p>
    <w:p w14:paraId="105443C9">
      <w:pPr>
        <w:sectPr>
          <w:footerReference r:id="rId81" w:type="default"/>
          <w:pgSz w:w="11907" w:h="16840"/>
          <w:pgMar w:top="1431" w:right="1164" w:bottom="1292" w:left="1163" w:header="0" w:footer="1133" w:gutter="0"/>
          <w:cols w:space="720" w:num="1"/>
        </w:sectPr>
      </w:pPr>
    </w:p>
    <w:p w14:paraId="691704D2">
      <w:pPr>
        <w:spacing w:line="89" w:lineRule="auto"/>
        <w:rPr>
          <w:rFonts w:ascii="Arial"/>
          <w:sz w:val="2"/>
        </w:rPr>
      </w:pPr>
    </w:p>
    <w:tbl>
      <w:tblPr>
        <w:tblStyle w:val="8"/>
        <w:tblW w:w="95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05"/>
        <w:gridCol w:w="9059"/>
      </w:tblGrid>
      <w:tr w14:paraId="495E20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477" w:hRule="atLeast"/>
        </w:trPr>
        <w:tc>
          <w:tcPr>
            <w:tcW w:w="505" w:type="dxa"/>
            <w:tcBorders>
              <w:right w:val="single" w:color="000000" w:sz="2" w:space="0"/>
            </w:tcBorders>
            <w:vAlign w:val="top"/>
          </w:tcPr>
          <w:p w14:paraId="06D15463">
            <w:pPr>
              <w:rPr>
                <w:rFonts w:ascii="Arial"/>
                <w:sz w:val="21"/>
              </w:rPr>
            </w:pPr>
          </w:p>
        </w:tc>
        <w:tc>
          <w:tcPr>
            <w:tcW w:w="9059" w:type="dxa"/>
            <w:tcBorders>
              <w:left w:val="single" w:color="000000" w:sz="2" w:space="0"/>
            </w:tcBorders>
            <w:vAlign w:val="top"/>
          </w:tcPr>
          <w:p w14:paraId="00C84DBC">
            <w:pPr>
              <w:pStyle w:val="9"/>
              <w:spacing w:before="156" w:line="354" w:lineRule="auto"/>
              <w:ind w:left="108" w:right="102" w:firstLine="480"/>
              <w:jc w:val="both"/>
            </w:pPr>
            <w:r>
              <w:rPr>
                <w:spacing w:val="-1"/>
              </w:rPr>
              <w:t>升压站日常检修中要进行拆卸、加油、擦洗等，该过程会产</w:t>
            </w:r>
            <w:r>
              <w:rPr>
                <w:spacing w:val="-2"/>
              </w:rPr>
              <w:t>生维修垃圾（包括废</w:t>
            </w:r>
            <w:r>
              <w:t>油）。类比同类项目，本项目维修垃圾年产生量为</w:t>
            </w:r>
            <w:r>
              <w:rPr>
                <w:spacing w:val="-47"/>
              </w:rPr>
              <w:t xml:space="preserve"> </w:t>
            </w:r>
            <w:r>
              <w:rPr>
                <w:rFonts w:ascii="Times New Roman" w:hAnsi="Times New Roman" w:eastAsia="Times New Roman" w:cs="Times New Roman"/>
              </w:rPr>
              <w:t>0.</w:t>
            </w:r>
            <w:r>
              <w:rPr>
                <w:rFonts w:ascii="Times New Roman" w:hAnsi="Times New Roman" w:eastAsia="Times New Roman" w:cs="Times New Roman"/>
                <w:spacing w:val="-31"/>
              </w:rPr>
              <w:t xml:space="preserve"> </w:t>
            </w:r>
            <w:r>
              <w:rPr>
                <w:rFonts w:ascii="Times New Roman" w:hAnsi="Times New Roman" w:eastAsia="Times New Roman" w:cs="Times New Roman"/>
              </w:rPr>
              <w:t>1t/a</w:t>
            </w:r>
            <w:r>
              <w:rPr>
                <w:rFonts w:ascii="Times New Roman" w:hAnsi="Times New Roman" w:eastAsia="Times New Roman" w:cs="Times New Roman"/>
                <w:spacing w:val="-26"/>
              </w:rPr>
              <w:t xml:space="preserve"> </w:t>
            </w:r>
            <w:r>
              <w:t>。按照国家危险废物名录，</w:t>
            </w:r>
            <w:r>
              <w:rPr>
                <w:spacing w:val="-1"/>
              </w:rPr>
              <w:t>属危险废物（</w:t>
            </w:r>
            <w:r>
              <w:rPr>
                <w:rFonts w:ascii="Times New Roman" w:hAnsi="Times New Roman" w:eastAsia="Times New Roman" w:cs="Times New Roman"/>
                <w:spacing w:val="-1"/>
              </w:rPr>
              <w:t xml:space="preserve">HW08 </w:t>
            </w:r>
            <w:r>
              <w:rPr>
                <w:spacing w:val="-1"/>
              </w:rPr>
              <w:t>废矿物油，废物代码</w:t>
            </w:r>
            <w:r>
              <w:rPr>
                <w:spacing w:val="-48"/>
              </w:rPr>
              <w:t xml:space="preserve"> </w:t>
            </w:r>
            <w:r>
              <w:rPr>
                <w:rFonts w:ascii="Times New Roman" w:hAnsi="Times New Roman" w:eastAsia="Times New Roman" w:cs="Times New Roman"/>
                <w:spacing w:val="-1"/>
              </w:rPr>
              <w:t>900-217-08</w:t>
            </w:r>
            <w:r>
              <w:rPr>
                <w:spacing w:val="12"/>
              </w:rPr>
              <w:t>），</w:t>
            </w:r>
            <w:r>
              <w:rPr>
                <w:spacing w:val="-1"/>
              </w:rPr>
              <w:t>经专门容器收集后暂时贮存于场内危险废物暂存间，委托有资质的单位及时处置。</w:t>
            </w:r>
          </w:p>
          <w:p w14:paraId="65CD308F">
            <w:pPr>
              <w:pStyle w:val="9"/>
              <w:spacing w:line="219" w:lineRule="auto"/>
              <w:ind w:left="586"/>
              <w:outlineLvl w:val="1"/>
            </w:pPr>
            <w:r>
              <w:rPr>
                <w:rFonts w:ascii="Times New Roman" w:hAnsi="Times New Roman" w:eastAsia="Times New Roman" w:cs="Times New Roman"/>
                <w:b/>
                <w:bCs/>
                <w:spacing w:val="-2"/>
              </w:rPr>
              <w:t xml:space="preserve">6  </w:t>
            </w:r>
            <w:r>
              <w:rPr>
                <w:b/>
                <w:bCs/>
                <w:spacing w:val="-2"/>
              </w:rPr>
              <w:t>危险废物厂内临时贮存方案</w:t>
            </w:r>
          </w:p>
          <w:p w14:paraId="34F7C64B">
            <w:pPr>
              <w:pStyle w:val="9"/>
              <w:spacing w:before="174" w:line="355" w:lineRule="auto"/>
              <w:ind w:left="106" w:right="102" w:firstLine="480"/>
            </w:pPr>
            <w:r>
              <w:rPr>
                <w:spacing w:val="-1"/>
              </w:rPr>
              <w:t>本项目维修垃圾、污油（废润滑油）、废铅蓄电池经专门容器</w:t>
            </w:r>
            <w:r>
              <w:rPr>
                <w:spacing w:val="-2"/>
              </w:rPr>
              <w:t>收集后，在危险废</w:t>
            </w:r>
            <w:r>
              <w:rPr>
                <w:spacing w:val="-1"/>
              </w:rPr>
              <w:t>物暂存间暂存，委托有资质的单位及时处置。</w:t>
            </w:r>
          </w:p>
          <w:p w14:paraId="42F00CA8">
            <w:pPr>
              <w:pStyle w:val="9"/>
              <w:spacing w:before="1" w:line="361" w:lineRule="auto"/>
              <w:ind w:left="106" w:right="102" w:firstLine="483"/>
              <w:jc w:val="both"/>
            </w:pPr>
            <w:r>
              <w:rPr>
                <w:spacing w:val="-4"/>
              </w:rPr>
              <w:t>危险废物经专门容器收集后暂时贮存于场内危险废物暂存间（占地面积</w:t>
            </w:r>
            <w:r>
              <w:rPr>
                <w:spacing w:val="-39"/>
              </w:rPr>
              <w:t xml:space="preserve"> </w:t>
            </w:r>
            <w:r>
              <w:rPr>
                <w:rFonts w:ascii="Times New Roman" w:hAnsi="Times New Roman" w:eastAsia="Times New Roman" w:cs="Times New Roman"/>
                <w:spacing w:val="-4"/>
              </w:rPr>
              <w:t>57m</w:t>
            </w:r>
            <w:r>
              <w:rPr>
                <w:rFonts w:ascii="Times New Roman" w:hAnsi="Times New Roman" w:eastAsia="Times New Roman" w:cs="Times New Roman"/>
                <w:spacing w:val="-4"/>
                <w:position w:val="7"/>
                <w:sz w:val="15"/>
                <w:szCs w:val="15"/>
              </w:rPr>
              <w:t>2</w:t>
            </w:r>
            <w:r>
              <w:rPr>
                <w:spacing w:val="-4"/>
              </w:rPr>
              <w:t>，渗</w:t>
            </w:r>
            <w:r>
              <w:rPr>
                <w:spacing w:val="-2"/>
              </w:rPr>
              <w:t>透系数小于等于</w:t>
            </w:r>
            <w:r>
              <w:rPr>
                <w:spacing w:val="-31"/>
              </w:rPr>
              <w:t xml:space="preserve"> </w:t>
            </w:r>
            <w:r>
              <w:rPr>
                <w:rFonts w:ascii="Times New Roman" w:hAnsi="Times New Roman" w:eastAsia="Times New Roman" w:cs="Times New Roman"/>
                <w:spacing w:val="-2"/>
              </w:rPr>
              <w:t>10</w:t>
            </w:r>
            <w:r>
              <w:rPr>
                <w:rFonts w:ascii="Times New Roman" w:hAnsi="Times New Roman" w:eastAsia="Times New Roman" w:cs="Times New Roman"/>
                <w:spacing w:val="-2"/>
                <w:position w:val="7"/>
                <w:sz w:val="15"/>
                <w:szCs w:val="15"/>
              </w:rPr>
              <w:t>-</w:t>
            </w:r>
            <w:r>
              <w:rPr>
                <w:rFonts w:ascii="Times New Roman" w:hAnsi="Times New Roman" w:eastAsia="Times New Roman" w:cs="Times New Roman"/>
                <w:spacing w:val="-21"/>
                <w:position w:val="7"/>
                <w:sz w:val="15"/>
                <w:szCs w:val="15"/>
              </w:rPr>
              <w:t xml:space="preserve"> </w:t>
            </w:r>
            <w:r>
              <w:rPr>
                <w:rFonts w:ascii="Times New Roman" w:hAnsi="Times New Roman" w:eastAsia="Times New Roman" w:cs="Times New Roman"/>
                <w:spacing w:val="-2"/>
                <w:position w:val="7"/>
                <w:sz w:val="15"/>
                <w:szCs w:val="15"/>
              </w:rPr>
              <w:t>10</w:t>
            </w:r>
            <w:r>
              <w:rPr>
                <w:rFonts w:ascii="Times New Roman" w:hAnsi="Times New Roman" w:eastAsia="Times New Roman" w:cs="Times New Roman"/>
                <w:spacing w:val="-2"/>
              </w:rPr>
              <w:t>cm/s</w:t>
            </w:r>
            <w:r>
              <w:t>），</w:t>
            </w:r>
            <w:r>
              <w:rPr>
                <w:spacing w:val="-2"/>
              </w:rPr>
              <w:t>暂存时间为</w:t>
            </w:r>
            <w:r>
              <w:rPr>
                <w:spacing w:val="-50"/>
              </w:rPr>
              <w:t xml:space="preserve"> </w:t>
            </w:r>
            <w:r>
              <w:rPr>
                <w:rFonts w:ascii="Times New Roman" w:hAnsi="Times New Roman" w:eastAsia="Times New Roman" w:cs="Times New Roman"/>
                <w:spacing w:val="-2"/>
              </w:rPr>
              <w:t xml:space="preserve">6 </w:t>
            </w:r>
            <w:r>
              <w:rPr>
                <w:spacing w:val="-2"/>
              </w:rPr>
              <w:t>个月，委托有资质的单</w:t>
            </w:r>
            <w:r>
              <w:rPr>
                <w:spacing w:val="-3"/>
              </w:rPr>
              <w:t>位及时处置。根据</w:t>
            </w:r>
            <w:r>
              <w:rPr>
                <w:spacing w:val="-1"/>
              </w:rPr>
              <w:t>《废铅蓄电池处理污染控制技术规范》（</w:t>
            </w:r>
            <w:r>
              <w:rPr>
                <w:rFonts w:ascii="Times New Roman" w:hAnsi="Times New Roman" w:eastAsia="Times New Roman" w:cs="Times New Roman"/>
                <w:spacing w:val="-1"/>
              </w:rPr>
              <w:t>HJ519-2020</w:t>
            </w:r>
            <w:r>
              <w:rPr>
                <w:spacing w:val="6"/>
              </w:rPr>
              <w:t>），</w:t>
            </w:r>
            <w:r>
              <w:rPr>
                <w:spacing w:val="-1"/>
              </w:rPr>
              <w:t>基于废铅蓄电池收集过程的特殊性及其环境风险，分为收集网点暂存和集中转运点贮存两种方式。本项</w:t>
            </w:r>
            <w:r>
              <w:rPr>
                <w:spacing w:val="-2"/>
              </w:rPr>
              <w:t>目为铅蓄</w:t>
            </w:r>
            <w:r>
              <w:rPr>
                <w:spacing w:val="-1"/>
              </w:rPr>
              <w:t>电池使用终端，暂存场所仅作为风场内部的铅蓄电池暂存，不包括废铅蓄电</w:t>
            </w:r>
            <w:r>
              <w:rPr>
                <w:spacing w:val="-2"/>
              </w:rPr>
              <w:t>池的运输</w:t>
            </w:r>
            <w:r>
              <w:rPr>
                <w:spacing w:val="-1"/>
              </w:rPr>
              <w:t>及处理，因此本项目危废暂存间为收集网点暂存。</w:t>
            </w:r>
          </w:p>
          <w:p w14:paraId="26079BE4">
            <w:pPr>
              <w:pStyle w:val="9"/>
              <w:spacing w:before="3" w:line="353" w:lineRule="auto"/>
              <w:ind w:left="110" w:right="102" w:firstLine="479"/>
              <w:jc w:val="both"/>
            </w:pPr>
            <w:r>
              <w:rPr>
                <w:spacing w:val="-1"/>
              </w:rPr>
              <w:t>危废暂存间用于风场区域维修废油及废电池的贮存，危废</w:t>
            </w:r>
            <w:r>
              <w:rPr>
                <w:spacing w:val="-2"/>
              </w:rPr>
              <w:t>暂存间采用自然进风，</w:t>
            </w:r>
            <w:r>
              <w:rPr>
                <w:spacing w:val="-1"/>
              </w:rPr>
              <w:t>设置方形防腐防爆轴流风机</w:t>
            </w:r>
            <w:r>
              <w:rPr>
                <w:spacing w:val="39"/>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15"/>
              </w:rPr>
              <w:t xml:space="preserve">  </w:t>
            </w:r>
            <w:r>
              <w:rPr>
                <w:spacing w:val="-1"/>
              </w:rPr>
              <w:t>台，单台风机风量：</w:t>
            </w:r>
            <w:r>
              <w:rPr>
                <w:rFonts w:ascii="Times New Roman" w:hAnsi="Times New Roman" w:eastAsia="Times New Roman" w:cs="Times New Roman"/>
                <w:spacing w:val="-1"/>
              </w:rPr>
              <w:t>1600m</w:t>
            </w:r>
            <w:r>
              <w:rPr>
                <w:spacing w:val="-1"/>
              </w:rPr>
              <w:t>³</w:t>
            </w:r>
            <w:r>
              <w:rPr>
                <w:rFonts w:ascii="Times New Roman" w:hAnsi="Times New Roman" w:eastAsia="Times New Roman" w:cs="Times New Roman"/>
                <w:spacing w:val="-1"/>
              </w:rPr>
              <w:t>/h</w:t>
            </w:r>
            <w:r>
              <w:rPr>
                <w:rFonts w:ascii="Times New Roman" w:hAnsi="Times New Roman" w:eastAsia="Times New Roman" w:cs="Times New Roman"/>
                <w:spacing w:val="-28"/>
              </w:rPr>
              <w:t xml:space="preserve"> </w:t>
            </w:r>
            <w:r>
              <w:rPr>
                <w:spacing w:val="-1"/>
              </w:rPr>
              <w:t>，在库危废暂存间东墙</w:t>
            </w:r>
            <w:r>
              <w:rPr>
                <w:spacing w:val="-3"/>
              </w:rPr>
              <w:t>设置观察窗口</w:t>
            </w:r>
            <w:r>
              <w:rPr>
                <w:spacing w:val="-20"/>
              </w:rPr>
              <w:t xml:space="preserve"> </w:t>
            </w:r>
            <w:r>
              <w:rPr>
                <w:rFonts w:ascii="Times New Roman" w:hAnsi="Times New Roman" w:eastAsia="Times New Roman" w:cs="Times New Roman"/>
                <w:spacing w:val="-3"/>
              </w:rPr>
              <w:t xml:space="preserve">1 </w:t>
            </w:r>
            <w:r>
              <w:rPr>
                <w:spacing w:val="-3"/>
              </w:rPr>
              <w:t>个，窗口面积</w:t>
            </w:r>
            <w:r>
              <w:rPr>
                <w:spacing w:val="-51"/>
              </w:rPr>
              <w:t xml:space="preserve"> </w:t>
            </w:r>
            <w:r>
              <w:rPr>
                <w:rFonts w:ascii="Times New Roman" w:hAnsi="Times New Roman" w:eastAsia="Times New Roman" w:cs="Times New Roman"/>
                <w:spacing w:val="-3"/>
              </w:rPr>
              <w:t>0.6m</w:t>
            </w:r>
            <w:r>
              <w:rPr>
                <w:rFonts w:ascii="Times New Roman" w:hAnsi="Times New Roman" w:eastAsia="Times New Roman" w:cs="Times New Roman"/>
                <w:spacing w:val="-3"/>
                <w:position w:val="7"/>
                <w:sz w:val="15"/>
                <w:szCs w:val="15"/>
              </w:rPr>
              <w:t>2</w:t>
            </w:r>
            <w:r>
              <w:rPr>
                <w:spacing w:val="-3"/>
              </w:rPr>
              <w:t>。</w:t>
            </w:r>
          </w:p>
          <w:p w14:paraId="7F430320">
            <w:pPr>
              <w:pStyle w:val="9"/>
              <w:spacing w:before="1" w:line="352" w:lineRule="auto"/>
              <w:ind w:left="105" w:right="22" w:firstLine="484"/>
              <w:jc w:val="both"/>
            </w:pPr>
            <w:r>
              <w:rPr>
                <w:spacing w:val="-1"/>
              </w:rPr>
              <w:t>危废暂存间悬挂张贴危废警示标识（</w:t>
            </w:r>
            <w:r>
              <w:rPr>
                <w:rFonts w:ascii="Times New Roman" w:hAnsi="Times New Roman" w:eastAsia="Times New Roman" w:cs="Times New Roman"/>
                <w:spacing w:val="-1"/>
              </w:rPr>
              <w:t xml:space="preserve">PVC </w:t>
            </w:r>
            <w:r>
              <w:rPr>
                <w:spacing w:val="-2"/>
              </w:rPr>
              <w:t>材质）、管理制度标识（</w:t>
            </w:r>
            <w:r>
              <w:rPr>
                <w:rFonts w:ascii="Times New Roman" w:hAnsi="Times New Roman" w:eastAsia="Times New Roman" w:cs="Times New Roman"/>
                <w:spacing w:val="-2"/>
              </w:rPr>
              <w:t xml:space="preserve">PVC </w:t>
            </w:r>
            <w:r>
              <w:rPr>
                <w:spacing w:val="-2"/>
              </w:rPr>
              <w:t>材质）、</w:t>
            </w:r>
            <w:r>
              <w:t>危废标签贴（国标）。四周各设一道收集沟（宽</w:t>
            </w:r>
            <w:r>
              <w:rPr>
                <w:spacing w:val="-15"/>
              </w:rPr>
              <w:t xml:space="preserve"> </w:t>
            </w:r>
            <w:r>
              <w:rPr>
                <w:rFonts w:ascii="Times New Roman" w:hAnsi="Times New Roman" w:eastAsia="Times New Roman" w:cs="Times New Roman"/>
              </w:rPr>
              <w:t>10cm</w:t>
            </w:r>
            <w:r>
              <w:rPr>
                <w:rFonts w:ascii="Times New Roman" w:hAnsi="Times New Roman" w:eastAsia="Times New Roman" w:cs="Times New Roman"/>
                <w:spacing w:val="-26"/>
              </w:rPr>
              <w:t xml:space="preserve"> </w:t>
            </w:r>
            <w:r>
              <w:t>，深</w:t>
            </w:r>
            <w:r>
              <w:rPr>
                <w:spacing w:val="-46"/>
              </w:rPr>
              <w:t xml:space="preserve"> </w:t>
            </w:r>
            <w:r>
              <w:rPr>
                <w:rFonts w:ascii="Times New Roman" w:hAnsi="Times New Roman" w:eastAsia="Times New Roman" w:cs="Times New Roman"/>
              </w:rPr>
              <w:t>5cm</w:t>
            </w:r>
            <w:r>
              <w:t>）通往收集池，用于</w:t>
            </w:r>
            <w:r>
              <w:rPr>
                <w:spacing w:val="-3"/>
              </w:rPr>
              <w:t>将溢出废油导入收集池内。西北角设置了收集池一个，尺寸为长</w:t>
            </w:r>
            <w:r>
              <w:rPr>
                <w:spacing w:val="-33"/>
              </w:rPr>
              <w:t xml:space="preserve"> </w:t>
            </w:r>
            <w:r>
              <w:rPr>
                <w:rFonts w:ascii="Times New Roman" w:hAnsi="Times New Roman" w:eastAsia="Times New Roman" w:cs="Times New Roman"/>
                <w:spacing w:val="-3"/>
              </w:rPr>
              <w:t>60cm</w:t>
            </w:r>
            <w:r>
              <w:rPr>
                <w:rFonts w:ascii="Times New Roman" w:hAnsi="Times New Roman" w:eastAsia="Times New Roman" w:cs="Times New Roman"/>
                <w:spacing w:val="-31"/>
              </w:rPr>
              <w:t xml:space="preserve"> </w:t>
            </w:r>
            <w:r>
              <w:rPr>
                <w:spacing w:val="-3"/>
              </w:rPr>
              <w:t>、宽</w:t>
            </w:r>
            <w:r>
              <w:rPr>
                <w:spacing w:val="-49"/>
              </w:rPr>
              <w:t xml:space="preserve"> </w:t>
            </w:r>
            <w:r>
              <w:rPr>
                <w:rFonts w:ascii="Times New Roman" w:hAnsi="Times New Roman" w:eastAsia="Times New Roman" w:cs="Times New Roman"/>
                <w:spacing w:val="-3"/>
              </w:rPr>
              <w:t>60cm</w:t>
            </w:r>
            <w:r>
              <w:rPr>
                <w:rFonts w:ascii="Times New Roman" w:hAnsi="Times New Roman" w:eastAsia="Times New Roman" w:cs="Times New Roman"/>
                <w:spacing w:val="-34"/>
              </w:rPr>
              <w:t xml:space="preserve"> </w:t>
            </w:r>
            <w:r>
              <w:rPr>
                <w:spacing w:val="-3"/>
              </w:rPr>
              <w:t>、深</w:t>
            </w:r>
            <w:r>
              <w:rPr>
                <w:rFonts w:ascii="Times New Roman" w:hAnsi="Times New Roman" w:eastAsia="Times New Roman" w:cs="Times New Roman"/>
                <w:spacing w:val="-3"/>
              </w:rPr>
              <w:t>50cm</w:t>
            </w:r>
            <w:r>
              <w:rPr>
                <w:spacing w:val="-3"/>
              </w:rPr>
              <w:t>（容积</w:t>
            </w:r>
            <w:r>
              <w:rPr>
                <w:spacing w:val="-51"/>
              </w:rPr>
              <w:t xml:space="preserve"> </w:t>
            </w:r>
            <w:r>
              <w:rPr>
                <w:rFonts w:ascii="Times New Roman" w:hAnsi="Times New Roman" w:eastAsia="Times New Roman" w:cs="Times New Roman"/>
                <w:spacing w:val="-3"/>
              </w:rPr>
              <w:t>0.</w:t>
            </w:r>
            <w:r>
              <w:rPr>
                <w:rFonts w:ascii="Times New Roman" w:hAnsi="Times New Roman" w:eastAsia="Times New Roman" w:cs="Times New Roman"/>
                <w:spacing w:val="-32"/>
              </w:rPr>
              <w:t xml:space="preserve"> </w:t>
            </w:r>
            <w:r>
              <w:rPr>
                <w:rFonts w:ascii="Times New Roman" w:hAnsi="Times New Roman" w:eastAsia="Times New Roman" w:cs="Times New Roman"/>
                <w:spacing w:val="-3"/>
              </w:rPr>
              <w:t>18m</w:t>
            </w:r>
            <w:r>
              <w:rPr>
                <w:rFonts w:ascii="Times New Roman" w:hAnsi="Times New Roman" w:eastAsia="Times New Roman" w:cs="Times New Roman"/>
                <w:spacing w:val="-3"/>
                <w:position w:val="1"/>
                <w:sz w:val="15"/>
                <w:szCs w:val="15"/>
              </w:rPr>
              <w:t>3</w:t>
            </w:r>
            <w:r>
              <w:rPr>
                <w:spacing w:val="-16"/>
                <w:position w:val="1"/>
              </w:rPr>
              <w:t>）</w:t>
            </w:r>
            <w:r>
              <w:rPr>
                <w:spacing w:val="-16"/>
              </w:rPr>
              <w:t>，</w:t>
            </w:r>
            <w:r>
              <w:rPr>
                <w:spacing w:val="-3"/>
              </w:rPr>
              <w:t>用于收集储存的废油容器一旦发生损坏时渗漏的废油。收集池上部已加盖盖板（共计</w:t>
            </w:r>
            <w:r>
              <w:rPr>
                <w:spacing w:val="-31"/>
              </w:rPr>
              <w:t xml:space="preserve"> </w:t>
            </w:r>
            <w:r>
              <w:rPr>
                <w:rFonts w:ascii="Times New Roman" w:hAnsi="Times New Roman" w:eastAsia="Times New Roman" w:cs="Times New Roman"/>
                <w:spacing w:val="-3"/>
              </w:rPr>
              <w:t xml:space="preserve">1 </w:t>
            </w:r>
            <w:r>
              <w:rPr>
                <w:spacing w:val="-3"/>
              </w:rPr>
              <w:t>个，长</w:t>
            </w:r>
            <w:r>
              <w:rPr>
                <w:spacing w:val="-45"/>
              </w:rPr>
              <w:t xml:space="preserve"> </w:t>
            </w:r>
            <w:r>
              <w:rPr>
                <w:rFonts w:ascii="Times New Roman" w:hAnsi="Times New Roman" w:eastAsia="Times New Roman" w:cs="Times New Roman"/>
                <w:spacing w:val="-3"/>
              </w:rPr>
              <w:t>80cm</w:t>
            </w:r>
            <w:r>
              <w:rPr>
                <w:rFonts w:ascii="Times New Roman" w:hAnsi="Times New Roman" w:eastAsia="Times New Roman" w:cs="Times New Roman"/>
                <w:spacing w:val="-33"/>
              </w:rPr>
              <w:t xml:space="preserve"> </w:t>
            </w:r>
            <w:r>
              <w:rPr>
                <w:spacing w:val="-3"/>
              </w:rPr>
              <w:t>、宽</w:t>
            </w:r>
            <w:r>
              <w:rPr>
                <w:spacing w:val="-45"/>
              </w:rPr>
              <w:t xml:space="preserve"> </w:t>
            </w:r>
            <w:r>
              <w:rPr>
                <w:rFonts w:ascii="Times New Roman" w:hAnsi="Times New Roman" w:eastAsia="Times New Roman" w:cs="Times New Roman"/>
                <w:spacing w:val="-3"/>
              </w:rPr>
              <w:t>80cm</w:t>
            </w:r>
            <w:r>
              <w:rPr>
                <w:spacing w:val="12"/>
              </w:rPr>
              <w:t>），</w:t>
            </w:r>
            <w:r>
              <w:rPr>
                <w:spacing w:val="-3"/>
              </w:rPr>
              <w:t>便于人员行走及防止人员坠入。</w:t>
            </w:r>
          </w:p>
          <w:p w14:paraId="4E628CFC">
            <w:pPr>
              <w:pStyle w:val="9"/>
              <w:spacing w:before="1" w:line="332" w:lineRule="auto"/>
              <w:ind w:left="106" w:right="102" w:firstLine="480"/>
              <w:jc w:val="both"/>
            </w:pPr>
            <w:r>
              <w:t>地面防渗层①</w:t>
            </w:r>
            <w:r>
              <w:rPr>
                <w:rFonts w:ascii="Times New Roman" w:hAnsi="Times New Roman" w:eastAsia="Times New Roman" w:cs="Times New Roman"/>
              </w:rPr>
              <w:t>40</w:t>
            </w:r>
            <w:r>
              <w:rPr>
                <w:rFonts w:ascii="Times New Roman" w:hAnsi="Times New Roman" w:eastAsia="Times New Roman" w:cs="Times New Roman"/>
                <w:spacing w:val="28"/>
                <w:w w:val="101"/>
              </w:rPr>
              <w:t xml:space="preserve"> </w:t>
            </w:r>
            <w:r>
              <w:t>厚</w:t>
            </w:r>
            <w:r>
              <w:rPr>
                <w:spacing w:val="-49"/>
              </w:rPr>
              <w:t xml:space="preserve"> </w:t>
            </w:r>
            <w:r>
              <w:rPr>
                <w:rFonts w:ascii="Times New Roman" w:hAnsi="Times New Roman" w:eastAsia="Times New Roman" w:cs="Times New Roman"/>
              </w:rPr>
              <w:t>C20</w:t>
            </w:r>
            <w:r>
              <w:rPr>
                <w:rFonts w:ascii="Times New Roman" w:hAnsi="Times New Roman" w:eastAsia="Times New Roman" w:cs="Times New Roman"/>
                <w:spacing w:val="27"/>
              </w:rPr>
              <w:t xml:space="preserve"> </w:t>
            </w:r>
            <w:r>
              <w:t>防油细石混凝土面层，</w:t>
            </w:r>
            <w:r>
              <w:rPr>
                <w:rFonts w:ascii="Times New Roman" w:hAnsi="Times New Roman" w:eastAsia="Times New Roman" w:cs="Times New Roman"/>
              </w:rPr>
              <w:t xml:space="preserve">2 </w:t>
            </w:r>
            <w:r>
              <w:t>遍环氧树脂漆②</w:t>
            </w:r>
            <w:r>
              <w:rPr>
                <w:rFonts w:ascii="Times New Roman" w:hAnsi="Times New Roman" w:eastAsia="Times New Roman" w:cs="Times New Roman"/>
              </w:rPr>
              <w:t>2mm</w:t>
            </w:r>
            <w:r>
              <w:rPr>
                <w:rFonts w:ascii="Times New Roman" w:hAnsi="Times New Roman" w:eastAsia="Times New Roman" w:cs="Times New Roman"/>
                <w:spacing w:val="18"/>
              </w:rPr>
              <w:t xml:space="preserve"> </w:t>
            </w:r>
            <w:r>
              <w:t>厚高密度</w:t>
            </w:r>
            <w:r>
              <w:rPr>
                <w:spacing w:val="-2"/>
              </w:rPr>
              <w:t>聚乙烯膜③</w:t>
            </w:r>
            <w:r>
              <w:rPr>
                <w:rFonts w:ascii="Times New Roman" w:hAnsi="Times New Roman" w:eastAsia="Times New Roman" w:cs="Times New Roman"/>
                <w:spacing w:val="-2"/>
              </w:rPr>
              <w:t xml:space="preserve">20 </w:t>
            </w:r>
            <w:r>
              <w:rPr>
                <w:spacing w:val="-2"/>
              </w:rPr>
              <w:t>厚</w:t>
            </w:r>
            <w:r>
              <w:rPr>
                <w:spacing w:val="-36"/>
              </w:rPr>
              <w:t xml:space="preserve"> </w:t>
            </w:r>
            <w:r>
              <w:rPr>
                <w:rFonts w:ascii="Times New Roman" w:hAnsi="Times New Roman" w:eastAsia="Times New Roman" w:cs="Times New Roman"/>
                <w:spacing w:val="-2"/>
              </w:rPr>
              <w:t xml:space="preserve">1:3 </w:t>
            </w:r>
            <w:r>
              <w:rPr>
                <w:spacing w:val="-2"/>
              </w:rPr>
              <w:t>水泥砂浆找平层④水泥浆一道</w:t>
            </w:r>
            <w:r>
              <w:rPr>
                <w:rFonts w:ascii="Times New Roman" w:hAnsi="Times New Roman" w:eastAsia="Times New Roman" w:cs="Times New Roman"/>
                <w:spacing w:val="-2"/>
              </w:rPr>
              <w:t>(</w:t>
            </w:r>
            <w:r>
              <w:rPr>
                <w:spacing w:val="-2"/>
              </w:rPr>
              <w:t>内掺建筑胶</w:t>
            </w:r>
            <w:r>
              <w:rPr>
                <w:rFonts w:ascii="Times New Roman" w:hAnsi="Times New Roman" w:eastAsia="Times New Roman" w:cs="Times New Roman"/>
                <w:spacing w:val="-2"/>
              </w:rPr>
              <w:t>)</w:t>
            </w:r>
            <w:r>
              <w:rPr>
                <w:spacing w:val="-2"/>
              </w:rPr>
              <w:t>⑤</w:t>
            </w:r>
            <w:r>
              <w:rPr>
                <w:rFonts w:ascii="Times New Roman" w:hAnsi="Times New Roman" w:eastAsia="Times New Roman" w:cs="Times New Roman"/>
                <w:spacing w:val="-2"/>
              </w:rPr>
              <w:t xml:space="preserve">60 </w:t>
            </w:r>
            <w:r>
              <w:rPr>
                <w:spacing w:val="-2"/>
              </w:rPr>
              <w:t>厚</w:t>
            </w:r>
            <w:r>
              <w:rPr>
                <w:spacing w:val="-61"/>
              </w:rPr>
              <w:t xml:space="preserve"> </w:t>
            </w:r>
            <w:r>
              <w:rPr>
                <w:rFonts w:ascii="Times New Roman" w:hAnsi="Times New Roman" w:eastAsia="Times New Roman" w:cs="Times New Roman"/>
                <w:spacing w:val="-2"/>
              </w:rPr>
              <w:t xml:space="preserve">C15 </w:t>
            </w:r>
            <w:r>
              <w:rPr>
                <w:spacing w:val="-2"/>
              </w:rPr>
              <w:t>混凝土垫</w:t>
            </w:r>
            <w:r>
              <w:rPr>
                <w:spacing w:val="5"/>
              </w:rPr>
              <w:t>层⑥素土夯实；墙面裙角及库内危险废物收集池及导流槽按照上述要求进行防渗处</w:t>
            </w:r>
            <w:r>
              <w:rPr>
                <w:spacing w:val="-3"/>
              </w:rPr>
              <w:t>理，渗透系数≤</w:t>
            </w:r>
            <w:r>
              <w:rPr>
                <w:rFonts w:ascii="Times New Roman" w:hAnsi="Times New Roman" w:eastAsia="Times New Roman" w:cs="Times New Roman"/>
                <w:spacing w:val="-3"/>
              </w:rPr>
              <w:t>1</w:t>
            </w:r>
            <w:r>
              <w:rPr>
                <w:spacing w:val="-3"/>
              </w:rPr>
              <w:t>×</w:t>
            </w:r>
            <w:r>
              <w:rPr>
                <w:rFonts w:ascii="Times New Roman" w:hAnsi="Times New Roman" w:eastAsia="Times New Roman" w:cs="Times New Roman"/>
                <w:spacing w:val="-3"/>
              </w:rPr>
              <w:t>10</w:t>
            </w:r>
            <w:r>
              <w:rPr>
                <w:rFonts w:ascii="Times New Roman" w:hAnsi="Times New Roman" w:eastAsia="Times New Roman" w:cs="Times New Roman"/>
                <w:spacing w:val="-3"/>
                <w:position w:val="7"/>
                <w:sz w:val="15"/>
                <w:szCs w:val="15"/>
              </w:rPr>
              <w:t>-</w:t>
            </w:r>
            <w:r>
              <w:rPr>
                <w:rFonts w:ascii="Times New Roman" w:hAnsi="Times New Roman" w:eastAsia="Times New Roman" w:cs="Times New Roman"/>
                <w:spacing w:val="-4"/>
                <w:position w:val="7"/>
                <w:sz w:val="15"/>
                <w:szCs w:val="15"/>
              </w:rPr>
              <w:t xml:space="preserve"> </w:t>
            </w:r>
            <w:r>
              <w:rPr>
                <w:rFonts w:ascii="Times New Roman" w:hAnsi="Times New Roman" w:eastAsia="Times New Roman" w:cs="Times New Roman"/>
                <w:spacing w:val="-3"/>
                <w:position w:val="7"/>
                <w:sz w:val="15"/>
                <w:szCs w:val="15"/>
              </w:rPr>
              <w:t>10</w:t>
            </w:r>
            <w:r>
              <w:rPr>
                <w:rFonts w:ascii="Times New Roman" w:hAnsi="Times New Roman" w:eastAsia="Times New Roman" w:cs="Times New Roman"/>
                <w:spacing w:val="-3"/>
              </w:rPr>
              <w:t>cm/s</w:t>
            </w:r>
            <w:r>
              <w:rPr>
                <w:spacing w:val="-3"/>
              </w:rPr>
              <w:t>；库房整体地面应有一定坡度，便于泄漏废油及时汇集至</w:t>
            </w:r>
            <w:r>
              <w:t>收集池；符合《危险废物贮存污染控制标准》</w:t>
            </w:r>
            <w:r>
              <w:rPr>
                <w:rFonts w:ascii="Times New Roman" w:hAnsi="Times New Roman" w:eastAsia="Times New Roman" w:cs="Times New Roman"/>
              </w:rPr>
              <w:t>(GB18597-</w:t>
            </w:r>
            <w:r>
              <w:rPr>
                <w:rFonts w:ascii="Times New Roman" w:hAnsi="Times New Roman" w:eastAsia="Times New Roman" w:cs="Times New Roman"/>
                <w:spacing w:val="-1"/>
              </w:rPr>
              <w:t>2023)</w:t>
            </w:r>
            <w:r>
              <w:rPr>
                <w:spacing w:val="-1"/>
              </w:rPr>
              <w:t>中“基础防渗要求进行</w:t>
            </w:r>
            <w:r>
              <w:rPr>
                <w:spacing w:val="-2"/>
              </w:rPr>
              <w:t>防渗，透系数</w:t>
            </w:r>
            <w:r>
              <w:rPr>
                <w:rFonts w:ascii="Times New Roman" w:hAnsi="Times New Roman" w:eastAsia="Times New Roman" w:cs="Times New Roman"/>
                <w:spacing w:val="-2"/>
              </w:rPr>
              <w:t>&lt;1x10</w:t>
            </w:r>
            <w:r>
              <w:rPr>
                <w:rFonts w:ascii="Times New Roman" w:hAnsi="Times New Roman" w:eastAsia="Times New Roman" w:cs="Times New Roman"/>
                <w:spacing w:val="-2"/>
                <w:position w:val="7"/>
                <w:sz w:val="15"/>
                <w:szCs w:val="15"/>
              </w:rPr>
              <w:t>-</w:t>
            </w:r>
            <w:r>
              <w:rPr>
                <w:rFonts w:ascii="Times New Roman" w:hAnsi="Times New Roman" w:eastAsia="Times New Roman" w:cs="Times New Roman"/>
                <w:spacing w:val="-5"/>
                <w:position w:val="7"/>
                <w:sz w:val="15"/>
                <w:szCs w:val="15"/>
              </w:rPr>
              <w:t xml:space="preserve"> </w:t>
            </w:r>
            <w:r>
              <w:rPr>
                <w:rFonts w:ascii="Times New Roman" w:hAnsi="Times New Roman" w:eastAsia="Times New Roman" w:cs="Times New Roman"/>
                <w:spacing w:val="-2"/>
                <w:position w:val="7"/>
                <w:sz w:val="15"/>
                <w:szCs w:val="15"/>
              </w:rPr>
              <w:t>10</w:t>
            </w:r>
            <w:r>
              <w:rPr>
                <w:rFonts w:ascii="Times New Roman" w:hAnsi="Times New Roman" w:eastAsia="Times New Roman" w:cs="Times New Roman"/>
                <w:spacing w:val="-2"/>
              </w:rPr>
              <w:t>cm/s</w:t>
            </w:r>
            <w:r>
              <w:rPr>
                <w:spacing w:val="-2"/>
              </w:rPr>
              <w:t>。</w:t>
            </w:r>
          </w:p>
        </w:tc>
      </w:tr>
    </w:tbl>
    <w:p w14:paraId="0768DFBA">
      <w:pPr>
        <w:pStyle w:val="3"/>
      </w:pPr>
    </w:p>
    <w:p w14:paraId="4AA67DCF">
      <w:pPr>
        <w:sectPr>
          <w:footerReference r:id="rId82" w:type="default"/>
          <w:pgSz w:w="11907" w:h="16840"/>
          <w:pgMar w:top="1431" w:right="1164" w:bottom="1295" w:left="1163" w:header="0" w:footer="1133" w:gutter="0"/>
          <w:cols w:space="720" w:num="1"/>
        </w:sectPr>
      </w:pPr>
    </w:p>
    <w:p w14:paraId="577B2C38">
      <w:pPr>
        <w:spacing w:line="89" w:lineRule="auto"/>
        <w:rPr>
          <w:rFonts w:ascii="Arial"/>
          <w:sz w:val="2"/>
        </w:rPr>
      </w:pPr>
    </w:p>
    <w:tbl>
      <w:tblPr>
        <w:tblStyle w:val="8"/>
        <w:tblW w:w="95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5"/>
        <w:gridCol w:w="113"/>
        <w:gridCol w:w="3802"/>
        <w:gridCol w:w="4106"/>
        <w:gridCol w:w="1038"/>
      </w:tblGrid>
      <w:tr w14:paraId="441188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4" w:hRule="atLeast"/>
        </w:trPr>
        <w:tc>
          <w:tcPr>
            <w:tcW w:w="505" w:type="dxa"/>
            <w:vMerge w:val="restart"/>
            <w:tcBorders>
              <w:top w:val="single" w:color="000000" w:sz="6" w:space="0"/>
              <w:left w:val="single" w:color="000000" w:sz="6" w:space="0"/>
              <w:bottom w:val="nil"/>
            </w:tcBorders>
            <w:vAlign w:val="top"/>
          </w:tcPr>
          <w:p w14:paraId="1B614988">
            <w:pPr>
              <w:rPr>
                <w:rFonts w:ascii="Arial"/>
                <w:sz w:val="21"/>
              </w:rPr>
            </w:pPr>
          </w:p>
        </w:tc>
        <w:tc>
          <w:tcPr>
            <w:tcW w:w="113" w:type="dxa"/>
            <w:tcBorders>
              <w:top w:val="single" w:color="000000" w:sz="6" w:space="0"/>
              <w:bottom w:val="nil"/>
            </w:tcBorders>
            <w:vAlign w:val="top"/>
          </w:tcPr>
          <w:p w14:paraId="217A22BF">
            <w:pPr>
              <w:rPr>
                <w:rFonts w:ascii="Arial"/>
                <w:sz w:val="21"/>
              </w:rPr>
            </w:pPr>
          </w:p>
        </w:tc>
        <w:tc>
          <w:tcPr>
            <w:tcW w:w="3802" w:type="dxa"/>
            <w:tcBorders>
              <w:top w:val="single" w:color="000000" w:sz="6" w:space="0"/>
            </w:tcBorders>
            <w:vAlign w:val="top"/>
          </w:tcPr>
          <w:p w14:paraId="793769E3">
            <w:pPr>
              <w:spacing w:before="129" w:line="2642" w:lineRule="exact"/>
              <w:ind w:firstLine="99"/>
            </w:pPr>
            <w:r>
              <w:rPr>
                <w:position w:val="-52"/>
              </w:rPr>
              <w:drawing>
                <wp:inline distT="0" distB="0" distL="0" distR="0">
                  <wp:extent cx="2237105" cy="1677670"/>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260"/>
                          <a:stretch>
                            <a:fillRect/>
                          </a:stretch>
                        </pic:blipFill>
                        <pic:spPr>
                          <a:xfrm>
                            <a:off x="0" y="0"/>
                            <a:ext cx="2237232" cy="1677924"/>
                          </a:xfrm>
                          <a:prstGeom prst="rect">
                            <a:avLst/>
                          </a:prstGeom>
                        </pic:spPr>
                      </pic:pic>
                    </a:graphicData>
                  </a:graphic>
                </wp:inline>
              </w:drawing>
            </w:r>
          </w:p>
        </w:tc>
        <w:tc>
          <w:tcPr>
            <w:tcW w:w="4106" w:type="dxa"/>
            <w:tcBorders>
              <w:top w:val="single" w:color="000000" w:sz="6" w:space="0"/>
            </w:tcBorders>
            <w:vAlign w:val="top"/>
          </w:tcPr>
          <w:p w14:paraId="45010E6C">
            <w:pPr>
              <w:spacing w:before="4" w:line="2880" w:lineRule="exact"/>
              <w:ind w:firstLine="104"/>
            </w:pPr>
            <w:r>
              <w:rPr>
                <w:position w:val="-57"/>
              </w:rPr>
              <w:drawing>
                <wp:inline distT="0" distB="0" distL="0" distR="0">
                  <wp:extent cx="2444115" cy="1828165"/>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261"/>
                          <a:stretch>
                            <a:fillRect/>
                          </a:stretch>
                        </pic:blipFill>
                        <pic:spPr>
                          <a:xfrm>
                            <a:off x="0" y="0"/>
                            <a:ext cx="2444496" cy="1828672"/>
                          </a:xfrm>
                          <a:prstGeom prst="rect">
                            <a:avLst/>
                          </a:prstGeom>
                        </pic:spPr>
                      </pic:pic>
                    </a:graphicData>
                  </a:graphic>
                </wp:inline>
              </w:drawing>
            </w:r>
          </w:p>
        </w:tc>
        <w:tc>
          <w:tcPr>
            <w:tcW w:w="1038" w:type="dxa"/>
            <w:vMerge w:val="restart"/>
            <w:tcBorders>
              <w:top w:val="single" w:color="000000" w:sz="6" w:space="0"/>
              <w:bottom w:val="nil"/>
              <w:right w:val="single" w:color="000000" w:sz="6" w:space="0"/>
            </w:tcBorders>
            <w:vAlign w:val="top"/>
          </w:tcPr>
          <w:p w14:paraId="310A6B08">
            <w:pPr>
              <w:rPr>
                <w:rFonts w:ascii="Arial"/>
                <w:sz w:val="21"/>
              </w:rPr>
            </w:pPr>
          </w:p>
        </w:tc>
      </w:tr>
      <w:tr w14:paraId="617D20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05" w:type="dxa"/>
            <w:vMerge w:val="continue"/>
            <w:tcBorders>
              <w:top w:val="nil"/>
              <w:left w:val="single" w:color="000000" w:sz="6" w:space="0"/>
              <w:bottom w:val="nil"/>
            </w:tcBorders>
            <w:vAlign w:val="top"/>
          </w:tcPr>
          <w:p w14:paraId="5C2235EA">
            <w:pPr>
              <w:rPr>
                <w:rFonts w:ascii="Arial"/>
                <w:sz w:val="21"/>
              </w:rPr>
            </w:pPr>
          </w:p>
        </w:tc>
        <w:tc>
          <w:tcPr>
            <w:tcW w:w="113" w:type="dxa"/>
            <w:tcBorders>
              <w:top w:val="nil"/>
              <w:bottom w:val="nil"/>
            </w:tcBorders>
            <w:vAlign w:val="top"/>
          </w:tcPr>
          <w:p w14:paraId="27FAB84E">
            <w:pPr>
              <w:rPr>
                <w:rFonts w:ascii="Arial"/>
                <w:sz w:val="21"/>
              </w:rPr>
            </w:pPr>
          </w:p>
        </w:tc>
        <w:tc>
          <w:tcPr>
            <w:tcW w:w="7908" w:type="dxa"/>
            <w:gridSpan w:val="2"/>
            <w:vAlign w:val="top"/>
          </w:tcPr>
          <w:p w14:paraId="4D58C3E4">
            <w:pPr>
              <w:pStyle w:val="9"/>
              <w:spacing w:before="39" w:line="205" w:lineRule="auto"/>
              <w:ind w:left="3121"/>
            </w:pPr>
            <w:r>
              <w:rPr>
                <w:spacing w:val="-2"/>
              </w:rPr>
              <w:t>危废暂存间内部</w:t>
            </w:r>
          </w:p>
        </w:tc>
        <w:tc>
          <w:tcPr>
            <w:tcW w:w="1038" w:type="dxa"/>
            <w:vMerge w:val="continue"/>
            <w:tcBorders>
              <w:top w:val="nil"/>
              <w:bottom w:val="nil"/>
              <w:right w:val="single" w:color="000000" w:sz="6" w:space="0"/>
            </w:tcBorders>
            <w:vAlign w:val="top"/>
          </w:tcPr>
          <w:p w14:paraId="30B13052">
            <w:pPr>
              <w:rPr>
                <w:rFonts w:ascii="Arial"/>
                <w:sz w:val="21"/>
              </w:rPr>
            </w:pPr>
          </w:p>
        </w:tc>
      </w:tr>
      <w:tr w14:paraId="00A0AB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4" w:hRule="atLeast"/>
        </w:trPr>
        <w:tc>
          <w:tcPr>
            <w:tcW w:w="505" w:type="dxa"/>
            <w:vMerge w:val="continue"/>
            <w:tcBorders>
              <w:top w:val="nil"/>
              <w:left w:val="single" w:color="000000" w:sz="6" w:space="0"/>
              <w:bottom w:val="nil"/>
            </w:tcBorders>
            <w:vAlign w:val="top"/>
          </w:tcPr>
          <w:p w14:paraId="361D8182">
            <w:pPr>
              <w:rPr>
                <w:rFonts w:ascii="Arial"/>
                <w:sz w:val="21"/>
              </w:rPr>
            </w:pPr>
          </w:p>
        </w:tc>
        <w:tc>
          <w:tcPr>
            <w:tcW w:w="113" w:type="dxa"/>
            <w:tcBorders>
              <w:top w:val="nil"/>
              <w:bottom w:val="nil"/>
            </w:tcBorders>
            <w:vAlign w:val="top"/>
          </w:tcPr>
          <w:p w14:paraId="4AE86FDE">
            <w:pPr>
              <w:rPr>
                <w:rFonts w:ascii="Arial"/>
                <w:sz w:val="21"/>
              </w:rPr>
            </w:pPr>
          </w:p>
        </w:tc>
        <w:tc>
          <w:tcPr>
            <w:tcW w:w="7908" w:type="dxa"/>
            <w:gridSpan w:val="2"/>
            <w:vAlign w:val="top"/>
          </w:tcPr>
          <w:p w14:paraId="1F408C39">
            <w:pPr>
              <w:spacing w:before="5" w:line="2629" w:lineRule="exact"/>
              <w:ind w:firstLine="2190"/>
            </w:pPr>
            <w:r>
              <w:rPr>
                <w:position w:val="-52"/>
              </w:rPr>
              <w:drawing>
                <wp:inline distT="0" distB="0" distL="0" distR="0">
                  <wp:extent cx="2237105" cy="1669415"/>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262"/>
                          <a:stretch>
                            <a:fillRect/>
                          </a:stretch>
                        </pic:blipFill>
                        <pic:spPr>
                          <a:xfrm>
                            <a:off x="0" y="0"/>
                            <a:ext cx="2237231" cy="1669415"/>
                          </a:xfrm>
                          <a:prstGeom prst="rect">
                            <a:avLst/>
                          </a:prstGeom>
                        </pic:spPr>
                      </pic:pic>
                    </a:graphicData>
                  </a:graphic>
                </wp:inline>
              </w:drawing>
            </w:r>
          </w:p>
        </w:tc>
        <w:tc>
          <w:tcPr>
            <w:tcW w:w="1038" w:type="dxa"/>
            <w:vMerge w:val="continue"/>
            <w:tcBorders>
              <w:top w:val="nil"/>
              <w:bottom w:val="nil"/>
              <w:right w:val="single" w:color="000000" w:sz="6" w:space="0"/>
            </w:tcBorders>
            <w:vAlign w:val="top"/>
          </w:tcPr>
          <w:p w14:paraId="67B94189">
            <w:pPr>
              <w:rPr>
                <w:rFonts w:ascii="Arial"/>
                <w:sz w:val="21"/>
              </w:rPr>
            </w:pPr>
          </w:p>
        </w:tc>
      </w:tr>
      <w:tr w14:paraId="189E45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505" w:type="dxa"/>
            <w:vMerge w:val="continue"/>
            <w:tcBorders>
              <w:top w:val="nil"/>
              <w:left w:val="single" w:color="000000" w:sz="6" w:space="0"/>
              <w:bottom w:val="nil"/>
            </w:tcBorders>
            <w:vAlign w:val="top"/>
          </w:tcPr>
          <w:p w14:paraId="2BF16FC0">
            <w:pPr>
              <w:rPr>
                <w:rFonts w:ascii="Arial"/>
                <w:sz w:val="21"/>
              </w:rPr>
            </w:pPr>
          </w:p>
        </w:tc>
        <w:tc>
          <w:tcPr>
            <w:tcW w:w="113" w:type="dxa"/>
            <w:tcBorders>
              <w:top w:val="nil"/>
              <w:bottom w:val="nil"/>
            </w:tcBorders>
            <w:vAlign w:val="top"/>
          </w:tcPr>
          <w:p w14:paraId="0DD7EE6F">
            <w:pPr>
              <w:rPr>
                <w:rFonts w:ascii="Arial"/>
                <w:sz w:val="21"/>
              </w:rPr>
            </w:pPr>
          </w:p>
        </w:tc>
        <w:tc>
          <w:tcPr>
            <w:tcW w:w="7908" w:type="dxa"/>
            <w:gridSpan w:val="2"/>
            <w:vAlign w:val="top"/>
          </w:tcPr>
          <w:p w14:paraId="76A987EF">
            <w:pPr>
              <w:pStyle w:val="9"/>
              <w:spacing w:before="43" w:line="203" w:lineRule="auto"/>
              <w:ind w:left="2527"/>
            </w:pPr>
            <w:r>
              <w:rPr>
                <w:spacing w:val="-2"/>
              </w:rPr>
              <w:t>收集沟、收集池、危废标识</w:t>
            </w:r>
          </w:p>
        </w:tc>
        <w:tc>
          <w:tcPr>
            <w:tcW w:w="1038" w:type="dxa"/>
            <w:vMerge w:val="continue"/>
            <w:tcBorders>
              <w:top w:val="nil"/>
              <w:bottom w:val="nil"/>
              <w:right w:val="single" w:color="000000" w:sz="6" w:space="0"/>
            </w:tcBorders>
            <w:vAlign w:val="top"/>
          </w:tcPr>
          <w:p w14:paraId="60015864">
            <w:pPr>
              <w:rPr>
                <w:rFonts w:ascii="Arial"/>
                <w:sz w:val="21"/>
              </w:rPr>
            </w:pPr>
          </w:p>
        </w:tc>
      </w:tr>
      <w:tr w14:paraId="06B858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89" w:hRule="atLeast"/>
        </w:trPr>
        <w:tc>
          <w:tcPr>
            <w:tcW w:w="505" w:type="dxa"/>
            <w:vMerge w:val="continue"/>
            <w:tcBorders>
              <w:top w:val="nil"/>
              <w:left w:val="single" w:color="000000" w:sz="6" w:space="0"/>
              <w:bottom w:val="single" w:color="000000" w:sz="6" w:space="0"/>
            </w:tcBorders>
            <w:vAlign w:val="top"/>
          </w:tcPr>
          <w:p w14:paraId="237CA7E9">
            <w:pPr>
              <w:rPr>
                <w:rFonts w:ascii="Arial"/>
                <w:sz w:val="21"/>
              </w:rPr>
            </w:pPr>
          </w:p>
        </w:tc>
        <w:tc>
          <w:tcPr>
            <w:tcW w:w="9059" w:type="dxa"/>
            <w:gridSpan w:val="4"/>
            <w:tcBorders>
              <w:bottom w:val="single" w:color="000000" w:sz="6" w:space="0"/>
              <w:right w:val="single" w:color="000000" w:sz="6" w:space="0"/>
            </w:tcBorders>
            <w:vAlign w:val="top"/>
          </w:tcPr>
          <w:p w14:paraId="6347A496">
            <w:pPr>
              <w:pStyle w:val="9"/>
              <w:spacing w:before="179" w:line="360" w:lineRule="auto"/>
              <w:ind w:left="106" w:right="102" w:firstLine="482"/>
              <w:jc w:val="both"/>
            </w:pPr>
            <w:r>
              <w:rPr>
                <w:spacing w:val="-1"/>
              </w:rPr>
              <w:t>更换之后的废铅蓄电池盛装于铅蓄电池进场时的耐腐蚀、</w:t>
            </w:r>
            <w:r>
              <w:rPr>
                <w:spacing w:val="-2"/>
              </w:rPr>
              <w:t>具有防渗漏措施的原有</w:t>
            </w:r>
            <w:r>
              <w:rPr>
                <w:spacing w:val="-1"/>
              </w:rPr>
              <w:t>包装容器中，防止收集过程中破损以及电解质泄漏。收集、贮存废铅蓄电</w:t>
            </w:r>
            <w:r>
              <w:rPr>
                <w:spacing w:val="-2"/>
              </w:rPr>
              <w:t>池的容器或</w:t>
            </w:r>
            <w:r>
              <w:rPr>
                <w:spacing w:val="-1"/>
              </w:rPr>
              <w:t>托盘，应根据废铅蓄电池的特性设计，不易破损、变形，其所用材料能有</w:t>
            </w:r>
            <w:r>
              <w:rPr>
                <w:spacing w:val="-2"/>
              </w:rPr>
              <w:t>效地防止渗</w:t>
            </w:r>
            <w:r>
              <w:rPr>
                <w:spacing w:val="-1"/>
              </w:rPr>
              <w:t>漏、扩散，并耐酸腐蚀。装有废铅蓄电池的容器或托盘必须粘贴符合相关</w:t>
            </w:r>
            <w:r>
              <w:rPr>
                <w:spacing w:val="-2"/>
              </w:rPr>
              <w:t>规范要求的危险废物标签。</w:t>
            </w:r>
          </w:p>
          <w:p w14:paraId="4E9C690C">
            <w:pPr>
              <w:pStyle w:val="9"/>
              <w:spacing w:line="220" w:lineRule="auto"/>
              <w:ind w:left="586"/>
              <w:outlineLvl w:val="1"/>
            </w:pPr>
            <w:r>
              <w:rPr>
                <w:rFonts w:ascii="Times New Roman" w:hAnsi="Times New Roman" w:eastAsia="Times New Roman" w:cs="Times New Roman"/>
                <w:b/>
                <w:bCs/>
                <w:spacing w:val="-2"/>
              </w:rPr>
              <w:t xml:space="preserve">6  </w:t>
            </w:r>
            <w:r>
              <w:rPr>
                <w:b/>
                <w:bCs/>
                <w:spacing w:val="-2"/>
              </w:rPr>
              <w:t>环境风险保护措施</w:t>
            </w:r>
          </w:p>
          <w:p w14:paraId="50E3117C">
            <w:pPr>
              <w:pStyle w:val="9"/>
              <w:spacing w:before="173" w:line="354" w:lineRule="auto"/>
              <w:ind w:left="110" w:right="102" w:firstLine="477"/>
            </w:pPr>
            <w:r>
              <w:rPr>
                <w:spacing w:val="-1"/>
              </w:rPr>
              <w:t>本项目升压站运行期间可能引发环境风险事故的主要为变压器</w:t>
            </w:r>
            <w:r>
              <w:rPr>
                <w:spacing w:val="-2"/>
              </w:rPr>
              <w:t>油及柴油外泄，如</w:t>
            </w:r>
            <w:r>
              <w:rPr>
                <w:spacing w:val="-1"/>
              </w:rPr>
              <w:t>不收集处理会对环境产生影响。</w:t>
            </w:r>
          </w:p>
          <w:p w14:paraId="73F8435F">
            <w:pPr>
              <w:pStyle w:val="9"/>
              <w:spacing w:line="220" w:lineRule="auto"/>
              <w:ind w:left="598"/>
            </w:pPr>
            <w:r>
              <w:rPr>
                <w:spacing w:val="-3"/>
              </w:rPr>
              <w:t>（</w:t>
            </w:r>
            <w:r>
              <w:rPr>
                <w:rFonts w:ascii="Times New Roman" w:hAnsi="Times New Roman" w:eastAsia="Times New Roman" w:cs="Times New Roman"/>
                <w:spacing w:val="-3"/>
              </w:rPr>
              <w:t>1</w:t>
            </w:r>
            <w:r>
              <w:rPr>
                <w:spacing w:val="-3"/>
              </w:rPr>
              <w:t>）事故油池</w:t>
            </w:r>
          </w:p>
          <w:p w14:paraId="4F6D2F34">
            <w:pPr>
              <w:pStyle w:val="9"/>
              <w:spacing w:before="181" w:line="342" w:lineRule="auto"/>
              <w:ind w:left="106" w:right="41" w:firstLine="480"/>
              <w:rPr>
                <w:rFonts w:ascii="Times New Roman" w:hAnsi="Times New Roman" w:eastAsia="Times New Roman" w:cs="Times New Roman"/>
                <w:sz w:val="15"/>
                <w:szCs w:val="15"/>
              </w:rPr>
            </w:pPr>
            <w:r>
              <w:rPr>
                <w:spacing w:val="-1"/>
              </w:rPr>
              <w:t>在变压器事故和检修过程中的失控状态下可能造成变压器油泄漏的</w:t>
            </w:r>
            <w:r>
              <w:rPr>
                <w:spacing w:val="-2"/>
              </w:rPr>
              <w:t>风险事故，根</w:t>
            </w:r>
            <w:r>
              <w:rPr>
                <w:spacing w:val="1"/>
              </w:rPr>
              <w:t>据《国家危险废物名录（</w:t>
            </w:r>
            <w:r>
              <w:rPr>
                <w:rFonts w:ascii="Times New Roman" w:hAnsi="Times New Roman" w:eastAsia="Times New Roman" w:cs="Times New Roman"/>
                <w:spacing w:val="1"/>
              </w:rPr>
              <w:t>2021</w:t>
            </w:r>
            <w:r>
              <w:rPr>
                <w:spacing w:val="1"/>
              </w:rPr>
              <w:t>年版）》变压器废油废物类别为</w:t>
            </w:r>
            <w:r>
              <w:rPr>
                <w:rFonts w:ascii="Times New Roman" w:hAnsi="Times New Roman" w:eastAsia="Times New Roman" w:cs="Times New Roman"/>
              </w:rPr>
              <w:t>HW</w:t>
            </w:r>
            <w:r>
              <w:rPr>
                <w:rFonts w:ascii="Times New Roman" w:hAnsi="Times New Roman" w:eastAsia="Times New Roman" w:cs="Times New Roman"/>
                <w:spacing w:val="1"/>
              </w:rPr>
              <w:t>08</w:t>
            </w:r>
            <w:r>
              <w:rPr>
                <w:spacing w:val="1"/>
              </w:rPr>
              <w:t>（废矿</w:t>
            </w:r>
            <w:r>
              <w:t>物油</w:t>
            </w:r>
            <w:r>
              <w:rPr>
                <w:spacing w:val="17"/>
              </w:rPr>
              <w:t>），</w:t>
            </w:r>
            <w:r>
              <w:rPr>
                <w:spacing w:val="-5"/>
              </w:rPr>
              <w:t>废物代码为</w:t>
            </w:r>
            <w:r>
              <w:rPr>
                <w:rFonts w:ascii="Times New Roman" w:hAnsi="Times New Roman" w:eastAsia="Times New Roman" w:cs="Times New Roman"/>
                <w:spacing w:val="-5"/>
              </w:rPr>
              <w:t>900-220-08</w:t>
            </w:r>
            <w:r>
              <w:rPr>
                <w:spacing w:val="-5"/>
              </w:rPr>
              <w:t>，根据《火电发电厂与变电站设计防</w:t>
            </w:r>
            <w:r>
              <w:rPr>
                <w:spacing w:val="-6"/>
              </w:rPr>
              <w:t>火规范》（</w:t>
            </w:r>
            <w:r>
              <w:rPr>
                <w:rFonts w:ascii="Times New Roman" w:hAnsi="Times New Roman" w:eastAsia="Times New Roman" w:cs="Times New Roman"/>
                <w:spacing w:val="-6"/>
              </w:rPr>
              <w:t>GB50299-2019</w:t>
            </w:r>
            <w:r>
              <w:rPr>
                <w:spacing w:val="-54"/>
                <w:w w:val="85"/>
              </w:rPr>
              <w:t>），</w:t>
            </w:r>
            <w:r>
              <w:rPr>
                <w:spacing w:val="-2"/>
              </w:rPr>
              <w:t xml:space="preserve">事故油池应满足油量最多的一台主变 </w:t>
            </w:r>
            <w:r>
              <w:rPr>
                <w:rFonts w:ascii="Times New Roman" w:hAnsi="Times New Roman" w:eastAsia="Times New Roman" w:cs="Times New Roman"/>
                <w:spacing w:val="-2"/>
              </w:rPr>
              <w:t>100%</w:t>
            </w:r>
            <w:r>
              <w:rPr>
                <w:spacing w:val="-2"/>
              </w:rPr>
              <w:t>储油量，本项目升压站内设有</w:t>
            </w:r>
            <w:r>
              <w:rPr>
                <w:rFonts w:ascii="Times New Roman" w:hAnsi="Times New Roman" w:eastAsia="Times New Roman" w:cs="Times New Roman"/>
                <w:spacing w:val="-2"/>
              </w:rPr>
              <w:t>2</w:t>
            </w:r>
            <w:r>
              <w:rPr>
                <w:spacing w:val="-2"/>
              </w:rPr>
              <w:t>台</w:t>
            </w:r>
            <w:r>
              <w:rPr>
                <w:rFonts w:ascii="Times New Roman" w:hAnsi="Times New Roman" w:eastAsia="Times New Roman" w:cs="Times New Roman"/>
                <w:spacing w:val="-2"/>
              </w:rPr>
              <w:t>150MVA</w:t>
            </w:r>
            <w:r>
              <w:rPr>
                <w:spacing w:val="-3"/>
              </w:rPr>
              <w:t>主变压器，单台</w:t>
            </w:r>
            <w:r>
              <w:rPr>
                <w:rFonts w:ascii="Times New Roman" w:hAnsi="Times New Roman" w:eastAsia="Times New Roman" w:cs="Times New Roman"/>
                <w:spacing w:val="-3"/>
              </w:rPr>
              <w:t>150MVA</w:t>
            </w:r>
            <w:r>
              <w:rPr>
                <w:spacing w:val="-3"/>
              </w:rPr>
              <w:t>主变压器绝缘油质量约为</w:t>
            </w:r>
            <w:r>
              <w:rPr>
                <w:rFonts w:ascii="Times New Roman" w:hAnsi="Times New Roman" w:eastAsia="Times New Roman" w:cs="Times New Roman"/>
                <w:spacing w:val="-3"/>
              </w:rPr>
              <w:t>43.3t</w:t>
            </w:r>
            <w:r>
              <w:rPr>
                <w:rFonts w:ascii="Times New Roman" w:hAnsi="Times New Roman" w:eastAsia="Times New Roman" w:cs="Times New Roman"/>
                <w:spacing w:val="-13"/>
              </w:rPr>
              <w:t xml:space="preserve"> </w:t>
            </w:r>
            <w:r>
              <w:rPr>
                <w:spacing w:val="-3"/>
              </w:rPr>
              <w:t>，</w:t>
            </w:r>
            <w:r>
              <w:rPr>
                <w:rFonts w:ascii="Times New Roman" w:hAnsi="Times New Roman" w:eastAsia="Times New Roman" w:cs="Times New Roman"/>
                <w:spacing w:val="-3"/>
              </w:rPr>
              <w:t>1</w:t>
            </w:r>
            <w:r>
              <w:rPr>
                <w:spacing w:val="-3"/>
              </w:rPr>
              <w:t>台</w:t>
            </w:r>
            <w:r>
              <w:rPr>
                <w:rFonts w:ascii="Times New Roman" w:hAnsi="Times New Roman" w:eastAsia="Times New Roman" w:cs="Times New Roman"/>
                <w:spacing w:val="-3"/>
              </w:rPr>
              <w:t>125MVA</w:t>
            </w:r>
            <w:r>
              <w:rPr>
                <w:spacing w:val="-3"/>
              </w:rPr>
              <w:t>主变压器，主变</w:t>
            </w:r>
            <w:r>
              <w:t>压器绝缘油质量约为</w:t>
            </w:r>
            <w:r>
              <w:rPr>
                <w:rFonts w:ascii="Times New Roman" w:hAnsi="Times New Roman" w:eastAsia="Times New Roman" w:cs="Times New Roman"/>
              </w:rPr>
              <w:t>35.8t</w:t>
            </w:r>
            <w:r>
              <w:rPr>
                <w:rFonts w:ascii="Times New Roman" w:hAnsi="Times New Roman" w:eastAsia="Times New Roman" w:cs="Times New Roman"/>
                <w:spacing w:val="-31"/>
              </w:rPr>
              <w:t xml:space="preserve"> </w:t>
            </w:r>
            <w:r>
              <w:t>，</w:t>
            </w:r>
            <w:r>
              <w:rPr>
                <w:rFonts w:ascii="Times New Roman" w:hAnsi="Times New Roman" w:eastAsia="Times New Roman" w:cs="Times New Roman"/>
              </w:rPr>
              <w:t>1</w:t>
            </w:r>
            <w:r>
              <w:t>台</w:t>
            </w:r>
            <w:r>
              <w:rPr>
                <w:rFonts w:ascii="Times New Roman" w:hAnsi="Times New Roman" w:eastAsia="Times New Roman" w:cs="Times New Roman"/>
              </w:rPr>
              <w:t>240MVA</w:t>
            </w:r>
            <w:r>
              <w:t>主变压器，主变压</w:t>
            </w:r>
            <w:r>
              <w:rPr>
                <w:spacing w:val="-1"/>
              </w:rPr>
              <w:t>器绝缘油质量约为</w:t>
            </w:r>
            <w:r>
              <w:rPr>
                <w:rFonts w:ascii="Times New Roman" w:hAnsi="Times New Roman" w:eastAsia="Times New Roman" w:cs="Times New Roman"/>
                <w:spacing w:val="-1"/>
              </w:rPr>
              <w:t>52t</w:t>
            </w:r>
            <w:r>
              <w:rPr>
                <w:rFonts w:ascii="Times New Roman" w:hAnsi="Times New Roman" w:eastAsia="Times New Roman" w:cs="Times New Roman"/>
                <w:spacing w:val="-31"/>
              </w:rPr>
              <w:t xml:space="preserve"> </w:t>
            </w:r>
            <w:r>
              <w:rPr>
                <w:spacing w:val="-1"/>
              </w:rPr>
              <w:t>，按</w:t>
            </w:r>
            <w:r>
              <w:rPr>
                <w:spacing w:val="2"/>
              </w:rPr>
              <w:t>照油比重</w:t>
            </w:r>
            <w:r>
              <w:rPr>
                <w:rFonts w:ascii="Times New Roman" w:hAnsi="Times New Roman" w:eastAsia="Times New Roman" w:cs="Times New Roman"/>
                <w:spacing w:val="2"/>
              </w:rPr>
              <w:t>0.895t/m</w:t>
            </w:r>
            <w:r>
              <w:rPr>
                <w:rFonts w:ascii="Times New Roman" w:hAnsi="Times New Roman" w:eastAsia="Times New Roman" w:cs="Times New Roman"/>
                <w:spacing w:val="2"/>
                <w:position w:val="7"/>
                <w:sz w:val="15"/>
                <w:szCs w:val="15"/>
              </w:rPr>
              <w:t xml:space="preserve">3 </w:t>
            </w:r>
            <w:r>
              <w:rPr>
                <w:spacing w:val="2"/>
              </w:rPr>
              <w:t>，折算体积约为</w:t>
            </w:r>
            <w:r>
              <w:rPr>
                <w:rFonts w:ascii="Times New Roman" w:hAnsi="Times New Roman" w:eastAsia="Times New Roman" w:cs="Times New Roman"/>
                <w:spacing w:val="2"/>
              </w:rPr>
              <w:t>58m</w:t>
            </w:r>
            <w:r>
              <w:rPr>
                <w:rFonts w:ascii="Times New Roman" w:hAnsi="Times New Roman" w:eastAsia="Times New Roman" w:cs="Times New Roman"/>
                <w:spacing w:val="2"/>
                <w:position w:val="7"/>
                <w:sz w:val="15"/>
                <w:szCs w:val="15"/>
              </w:rPr>
              <w:t xml:space="preserve">3 </w:t>
            </w:r>
            <w:r>
              <w:rPr>
                <w:spacing w:val="2"/>
              </w:rPr>
              <w:t>，本项目在户外式变压器北侧设置一个</w:t>
            </w:r>
            <w:r>
              <w:rPr>
                <w:rFonts w:ascii="Times New Roman" w:hAnsi="Times New Roman" w:eastAsia="Times New Roman" w:cs="Times New Roman"/>
                <w:spacing w:val="2"/>
              </w:rPr>
              <w:t>60m</w:t>
            </w:r>
            <w:r>
              <w:rPr>
                <w:rFonts w:ascii="Times New Roman" w:hAnsi="Times New Roman" w:eastAsia="Times New Roman" w:cs="Times New Roman"/>
                <w:spacing w:val="2"/>
                <w:position w:val="7"/>
                <w:sz w:val="15"/>
                <w:szCs w:val="15"/>
              </w:rPr>
              <w:t>3</w:t>
            </w:r>
          </w:p>
        </w:tc>
      </w:tr>
    </w:tbl>
    <w:p w14:paraId="35A755E2">
      <w:pPr>
        <w:pStyle w:val="3"/>
      </w:pPr>
    </w:p>
    <w:p w14:paraId="0A74527F">
      <w:pPr>
        <w:sectPr>
          <w:footerReference r:id="rId83" w:type="default"/>
          <w:pgSz w:w="11907" w:h="16840"/>
          <w:pgMar w:top="1431" w:right="1164" w:bottom="1295" w:left="1163" w:header="0" w:footer="1133" w:gutter="0"/>
          <w:cols w:space="720" w:num="1"/>
        </w:sectPr>
      </w:pPr>
    </w:p>
    <w:p w14:paraId="065F9096">
      <w:pPr>
        <w:spacing w:line="89" w:lineRule="auto"/>
        <w:rPr>
          <w:rFonts w:ascii="Arial"/>
          <w:sz w:val="2"/>
        </w:rPr>
      </w:pPr>
    </w:p>
    <w:tbl>
      <w:tblPr>
        <w:tblStyle w:val="8"/>
        <w:tblW w:w="95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05"/>
        <w:gridCol w:w="9059"/>
      </w:tblGrid>
      <w:tr w14:paraId="62072F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81" w:hRule="atLeast"/>
        </w:trPr>
        <w:tc>
          <w:tcPr>
            <w:tcW w:w="505" w:type="dxa"/>
            <w:tcBorders>
              <w:bottom w:val="single" w:color="000000" w:sz="2" w:space="0"/>
              <w:right w:val="single" w:color="000000" w:sz="2" w:space="0"/>
            </w:tcBorders>
            <w:vAlign w:val="top"/>
          </w:tcPr>
          <w:p w14:paraId="467BBC93">
            <w:pPr>
              <w:rPr>
                <w:rFonts w:ascii="Arial"/>
                <w:sz w:val="21"/>
              </w:rPr>
            </w:pPr>
          </w:p>
        </w:tc>
        <w:tc>
          <w:tcPr>
            <w:tcW w:w="9059" w:type="dxa"/>
            <w:tcBorders>
              <w:left w:val="single" w:color="000000" w:sz="2" w:space="0"/>
              <w:bottom w:val="single" w:color="000000" w:sz="2" w:space="0"/>
            </w:tcBorders>
            <w:vAlign w:val="top"/>
          </w:tcPr>
          <w:p w14:paraId="6DADC2D2">
            <w:pPr>
              <w:pStyle w:val="9"/>
              <w:spacing w:before="168" w:line="361" w:lineRule="auto"/>
              <w:ind w:left="106" w:right="102" w:firstLine="20"/>
              <w:jc w:val="both"/>
            </w:pPr>
            <w:r>
              <w:rPr>
                <w:spacing w:val="-1"/>
              </w:rPr>
              <w:t>的事故油池，主变事故油池顶板井盖高出地面</w:t>
            </w:r>
            <w:r>
              <w:rPr>
                <w:rFonts w:ascii="Times New Roman" w:hAnsi="Times New Roman" w:eastAsia="Times New Roman" w:cs="Times New Roman"/>
                <w:spacing w:val="-1"/>
              </w:rPr>
              <w:t>150mm</w:t>
            </w:r>
            <w:r>
              <w:rPr>
                <w:rFonts w:ascii="Times New Roman" w:hAnsi="Times New Roman" w:eastAsia="Times New Roman" w:cs="Times New Roman"/>
                <w:spacing w:val="-27"/>
              </w:rPr>
              <w:t xml:space="preserve"> </w:t>
            </w:r>
            <w:r>
              <w:rPr>
                <w:spacing w:val="-1"/>
              </w:rPr>
              <w:t>。采用</w:t>
            </w:r>
            <w:r>
              <w:rPr>
                <w:rFonts w:ascii="Times New Roman" w:hAnsi="Times New Roman" w:eastAsia="Times New Roman" w:cs="Times New Roman"/>
                <w:spacing w:val="-1"/>
              </w:rPr>
              <w:t>C30P8</w:t>
            </w:r>
            <w:r>
              <w:rPr>
                <w:spacing w:val="-1"/>
              </w:rPr>
              <w:t>抗渗钢筋混凝土整</w:t>
            </w:r>
            <w:r>
              <w:t>版基础基础底板、墙板</w:t>
            </w:r>
            <w:r>
              <w:rPr>
                <w:rFonts w:ascii="Times New Roman" w:hAnsi="Times New Roman" w:eastAsia="Times New Roman" w:cs="Times New Roman"/>
              </w:rPr>
              <w:t>250mm</w:t>
            </w:r>
            <w:r>
              <w:t>厚，</w:t>
            </w:r>
            <w:r>
              <w:rPr>
                <w:rFonts w:ascii="Times New Roman" w:hAnsi="Times New Roman" w:eastAsia="Times New Roman" w:cs="Times New Roman"/>
              </w:rPr>
              <w:t>100mm</w:t>
            </w:r>
            <w:r>
              <w:t>厚的</w:t>
            </w:r>
            <w:r>
              <w:rPr>
                <w:rFonts w:ascii="Times New Roman" w:hAnsi="Times New Roman" w:eastAsia="Times New Roman" w:cs="Times New Roman"/>
              </w:rPr>
              <w:t>C20</w:t>
            </w:r>
            <w:r>
              <w:t>混凝土垫层，防渗层为</w:t>
            </w:r>
            <w:r>
              <w:rPr>
                <w:rFonts w:ascii="Times New Roman" w:hAnsi="Times New Roman" w:eastAsia="Times New Roman" w:cs="Times New Roman"/>
              </w:rPr>
              <w:t>2mm</w:t>
            </w:r>
            <w:r>
              <w:t>厚高密</w:t>
            </w:r>
            <w:r>
              <w:rPr>
                <w:spacing w:val="-3"/>
              </w:rPr>
              <w:t>度聚乙烯膜，渗透系数≤</w:t>
            </w:r>
            <w:r>
              <w:rPr>
                <w:rFonts w:ascii="Times New Roman" w:hAnsi="Times New Roman" w:eastAsia="Times New Roman" w:cs="Times New Roman"/>
                <w:spacing w:val="-3"/>
              </w:rPr>
              <w:t>10</w:t>
            </w:r>
            <w:r>
              <w:rPr>
                <w:rFonts w:ascii="Times New Roman" w:hAnsi="Times New Roman" w:eastAsia="Times New Roman" w:cs="Times New Roman"/>
                <w:spacing w:val="-3"/>
                <w:position w:val="7"/>
                <w:sz w:val="15"/>
                <w:szCs w:val="15"/>
              </w:rPr>
              <w:t>-</w:t>
            </w:r>
            <w:r>
              <w:rPr>
                <w:rFonts w:ascii="Times New Roman" w:hAnsi="Times New Roman" w:eastAsia="Times New Roman" w:cs="Times New Roman"/>
                <w:spacing w:val="-21"/>
                <w:position w:val="7"/>
                <w:sz w:val="15"/>
                <w:szCs w:val="15"/>
              </w:rPr>
              <w:t xml:space="preserve"> </w:t>
            </w:r>
            <w:r>
              <w:rPr>
                <w:rFonts w:ascii="Times New Roman" w:hAnsi="Times New Roman" w:eastAsia="Times New Roman" w:cs="Times New Roman"/>
                <w:spacing w:val="-3"/>
                <w:position w:val="7"/>
                <w:sz w:val="15"/>
                <w:szCs w:val="15"/>
              </w:rPr>
              <w:t>10</w:t>
            </w:r>
            <w:r>
              <w:rPr>
                <w:rFonts w:ascii="Times New Roman" w:hAnsi="Times New Roman" w:eastAsia="Times New Roman" w:cs="Times New Roman"/>
                <w:spacing w:val="-3"/>
              </w:rPr>
              <w:t>cm/s</w:t>
            </w:r>
            <w:r>
              <w:rPr>
                <w:spacing w:val="-3"/>
              </w:rPr>
              <w:t>，油池内</w:t>
            </w:r>
            <w:r>
              <w:rPr>
                <w:spacing w:val="-4"/>
              </w:rPr>
              <w:t>外壁和底板抹防水砂浆厚</w:t>
            </w:r>
            <w:r>
              <w:rPr>
                <w:rFonts w:ascii="Times New Roman" w:hAnsi="Times New Roman" w:eastAsia="Times New Roman" w:cs="Times New Roman"/>
                <w:spacing w:val="-4"/>
              </w:rPr>
              <w:t>20mm</w:t>
            </w:r>
            <w:r>
              <w:rPr>
                <w:rFonts w:ascii="Times New Roman" w:hAnsi="Times New Roman" w:eastAsia="Times New Roman" w:cs="Times New Roman"/>
                <w:spacing w:val="-32"/>
              </w:rPr>
              <w:t xml:space="preserve"> </w:t>
            </w:r>
            <w:r>
              <w:rPr>
                <w:spacing w:val="-4"/>
              </w:rPr>
              <w:t>，防止油污</w:t>
            </w:r>
            <w:r>
              <w:rPr>
                <w:spacing w:val="-1"/>
              </w:rPr>
              <w:t>渗入外环境，可将环境风险控制在可以接受的水平。</w:t>
            </w:r>
          </w:p>
          <w:p w14:paraId="31013986">
            <w:pPr>
              <w:pStyle w:val="9"/>
              <w:spacing w:before="2" w:line="361" w:lineRule="auto"/>
              <w:ind w:left="106" w:right="102" w:firstLine="480"/>
              <w:jc w:val="both"/>
            </w:pPr>
            <w:r>
              <w:rPr>
                <w:spacing w:val="-2"/>
              </w:rPr>
              <w:t>通过对国内多个</w:t>
            </w:r>
            <w:r>
              <w:rPr>
                <w:rFonts w:ascii="Times New Roman" w:hAnsi="Times New Roman" w:eastAsia="Times New Roman" w:cs="Times New Roman"/>
                <w:spacing w:val="-2"/>
              </w:rPr>
              <w:t>500kV</w:t>
            </w:r>
            <w:r>
              <w:rPr>
                <w:spacing w:val="-2"/>
              </w:rPr>
              <w:t>、</w:t>
            </w:r>
            <w:r>
              <w:rPr>
                <w:rFonts w:ascii="Times New Roman" w:hAnsi="Times New Roman" w:eastAsia="Times New Roman" w:cs="Times New Roman"/>
                <w:spacing w:val="-2"/>
              </w:rPr>
              <w:t>220kV</w:t>
            </w:r>
            <w:r>
              <w:rPr>
                <w:spacing w:val="-2"/>
              </w:rPr>
              <w:t>及</w:t>
            </w:r>
            <w:r>
              <w:rPr>
                <w:rFonts w:ascii="Times New Roman" w:hAnsi="Times New Roman" w:eastAsia="Times New Roman" w:cs="Times New Roman"/>
                <w:spacing w:val="-2"/>
              </w:rPr>
              <w:t>110kV</w:t>
            </w:r>
            <w:r>
              <w:rPr>
                <w:spacing w:val="-2"/>
              </w:rPr>
              <w:t>升压站的运行情况进行调查，发生变压器</w:t>
            </w:r>
            <w:r>
              <w:rPr>
                <w:spacing w:val="-1"/>
              </w:rPr>
              <w:t>油泄露事故的概率较小。本项目升压站在正常运行状态下，无变压器油产生</w:t>
            </w:r>
            <w:r>
              <w:rPr>
                <w:spacing w:val="-2"/>
              </w:rPr>
              <w:t>，且主变</w:t>
            </w:r>
            <w:r>
              <w:rPr>
                <w:spacing w:val="-1"/>
              </w:rPr>
              <w:t>压器发生故障概率较小。当发生突发事故时泄露变压器油以回用为主，不能</w:t>
            </w:r>
            <w:r>
              <w:rPr>
                <w:spacing w:val="-2"/>
              </w:rPr>
              <w:t>用废油暂</w:t>
            </w:r>
            <w:r>
              <w:t>存于事故油池后交由具有经营此类危险废物类别资质的</w:t>
            </w:r>
            <w:r>
              <w:rPr>
                <w:spacing w:val="-1"/>
              </w:rPr>
              <w:t>单位进行回收、处置。</w:t>
            </w:r>
          </w:p>
          <w:p w14:paraId="5601BA61">
            <w:pPr>
              <w:pStyle w:val="9"/>
              <w:spacing w:line="219" w:lineRule="auto"/>
              <w:ind w:left="598"/>
            </w:pPr>
            <w:r>
              <w:rPr>
                <w:spacing w:val="-3"/>
              </w:rPr>
              <w:t>（</w:t>
            </w:r>
            <w:r>
              <w:rPr>
                <w:rFonts w:ascii="Times New Roman" w:hAnsi="Times New Roman" w:eastAsia="Times New Roman" w:cs="Times New Roman"/>
                <w:spacing w:val="-3"/>
              </w:rPr>
              <w:t>2</w:t>
            </w:r>
            <w:r>
              <w:rPr>
                <w:spacing w:val="-3"/>
              </w:rPr>
              <w:t>）危险废物暂存间</w:t>
            </w:r>
          </w:p>
          <w:p w14:paraId="75E80432">
            <w:pPr>
              <w:pStyle w:val="9"/>
              <w:spacing w:before="184" w:line="362" w:lineRule="auto"/>
              <w:ind w:left="106" w:right="102" w:firstLine="476"/>
            </w:pPr>
            <w:r>
              <w:rPr>
                <w:rFonts w:ascii="Times New Roman" w:hAnsi="Times New Roman" w:eastAsia="Times New Roman" w:cs="Times New Roman"/>
                <w:spacing w:val="-1"/>
              </w:rPr>
              <w:t>220kV</w:t>
            </w:r>
            <w:r>
              <w:rPr>
                <w:rFonts w:ascii="Times New Roman" w:hAnsi="Times New Roman" w:eastAsia="Times New Roman" w:cs="Times New Roman"/>
                <w:spacing w:val="31"/>
                <w:w w:val="101"/>
              </w:rPr>
              <w:t xml:space="preserve"> </w:t>
            </w:r>
            <w:r>
              <w:rPr>
                <w:spacing w:val="-1"/>
              </w:rPr>
              <w:t>升压站本期建设</w:t>
            </w:r>
            <w:r>
              <w:rPr>
                <w:spacing w:val="-30"/>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16"/>
                <w:w w:val="101"/>
              </w:rPr>
              <w:t xml:space="preserve"> </w:t>
            </w:r>
            <w:r>
              <w:rPr>
                <w:spacing w:val="-1"/>
              </w:rPr>
              <w:t>座占地面积为</w:t>
            </w:r>
            <w:r>
              <w:rPr>
                <w:spacing w:val="-44"/>
              </w:rPr>
              <w:t xml:space="preserve"> </w:t>
            </w:r>
            <w:r>
              <w:rPr>
                <w:rFonts w:ascii="Times New Roman" w:hAnsi="Times New Roman" w:eastAsia="Times New Roman" w:cs="Times New Roman"/>
                <w:spacing w:val="-1"/>
              </w:rPr>
              <w:t>57m</w:t>
            </w:r>
            <w:r>
              <w:rPr>
                <w:rFonts w:ascii="Times New Roman" w:hAnsi="Times New Roman" w:eastAsia="Times New Roman" w:cs="Times New Roman"/>
                <w:spacing w:val="-1"/>
                <w:position w:val="7"/>
                <w:sz w:val="15"/>
                <w:szCs w:val="15"/>
              </w:rPr>
              <w:t>2</w:t>
            </w:r>
            <w:r>
              <w:rPr>
                <w:rFonts w:ascii="Times New Roman" w:hAnsi="Times New Roman" w:eastAsia="Times New Roman" w:cs="Times New Roman"/>
                <w:spacing w:val="31"/>
                <w:w w:val="101"/>
                <w:position w:val="7"/>
                <w:sz w:val="15"/>
                <w:szCs w:val="15"/>
              </w:rPr>
              <w:t xml:space="preserve"> </w:t>
            </w:r>
            <w:r>
              <w:rPr>
                <w:spacing w:val="-1"/>
              </w:rPr>
              <w:t>的危险废物暂存间，用于暂存站内检修产生的废机油、废蓄电池以及风场风机检修产生的废机油、废蓄电池。</w:t>
            </w:r>
            <w:r>
              <w:rPr>
                <w:spacing w:val="-2"/>
              </w:rPr>
              <w:t>根据《国</w:t>
            </w:r>
            <w:r>
              <w:t>家危险废物名录（</w:t>
            </w:r>
            <w:r>
              <w:rPr>
                <w:rFonts w:ascii="Times New Roman" w:hAnsi="Times New Roman" w:eastAsia="Times New Roman" w:cs="Times New Roman"/>
              </w:rPr>
              <w:t>2021</w:t>
            </w:r>
            <w:r>
              <w:t>年版）》变压器废油废物类别为</w:t>
            </w:r>
            <w:r>
              <w:rPr>
                <w:spacing w:val="-56"/>
              </w:rPr>
              <w:t xml:space="preserve"> </w:t>
            </w:r>
            <w:r>
              <w:rPr>
                <w:rFonts w:ascii="Times New Roman" w:hAnsi="Times New Roman" w:eastAsia="Times New Roman" w:cs="Times New Roman"/>
              </w:rPr>
              <w:t>HW0</w:t>
            </w:r>
            <w:r>
              <w:rPr>
                <w:rFonts w:ascii="Times New Roman" w:hAnsi="Times New Roman" w:eastAsia="Times New Roman" w:cs="Times New Roman"/>
                <w:spacing w:val="-1"/>
              </w:rPr>
              <w:t>8</w:t>
            </w:r>
            <w:r>
              <w:rPr>
                <w:spacing w:val="-1"/>
              </w:rPr>
              <w:t>（废矿物油</w:t>
            </w:r>
            <w:r>
              <w:rPr>
                <w:spacing w:val="-8"/>
              </w:rPr>
              <w:t>），</w:t>
            </w:r>
            <w:r>
              <w:rPr>
                <w:spacing w:val="-1"/>
              </w:rPr>
              <w:t>废物代</w:t>
            </w:r>
            <w:r>
              <w:rPr>
                <w:spacing w:val="-2"/>
              </w:rPr>
              <w:t>码为</w:t>
            </w:r>
            <w:r>
              <w:rPr>
                <w:spacing w:val="-49"/>
              </w:rPr>
              <w:t xml:space="preserve"> </w:t>
            </w:r>
            <w:r>
              <w:rPr>
                <w:rFonts w:ascii="Times New Roman" w:hAnsi="Times New Roman" w:eastAsia="Times New Roman" w:cs="Times New Roman"/>
                <w:spacing w:val="-2"/>
              </w:rPr>
              <w:t>900-220-08</w:t>
            </w:r>
            <w:r>
              <w:rPr>
                <w:rFonts w:ascii="Times New Roman" w:hAnsi="Times New Roman" w:eastAsia="Times New Roman" w:cs="Times New Roman"/>
                <w:spacing w:val="-29"/>
              </w:rPr>
              <w:t xml:space="preserve"> </w:t>
            </w:r>
            <w:r>
              <w:rPr>
                <w:spacing w:val="-2"/>
              </w:rPr>
              <w:t>，废蓄电池类别为</w:t>
            </w:r>
            <w:r>
              <w:rPr>
                <w:spacing w:val="-55"/>
              </w:rPr>
              <w:t xml:space="preserve"> </w:t>
            </w:r>
            <w:r>
              <w:rPr>
                <w:rFonts w:ascii="Times New Roman" w:hAnsi="Times New Roman" w:eastAsia="Times New Roman" w:cs="Times New Roman"/>
                <w:spacing w:val="-2"/>
              </w:rPr>
              <w:t>HW31</w:t>
            </w:r>
            <w:r>
              <w:rPr>
                <w:spacing w:val="-2"/>
              </w:rPr>
              <w:t>（含铅废物</w:t>
            </w:r>
            <w:r>
              <w:rPr>
                <w:spacing w:val="11"/>
              </w:rPr>
              <w:t>），</w:t>
            </w:r>
            <w:r>
              <w:rPr>
                <w:spacing w:val="-2"/>
              </w:rPr>
              <w:t>废物代码为</w:t>
            </w:r>
            <w:r>
              <w:rPr>
                <w:spacing w:val="-51"/>
              </w:rPr>
              <w:t xml:space="preserve"> </w:t>
            </w:r>
            <w:r>
              <w:rPr>
                <w:rFonts w:ascii="Times New Roman" w:hAnsi="Times New Roman" w:eastAsia="Times New Roman" w:cs="Times New Roman"/>
                <w:spacing w:val="-2"/>
              </w:rPr>
              <w:t>900-052-31</w:t>
            </w:r>
            <w:r>
              <w:rPr>
                <w:spacing w:val="-2"/>
              </w:rPr>
              <w:t>。</w:t>
            </w:r>
          </w:p>
          <w:p w14:paraId="4E1EDB17">
            <w:pPr>
              <w:pStyle w:val="9"/>
              <w:spacing w:before="4" w:line="325" w:lineRule="auto"/>
              <w:ind w:left="54" w:right="102" w:firstLine="535"/>
              <w:jc w:val="both"/>
            </w:pPr>
            <w:r>
              <w:rPr>
                <w:spacing w:val="-1"/>
              </w:rPr>
              <w:t>危险废物暂存间内设导流沟和的收集池，地面、墙裙、导</w:t>
            </w:r>
            <w:r>
              <w:rPr>
                <w:spacing w:val="-2"/>
              </w:rPr>
              <w:t>流沟、收集池的侧壁和</w:t>
            </w:r>
            <w:r>
              <w:rPr>
                <w:spacing w:val="1"/>
              </w:rPr>
              <w:t>底部需进行防渗处理，防渗层按照《危险废物</w:t>
            </w:r>
            <w:r>
              <w:t>贮存污染控制标准》</w:t>
            </w:r>
            <w:r>
              <w:rPr>
                <w:rFonts w:ascii="Times New Roman" w:hAnsi="Times New Roman" w:eastAsia="Times New Roman" w:cs="Times New Roman"/>
              </w:rPr>
              <w:t>(GB18597-2023)</w:t>
            </w:r>
            <w:r>
              <w:t>中</w:t>
            </w:r>
            <w:r>
              <w:rPr>
                <w:rFonts w:ascii="Times New Roman" w:hAnsi="Times New Roman" w:eastAsia="Times New Roman" w:cs="Times New Roman"/>
                <w:spacing w:val="11"/>
              </w:rPr>
              <w:t>“</w:t>
            </w:r>
            <w:r>
              <w:rPr>
                <w:rFonts w:ascii="Times New Roman" w:hAnsi="Times New Roman" w:eastAsia="Times New Roman" w:cs="Times New Roman"/>
                <w:spacing w:val="-42"/>
              </w:rPr>
              <w:t xml:space="preserve"> </w:t>
            </w:r>
            <w:r>
              <w:rPr>
                <w:spacing w:val="11"/>
              </w:rPr>
              <w:t>基础必须防渗，防渗层为或</w:t>
            </w:r>
            <w:r>
              <w:rPr>
                <w:spacing w:val="-36"/>
              </w:rPr>
              <w:t xml:space="preserve"> </w:t>
            </w:r>
            <w:r>
              <w:rPr>
                <w:rFonts w:ascii="Times New Roman" w:hAnsi="Times New Roman" w:eastAsia="Times New Roman" w:cs="Times New Roman"/>
                <w:spacing w:val="11"/>
              </w:rPr>
              <w:t>2</w:t>
            </w:r>
            <w:r>
              <w:rPr>
                <w:rFonts w:ascii="Times New Roman" w:hAnsi="Times New Roman" w:eastAsia="Times New Roman" w:cs="Times New Roman"/>
              </w:rPr>
              <w:t>mm</w:t>
            </w:r>
            <w:r>
              <w:rPr>
                <w:rFonts w:ascii="Times New Roman" w:hAnsi="Times New Roman" w:eastAsia="Times New Roman" w:cs="Times New Roman"/>
                <w:spacing w:val="11"/>
              </w:rPr>
              <w:t xml:space="preserve"> </w:t>
            </w:r>
            <w:r>
              <w:rPr>
                <w:spacing w:val="11"/>
              </w:rPr>
              <w:t>厚高密度聚乙烯</w:t>
            </w:r>
            <w:r>
              <w:rPr>
                <w:spacing w:val="-71"/>
              </w:rPr>
              <w:t xml:space="preserve"> </w:t>
            </w:r>
            <w:r>
              <w:rPr>
                <w:spacing w:val="11"/>
              </w:rPr>
              <w:t>，渗透系数</w:t>
            </w:r>
            <w:r>
              <w:rPr>
                <w:rFonts w:ascii="Times New Roman" w:hAnsi="Times New Roman" w:eastAsia="Times New Roman" w:cs="Times New Roman"/>
                <w:spacing w:val="11"/>
              </w:rPr>
              <w:t>≤10</w:t>
            </w:r>
            <w:r>
              <w:rPr>
                <w:rFonts w:ascii="Times New Roman" w:hAnsi="Times New Roman" w:eastAsia="Times New Roman" w:cs="Times New Roman"/>
                <w:spacing w:val="11"/>
                <w:position w:val="7"/>
                <w:sz w:val="15"/>
                <w:szCs w:val="15"/>
              </w:rPr>
              <w:t>-</w:t>
            </w:r>
            <w:r>
              <w:rPr>
                <w:rFonts w:ascii="Times New Roman" w:hAnsi="Times New Roman" w:eastAsia="Times New Roman" w:cs="Times New Roman"/>
                <w:spacing w:val="-19"/>
                <w:position w:val="7"/>
                <w:sz w:val="15"/>
                <w:szCs w:val="15"/>
              </w:rPr>
              <w:t xml:space="preserve"> </w:t>
            </w:r>
            <w:r>
              <w:rPr>
                <w:rFonts w:ascii="Times New Roman" w:hAnsi="Times New Roman" w:eastAsia="Times New Roman" w:cs="Times New Roman"/>
                <w:spacing w:val="11"/>
                <w:position w:val="7"/>
                <w:sz w:val="15"/>
                <w:szCs w:val="15"/>
              </w:rPr>
              <w:t>10</w:t>
            </w:r>
            <w:r>
              <w:rPr>
                <w:rFonts w:ascii="Times New Roman" w:hAnsi="Times New Roman" w:eastAsia="Times New Roman" w:cs="Times New Roman"/>
              </w:rPr>
              <w:t>cm</w:t>
            </w:r>
            <w:r>
              <w:rPr>
                <w:rFonts w:ascii="Times New Roman" w:hAnsi="Times New Roman" w:eastAsia="Times New Roman" w:cs="Times New Roman"/>
                <w:spacing w:val="10"/>
              </w:rPr>
              <w:t>/s”</w:t>
            </w:r>
            <w:r>
              <w:rPr>
                <w:rFonts w:ascii="Times New Roman" w:hAnsi="Times New Roman" w:eastAsia="Times New Roman" w:cs="Times New Roman"/>
                <w:spacing w:val="-43"/>
              </w:rPr>
              <w:t xml:space="preserve"> </w:t>
            </w:r>
            <w:r>
              <w:rPr>
                <w:spacing w:val="10"/>
              </w:rPr>
              <w:t>标准进</w:t>
            </w:r>
            <w:r>
              <w:rPr>
                <w:spacing w:val="2"/>
              </w:rPr>
              <w:t>行防渗，防止油污等渗入外环境，可将环境风险控制在可以接受的水平。</w:t>
            </w:r>
          </w:p>
        </w:tc>
      </w:tr>
      <w:tr w14:paraId="448D3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31" w:hRule="atLeast"/>
        </w:trPr>
        <w:tc>
          <w:tcPr>
            <w:tcW w:w="505" w:type="dxa"/>
            <w:tcBorders>
              <w:top w:val="single" w:color="000000" w:sz="2" w:space="0"/>
              <w:right w:val="single" w:color="000000" w:sz="2" w:space="0"/>
            </w:tcBorders>
            <w:textDirection w:val="tbRlV"/>
            <w:vAlign w:val="top"/>
          </w:tcPr>
          <w:p w14:paraId="709C81ED">
            <w:pPr>
              <w:pStyle w:val="9"/>
              <w:spacing w:before="111" w:line="209" w:lineRule="auto"/>
              <w:ind w:left="2445"/>
              <w:outlineLvl w:val="2"/>
              <w:rPr>
                <w:sz w:val="28"/>
                <w:szCs w:val="28"/>
              </w:rPr>
            </w:pPr>
            <w:r>
              <w:rPr>
                <w:sz w:val="28"/>
                <w:szCs w:val="28"/>
              </w:rPr>
              <w:t>其</w:t>
            </w:r>
            <w:r>
              <w:rPr>
                <w:spacing w:val="-56"/>
                <w:sz w:val="28"/>
                <w:szCs w:val="28"/>
              </w:rPr>
              <w:t xml:space="preserve"> </w:t>
            </w:r>
            <w:r>
              <w:rPr>
                <w:sz w:val="28"/>
                <w:szCs w:val="28"/>
              </w:rPr>
              <w:t>他</w:t>
            </w:r>
          </w:p>
        </w:tc>
        <w:tc>
          <w:tcPr>
            <w:tcW w:w="9059" w:type="dxa"/>
            <w:tcBorders>
              <w:top w:val="single" w:color="000000" w:sz="2" w:space="0"/>
              <w:left w:val="single" w:color="000000" w:sz="2" w:space="0"/>
            </w:tcBorders>
            <w:vAlign w:val="top"/>
          </w:tcPr>
          <w:p w14:paraId="747F1784">
            <w:pPr>
              <w:pStyle w:val="9"/>
              <w:spacing w:before="172" w:line="219" w:lineRule="auto"/>
              <w:ind w:left="593"/>
            </w:pPr>
            <w:r>
              <w:rPr>
                <w:rFonts w:ascii="Times New Roman" w:hAnsi="Times New Roman" w:eastAsia="Times New Roman" w:cs="Times New Roman"/>
                <w:b/>
                <w:bCs/>
                <w:spacing w:val="-3"/>
              </w:rPr>
              <w:t>1.</w:t>
            </w:r>
            <w:r>
              <w:rPr>
                <w:b/>
                <w:bCs/>
                <w:spacing w:val="-3"/>
              </w:rPr>
              <w:t>环境管理与监测计划</w:t>
            </w:r>
          </w:p>
          <w:p w14:paraId="7371DB98">
            <w:pPr>
              <w:pStyle w:val="9"/>
              <w:spacing w:before="173" w:line="354" w:lineRule="auto"/>
              <w:ind w:left="106" w:right="102" w:firstLine="481"/>
              <w:jc w:val="both"/>
            </w:pPr>
            <w:r>
              <w:rPr>
                <w:spacing w:val="-1"/>
              </w:rPr>
              <w:t>本工程的建设将会对工程区域环境造成一定的影响。施工期和</w:t>
            </w:r>
            <w:r>
              <w:rPr>
                <w:spacing w:val="-2"/>
              </w:rPr>
              <w:t>运营期应加强环境</w:t>
            </w:r>
            <w:r>
              <w:rPr>
                <w:spacing w:val="-1"/>
              </w:rPr>
              <w:t>管理，执行环境管理和监测计划，掌握项目工程建设前后、运行前后实际产</w:t>
            </w:r>
            <w:r>
              <w:rPr>
                <w:spacing w:val="-2"/>
              </w:rPr>
              <w:t>生的环境</w:t>
            </w:r>
            <w:r>
              <w:rPr>
                <w:spacing w:val="-1"/>
              </w:rPr>
              <w:t>影响变化情况，确保各项环保防治措施的有效落实，并根据管理、监测中发</w:t>
            </w:r>
            <w:r>
              <w:rPr>
                <w:spacing w:val="-2"/>
              </w:rPr>
              <w:t>现的信息</w:t>
            </w:r>
            <w:r>
              <w:rPr>
                <w:spacing w:val="-1"/>
              </w:rPr>
              <w:t>及时解决相关问题，尽可能降低、减少工程建设及工程运行对环境带来的负</w:t>
            </w:r>
            <w:r>
              <w:rPr>
                <w:spacing w:val="-2"/>
              </w:rPr>
              <w:t>面影响，</w:t>
            </w:r>
            <w:r>
              <w:rPr>
                <w:spacing w:val="-1"/>
              </w:rPr>
              <w:t>力争做到经济、社会、环境效益的统一和可持续发展。</w:t>
            </w:r>
          </w:p>
          <w:p w14:paraId="40D2C57C">
            <w:pPr>
              <w:pStyle w:val="9"/>
              <w:spacing w:line="219" w:lineRule="auto"/>
              <w:ind w:left="598"/>
            </w:pPr>
            <w:r>
              <w:rPr>
                <w:spacing w:val="-2"/>
              </w:rPr>
              <w:t>（</w:t>
            </w:r>
            <w:r>
              <w:rPr>
                <w:rFonts w:ascii="Times New Roman" w:hAnsi="Times New Roman" w:eastAsia="Times New Roman" w:cs="Times New Roman"/>
                <w:spacing w:val="-2"/>
              </w:rPr>
              <w:t>1</w:t>
            </w:r>
            <w:r>
              <w:rPr>
                <w:spacing w:val="-2"/>
              </w:rPr>
              <w:t>）施工期环境管理和监督</w:t>
            </w:r>
          </w:p>
          <w:p w14:paraId="640664B7">
            <w:pPr>
              <w:pStyle w:val="9"/>
              <w:spacing w:before="173" w:line="354" w:lineRule="auto"/>
              <w:ind w:left="106" w:right="102" w:firstLine="481"/>
            </w:pPr>
            <w:r>
              <w:rPr>
                <w:spacing w:val="-1"/>
              </w:rPr>
              <w:t>本项目已建设完成，施工单位在工程建设过程中，严格执行建</w:t>
            </w:r>
            <w:r>
              <w:rPr>
                <w:spacing w:val="-2"/>
              </w:rPr>
              <w:t>设单位统一制定的</w:t>
            </w:r>
            <w:r>
              <w:rPr>
                <w:spacing w:val="-1"/>
              </w:rPr>
              <w:t>各项环境保护管理制度，并组织各参建单位认真贯彻落实各项标准与制度，</w:t>
            </w:r>
            <w:r>
              <w:rPr>
                <w:spacing w:val="-2"/>
              </w:rPr>
              <w:t>保证环保</w:t>
            </w:r>
            <w:r>
              <w:rPr>
                <w:spacing w:val="-1"/>
              </w:rPr>
              <w:t>措施的落实。环境管理机构人员对施工活动进行全过程环境监督，通过严格</w:t>
            </w:r>
            <w:r>
              <w:rPr>
                <w:spacing w:val="-2"/>
              </w:rPr>
              <w:t>检查确保</w:t>
            </w:r>
            <w:r>
              <w:t>施工中的每一道工序满足环保要求，使施工期环境保</w:t>
            </w:r>
            <w:r>
              <w:rPr>
                <w:spacing w:val="-1"/>
              </w:rPr>
              <w:t>护措施得到全面落实。</w:t>
            </w:r>
          </w:p>
          <w:p w14:paraId="2B472F29">
            <w:pPr>
              <w:pStyle w:val="9"/>
              <w:spacing w:line="219" w:lineRule="auto"/>
              <w:ind w:left="586"/>
            </w:pPr>
            <w:r>
              <w:rPr>
                <w:spacing w:val="-1"/>
              </w:rPr>
              <w:t>在工程的承包合同中明确环境保护要求，并严格监督承包商执行设</w:t>
            </w:r>
            <w:r>
              <w:rPr>
                <w:spacing w:val="-2"/>
              </w:rPr>
              <w:t>计中提出的生</w:t>
            </w:r>
          </w:p>
        </w:tc>
      </w:tr>
    </w:tbl>
    <w:p w14:paraId="7BA1CA3F">
      <w:pPr>
        <w:pStyle w:val="3"/>
      </w:pPr>
    </w:p>
    <w:p w14:paraId="743E1F67">
      <w:pPr>
        <w:sectPr>
          <w:footerReference r:id="rId84" w:type="default"/>
          <w:pgSz w:w="11907" w:h="16840"/>
          <w:pgMar w:top="1431" w:right="1164" w:bottom="1295" w:left="1163" w:header="0" w:footer="1133" w:gutter="0"/>
          <w:cols w:space="720" w:num="1"/>
        </w:sectPr>
      </w:pPr>
    </w:p>
    <w:p w14:paraId="3ED41A0C">
      <w:pPr>
        <w:spacing w:line="89" w:lineRule="auto"/>
        <w:rPr>
          <w:rFonts w:ascii="Arial"/>
          <w:sz w:val="2"/>
        </w:rPr>
      </w:pPr>
    </w:p>
    <w:tbl>
      <w:tblPr>
        <w:tblStyle w:val="8"/>
        <w:tblW w:w="95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05"/>
        <w:gridCol w:w="9059"/>
      </w:tblGrid>
      <w:tr w14:paraId="47774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797" w:hRule="atLeast"/>
        </w:trPr>
        <w:tc>
          <w:tcPr>
            <w:tcW w:w="505" w:type="dxa"/>
            <w:tcBorders>
              <w:right w:val="single" w:color="000000" w:sz="2" w:space="0"/>
            </w:tcBorders>
            <w:vAlign w:val="top"/>
          </w:tcPr>
          <w:p w14:paraId="1377532E">
            <w:pPr>
              <w:rPr>
                <w:rFonts w:ascii="Arial"/>
                <w:sz w:val="21"/>
              </w:rPr>
            </w:pPr>
          </w:p>
        </w:tc>
        <w:tc>
          <w:tcPr>
            <w:tcW w:w="9059" w:type="dxa"/>
            <w:tcBorders>
              <w:left w:val="single" w:color="000000" w:sz="2" w:space="0"/>
            </w:tcBorders>
            <w:vAlign w:val="top"/>
          </w:tcPr>
          <w:p w14:paraId="389148DE">
            <w:pPr>
              <w:pStyle w:val="9"/>
              <w:spacing w:before="157" w:line="354" w:lineRule="auto"/>
              <w:ind w:left="106" w:right="102"/>
            </w:pPr>
            <w:r>
              <w:rPr>
                <w:spacing w:val="-1"/>
              </w:rPr>
              <w:t>态保护和污染防治措施、遵守环境保护方面的法律法规；加强施工人员的</w:t>
            </w:r>
            <w:r>
              <w:rPr>
                <w:spacing w:val="-2"/>
              </w:rPr>
              <w:t>培训，做到</w:t>
            </w:r>
            <w:r>
              <w:rPr>
                <w:spacing w:val="-1"/>
              </w:rPr>
              <w:t>施工人员知法、懂法、守法，使设计中的环保措施得以实施。</w:t>
            </w:r>
          </w:p>
          <w:p w14:paraId="01981617">
            <w:pPr>
              <w:pStyle w:val="9"/>
              <w:spacing w:before="1" w:line="353" w:lineRule="auto"/>
              <w:ind w:left="131" w:right="102" w:firstLine="454"/>
            </w:pPr>
            <w:r>
              <w:rPr>
                <w:spacing w:val="-1"/>
              </w:rPr>
              <w:t>施工单位在施工中对各种环境问题进行了收集、记录、建档和处理</w:t>
            </w:r>
            <w:r>
              <w:rPr>
                <w:spacing w:val="-2"/>
              </w:rPr>
              <w:t>工作，并及时向建设单位和环保行政主管部门汇报。</w:t>
            </w:r>
          </w:p>
          <w:p w14:paraId="79ECB99E">
            <w:pPr>
              <w:pStyle w:val="9"/>
              <w:spacing w:line="219" w:lineRule="auto"/>
              <w:ind w:left="598"/>
            </w:pPr>
            <w:r>
              <w:rPr>
                <w:b/>
                <w:bCs/>
                <w:spacing w:val="-3"/>
              </w:rPr>
              <w:t>（</w:t>
            </w:r>
            <w:r>
              <w:rPr>
                <w:rFonts w:ascii="Times New Roman" w:hAnsi="Times New Roman" w:eastAsia="Times New Roman" w:cs="Times New Roman"/>
                <w:b/>
                <w:bCs/>
                <w:spacing w:val="-3"/>
              </w:rPr>
              <w:t>2</w:t>
            </w:r>
            <w:r>
              <w:rPr>
                <w:b/>
                <w:bCs/>
                <w:spacing w:val="-3"/>
              </w:rPr>
              <w:t>）运营期的环境管理和监督</w:t>
            </w:r>
          </w:p>
          <w:p w14:paraId="48135A48">
            <w:pPr>
              <w:pStyle w:val="9"/>
              <w:spacing w:before="174" w:line="354" w:lineRule="auto"/>
              <w:ind w:left="109" w:right="102" w:firstLine="480"/>
            </w:pPr>
            <w:r>
              <w:rPr>
                <w:spacing w:val="-1"/>
              </w:rPr>
              <w:t>项目竣工投运后，根据工程建设地区的环境特点，其运</w:t>
            </w:r>
            <w:r>
              <w:rPr>
                <w:spacing w:val="-2"/>
              </w:rPr>
              <w:t>行主管单位设立了相应管</w:t>
            </w:r>
            <w:r>
              <w:rPr>
                <w:spacing w:val="-1"/>
              </w:rPr>
              <w:t>理部门。在运营期间实施以下环境管理的内容：</w:t>
            </w:r>
          </w:p>
          <w:p w14:paraId="045CB5E6">
            <w:pPr>
              <w:pStyle w:val="9"/>
              <w:spacing w:line="218" w:lineRule="auto"/>
              <w:ind w:left="598"/>
            </w:pPr>
            <w:r>
              <w:rPr>
                <w:spacing w:val="-1"/>
              </w:rPr>
              <w:t>（</w:t>
            </w:r>
            <w:r>
              <w:rPr>
                <w:rFonts w:ascii="Times New Roman" w:hAnsi="Times New Roman" w:eastAsia="Times New Roman" w:cs="Times New Roman"/>
                <w:spacing w:val="-1"/>
              </w:rPr>
              <w:t>1</w:t>
            </w:r>
            <w:r>
              <w:rPr>
                <w:spacing w:val="-1"/>
              </w:rPr>
              <w:t>）采用符合要求的设施，各项污染指标在国家规定的限值内。</w:t>
            </w:r>
          </w:p>
          <w:p w14:paraId="2874FAAB">
            <w:pPr>
              <w:pStyle w:val="9"/>
              <w:spacing w:before="176" w:line="354" w:lineRule="auto"/>
              <w:ind w:left="106" w:right="102" w:firstLine="491"/>
            </w:pPr>
            <w:r>
              <w:rPr>
                <w:spacing w:val="-2"/>
              </w:rPr>
              <w:t>（</w:t>
            </w:r>
            <w:r>
              <w:rPr>
                <w:rFonts w:ascii="Times New Roman" w:hAnsi="Times New Roman" w:eastAsia="Times New Roman" w:cs="Times New Roman"/>
                <w:spacing w:val="-2"/>
              </w:rPr>
              <w:t>2</w:t>
            </w:r>
            <w:r>
              <w:rPr>
                <w:spacing w:val="-2"/>
              </w:rPr>
              <w:t>）保证厂界噪声达到《工业企业厂界环</w:t>
            </w:r>
            <w:r>
              <w:rPr>
                <w:spacing w:val="-3"/>
              </w:rPr>
              <w:t>境噪声排放标准》（</w:t>
            </w:r>
            <w:r>
              <w:rPr>
                <w:rFonts w:ascii="Times New Roman" w:hAnsi="Times New Roman" w:eastAsia="Times New Roman" w:cs="Times New Roman"/>
                <w:spacing w:val="-3"/>
              </w:rPr>
              <w:t>GB12348-2008</w:t>
            </w:r>
            <w:r>
              <w:rPr>
                <w:spacing w:val="-3"/>
              </w:rPr>
              <w:t>）</w:t>
            </w:r>
            <w:r>
              <w:rPr>
                <w:rFonts w:ascii="Times New Roman" w:hAnsi="Times New Roman" w:eastAsia="Times New Roman" w:cs="Times New Roman"/>
                <w:spacing w:val="-3"/>
              </w:rPr>
              <w:t>2</w:t>
            </w:r>
            <w:r>
              <w:rPr>
                <w:spacing w:val="-2"/>
              </w:rPr>
              <w:t>类标准要求。</w:t>
            </w:r>
          </w:p>
          <w:p w14:paraId="695C6BD3">
            <w:pPr>
              <w:pStyle w:val="9"/>
              <w:spacing w:before="1" w:line="353" w:lineRule="auto"/>
              <w:ind w:left="107" w:right="102" w:firstLine="490"/>
            </w:pPr>
            <w:r>
              <w:rPr>
                <w:spacing w:val="2"/>
              </w:rPr>
              <w:t>（</w:t>
            </w:r>
            <w:r>
              <w:rPr>
                <w:rFonts w:ascii="Times New Roman" w:hAnsi="Times New Roman" w:eastAsia="Times New Roman" w:cs="Times New Roman"/>
                <w:spacing w:val="2"/>
              </w:rPr>
              <w:t>3</w:t>
            </w:r>
            <w:r>
              <w:rPr>
                <w:spacing w:val="2"/>
              </w:rPr>
              <w:t>）贯彻执行国家和地方的各项环保方针、政策、法规和各项规章制</w:t>
            </w:r>
            <w:r>
              <w:rPr>
                <w:spacing w:val="1"/>
              </w:rPr>
              <w:t>度，制定</w:t>
            </w:r>
            <w:r>
              <w:rPr>
                <w:spacing w:val="-1"/>
              </w:rPr>
              <w:t>和实施各项环境管理计划。</w:t>
            </w:r>
          </w:p>
          <w:p w14:paraId="3091131A">
            <w:pPr>
              <w:pStyle w:val="9"/>
              <w:spacing w:line="354" w:lineRule="auto"/>
              <w:ind w:left="107" w:right="102" w:firstLine="490"/>
            </w:pPr>
            <w:r>
              <w:rPr>
                <w:spacing w:val="2"/>
              </w:rPr>
              <w:t>（</w:t>
            </w:r>
            <w:r>
              <w:rPr>
                <w:rFonts w:ascii="Times New Roman" w:hAnsi="Times New Roman" w:eastAsia="Times New Roman" w:cs="Times New Roman"/>
                <w:spacing w:val="2"/>
              </w:rPr>
              <w:t>4</w:t>
            </w:r>
            <w:r>
              <w:rPr>
                <w:spacing w:val="2"/>
              </w:rPr>
              <w:t>）掌握项目附近的环境特征和重点环境保护目标情况。建立环境管</w:t>
            </w:r>
            <w:r>
              <w:rPr>
                <w:spacing w:val="1"/>
              </w:rPr>
              <w:t>理和环境</w:t>
            </w:r>
            <w:r>
              <w:rPr>
                <w:spacing w:val="-1"/>
              </w:rPr>
              <w:t>监测技术文件，做好记录、建档工作。技术文件包括：污染源的监测记</w:t>
            </w:r>
            <w:r>
              <w:rPr>
                <w:spacing w:val="-2"/>
              </w:rPr>
              <w:t>录技术文件；</w:t>
            </w:r>
            <w:r>
              <w:rPr>
                <w:spacing w:val="-1"/>
              </w:rPr>
              <w:t>污染控制、环境保护设施的设计和运行管理文件；导致严重环境影响事</w:t>
            </w:r>
            <w:r>
              <w:rPr>
                <w:spacing w:val="-2"/>
              </w:rPr>
              <w:t>件的分析报告</w:t>
            </w:r>
            <w:r>
              <w:rPr>
                <w:spacing w:val="-1"/>
              </w:rPr>
              <w:t>和监测数据资料等，并定期向当地环保主管部门申报。</w:t>
            </w:r>
          </w:p>
          <w:p w14:paraId="47267BD8">
            <w:pPr>
              <w:pStyle w:val="9"/>
              <w:spacing w:before="2" w:line="353" w:lineRule="auto"/>
              <w:ind w:left="111" w:right="102" w:firstLine="486"/>
            </w:pPr>
            <w:r>
              <w:rPr>
                <w:spacing w:val="2"/>
              </w:rPr>
              <w:t>（</w:t>
            </w:r>
            <w:r>
              <w:rPr>
                <w:rFonts w:ascii="Times New Roman" w:hAnsi="Times New Roman" w:eastAsia="Times New Roman" w:cs="Times New Roman"/>
                <w:spacing w:val="2"/>
              </w:rPr>
              <w:t>5</w:t>
            </w:r>
            <w:r>
              <w:rPr>
                <w:spacing w:val="2"/>
              </w:rPr>
              <w:t>）检查环保治理设施运行情况，及时处理出现的问题，保证环保治</w:t>
            </w:r>
            <w:r>
              <w:rPr>
                <w:spacing w:val="1"/>
              </w:rPr>
              <w:t>理设施的</w:t>
            </w:r>
            <w:r>
              <w:rPr>
                <w:spacing w:val="-3"/>
              </w:rPr>
              <w:t>正常运行。</w:t>
            </w:r>
          </w:p>
          <w:p w14:paraId="17E3FFE4">
            <w:pPr>
              <w:pStyle w:val="9"/>
              <w:spacing w:before="1" w:line="354" w:lineRule="auto"/>
              <w:ind w:left="106" w:right="102" w:firstLine="492"/>
            </w:pPr>
            <w:r>
              <w:rPr>
                <w:spacing w:val="2"/>
              </w:rPr>
              <w:t>（</w:t>
            </w:r>
            <w:r>
              <w:rPr>
                <w:rFonts w:ascii="Times New Roman" w:hAnsi="Times New Roman" w:eastAsia="Times New Roman" w:cs="Times New Roman"/>
                <w:spacing w:val="2"/>
              </w:rPr>
              <w:t>6</w:t>
            </w:r>
            <w:r>
              <w:rPr>
                <w:spacing w:val="2"/>
              </w:rPr>
              <w:t>）不定期地巡查环境保护对象，保护生态环境不被破坏，保证生态</w:t>
            </w:r>
            <w:r>
              <w:rPr>
                <w:spacing w:val="1"/>
              </w:rPr>
              <w:t>保护与工</w:t>
            </w:r>
            <w:r>
              <w:rPr>
                <w:spacing w:val="-2"/>
              </w:rPr>
              <w:t>程运行相协调。</w:t>
            </w:r>
          </w:p>
          <w:p w14:paraId="51F85745">
            <w:pPr>
              <w:pStyle w:val="9"/>
              <w:spacing w:line="219" w:lineRule="auto"/>
              <w:ind w:left="598"/>
            </w:pPr>
            <w:r>
              <w:rPr>
                <w:spacing w:val="-1"/>
              </w:rPr>
              <w:t>（</w:t>
            </w:r>
            <w:r>
              <w:rPr>
                <w:rFonts w:ascii="Times New Roman" w:hAnsi="Times New Roman" w:eastAsia="Times New Roman" w:cs="Times New Roman"/>
                <w:spacing w:val="-1"/>
              </w:rPr>
              <w:t>7</w:t>
            </w:r>
            <w:r>
              <w:rPr>
                <w:spacing w:val="-1"/>
              </w:rPr>
              <w:t>）协调配合上级环保主管部门所进行的环境调查、生态调查等活动。</w:t>
            </w:r>
          </w:p>
          <w:p w14:paraId="4751100E">
            <w:pPr>
              <w:pStyle w:val="9"/>
              <w:spacing w:before="175" w:line="354" w:lineRule="auto"/>
              <w:ind w:left="107" w:right="102" w:firstLine="490"/>
            </w:pPr>
            <w:r>
              <w:rPr>
                <w:spacing w:val="2"/>
              </w:rPr>
              <w:t>（</w:t>
            </w:r>
            <w:r>
              <w:rPr>
                <w:rFonts w:ascii="Times New Roman" w:hAnsi="Times New Roman" w:eastAsia="Times New Roman" w:cs="Times New Roman"/>
                <w:spacing w:val="2"/>
              </w:rPr>
              <w:t>8</w:t>
            </w:r>
            <w:r>
              <w:rPr>
                <w:spacing w:val="2"/>
              </w:rPr>
              <w:t>）配合有关部门积极妥善处理项目附近群众对项目投运后可能产生</w:t>
            </w:r>
            <w:r>
              <w:rPr>
                <w:spacing w:val="1"/>
              </w:rPr>
              <w:t>的电磁环</w:t>
            </w:r>
            <w:r>
              <w:rPr>
                <w:spacing w:val="-2"/>
              </w:rPr>
              <w:t>境、噪声等投诉。</w:t>
            </w:r>
          </w:p>
          <w:p w14:paraId="0C92BEEB">
            <w:pPr>
              <w:pStyle w:val="9"/>
              <w:spacing w:before="3" w:line="353" w:lineRule="auto"/>
              <w:ind w:left="105" w:right="41" w:firstLine="493"/>
            </w:pPr>
            <w:r>
              <w:rPr>
                <w:spacing w:val="2"/>
              </w:rPr>
              <w:t>（</w:t>
            </w:r>
            <w:r>
              <w:rPr>
                <w:rFonts w:ascii="Times New Roman" w:hAnsi="Times New Roman" w:eastAsia="Times New Roman" w:cs="Times New Roman"/>
                <w:spacing w:val="2"/>
              </w:rPr>
              <w:t>9</w:t>
            </w:r>
            <w:r>
              <w:rPr>
                <w:spacing w:val="2"/>
              </w:rPr>
              <w:t>）对项目运行的有关人员进行环境保护技术和政策方面的培训，加</w:t>
            </w:r>
            <w:r>
              <w:rPr>
                <w:spacing w:val="1"/>
              </w:rPr>
              <w:t>强环保宣</w:t>
            </w:r>
            <w:r>
              <w:rPr>
                <w:spacing w:val="-1"/>
              </w:rPr>
              <w:t>传工作，增强环保管理的能力，减少运行产生的不利环境影响。具体的环保管</w:t>
            </w:r>
            <w:r>
              <w:rPr>
                <w:spacing w:val="-2"/>
              </w:rPr>
              <w:t>理内容</w:t>
            </w:r>
            <w:r>
              <w:rPr>
                <w:spacing w:val="-6"/>
              </w:rPr>
              <w:t>包括：中华人民共和国环境保护法，建设项目环境保护管理条例，电力设施保护条例，</w:t>
            </w:r>
            <w:r>
              <w:t>电磁环境影响的有关知识，城市区域环境噪声标准，其他有关的</w:t>
            </w:r>
            <w:r>
              <w:rPr>
                <w:spacing w:val="-1"/>
              </w:rPr>
              <w:t>国家和地方的规定。</w:t>
            </w:r>
          </w:p>
          <w:p w14:paraId="3C7BFDAE">
            <w:pPr>
              <w:pStyle w:val="9"/>
              <w:spacing w:line="220" w:lineRule="auto"/>
              <w:ind w:left="581"/>
            </w:pPr>
            <w:r>
              <w:rPr>
                <w:rFonts w:ascii="Times New Roman" w:hAnsi="Times New Roman" w:eastAsia="Times New Roman" w:cs="Times New Roman"/>
                <w:b/>
                <w:bCs/>
                <w:spacing w:val="-2"/>
              </w:rPr>
              <w:t>3.</w:t>
            </w:r>
            <w:r>
              <w:rPr>
                <w:b/>
                <w:bCs/>
                <w:spacing w:val="-2"/>
              </w:rPr>
              <w:t>环境监测计划</w:t>
            </w:r>
          </w:p>
          <w:p w14:paraId="73BF6F94">
            <w:pPr>
              <w:pStyle w:val="9"/>
              <w:spacing w:before="175" w:line="219" w:lineRule="auto"/>
              <w:ind w:left="581"/>
            </w:pPr>
            <w:r>
              <w:rPr>
                <w:rFonts w:ascii="Times New Roman" w:hAnsi="Times New Roman" w:eastAsia="Times New Roman" w:cs="Times New Roman"/>
                <w:b/>
                <w:bCs/>
                <w:spacing w:val="-2"/>
              </w:rPr>
              <w:t xml:space="preserve">3.1 </w:t>
            </w:r>
            <w:r>
              <w:rPr>
                <w:b/>
                <w:bCs/>
                <w:spacing w:val="-2"/>
              </w:rPr>
              <w:t>环境监测任务</w:t>
            </w:r>
          </w:p>
          <w:p w14:paraId="2741DC85">
            <w:pPr>
              <w:pStyle w:val="9"/>
              <w:spacing w:before="175" w:line="219" w:lineRule="auto"/>
              <w:ind w:left="586"/>
            </w:pPr>
            <w:r>
              <w:rPr>
                <w:spacing w:val="-1"/>
              </w:rPr>
              <w:t>根据本工程的环境影响特点，主要进行运行期的环境监测。运营</w:t>
            </w:r>
            <w:r>
              <w:rPr>
                <w:spacing w:val="-2"/>
              </w:rPr>
              <w:t>期的环境影响因</w:t>
            </w:r>
          </w:p>
        </w:tc>
      </w:tr>
    </w:tbl>
    <w:p w14:paraId="30913575">
      <w:pPr>
        <w:pStyle w:val="3"/>
      </w:pPr>
    </w:p>
    <w:p w14:paraId="32642A73">
      <w:pPr>
        <w:sectPr>
          <w:footerReference r:id="rId85" w:type="default"/>
          <w:pgSz w:w="11907" w:h="16840"/>
          <w:pgMar w:top="1431" w:right="1164" w:bottom="1295" w:left="1163" w:header="0" w:footer="1133" w:gutter="0"/>
          <w:cols w:space="720" w:num="1"/>
        </w:sectPr>
      </w:pPr>
    </w:p>
    <w:p w14:paraId="539095D6">
      <w:pPr>
        <w:spacing w:line="89" w:lineRule="auto"/>
        <w:rPr>
          <w:rFonts w:ascii="Arial"/>
          <w:sz w:val="2"/>
        </w:rPr>
      </w:pPr>
      <w:r>
        <w:drawing>
          <wp:anchor distT="0" distB="0" distL="0" distR="0" simplePos="0" relativeHeight="251683840" behindDoc="0" locked="0" layoutInCell="0" allowOverlap="1">
            <wp:simplePos x="0" y="0"/>
            <wp:positionH relativeFrom="page">
              <wp:posOffset>6740525</wp:posOffset>
            </wp:positionH>
            <wp:positionV relativeFrom="page">
              <wp:posOffset>8896985</wp:posOffset>
            </wp:positionV>
            <wp:extent cx="6350" cy="777240"/>
            <wp:effectExtent l="0" t="0" r="0" b="0"/>
            <wp:wrapNone/>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263"/>
                    <a:stretch>
                      <a:fillRect/>
                    </a:stretch>
                  </pic:blipFill>
                  <pic:spPr>
                    <a:xfrm>
                      <a:off x="0" y="0"/>
                      <a:ext cx="6350" cy="777240"/>
                    </a:xfrm>
                    <a:prstGeom prst="rect">
                      <a:avLst/>
                    </a:prstGeom>
                  </pic:spPr>
                </pic:pic>
              </a:graphicData>
            </a:graphic>
          </wp:anchor>
        </w:drawing>
      </w:r>
      <w:r>
        <w:drawing>
          <wp:anchor distT="0" distB="0" distL="0" distR="0" simplePos="0" relativeHeight="251684864" behindDoc="0" locked="0" layoutInCell="0" allowOverlap="1">
            <wp:simplePos x="0" y="0"/>
            <wp:positionH relativeFrom="page">
              <wp:posOffset>1128395</wp:posOffset>
            </wp:positionH>
            <wp:positionV relativeFrom="page">
              <wp:posOffset>8896985</wp:posOffset>
            </wp:positionV>
            <wp:extent cx="6350" cy="777240"/>
            <wp:effectExtent l="0" t="0" r="0" b="0"/>
            <wp:wrapNone/>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264"/>
                    <a:stretch>
                      <a:fillRect/>
                    </a:stretch>
                  </pic:blipFill>
                  <pic:spPr>
                    <a:xfrm>
                      <a:off x="0" y="0"/>
                      <a:ext cx="6350" cy="777240"/>
                    </a:xfrm>
                    <a:prstGeom prst="rect">
                      <a:avLst/>
                    </a:prstGeom>
                  </pic:spPr>
                </pic:pic>
              </a:graphicData>
            </a:graphic>
          </wp:anchor>
        </w:drawing>
      </w:r>
    </w:p>
    <w:tbl>
      <w:tblPr>
        <w:tblStyle w:val="8"/>
        <w:tblW w:w="95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5"/>
        <w:gridCol w:w="1338"/>
        <w:gridCol w:w="2031"/>
        <w:gridCol w:w="1323"/>
        <w:gridCol w:w="1557"/>
        <w:gridCol w:w="2810"/>
      </w:tblGrid>
      <w:tr w14:paraId="376AE4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47" w:hRule="atLeast"/>
        </w:trPr>
        <w:tc>
          <w:tcPr>
            <w:tcW w:w="505" w:type="dxa"/>
            <w:vMerge w:val="restart"/>
            <w:tcBorders>
              <w:top w:val="single" w:color="000000" w:sz="6" w:space="0"/>
              <w:left w:val="single" w:color="000000" w:sz="6" w:space="0"/>
              <w:bottom w:val="nil"/>
            </w:tcBorders>
            <w:vAlign w:val="top"/>
          </w:tcPr>
          <w:p w14:paraId="534C3199">
            <w:pPr>
              <w:rPr>
                <w:rFonts w:ascii="Arial"/>
                <w:sz w:val="21"/>
              </w:rPr>
            </w:pPr>
          </w:p>
        </w:tc>
        <w:tc>
          <w:tcPr>
            <w:tcW w:w="9059" w:type="dxa"/>
            <w:gridSpan w:val="5"/>
            <w:tcBorders>
              <w:top w:val="single" w:color="000000" w:sz="6" w:space="0"/>
              <w:right w:val="single" w:color="000000" w:sz="6" w:space="0"/>
            </w:tcBorders>
            <w:vAlign w:val="top"/>
          </w:tcPr>
          <w:p w14:paraId="71E73B9A">
            <w:pPr>
              <w:pStyle w:val="9"/>
              <w:spacing w:before="156" w:line="219" w:lineRule="auto"/>
              <w:jc w:val="right"/>
            </w:pPr>
            <w:r>
              <w:rPr>
                <w:spacing w:val="-5"/>
              </w:rPr>
              <w:t>子主要包括工频电场、工频磁场和噪声，针对上述影响因</w:t>
            </w:r>
            <w:r>
              <w:rPr>
                <w:spacing w:val="-6"/>
              </w:rPr>
              <w:t>子，拟定环境监测计划如下。</w:t>
            </w:r>
          </w:p>
          <w:p w14:paraId="4F71D3A8">
            <w:pPr>
              <w:pStyle w:val="9"/>
              <w:spacing w:before="176" w:line="220" w:lineRule="auto"/>
              <w:ind w:left="598"/>
            </w:pPr>
            <w:r>
              <w:rPr>
                <w:spacing w:val="-3"/>
              </w:rPr>
              <w:t>（</w:t>
            </w:r>
            <w:r>
              <w:rPr>
                <w:rFonts w:ascii="Times New Roman" w:hAnsi="Times New Roman" w:eastAsia="Times New Roman" w:cs="Times New Roman"/>
                <w:spacing w:val="-3"/>
              </w:rPr>
              <w:t>1</w:t>
            </w:r>
            <w:r>
              <w:rPr>
                <w:spacing w:val="-3"/>
              </w:rPr>
              <w:t>）电磁环境监测</w:t>
            </w:r>
          </w:p>
          <w:p w14:paraId="56953943">
            <w:pPr>
              <w:pStyle w:val="9"/>
              <w:spacing w:before="174" w:line="217" w:lineRule="auto"/>
              <w:ind w:left="826"/>
            </w:pPr>
            <w:r>
              <w:rPr>
                <w:spacing w:val="-1"/>
              </w:rPr>
              <w:t>①监测因子：工频电场、工频磁场。</w:t>
            </w:r>
          </w:p>
          <w:p w14:paraId="6F05E25F">
            <w:pPr>
              <w:pStyle w:val="9"/>
              <w:spacing w:before="177" w:line="354" w:lineRule="auto"/>
              <w:ind w:left="129" w:right="104" w:firstLine="695"/>
            </w:pPr>
            <w:r>
              <w:rPr>
                <w:spacing w:val="-1"/>
              </w:rPr>
              <w:t>②监测方法：《交流输变电工程电磁环境监测方法（试行）》（</w:t>
            </w:r>
            <w:r>
              <w:rPr>
                <w:rFonts w:ascii="Times New Roman" w:hAnsi="Times New Roman" w:eastAsia="Times New Roman" w:cs="Times New Roman"/>
                <w:spacing w:val="-1"/>
              </w:rPr>
              <w:t>HJ681-2013</w:t>
            </w:r>
            <w:r>
              <w:rPr>
                <w:spacing w:val="-1"/>
              </w:rPr>
              <w:t>）</w:t>
            </w:r>
            <w:r>
              <w:rPr>
                <w:spacing w:val="-5"/>
              </w:rPr>
              <w:t>中的方法进行。</w:t>
            </w:r>
          </w:p>
          <w:p w14:paraId="477823E6">
            <w:pPr>
              <w:pStyle w:val="9"/>
              <w:spacing w:line="217" w:lineRule="auto"/>
              <w:ind w:left="825"/>
            </w:pPr>
            <w:r>
              <w:t>③监测频次及时间：竣工验收时、突发环境事件时进行监</w:t>
            </w:r>
            <w:r>
              <w:rPr>
                <w:spacing w:val="-1"/>
              </w:rPr>
              <w:t>测及有投诉情况时。</w:t>
            </w:r>
          </w:p>
          <w:p w14:paraId="5EB20517">
            <w:pPr>
              <w:pStyle w:val="9"/>
              <w:spacing w:before="176" w:line="220" w:lineRule="auto"/>
              <w:ind w:left="598"/>
            </w:pPr>
            <w:r>
              <w:rPr>
                <w:spacing w:val="-5"/>
              </w:rPr>
              <w:t>（</w:t>
            </w:r>
            <w:r>
              <w:rPr>
                <w:rFonts w:ascii="Times New Roman" w:hAnsi="Times New Roman" w:eastAsia="Times New Roman" w:cs="Times New Roman"/>
                <w:spacing w:val="-5"/>
              </w:rPr>
              <w:t>2</w:t>
            </w:r>
            <w:r>
              <w:rPr>
                <w:spacing w:val="-5"/>
              </w:rPr>
              <w:t>）噪声</w:t>
            </w:r>
          </w:p>
          <w:p w14:paraId="0BF02B09">
            <w:pPr>
              <w:pStyle w:val="9"/>
              <w:spacing w:before="175" w:line="217" w:lineRule="auto"/>
              <w:ind w:left="826"/>
            </w:pPr>
            <w:r>
              <w:rPr>
                <w:spacing w:val="-1"/>
              </w:rPr>
              <w:t>①监测因子：等效连续 A 声级。</w:t>
            </w:r>
          </w:p>
          <w:p w14:paraId="3143835D">
            <w:pPr>
              <w:pStyle w:val="9"/>
              <w:spacing w:before="177" w:line="354" w:lineRule="auto"/>
              <w:ind w:left="106" w:right="102" w:firstLine="718"/>
            </w:pPr>
            <w:r>
              <w:rPr>
                <w:spacing w:val="1"/>
              </w:rPr>
              <w:t>②监测方法：噪声按《声环境质量标准》（</w:t>
            </w:r>
            <w:r>
              <w:rPr>
                <w:rFonts w:ascii="Times New Roman" w:hAnsi="Times New Roman" w:eastAsia="Times New Roman" w:cs="Times New Roman"/>
              </w:rPr>
              <w:t>GB</w:t>
            </w:r>
            <w:r>
              <w:rPr>
                <w:rFonts w:ascii="Times New Roman" w:hAnsi="Times New Roman" w:eastAsia="Times New Roman" w:cs="Times New Roman"/>
                <w:spacing w:val="1"/>
              </w:rPr>
              <w:t>3096-20</w:t>
            </w:r>
            <w:r>
              <w:rPr>
                <w:rFonts w:ascii="Times New Roman" w:hAnsi="Times New Roman" w:eastAsia="Times New Roman" w:cs="Times New Roman"/>
              </w:rPr>
              <w:t>08</w:t>
            </w:r>
            <w:r>
              <w:t>）及《工业企业厂界环境噪声排放标准》（</w:t>
            </w:r>
            <w:r>
              <w:rPr>
                <w:rFonts w:ascii="Times New Roman" w:hAnsi="Times New Roman" w:eastAsia="Times New Roman" w:cs="Times New Roman"/>
              </w:rPr>
              <w:t>GB12348-200</w:t>
            </w:r>
            <w:r>
              <w:rPr>
                <w:rFonts w:ascii="Times New Roman" w:hAnsi="Times New Roman" w:eastAsia="Times New Roman" w:cs="Times New Roman"/>
                <w:spacing w:val="-1"/>
              </w:rPr>
              <w:t>8</w:t>
            </w:r>
            <w:r>
              <w:rPr>
                <w:spacing w:val="-1"/>
              </w:rPr>
              <w:t>）中的监测方法进行。</w:t>
            </w:r>
          </w:p>
          <w:p w14:paraId="68B12562">
            <w:pPr>
              <w:pStyle w:val="9"/>
              <w:spacing w:before="1" w:line="219" w:lineRule="auto"/>
              <w:ind w:left="587"/>
            </w:pPr>
            <w:r>
              <w:rPr>
                <w:spacing w:val="-1"/>
              </w:rPr>
              <w:t>监测频次和时间：与电磁环境监测同时进行。</w:t>
            </w:r>
          </w:p>
          <w:p w14:paraId="64756BDA">
            <w:pPr>
              <w:pStyle w:val="9"/>
              <w:spacing w:before="175" w:line="219" w:lineRule="auto"/>
              <w:ind w:left="581"/>
            </w:pPr>
            <w:r>
              <w:rPr>
                <w:rFonts w:ascii="Times New Roman" w:hAnsi="Times New Roman" w:eastAsia="Times New Roman" w:cs="Times New Roman"/>
                <w:b/>
                <w:bCs/>
                <w:spacing w:val="-2"/>
              </w:rPr>
              <w:t xml:space="preserve">3.2 </w:t>
            </w:r>
            <w:r>
              <w:rPr>
                <w:b/>
                <w:bCs/>
                <w:spacing w:val="-2"/>
              </w:rPr>
              <w:t>监测点位布设</w:t>
            </w:r>
          </w:p>
          <w:p w14:paraId="19A34629">
            <w:pPr>
              <w:pStyle w:val="9"/>
              <w:spacing w:before="174" w:line="220" w:lineRule="auto"/>
              <w:ind w:left="598"/>
            </w:pPr>
            <w:r>
              <w:rPr>
                <w:spacing w:val="-2"/>
              </w:rPr>
              <w:t>（</w:t>
            </w:r>
            <w:r>
              <w:rPr>
                <w:rFonts w:ascii="Times New Roman" w:hAnsi="Times New Roman" w:eastAsia="Times New Roman" w:cs="Times New Roman"/>
                <w:spacing w:val="-2"/>
              </w:rPr>
              <w:t>1</w:t>
            </w:r>
            <w:r>
              <w:rPr>
                <w:spacing w:val="-2"/>
              </w:rPr>
              <w:t>）工频电场、工频磁场：升压站四周。</w:t>
            </w:r>
          </w:p>
          <w:p w14:paraId="6BA036EC">
            <w:pPr>
              <w:pStyle w:val="9"/>
              <w:spacing w:before="175" w:line="220" w:lineRule="auto"/>
              <w:ind w:left="598"/>
            </w:pPr>
            <w:r>
              <w:rPr>
                <w:spacing w:val="-2"/>
              </w:rPr>
              <w:t>（</w:t>
            </w:r>
            <w:r>
              <w:rPr>
                <w:rFonts w:ascii="Times New Roman" w:hAnsi="Times New Roman" w:eastAsia="Times New Roman" w:cs="Times New Roman"/>
                <w:spacing w:val="-2"/>
              </w:rPr>
              <w:t>2</w:t>
            </w:r>
            <w:r>
              <w:rPr>
                <w:spacing w:val="-2"/>
              </w:rPr>
              <w:t>）噪声：升压站四周。</w:t>
            </w:r>
          </w:p>
          <w:p w14:paraId="6409ED42">
            <w:pPr>
              <w:pStyle w:val="9"/>
              <w:spacing w:before="175" w:line="219" w:lineRule="auto"/>
              <w:ind w:left="581"/>
            </w:pPr>
            <w:r>
              <w:rPr>
                <w:rFonts w:ascii="Times New Roman" w:hAnsi="Times New Roman" w:eastAsia="Times New Roman" w:cs="Times New Roman"/>
                <w:b/>
                <w:bCs/>
                <w:spacing w:val="-2"/>
              </w:rPr>
              <w:t xml:space="preserve">3.3 </w:t>
            </w:r>
            <w:r>
              <w:rPr>
                <w:b/>
                <w:bCs/>
                <w:spacing w:val="-2"/>
              </w:rPr>
              <w:t>监测技术要求</w:t>
            </w:r>
          </w:p>
          <w:p w14:paraId="235B5AFC">
            <w:pPr>
              <w:pStyle w:val="9"/>
              <w:spacing w:before="174" w:line="354" w:lineRule="auto"/>
              <w:ind w:left="108" w:right="102" w:firstLine="480"/>
            </w:pPr>
            <w:r>
              <w:rPr>
                <w:spacing w:val="-1"/>
              </w:rPr>
              <w:t>升压站运行期周边的工频电场、工频磁场和噪声环境监测工</w:t>
            </w:r>
            <w:r>
              <w:rPr>
                <w:spacing w:val="-2"/>
              </w:rPr>
              <w:t>作可委托相关单位完</w:t>
            </w:r>
            <w:r>
              <w:rPr>
                <w:spacing w:val="-6"/>
              </w:rPr>
              <w:t>成。</w:t>
            </w:r>
          </w:p>
          <w:p w14:paraId="572DC3CC">
            <w:pPr>
              <w:pStyle w:val="9"/>
              <w:spacing w:before="4" w:line="353" w:lineRule="auto"/>
              <w:ind w:left="110" w:right="3" w:firstLine="477"/>
              <w:jc w:val="both"/>
            </w:pPr>
            <w:r>
              <w:rPr>
                <w:spacing w:val="-1"/>
              </w:rPr>
              <w:t>监测范围应与工程实际建设的影响区域相符合，监测位置与频</w:t>
            </w:r>
            <w:r>
              <w:rPr>
                <w:spacing w:val="-2"/>
              </w:rPr>
              <w:t>次除按前述要求进</w:t>
            </w:r>
            <w:r>
              <w:rPr>
                <w:spacing w:val="-1"/>
              </w:rPr>
              <w:t>行外，还应满足《建设项目竣工环境保护验收技术规范 输变电工程》（</w:t>
            </w:r>
            <w:r>
              <w:rPr>
                <w:rFonts w:ascii="Times New Roman" w:hAnsi="Times New Roman" w:eastAsia="Times New Roman" w:cs="Times New Roman"/>
                <w:spacing w:val="-1"/>
              </w:rPr>
              <w:t>H</w:t>
            </w:r>
            <w:r>
              <w:rPr>
                <w:rFonts w:ascii="Times New Roman" w:hAnsi="Times New Roman" w:eastAsia="Times New Roman" w:cs="Times New Roman"/>
                <w:spacing w:val="-2"/>
              </w:rPr>
              <w:t>J705-2020</w:t>
            </w:r>
            <w:r>
              <w:rPr>
                <w:spacing w:val="-2"/>
              </w:rPr>
              <w:t>）</w:t>
            </w:r>
            <w:r>
              <w:rPr>
                <w:spacing w:val="-1"/>
              </w:rPr>
              <w:t>以及环境保护主管部门对于建设项目竣工环保验收监测的相关规定。</w:t>
            </w:r>
          </w:p>
          <w:p w14:paraId="6ABE0218">
            <w:pPr>
              <w:pStyle w:val="9"/>
              <w:spacing w:before="4" w:line="351" w:lineRule="auto"/>
              <w:ind w:left="108" w:right="102" w:firstLine="479"/>
              <w:jc w:val="both"/>
            </w:pPr>
            <w:r>
              <w:rPr>
                <w:spacing w:val="6"/>
              </w:rPr>
              <w:t>监测方法与技术要求应符合国家现行的有关环境监测技术规范</w:t>
            </w:r>
            <w:r>
              <w:rPr>
                <w:spacing w:val="5"/>
              </w:rPr>
              <w:t>和环境监测标准</w:t>
            </w:r>
            <w:r>
              <w:rPr>
                <w:spacing w:val="-1"/>
              </w:rPr>
              <w:t>分析方法；其成果应在原始数据基础上进行审查、校核、综合分析后</w:t>
            </w:r>
            <w:r>
              <w:rPr>
                <w:spacing w:val="-2"/>
              </w:rPr>
              <w:t>整理编印，并报</w:t>
            </w:r>
            <w:r>
              <w:rPr>
                <w:spacing w:val="-1"/>
              </w:rPr>
              <w:t>生态环境主管部门；监测单位应对监测成果的有效性负责。</w:t>
            </w:r>
          </w:p>
          <w:p w14:paraId="37A03D2C">
            <w:pPr>
              <w:pStyle w:val="9"/>
              <w:spacing w:before="1" w:line="360" w:lineRule="auto"/>
              <w:ind w:left="106" w:right="102" w:firstLine="481"/>
              <w:jc w:val="both"/>
            </w:pPr>
            <w:r>
              <w:rPr>
                <w:spacing w:val="-1"/>
              </w:rPr>
              <w:t>本项目环境监测的重点是工频电场、工频磁场及噪声，常规测</w:t>
            </w:r>
            <w:r>
              <w:rPr>
                <w:spacing w:val="-2"/>
              </w:rPr>
              <w:t>量方法按照《交流</w:t>
            </w:r>
            <w:r>
              <w:rPr>
                <w:spacing w:val="10"/>
              </w:rPr>
              <w:t>输变电工程电磁环境监测方法（试行）</w:t>
            </w:r>
            <w:r>
              <w:rPr>
                <w:spacing w:val="-60"/>
              </w:rPr>
              <w:t xml:space="preserve"> </w:t>
            </w:r>
            <w:r>
              <w:rPr>
                <w:spacing w:val="10"/>
              </w:rPr>
              <w:t>》（</w:t>
            </w:r>
            <w:r>
              <w:rPr>
                <w:rFonts w:ascii="Times New Roman" w:hAnsi="Times New Roman" w:eastAsia="Times New Roman" w:cs="Times New Roman"/>
              </w:rPr>
              <w:t>HJ</w:t>
            </w:r>
            <w:r>
              <w:rPr>
                <w:rFonts w:ascii="Times New Roman" w:hAnsi="Times New Roman" w:eastAsia="Times New Roman" w:cs="Times New Roman"/>
                <w:spacing w:val="10"/>
              </w:rPr>
              <w:t>681-2013</w:t>
            </w:r>
            <w:r>
              <w:rPr>
                <w:spacing w:val="10"/>
              </w:rPr>
              <w:t>）和《声环境质量标准》</w:t>
            </w:r>
            <w:r>
              <w:t xml:space="preserve"> </w:t>
            </w:r>
            <w:r>
              <w:rPr>
                <w:spacing w:val="-1"/>
              </w:rPr>
              <w:t>（</w:t>
            </w:r>
            <w:r>
              <w:rPr>
                <w:rFonts w:ascii="Times New Roman" w:hAnsi="Times New Roman" w:eastAsia="Times New Roman" w:cs="Times New Roman"/>
                <w:spacing w:val="-1"/>
              </w:rPr>
              <w:t>GB3096-2008</w:t>
            </w:r>
            <w:r>
              <w:rPr>
                <w:spacing w:val="-1"/>
              </w:rPr>
              <w:t>）的要求进行。本项目监测计划如表</w:t>
            </w:r>
            <w:r>
              <w:rPr>
                <w:spacing w:val="-34"/>
              </w:rPr>
              <w:t xml:space="preserve"> </w:t>
            </w:r>
            <w:r>
              <w:rPr>
                <w:rFonts w:ascii="Times New Roman" w:hAnsi="Times New Roman" w:eastAsia="Times New Roman" w:cs="Times New Roman"/>
                <w:spacing w:val="-1"/>
              </w:rPr>
              <w:t xml:space="preserve">5-3 </w:t>
            </w:r>
            <w:r>
              <w:rPr>
                <w:spacing w:val="-1"/>
              </w:rPr>
              <w:t>所示。</w:t>
            </w:r>
          </w:p>
          <w:p w14:paraId="21AC4FFF">
            <w:pPr>
              <w:pStyle w:val="9"/>
              <w:spacing w:before="121" w:line="215" w:lineRule="auto"/>
              <w:ind w:left="3017"/>
            </w:pPr>
            <w:r>
              <w:rPr>
                <w:b/>
                <w:bCs/>
                <w:spacing w:val="-2"/>
              </w:rPr>
              <w:t>表</w:t>
            </w:r>
            <w:r>
              <w:rPr>
                <w:spacing w:val="-46"/>
              </w:rPr>
              <w:t xml:space="preserve"> </w:t>
            </w:r>
            <w:r>
              <w:rPr>
                <w:rFonts w:ascii="Times New Roman" w:hAnsi="Times New Roman" w:eastAsia="Times New Roman" w:cs="Times New Roman"/>
                <w:b/>
                <w:bCs/>
                <w:spacing w:val="-2"/>
              </w:rPr>
              <w:t xml:space="preserve">5-3        </w:t>
            </w:r>
            <w:r>
              <w:rPr>
                <w:b/>
                <w:bCs/>
                <w:spacing w:val="-2"/>
              </w:rPr>
              <w:t>本项目监测计划表</w:t>
            </w:r>
          </w:p>
        </w:tc>
      </w:tr>
      <w:tr w14:paraId="0BDB09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505" w:type="dxa"/>
            <w:vMerge w:val="continue"/>
            <w:tcBorders>
              <w:top w:val="nil"/>
              <w:left w:val="single" w:color="000000" w:sz="6" w:space="0"/>
              <w:bottom w:val="nil"/>
            </w:tcBorders>
            <w:vAlign w:val="top"/>
          </w:tcPr>
          <w:p w14:paraId="4F270515">
            <w:pPr>
              <w:rPr>
                <w:rFonts w:ascii="Arial"/>
                <w:sz w:val="21"/>
              </w:rPr>
            </w:pPr>
          </w:p>
        </w:tc>
        <w:tc>
          <w:tcPr>
            <w:tcW w:w="1338" w:type="dxa"/>
            <w:vAlign w:val="top"/>
          </w:tcPr>
          <w:p w14:paraId="0EE65E69">
            <w:pPr>
              <w:pStyle w:val="9"/>
              <w:spacing w:before="102" w:line="228" w:lineRule="auto"/>
              <w:ind w:left="303"/>
              <w:rPr>
                <w:sz w:val="20"/>
                <w:szCs w:val="20"/>
              </w:rPr>
            </w:pPr>
            <w:r>
              <w:rPr>
                <w:b/>
                <w:bCs/>
                <w:spacing w:val="6"/>
                <w:sz w:val="20"/>
                <w:szCs w:val="20"/>
              </w:rPr>
              <w:t>监测项目</w:t>
            </w:r>
          </w:p>
        </w:tc>
        <w:tc>
          <w:tcPr>
            <w:tcW w:w="2031" w:type="dxa"/>
            <w:vAlign w:val="top"/>
          </w:tcPr>
          <w:p w14:paraId="142277FF">
            <w:pPr>
              <w:pStyle w:val="9"/>
              <w:spacing w:before="101" w:line="229" w:lineRule="auto"/>
              <w:ind w:left="597"/>
              <w:rPr>
                <w:sz w:val="20"/>
                <w:szCs w:val="20"/>
              </w:rPr>
            </w:pPr>
            <w:r>
              <w:rPr>
                <w:b/>
                <w:bCs/>
                <w:spacing w:val="6"/>
                <w:sz w:val="20"/>
                <w:szCs w:val="20"/>
              </w:rPr>
              <w:t>监测点位</w:t>
            </w:r>
          </w:p>
        </w:tc>
        <w:tc>
          <w:tcPr>
            <w:tcW w:w="1323" w:type="dxa"/>
            <w:vAlign w:val="top"/>
          </w:tcPr>
          <w:p w14:paraId="1A9686E6">
            <w:pPr>
              <w:pStyle w:val="9"/>
              <w:spacing w:before="102" w:line="228" w:lineRule="auto"/>
              <w:ind w:left="246"/>
              <w:rPr>
                <w:sz w:val="20"/>
                <w:szCs w:val="20"/>
              </w:rPr>
            </w:pPr>
            <w:r>
              <w:rPr>
                <w:b/>
                <w:bCs/>
                <w:spacing w:val="6"/>
                <w:sz w:val="20"/>
                <w:szCs w:val="20"/>
              </w:rPr>
              <w:t>监测因子</w:t>
            </w:r>
          </w:p>
        </w:tc>
        <w:tc>
          <w:tcPr>
            <w:tcW w:w="1557" w:type="dxa"/>
            <w:vAlign w:val="top"/>
          </w:tcPr>
          <w:p w14:paraId="44D53738">
            <w:pPr>
              <w:pStyle w:val="9"/>
              <w:spacing w:before="101" w:line="228" w:lineRule="auto"/>
              <w:ind w:left="363"/>
              <w:rPr>
                <w:sz w:val="20"/>
                <w:szCs w:val="20"/>
              </w:rPr>
            </w:pPr>
            <w:r>
              <w:rPr>
                <w:b/>
                <w:bCs/>
                <w:spacing w:val="6"/>
                <w:sz w:val="20"/>
                <w:szCs w:val="20"/>
              </w:rPr>
              <w:t>监测频次</w:t>
            </w:r>
          </w:p>
        </w:tc>
        <w:tc>
          <w:tcPr>
            <w:tcW w:w="2810" w:type="dxa"/>
            <w:tcBorders>
              <w:right w:val="single" w:color="000000" w:sz="6" w:space="0"/>
            </w:tcBorders>
            <w:vAlign w:val="top"/>
          </w:tcPr>
          <w:p w14:paraId="1B8AE1BC">
            <w:pPr>
              <w:pStyle w:val="9"/>
              <w:spacing w:before="44" w:line="229" w:lineRule="auto"/>
              <w:ind w:left="932"/>
              <w:rPr>
                <w:sz w:val="20"/>
                <w:szCs w:val="20"/>
              </w:rPr>
            </w:pPr>
            <w:r>
              <w:rPr>
                <w:b/>
                <w:bCs/>
                <w:spacing w:val="6"/>
                <w:sz w:val="20"/>
                <w:szCs w:val="20"/>
              </w:rPr>
              <w:t>监测方法</w:t>
            </w:r>
          </w:p>
        </w:tc>
      </w:tr>
      <w:tr w14:paraId="1C977C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3" w:hRule="atLeast"/>
        </w:trPr>
        <w:tc>
          <w:tcPr>
            <w:tcW w:w="505" w:type="dxa"/>
            <w:vMerge w:val="continue"/>
            <w:tcBorders>
              <w:top w:val="nil"/>
              <w:left w:val="single" w:color="000000" w:sz="6" w:space="0"/>
              <w:bottom w:val="single" w:color="000000" w:sz="6" w:space="0"/>
            </w:tcBorders>
            <w:vAlign w:val="top"/>
          </w:tcPr>
          <w:p w14:paraId="5D0CFCF1">
            <w:pPr>
              <w:rPr>
                <w:rFonts w:ascii="Arial"/>
                <w:sz w:val="21"/>
              </w:rPr>
            </w:pPr>
          </w:p>
        </w:tc>
        <w:tc>
          <w:tcPr>
            <w:tcW w:w="1338" w:type="dxa"/>
            <w:tcBorders>
              <w:bottom w:val="single" w:color="000000" w:sz="6" w:space="0"/>
            </w:tcBorders>
            <w:vAlign w:val="top"/>
          </w:tcPr>
          <w:p w14:paraId="552300BB">
            <w:pPr>
              <w:spacing w:line="250" w:lineRule="auto"/>
              <w:rPr>
                <w:rFonts w:ascii="Arial"/>
                <w:sz w:val="21"/>
              </w:rPr>
            </w:pPr>
          </w:p>
          <w:p w14:paraId="0ECAF0A9">
            <w:pPr>
              <w:pStyle w:val="9"/>
              <w:spacing w:before="65" w:line="228" w:lineRule="auto"/>
              <w:ind w:left="523"/>
              <w:rPr>
                <w:sz w:val="20"/>
                <w:szCs w:val="20"/>
              </w:rPr>
            </w:pPr>
            <w:r>
              <w:rPr>
                <w:spacing w:val="-1"/>
                <w:sz w:val="20"/>
                <w:szCs w:val="20"/>
              </w:rPr>
              <w:t>噪声</w:t>
            </w:r>
          </w:p>
        </w:tc>
        <w:tc>
          <w:tcPr>
            <w:tcW w:w="2031" w:type="dxa"/>
            <w:tcBorders>
              <w:bottom w:val="single" w:color="000000" w:sz="6" w:space="0"/>
            </w:tcBorders>
            <w:vAlign w:val="top"/>
          </w:tcPr>
          <w:p w14:paraId="0693E6FB">
            <w:pPr>
              <w:pStyle w:val="9"/>
              <w:spacing w:before="43" w:line="228" w:lineRule="auto"/>
              <w:ind w:left="176"/>
              <w:rPr>
                <w:sz w:val="20"/>
                <w:szCs w:val="20"/>
              </w:rPr>
            </w:pPr>
            <w:r>
              <w:rPr>
                <w:spacing w:val="9"/>
                <w:sz w:val="20"/>
                <w:szCs w:val="20"/>
              </w:rPr>
              <w:t>夏营地升压站场界</w:t>
            </w:r>
          </w:p>
          <w:p w14:paraId="2F791E84">
            <w:pPr>
              <w:pStyle w:val="9"/>
              <w:spacing w:before="26" w:line="227" w:lineRule="auto"/>
              <w:ind w:left="113"/>
              <w:rPr>
                <w:rFonts w:ascii="Times New Roman" w:hAnsi="Times New Roman" w:eastAsia="Times New Roman" w:cs="Times New Roman"/>
                <w:sz w:val="20"/>
                <w:szCs w:val="20"/>
              </w:rPr>
            </w:pPr>
            <w:r>
              <w:rPr>
                <w:sz w:val="20"/>
                <w:szCs w:val="20"/>
              </w:rPr>
              <w:t>外</w:t>
            </w:r>
            <w:r>
              <w:rPr>
                <w:spacing w:val="-19"/>
                <w:sz w:val="20"/>
                <w:szCs w:val="20"/>
              </w:rPr>
              <w:t xml:space="preserve"> </w:t>
            </w:r>
            <w:r>
              <w:rPr>
                <w:rFonts w:ascii="Times New Roman" w:hAnsi="Times New Roman" w:eastAsia="Times New Roman" w:cs="Times New Roman"/>
                <w:sz w:val="20"/>
                <w:szCs w:val="20"/>
              </w:rPr>
              <w:t>1m</w:t>
            </w:r>
            <w:r>
              <w:rPr>
                <w:rFonts w:ascii="Times New Roman" w:hAnsi="Times New Roman" w:eastAsia="Times New Roman" w:cs="Times New Roman"/>
                <w:spacing w:val="32"/>
                <w:sz w:val="20"/>
                <w:szCs w:val="20"/>
              </w:rPr>
              <w:t xml:space="preserve"> </w:t>
            </w:r>
            <w:r>
              <w:rPr>
                <w:sz w:val="20"/>
                <w:szCs w:val="20"/>
              </w:rPr>
              <w:t>四周各布置</w:t>
            </w:r>
            <w:r>
              <w:rPr>
                <w:spacing w:val="-23"/>
                <w:sz w:val="20"/>
                <w:szCs w:val="20"/>
              </w:rPr>
              <w:t xml:space="preserve"> </w:t>
            </w:r>
            <w:r>
              <w:rPr>
                <w:rFonts w:ascii="Times New Roman" w:hAnsi="Times New Roman" w:eastAsia="Times New Roman" w:cs="Times New Roman"/>
                <w:sz w:val="20"/>
                <w:szCs w:val="20"/>
              </w:rPr>
              <w:t>1</w:t>
            </w:r>
          </w:p>
          <w:p w14:paraId="54055FD2">
            <w:pPr>
              <w:pStyle w:val="9"/>
              <w:spacing w:before="25" w:line="217" w:lineRule="auto"/>
              <w:ind w:left="596"/>
              <w:rPr>
                <w:sz w:val="20"/>
                <w:szCs w:val="20"/>
              </w:rPr>
            </w:pPr>
            <w:r>
              <w:rPr>
                <w:spacing w:val="7"/>
                <w:sz w:val="20"/>
                <w:szCs w:val="20"/>
              </w:rPr>
              <w:t>个监测点</w:t>
            </w:r>
          </w:p>
        </w:tc>
        <w:tc>
          <w:tcPr>
            <w:tcW w:w="1323" w:type="dxa"/>
            <w:tcBorders>
              <w:bottom w:val="single" w:color="000000" w:sz="6" w:space="0"/>
            </w:tcBorders>
            <w:vAlign w:val="top"/>
          </w:tcPr>
          <w:p w14:paraId="7E1DC754">
            <w:pPr>
              <w:spacing w:line="250" w:lineRule="auto"/>
              <w:rPr>
                <w:rFonts w:ascii="Arial"/>
                <w:sz w:val="21"/>
              </w:rPr>
            </w:pPr>
          </w:p>
          <w:p w14:paraId="4D253AF7">
            <w:pPr>
              <w:pStyle w:val="9"/>
              <w:spacing w:before="65" w:line="228" w:lineRule="auto"/>
              <w:ind w:left="120"/>
              <w:rPr>
                <w:sz w:val="20"/>
                <w:szCs w:val="20"/>
              </w:rPr>
            </w:pPr>
            <w:r>
              <w:rPr>
                <w:spacing w:val="3"/>
                <w:sz w:val="20"/>
                <w:szCs w:val="20"/>
              </w:rPr>
              <w:t>等效</w:t>
            </w:r>
            <w:r>
              <w:rPr>
                <w:spacing w:val="-44"/>
                <w:sz w:val="20"/>
                <w:szCs w:val="20"/>
              </w:rPr>
              <w:t xml:space="preserve"> </w:t>
            </w:r>
            <w:r>
              <w:rPr>
                <w:rFonts w:ascii="Times New Roman" w:hAnsi="Times New Roman" w:eastAsia="Times New Roman" w:cs="Times New Roman"/>
                <w:spacing w:val="3"/>
                <w:sz w:val="20"/>
                <w:szCs w:val="20"/>
              </w:rPr>
              <w:t>A</w:t>
            </w:r>
            <w:r>
              <w:rPr>
                <w:rFonts w:ascii="Times New Roman" w:hAnsi="Times New Roman" w:eastAsia="Times New Roman" w:cs="Times New Roman"/>
                <w:spacing w:val="15"/>
                <w:w w:val="101"/>
                <w:sz w:val="20"/>
                <w:szCs w:val="20"/>
              </w:rPr>
              <w:t xml:space="preserve"> </w:t>
            </w:r>
            <w:r>
              <w:rPr>
                <w:spacing w:val="3"/>
                <w:sz w:val="20"/>
                <w:szCs w:val="20"/>
              </w:rPr>
              <w:t>声级</w:t>
            </w:r>
          </w:p>
        </w:tc>
        <w:tc>
          <w:tcPr>
            <w:tcW w:w="1557" w:type="dxa"/>
            <w:tcBorders>
              <w:bottom w:val="single" w:color="000000" w:sz="6" w:space="0"/>
            </w:tcBorders>
            <w:vAlign w:val="top"/>
          </w:tcPr>
          <w:p w14:paraId="0A259DBF">
            <w:pPr>
              <w:pStyle w:val="9"/>
              <w:spacing w:before="43"/>
              <w:ind w:left="162" w:right="146" w:hanging="6"/>
              <w:rPr>
                <w:sz w:val="20"/>
                <w:szCs w:val="20"/>
              </w:rPr>
            </w:pPr>
            <w:r>
              <w:rPr>
                <w:spacing w:val="8"/>
                <w:sz w:val="20"/>
                <w:szCs w:val="20"/>
              </w:rPr>
              <w:t>竣工验收时、</w:t>
            </w:r>
            <w:r>
              <w:rPr>
                <w:spacing w:val="7"/>
                <w:sz w:val="20"/>
                <w:szCs w:val="20"/>
              </w:rPr>
              <w:t>突发环境事件时进行监测及</w:t>
            </w:r>
          </w:p>
        </w:tc>
        <w:tc>
          <w:tcPr>
            <w:tcW w:w="2810" w:type="dxa"/>
            <w:tcBorders>
              <w:bottom w:val="single" w:color="000000" w:sz="6" w:space="0"/>
              <w:right w:val="single" w:color="000000" w:sz="6" w:space="0"/>
            </w:tcBorders>
            <w:vAlign w:val="top"/>
          </w:tcPr>
          <w:p w14:paraId="246F4969">
            <w:pPr>
              <w:pStyle w:val="9"/>
              <w:spacing w:before="180" w:line="252" w:lineRule="auto"/>
              <w:ind w:left="115" w:right="130" w:firstLine="89"/>
              <w:rPr>
                <w:sz w:val="20"/>
                <w:szCs w:val="20"/>
              </w:rPr>
            </w:pPr>
            <w:r>
              <w:rPr>
                <w:spacing w:val="8"/>
                <w:sz w:val="20"/>
                <w:szCs w:val="20"/>
              </w:rPr>
              <w:t>《工业企业厂界环境噪声</w:t>
            </w:r>
            <w:r>
              <w:rPr>
                <w:spacing w:val="-5"/>
                <w:sz w:val="20"/>
                <w:szCs w:val="20"/>
              </w:rPr>
              <w:t>排放标准》（</w:t>
            </w:r>
            <w:r>
              <w:rPr>
                <w:rFonts w:ascii="Times New Roman" w:hAnsi="Times New Roman" w:eastAsia="Times New Roman" w:cs="Times New Roman"/>
                <w:spacing w:val="-5"/>
                <w:sz w:val="20"/>
                <w:szCs w:val="20"/>
              </w:rPr>
              <w:t>GB12348-2008</w:t>
            </w:r>
            <w:r>
              <w:rPr>
                <w:spacing w:val="-5"/>
                <w:sz w:val="20"/>
                <w:szCs w:val="20"/>
              </w:rPr>
              <w:t>）</w:t>
            </w:r>
          </w:p>
        </w:tc>
      </w:tr>
    </w:tbl>
    <w:p w14:paraId="49C2926C">
      <w:pPr>
        <w:pStyle w:val="3"/>
      </w:pPr>
    </w:p>
    <w:p w14:paraId="377C6BAF">
      <w:pPr>
        <w:sectPr>
          <w:footerReference r:id="rId86" w:type="default"/>
          <w:pgSz w:w="11907" w:h="16840"/>
          <w:pgMar w:top="1431" w:right="1164" w:bottom="1295" w:left="1163" w:header="0" w:footer="1133" w:gutter="0"/>
          <w:cols w:space="720" w:num="1"/>
        </w:sectPr>
      </w:pPr>
    </w:p>
    <w:p w14:paraId="6D7F4B6D">
      <w:pPr>
        <w:spacing w:line="89" w:lineRule="auto"/>
        <w:rPr>
          <w:rFonts w:ascii="Arial"/>
          <w:sz w:val="2"/>
        </w:rPr>
      </w:pPr>
    </w:p>
    <w:tbl>
      <w:tblPr>
        <w:tblStyle w:val="8"/>
        <w:tblW w:w="95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5"/>
        <w:gridCol w:w="113"/>
        <w:gridCol w:w="96"/>
        <w:gridCol w:w="366"/>
        <w:gridCol w:w="627"/>
        <w:gridCol w:w="136"/>
        <w:gridCol w:w="275"/>
        <w:gridCol w:w="1756"/>
        <w:gridCol w:w="1323"/>
        <w:gridCol w:w="1557"/>
        <w:gridCol w:w="1698"/>
        <w:gridCol w:w="894"/>
        <w:gridCol w:w="96"/>
        <w:gridCol w:w="122"/>
      </w:tblGrid>
      <w:tr w14:paraId="47FD28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505" w:type="dxa"/>
            <w:vMerge w:val="restart"/>
            <w:tcBorders>
              <w:top w:val="single" w:color="000000" w:sz="6" w:space="0"/>
              <w:left w:val="single" w:color="000000" w:sz="6" w:space="0"/>
              <w:bottom w:val="nil"/>
            </w:tcBorders>
            <w:vAlign w:val="top"/>
          </w:tcPr>
          <w:p w14:paraId="28590B2D">
            <w:pPr>
              <w:rPr>
                <w:rFonts w:ascii="Arial"/>
                <w:sz w:val="21"/>
              </w:rPr>
            </w:pPr>
          </w:p>
        </w:tc>
        <w:tc>
          <w:tcPr>
            <w:tcW w:w="113" w:type="dxa"/>
            <w:tcBorders>
              <w:top w:val="single" w:color="000000" w:sz="6" w:space="0"/>
              <w:bottom w:val="nil"/>
            </w:tcBorders>
            <w:vAlign w:val="top"/>
          </w:tcPr>
          <w:p w14:paraId="3530889B">
            <w:pPr>
              <w:rPr>
                <w:rFonts w:ascii="Arial"/>
                <w:sz w:val="21"/>
              </w:rPr>
            </w:pPr>
          </w:p>
        </w:tc>
        <w:tc>
          <w:tcPr>
            <w:tcW w:w="1225" w:type="dxa"/>
            <w:gridSpan w:val="4"/>
            <w:tcBorders>
              <w:top w:val="single" w:color="000000" w:sz="6" w:space="0"/>
            </w:tcBorders>
            <w:vAlign w:val="top"/>
          </w:tcPr>
          <w:p w14:paraId="796BB1D8">
            <w:pPr>
              <w:rPr>
                <w:rFonts w:ascii="Arial"/>
                <w:sz w:val="21"/>
              </w:rPr>
            </w:pPr>
          </w:p>
        </w:tc>
        <w:tc>
          <w:tcPr>
            <w:tcW w:w="2031" w:type="dxa"/>
            <w:gridSpan w:val="2"/>
            <w:tcBorders>
              <w:top w:val="single" w:color="000000" w:sz="6" w:space="0"/>
            </w:tcBorders>
            <w:vAlign w:val="top"/>
          </w:tcPr>
          <w:p w14:paraId="205DEE27">
            <w:pPr>
              <w:rPr>
                <w:rFonts w:ascii="Arial"/>
                <w:sz w:val="21"/>
              </w:rPr>
            </w:pPr>
          </w:p>
        </w:tc>
        <w:tc>
          <w:tcPr>
            <w:tcW w:w="1323" w:type="dxa"/>
            <w:tcBorders>
              <w:top w:val="single" w:color="000000" w:sz="6" w:space="0"/>
            </w:tcBorders>
            <w:vAlign w:val="top"/>
          </w:tcPr>
          <w:p w14:paraId="2D853A38">
            <w:pPr>
              <w:rPr>
                <w:rFonts w:ascii="Arial"/>
                <w:sz w:val="21"/>
              </w:rPr>
            </w:pPr>
          </w:p>
        </w:tc>
        <w:tc>
          <w:tcPr>
            <w:tcW w:w="1557" w:type="dxa"/>
            <w:tcBorders>
              <w:top w:val="single" w:color="000000" w:sz="6" w:space="0"/>
            </w:tcBorders>
            <w:vAlign w:val="top"/>
          </w:tcPr>
          <w:p w14:paraId="5147F91F">
            <w:pPr>
              <w:pStyle w:val="9"/>
              <w:spacing w:before="37" w:line="228" w:lineRule="auto"/>
              <w:ind w:left="156"/>
              <w:rPr>
                <w:sz w:val="20"/>
                <w:szCs w:val="20"/>
              </w:rPr>
            </w:pPr>
            <w:r>
              <w:rPr>
                <w:spacing w:val="8"/>
                <w:sz w:val="20"/>
                <w:szCs w:val="20"/>
              </w:rPr>
              <w:t>有投诉情况时</w:t>
            </w:r>
          </w:p>
        </w:tc>
        <w:tc>
          <w:tcPr>
            <w:tcW w:w="2688" w:type="dxa"/>
            <w:gridSpan w:val="3"/>
            <w:tcBorders>
              <w:top w:val="single" w:color="000000" w:sz="6" w:space="0"/>
            </w:tcBorders>
            <w:vAlign w:val="top"/>
          </w:tcPr>
          <w:p w14:paraId="56A2730D">
            <w:pPr>
              <w:rPr>
                <w:rFonts w:ascii="Arial"/>
                <w:sz w:val="21"/>
              </w:rPr>
            </w:pPr>
          </w:p>
        </w:tc>
        <w:tc>
          <w:tcPr>
            <w:tcW w:w="122" w:type="dxa"/>
            <w:tcBorders>
              <w:top w:val="single" w:color="000000" w:sz="6" w:space="0"/>
              <w:bottom w:val="nil"/>
              <w:right w:val="single" w:color="000000" w:sz="6" w:space="0"/>
            </w:tcBorders>
            <w:vAlign w:val="top"/>
          </w:tcPr>
          <w:p w14:paraId="7387D977">
            <w:pPr>
              <w:rPr>
                <w:rFonts w:ascii="Arial"/>
                <w:sz w:val="21"/>
              </w:rPr>
            </w:pPr>
          </w:p>
        </w:tc>
      </w:tr>
      <w:tr w14:paraId="50527B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505" w:type="dxa"/>
            <w:vMerge w:val="continue"/>
            <w:tcBorders>
              <w:top w:val="nil"/>
              <w:left w:val="single" w:color="000000" w:sz="6" w:space="0"/>
              <w:bottom w:val="nil"/>
            </w:tcBorders>
            <w:vAlign w:val="top"/>
          </w:tcPr>
          <w:p w14:paraId="59FECCF0">
            <w:pPr>
              <w:rPr>
                <w:rFonts w:ascii="Arial"/>
                <w:sz w:val="21"/>
              </w:rPr>
            </w:pPr>
          </w:p>
        </w:tc>
        <w:tc>
          <w:tcPr>
            <w:tcW w:w="113" w:type="dxa"/>
            <w:tcBorders>
              <w:top w:val="nil"/>
              <w:bottom w:val="nil"/>
            </w:tcBorders>
            <w:vAlign w:val="top"/>
          </w:tcPr>
          <w:p w14:paraId="56BB8DE4">
            <w:pPr>
              <w:rPr>
                <w:rFonts w:ascii="Arial"/>
                <w:sz w:val="21"/>
              </w:rPr>
            </w:pPr>
          </w:p>
        </w:tc>
        <w:tc>
          <w:tcPr>
            <w:tcW w:w="1225" w:type="dxa"/>
            <w:gridSpan w:val="4"/>
            <w:vAlign w:val="top"/>
          </w:tcPr>
          <w:p w14:paraId="7545B3D4">
            <w:pPr>
              <w:pStyle w:val="9"/>
              <w:spacing w:before="304" w:line="254" w:lineRule="auto"/>
              <w:ind w:left="505" w:right="198" w:hanging="311"/>
              <w:rPr>
                <w:sz w:val="20"/>
                <w:szCs w:val="20"/>
              </w:rPr>
            </w:pPr>
            <w:r>
              <w:rPr>
                <w:spacing w:val="6"/>
                <w:sz w:val="20"/>
                <w:szCs w:val="20"/>
              </w:rPr>
              <w:t>工频电磁</w:t>
            </w:r>
            <w:r>
              <w:rPr>
                <w:spacing w:val="1"/>
                <w:sz w:val="20"/>
                <w:szCs w:val="20"/>
              </w:rPr>
              <w:t>场</w:t>
            </w:r>
          </w:p>
        </w:tc>
        <w:tc>
          <w:tcPr>
            <w:tcW w:w="2031" w:type="dxa"/>
            <w:gridSpan w:val="2"/>
            <w:vAlign w:val="top"/>
          </w:tcPr>
          <w:p w14:paraId="5D2262BF">
            <w:pPr>
              <w:pStyle w:val="9"/>
              <w:spacing w:before="167" w:line="228" w:lineRule="auto"/>
              <w:ind w:left="176"/>
              <w:rPr>
                <w:sz w:val="20"/>
                <w:szCs w:val="20"/>
              </w:rPr>
            </w:pPr>
            <w:r>
              <w:rPr>
                <w:spacing w:val="9"/>
                <w:sz w:val="20"/>
                <w:szCs w:val="20"/>
              </w:rPr>
              <w:t>夏营地升压站场界</w:t>
            </w:r>
          </w:p>
          <w:p w14:paraId="78A546A9">
            <w:pPr>
              <w:pStyle w:val="9"/>
              <w:spacing w:before="26" w:line="227" w:lineRule="auto"/>
              <w:ind w:left="113"/>
              <w:rPr>
                <w:rFonts w:ascii="Times New Roman" w:hAnsi="Times New Roman" w:eastAsia="Times New Roman" w:cs="Times New Roman"/>
                <w:sz w:val="20"/>
                <w:szCs w:val="20"/>
              </w:rPr>
            </w:pPr>
            <w:r>
              <w:rPr>
                <w:spacing w:val="2"/>
                <w:sz w:val="20"/>
                <w:szCs w:val="20"/>
              </w:rPr>
              <w:t>外</w:t>
            </w:r>
            <w:r>
              <w:rPr>
                <w:spacing w:val="-37"/>
                <w:sz w:val="20"/>
                <w:szCs w:val="20"/>
              </w:rPr>
              <w:t xml:space="preserve"> </w:t>
            </w:r>
            <w:r>
              <w:rPr>
                <w:rFonts w:ascii="Times New Roman" w:hAnsi="Times New Roman" w:eastAsia="Times New Roman" w:cs="Times New Roman"/>
                <w:spacing w:val="2"/>
                <w:sz w:val="20"/>
                <w:szCs w:val="20"/>
              </w:rPr>
              <w:t>5m</w:t>
            </w:r>
            <w:r>
              <w:rPr>
                <w:rFonts w:ascii="Times New Roman" w:hAnsi="Times New Roman" w:eastAsia="Times New Roman" w:cs="Times New Roman"/>
                <w:spacing w:val="32"/>
                <w:sz w:val="20"/>
                <w:szCs w:val="20"/>
              </w:rPr>
              <w:t xml:space="preserve"> </w:t>
            </w:r>
            <w:r>
              <w:rPr>
                <w:spacing w:val="2"/>
                <w:sz w:val="20"/>
                <w:szCs w:val="20"/>
              </w:rPr>
              <w:t>四周各布置</w:t>
            </w:r>
            <w:r>
              <w:rPr>
                <w:spacing w:val="-23"/>
                <w:sz w:val="20"/>
                <w:szCs w:val="20"/>
              </w:rPr>
              <w:t xml:space="preserve"> </w:t>
            </w:r>
            <w:r>
              <w:rPr>
                <w:rFonts w:ascii="Times New Roman" w:hAnsi="Times New Roman" w:eastAsia="Times New Roman" w:cs="Times New Roman"/>
                <w:spacing w:val="2"/>
                <w:sz w:val="20"/>
                <w:szCs w:val="20"/>
              </w:rPr>
              <w:t>1</w:t>
            </w:r>
          </w:p>
          <w:p w14:paraId="3DB079D5">
            <w:pPr>
              <w:pStyle w:val="9"/>
              <w:spacing w:before="24" w:line="228" w:lineRule="auto"/>
              <w:ind w:left="596"/>
              <w:rPr>
                <w:sz w:val="20"/>
                <w:szCs w:val="20"/>
              </w:rPr>
            </w:pPr>
            <w:r>
              <w:rPr>
                <w:spacing w:val="7"/>
                <w:sz w:val="20"/>
                <w:szCs w:val="20"/>
              </w:rPr>
              <w:t>个监测点</w:t>
            </w:r>
          </w:p>
        </w:tc>
        <w:tc>
          <w:tcPr>
            <w:tcW w:w="1323" w:type="dxa"/>
            <w:vAlign w:val="top"/>
          </w:tcPr>
          <w:p w14:paraId="7964E9E8">
            <w:pPr>
              <w:pStyle w:val="9"/>
              <w:spacing w:before="304" w:line="254" w:lineRule="auto"/>
              <w:ind w:left="247" w:right="172" w:hanging="105"/>
              <w:rPr>
                <w:sz w:val="20"/>
                <w:szCs w:val="20"/>
              </w:rPr>
            </w:pPr>
            <w:r>
              <w:rPr>
                <w:sz w:val="20"/>
                <w:szCs w:val="20"/>
              </w:rPr>
              <w:t>工频电场、</w:t>
            </w:r>
            <w:r>
              <w:rPr>
                <w:spacing w:val="6"/>
                <w:sz w:val="20"/>
                <w:szCs w:val="20"/>
              </w:rPr>
              <w:t>工频磁场</w:t>
            </w:r>
          </w:p>
        </w:tc>
        <w:tc>
          <w:tcPr>
            <w:tcW w:w="1557" w:type="dxa"/>
            <w:vAlign w:val="top"/>
          </w:tcPr>
          <w:p w14:paraId="0C9456E5">
            <w:pPr>
              <w:pStyle w:val="9"/>
              <w:spacing w:before="34" w:line="242" w:lineRule="auto"/>
              <w:ind w:left="156" w:right="146"/>
              <w:rPr>
                <w:sz w:val="20"/>
                <w:szCs w:val="20"/>
              </w:rPr>
            </w:pPr>
            <w:r>
              <w:rPr>
                <w:spacing w:val="8"/>
                <w:sz w:val="20"/>
                <w:szCs w:val="20"/>
              </w:rPr>
              <w:t>竣工验收时、突发环境事件时进行监测及有投诉情况时</w:t>
            </w:r>
          </w:p>
        </w:tc>
        <w:tc>
          <w:tcPr>
            <w:tcW w:w="2688" w:type="dxa"/>
            <w:gridSpan w:val="3"/>
            <w:vAlign w:val="top"/>
          </w:tcPr>
          <w:p w14:paraId="0716399E">
            <w:pPr>
              <w:pStyle w:val="9"/>
              <w:spacing w:before="166" w:line="228" w:lineRule="auto"/>
              <w:ind w:left="205"/>
              <w:rPr>
                <w:sz w:val="20"/>
                <w:szCs w:val="20"/>
              </w:rPr>
            </w:pPr>
            <w:r>
              <w:rPr>
                <w:spacing w:val="8"/>
                <w:sz w:val="20"/>
                <w:szCs w:val="20"/>
              </w:rPr>
              <w:t>《交流输变电工程电磁环</w:t>
            </w:r>
          </w:p>
          <w:p w14:paraId="24CF2327">
            <w:pPr>
              <w:pStyle w:val="9"/>
              <w:spacing w:before="27" w:line="228" w:lineRule="auto"/>
              <w:ind w:left="306"/>
              <w:rPr>
                <w:sz w:val="20"/>
                <w:szCs w:val="20"/>
              </w:rPr>
            </w:pPr>
            <w:r>
              <w:rPr>
                <w:spacing w:val="9"/>
                <w:sz w:val="20"/>
                <w:szCs w:val="20"/>
              </w:rPr>
              <w:t>境监测方法（试行）》</w:t>
            </w:r>
          </w:p>
          <w:p w14:paraId="609EAE5C">
            <w:pPr>
              <w:pStyle w:val="9"/>
              <w:spacing w:before="23"/>
              <w:ind w:left="634"/>
              <w:rPr>
                <w:sz w:val="20"/>
                <w:szCs w:val="20"/>
              </w:rPr>
            </w:pPr>
            <w:r>
              <w:rPr>
                <w:spacing w:val="4"/>
                <w:sz w:val="20"/>
                <w:szCs w:val="20"/>
              </w:rPr>
              <w:t>（</w:t>
            </w:r>
            <w:r>
              <w:rPr>
                <w:rFonts w:ascii="Times New Roman" w:hAnsi="Times New Roman" w:eastAsia="Times New Roman" w:cs="Times New Roman"/>
                <w:sz w:val="20"/>
                <w:szCs w:val="20"/>
              </w:rPr>
              <w:t>HJ</w:t>
            </w:r>
            <w:r>
              <w:rPr>
                <w:rFonts w:ascii="Times New Roman" w:hAnsi="Times New Roman" w:eastAsia="Times New Roman" w:cs="Times New Roman"/>
                <w:spacing w:val="4"/>
                <w:sz w:val="20"/>
                <w:szCs w:val="20"/>
              </w:rPr>
              <w:t>681-2013</w:t>
            </w:r>
            <w:r>
              <w:rPr>
                <w:spacing w:val="4"/>
                <w:sz w:val="20"/>
                <w:szCs w:val="20"/>
              </w:rPr>
              <w:t>）</w:t>
            </w:r>
          </w:p>
        </w:tc>
        <w:tc>
          <w:tcPr>
            <w:tcW w:w="122" w:type="dxa"/>
            <w:tcBorders>
              <w:top w:val="nil"/>
              <w:bottom w:val="nil"/>
              <w:right w:val="single" w:color="000000" w:sz="6" w:space="0"/>
            </w:tcBorders>
            <w:vAlign w:val="top"/>
          </w:tcPr>
          <w:p w14:paraId="18D93C82">
            <w:pPr>
              <w:rPr>
                <w:rFonts w:ascii="Arial"/>
                <w:sz w:val="21"/>
              </w:rPr>
            </w:pPr>
          </w:p>
        </w:tc>
      </w:tr>
      <w:tr w14:paraId="534CE7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1" w:hRule="atLeast"/>
        </w:trPr>
        <w:tc>
          <w:tcPr>
            <w:tcW w:w="505" w:type="dxa"/>
            <w:vMerge w:val="continue"/>
            <w:tcBorders>
              <w:top w:val="nil"/>
              <w:left w:val="single" w:color="000000" w:sz="6" w:space="0"/>
            </w:tcBorders>
            <w:vAlign w:val="top"/>
          </w:tcPr>
          <w:p w14:paraId="05E01E38">
            <w:pPr>
              <w:rPr>
                <w:rFonts w:ascii="Arial"/>
                <w:sz w:val="21"/>
              </w:rPr>
            </w:pPr>
          </w:p>
        </w:tc>
        <w:tc>
          <w:tcPr>
            <w:tcW w:w="9059" w:type="dxa"/>
            <w:gridSpan w:val="13"/>
            <w:tcBorders>
              <w:right w:val="single" w:color="000000" w:sz="6" w:space="0"/>
            </w:tcBorders>
            <w:vAlign w:val="top"/>
          </w:tcPr>
          <w:p w14:paraId="374D17E4">
            <w:pPr>
              <w:pStyle w:val="9"/>
              <w:spacing w:before="165" w:line="219" w:lineRule="auto"/>
              <w:ind w:left="583"/>
            </w:pPr>
            <w:r>
              <w:rPr>
                <w:rFonts w:ascii="Times New Roman" w:hAnsi="Times New Roman" w:eastAsia="Times New Roman" w:cs="Times New Roman"/>
                <w:b/>
                <w:bCs/>
                <w:spacing w:val="-3"/>
              </w:rPr>
              <w:t>4.</w:t>
            </w:r>
            <w:r>
              <w:rPr>
                <w:b/>
                <w:bCs/>
                <w:spacing w:val="-3"/>
              </w:rPr>
              <w:t>竣工验收</w:t>
            </w:r>
          </w:p>
          <w:p w14:paraId="60FEDBB9">
            <w:pPr>
              <w:pStyle w:val="9"/>
              <w:spacing w:before="172" w:line="354" w:lineRule="auto"/>
              <w:ind w:left="106" w:right="102" w:firstLine="480"/>
              <w:jc w:val="both"/>
            </w:pPr>
            <w:r>
              <w:rPr>
                <w:spacing w:val="-1"/>
              </w:rPr>
              <w:t>根据《建设项目环境保护管理条例》，本次项目的建设应执行污</w:t>
            </w:r>
            <w:r>
              <w:rPr>
                <w:spacing w:val="-2"/>
              </w:rPr>
              <w:t>染治理设施与主</w:t>
            </w:r>
            <w:r>
              <w:t>体工程同时设计、同时施工、同时投产使用的</w:t>
            </w:r>
            <w:r>
              <w:rPr>
                <w:rFonts w:ascii="Times New Roman" w:hAnsi="Times New Roman" w:eastAsia="Times New Roman" w:cs="Times New Roman"/>
              </w:rPr>
              <w:t>“</w:t>
            </w:r>
            <w:r>
              <w:t>三同</w:t>
            </w:r>
            <w:r>
              <w:rPr>
                <w:spacing w:val="-1"/>
              </w:rPr>
              <w:t>时</w:t>
            </w:r>
            <w:r>
              <w:rPr>
                <w:rFonts w:ascii="Times New Roman" w:hAnsi="Times New Roman" w:eastAsia="Times New Roman" w:cs="Times New Roman"/>
                <w:spacing w:val="-1"/>
              </w:rPr>
              <w:t>”</w:t>
            </w:r>
            <w:r>
              <w:rPr>
                <w:spacing w:val="-1"/>
              </w:rPr>
              <w:t>制度。本次建设项目投产运行</w:t>
            </w:r>
            <w:r>
              <w:t>后，建设单位应按照国家相关规定及时组织竣工环境保护</w:t>
            </w:r>
            <w:r>
              <w:rPr>
                <w:spacing w:val="-1"/>
              </w:rPr>
              <w:t>验收，主要内容应包括：</w:t>
            </w:r>
          </w:p>
          <w:p w14:paraId="7BF0CE9B">
            <w:pPr>
              <w:pStyle w:val="9"/>
              <w:spacing w:line="219" w:lineRule="auto"/>
              <w:ind w:left="598"/>
            </w:pPr>
            <w:r>
              <w:rPr>
                <w:spacing w:val="-1"/>
              </w:rPr>
              <w:t>（</w:t>
            </w:r>
            <w:r>
              <w:rPr>
                <w:rFonts w:ascii="Times New Roman" w:hAnsi="Times New Roman" w:eastAsia="Times New Roman" w:cs="Times New Roman"/>
                <w:spacing w:val="-1"/>
              </w:rPr>
              <w:t>1</w:t>
            </w:r>
            <w:r>
              <w:rPr>
                <w:spacing w:val="-1"/>
              </w:rPr>
              <w:t>）工程运行中的噪声水平、工频电场和工频磁场水平。</w:t>
            </w:r>
          </w:p>
          <w:p w14:paraId="05C319D0">
            <w:pPr>
              <w:pStyle w:val="9"/>
              <w:spacing w:before="176" w:line="219" w:lineRule="auto"/>
              <w:jc w:val="right"/>
            </w:pPr>
            <w:r>
              <w:rPr>
                <w:spacing w:val="-5"/>
              </w:rPr>
              <w:t>（</w:t>
            </w:r>
            <w:r>
              <w:rPr>
                <w:rFonts w:ascii="Times New Roman" w:hAnsi="Times New Roman" w:eastAsia="Times New Roman" w:cs="Times New Roman"/>
                <w:spacing w:val="-5"/>
              </w:rPr>
              <w:t>2</w:t>
            </w:r>
            <w:r>
              <w:rPr>
                <w:spacing w:val="-5"/>
              </w:rPr>
              <w:t>）工程运行期间环境管理所涉及的内容。竣工环境保护验收相关内容见表</w:t>
            </w:r>
            <w:r>
              <w:rPr>
                <w:rFonts w:ascii="Times New Roman" w:hAnsi="Times New Roman" w:eastAsia="Times New Roman" w:cs="Times New Roman"/>
                <w:spacing w:val="-5"/>
              </w:rPr>
              <w:t>5-4</w:t>
            </w:r>
            <w:r>
              <w:rPr>
                <w:spacing w:val="-5"/>
              </w:rPr>
              <w:t>。</w:t>
            </w:r>
          </w:p>
        </w:tc>
      </w:tr>
      <w:tr w14:paraId="473EAD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4" w:hRule="atLeast"/>
        </w:trPr>
        <w:tc>
          <w:tcPr>
            <w:tcW w:w="505" w:type="dxa"/>
            <w:vMerge w:val="restart"/>
            <w:tcBorders>
              <w:left w:val="single" w:color="000000" w:sz="6" w:space="0"/>
              <w:bottom w:val="nil"/>
            </w:tcBorders>
            <w:textDirection w:val="tbRlV"/>
            <w:vAlign w:val="top"/>
          </w:tcPr>
          <w:p w14:paraId="32D75609">
            <w:pPr>
              <w:pStyle w:val="9"/>
              <w:spacing w:before="149" w:line="216" w:lineRule="auto"/>
              <w:ind w:left="2816"/>
              <w:outlineLvl w:val="2"/>
              <w:rPr>
                <w:sz w:val="20"/>
                <w:szCs w:val="20"/>
              </w:rPr>
            </w:pPr>
            <w:r>
              <w:rPr>
                <w:spacing w:val="8"/>
                <w:sz w:val="20"/>
                <w:szCs w:val="20"/>
              </w:rPr>
              <w:t>环</w:t>
            </w:r>
            <w:r>
              <w:rPr>
                <w:spacing w:val="-36"/>
                <w:sz w:val="20"/>
                <w:szCs w:val="20"/>
              </w:rPr>
              <w:t xml:space="preserve"> </w:t>
            </w:r>
            <w:r>
              <w:rPr>
                <w:spacing w:val="8"/>
                <w:sz w:val="20"/>
                <w:szCs w:val="20"/>
              </w:rPr>
              <w:t>保</w:t>
            </w:r>
            <w:r>
              <w:rPr>
                <w:spacing w:val="-37"/>
                <w:sz w:val="20"/>
                <w:szCs w:val="20"/>
              </w:rPr>
              <w:t xml:space="preserve"> </w:t>
            </w:r>
            <w:r>
              <w:rPr>
                <w:spacing w:val="8"/>
                <w:sz w:val="20"/>
                <w:szCs w:val="20"/>
              </w:rPr>
              <w:t>投</w:t>
            </w:r>
            <w:r>
              <w:rPr>
                <w:spacing w:val="-36"/>
                <w:sz w:val="20"/>
                <w:szCs w:val="20"/>
              </w:rPr>
              <w:t xml:space="preserve"> </w:t>
            </w:r>
            <w:r>
              <w:rPr>
                <w:spacing w:val="8"/>
                <w:sz w:val="20"/>
                <w:szCs w:val="20"/>
              </w:rPr>
              <w:t>资</w:t>
            </w:r>
          </w:p>
        </w:tc>
        <w:tc>
          <w:tcPr>
            <w:tcW w:w="9059" w:type="dxa"/>
            <w:gridSpan w:val="13"/>
            <w:tcBorders>
              <w:right w:val="single" w:color="000000" w:sz="6" w:space="0"/>
            </w:tcBorders>
            <w:vAlign w:val="top"/>
          </w:tcPr>
          <w:p w14:paraId="4177BF8F">
            <w:pPr>
              <w:pStyle w:val="9"/>
              <w:spacing w:before="43" w:line="351" w:lineRule="auto"/>
              <w:ind w:left="106" w:right="102" w:firstLine="481"/>
              <w:jc w:val="both"/>
            </w:pPr>
            <w:r>
              <w:rPr>
                <w:spacing w:val="-1"/>
              </w:rPr>
              <w:t>本工程环境保护投资包括施工期环境保护措施、管理措施，运</w:t>
            </w:r>
            <w:r>
              <w:rPr>
                <w:spacing w:val="-2"/>
              </w:rPr>
              <w:t>营期环境保护设施</w:t>
            </w:r>
            <w:r>
              <w:rPr>
                <w:spacing w:val="-3"/>
              </w:rPr>
              <w:t>及管理措施。本工程总投资</w:t>
            </w:r>
            <w:r>
              <w:rPr>
                <w:spacing w:val="-39"/>
              </w:rPr>
              <w:t xml:space="preserve"> </w:t>
            </w:r>
            <w:r>
              <w:rPr>
                <w:rFonts w:ascii="Times New Roman" w:hAnsi="Times New Roman" w:eastAsia="Times New Roman" w:cs="Times New Roman"/>
                <w:spacing w:val="-3"/>
              </w:rPr>
              <w:t>6145</w:t>
            </w:r>
            <w:r>
              <w:rPr>
                <w:rFonts w:ascii="Times New Roman" w:hAnsi="Times New Roman" w:eastAsia="Times New Roman" w:cs="Times New Roman"/>
                <w:spacing w:val="16"/>
              </w:rPr>
              <w:t xml:space="preserve"> </w:t>
            </w:r>
            <w:r>
              <w:rPr>
                <w:spacing w:val="-3"/>
              </w:rPr>
              <w:t>万元，其中环保投资</w:t>
            </w:r>
            <w:r>
              <w:rPr>
                <w:spacing w:val="-51"/>
              </w:rPr>
              <w:t xml:space="preserve"> </w:t>
            </w:r>
            <w:r>
              <w:rPr>
                <w:rFonts w:ascii="Times New Roman" w:hAnsi="Times New Roman" w:eastAsia="Times New Roman" w:cs="Times New Roman"/>
                <w:spacing w:val="-3"/>
              </w:rPr>
              <w:t>99.1</w:t>
            </w:r>
            <w:r>
              <w:rPr>
                <w:rFonts w:ascii="Times New Roman" w:hAnsi="Times New Roman" w:eastAsia="Times New Roman" w:cs="Times New Roman"/>
                <w:spacing w:val="15"/>
                <w:w w:val="101"/>
              </w:rPr>
              <w:t xml:space="preserve"> </w:t>
            </w:r>
            <w:r>
              <w:rPr>
                <w:spacing w:val="-3"/>
              </w:rPr>
              <w:t>万元，</w:t>
            </w:r>
            <w:r>
              <w:rPr>
                <w:spacing w:val="-71"/>
              </w:rPr>
              <w:t xml:space="preserve"> </w:t>
            </w:r>
            <w:r>
              <w:rPr>
                <w:spacing w:val="-3"/>
              </w:rPr>
              <w:t>占工程全部投资的</w:t>
            </w:r>
            <w:r>
              <w:rPr>
                <w:rFonts w:ascii="Times New Roman" w:hAnsi="Times New Roman" w:eastAsia="Times New Roman" w:cs="Times New Roman"/>
                <w:spacing w:val="-2"/>
              </w:rPr>
              <w:t>1.61%</w:t>
            </w:r>
            <w:r>
              <w:rPr>
                <w:spacing w:val="-2"/>
              </w:rPr>
              <w:t>。</w:t>
            </w:r>
          </w:p>
          <w:p w14:paraId="6FAA3311">
            <w:pPr>
              <w:pStyle w:val="9"/>
              <w:spacing w:before="163" w:line="220" w:lineRule="auto"/>
              <w:ind w:left="3014"/>
            </w:pPr>
            <w:r>
              <w:rPr>
                <w:b/>
                <w:bCs/>
                <w:spacing w:val="-2"/>
              </w:rPr>
              <w:t>表</w:t>
            </w:r>
            <w:r>
              <w:rPr>
                <w:spacing w:val="-52"/>
              </w:rPr>
              <w:t xml:space="preserve"> </w:t>
            </w:r>
            <w:r>
              <w:rPr>
                <w:rFonts w:ascii="Times New Roman" w:hAnsi="Times New Roman" w:eastAsia="Times New Roman" w:cs="Times New Roman"/>
                <w:b/>
                <w:bCs/>
                <w:spacing w:val="-2"/>
              </w:rPr>
              <w:t xml:space="preserve">5-4    </w:t>
            </w:r>
            <w:r>
              <w:rPr>
                <w:b/>
                <w:bCs/>
                <w:spacing w:val="-2"/>
              </w:rPr>
              <w:t>工程环境保护投资一览表</w:t>
            </w:r>
          </w:p>
        </w:tc>
      </w:tr>
      <w:tr w14:paraId="61E031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505" w:type="dxa"/>
            <w:vMerge w:val="continue"/>
            <w:tcBorders>
              <w:top w:val="nil"/>
              <w:left w:val="single" w:color="000000" w:sz="6" w:space="0"/>
              <w:bottom w:val="nil"/>
            </w:tcBorders>
            <w:textDirection w:val="tbRlV"/>
            <w:vAlign w:val="top"/>
          </w:tcPr>
          <w:p w14:paraId="6D035DF5">
            <w:pPr>
              <w:rPr>
                <w:rFonts w:ascii="Arial"/>
                <w:sz w:val="21"/>
              </w:rPr>
            </w:pPr>
          </w:p>
        </w:tc>
        <w:tc>
          <w:tcPr>
            <w:tcW w:w="209" w:type="dxa"/>
            <w:gridSpan w:val="2"/>
            <w:vMerge w:val="restart"/>
            <w:tcBorders>
              <w:top w:val="nil"/>
              <w:bottom w:val="nil"/>
            </w:tcBorders>
            <w:vAlign w:val="top"/>
          </w:tcPr>
          <w:p w14:paraId="6DD0BFBE">
            <w:pPr>
              <w:rPr>
                <w:rFonts w:ascii="Arial"/>
                <w:sz w:val="21"/>
              </w:rPr>
            </w:pPr>
          </w:p>
        </w:tc>
        <w:tc>
          <w:tcPr>
            <w:tcW w:w="366" w:type="dxa"/>
            <w:textDirection w:val="tbRlV"/>
            <w:vAlign w:val="top"/>
          </w:tcPr>
          <w:p w14:paraId="523386B7">
            <w:pPr>
              <w:pStyle w:val="9"/>
              <w:spacing w:before="83" w:line="218" w:lineRule="auto"/>
              <w:ind w:left="37"/>
              <w:outlineLvl w:val="2"/>
              <w:rPr>
                <w:sz w:val="20"/>
                <w:szCs w:val="20"/>
              </w:rPr>
            </w:pPr>
            <w:r>
              <w:rPr>
                <w:spacing w:val="8"/>
                <w:sz w:val="20"/>
                <w:szCs w:val="20"/>
              </w:rPr>
              <w:t>序</w:t>
            </w:r>
            <w:r>
              <w:rPr>
                <w:spacing w:val="-35"/>
                <w:sz w:val="20"/>
                <w:szCs w:val="20"/>
              </w:rPr>
              <w:t xml:space="preserve"> </w:t>
            </w:r>
            <w:r>
              <w:rPr>
                <w:spacing w:val="8"/>
                <w:sz w:val="20"/>
                <w:szCs w:val="20"/>
              </w:rPr>
              <w:t>号</w:t>
            </w:r>
          </w:p>
        </w:tc>
        <w:tc>
          <w:tcPr>
            <w:tcW w:w="627" w:type="dxa"/>
            <w:vAlign w:val="top"/>
          </w:tcPr>
          <w:p w14:paraId="516E585F">
            <w:pPr>
              <w:pStyle w:val="9"/>
              <w:spacing w:before="171" w:line="228" w:lineRule="auto"/>
              <w:ind w:left="104"/>
              <w:outlineLvl w:val="2"/>
              <w:rPr>
                <w:sz w:val="20"/>
                <w:szCs w:val="20"/>
              </w:rPr>
            </w:pPr>
            <w:r>
              <w:rPr>
                <w:spacing w:val="4"/>
                <w:sz w:val="20"/>
                <w:szCs w:val="20"/>
              </w:rPr>
              <w:t>类别</w:t>
            </w:r>
          </w:p>
        </w:tc>
        <w:tc>
          <w:tcPr>
            <w:tcW w:w="6745" w:type="dxa"/>
            <w:gridSpan w:val="6"/>
            <w:vAlign w:val="top"/>
          </w:tcPr>
          <w:p w14:paraId="15A2E5B0">
            <w:pPr>
              <w:pStyle w:val="9"/>
              <w:spacing w:before="172" w:line="228" w:lineRule="auto"/>
              <w:ind w:left="3168"/>
              <w:outlineLvl w:val="2"/>
              <w:rPr>
                <w:sz w:val="20"/>
                <w:szCs w:val="20"/>
              </w:rPr>
            </w:pPr>
            <w:r>
              <w:rPr>
                <w:spacing w:val="4"/>
                <w:sz w:val="20"/>
                <w:szCs w:val="20"/>
              </w:rPr>
              <w:t>措施</w:t>
            </w:r>
          </w:p>
        </w:tc>
        <w:tc>
          <w:tcPr>
            <w:tcW w:w="894" w:type="dxa"/>
            <w:vAlign w:val="top"/>
          </w:tcPr>
          <w:p w14:paraId="4D6055A2">
            <w:pPr>
              <w:pStyle w:val="9"/>
              <w:spacing w:before="37" w:line="231" w:lineRule="auto"/>
              <w:ind w:left="79" w:right="8" w:firstLine="66"/>
              <w:outlineLvl w:val="2"/>
              <w:rPr>
                <w:sz w:val="20"/>
                <w:szCs w:val="20"/>
              </w:rPr>
            </w:pPr>
            <w:r>
              <w:rPr>
                <w:spacing w:val="6"/>
                <w:sz w:val="20"/>
                <w:szCs w:val="20"/>
              </w:rPr>
              <w:t>投资额</w:t>
            </w:r>
            <w:r>
              <w:rPr>
                <w:sz w:val="20"/>
                <w:szCs w:val="20"/>
              </w:rPr>
              <w:t>（万元）</w:t>
            </w:r>
          </w:p>
        </w:tc>
        <w:tc>
          <w:tcPr>
            <w:tcW w:w="218" w:type="dxa"/>
            <w:gridSpan w:val="2"/>
            <w:vMerge w:val="restart"/>
            <w:tcBorders>
              <w:top w:val="nil"/>
              <w:bottom w:val="nil"/>
              <w:right w:val="single" w:color="000000" w:sz="6" w:space="0"/>
            </w:tcBorders>
            <w:vAlign w:val="top"/>
          </w:tcPr>
          <w:p w14:paraId="3D9A8F45">
            <w:pPr>
              <w:rPr>
                <w:rFonts w:ascii="Arial"/>
                <w:sz w:val="21"/>
              </w:rPr>
            </w:pPr>
          </w:p>
        </w:tc>
      </w:tr>
      <w:tr w14:paraId="516681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05" w:type="dxa"/>
            <w:vMerge w:val="continue"/>
            <w:tcBorders>
              <w:top w:val="nil"/>
              <w:left w:val="single" w:color="000000" w:sz="6" w:space="0"/>
              <w:bottom w:val="nil"/>
            </w:tcBorders>
            <w:textDirection w:val="tbRlV"/>
            <w:vAlign w:val="top"/>
          </w:tcPr>
          <w:p w14:paraId="4480F428">
            <w:pPr>
              <w:rPr>
                <w:rFonts w:ascii="Arial"/>
                <w:sz w:val="21"/>
              </w:rPr>
            </w:pPr>
          </w:p>
        </w:tc>
        <w:tc>
          <w:tcPr>
            <w:tcW w:w="209" w:type="dxa"/>
            <w:gridSpan w:val="2"/>
            <w:vMerge w:val="continue"/>
            <w:tcBorders>
              <w:top w:val="nil"/>
              <w:bottom w:val="nil"/>
            </w:tcBorders>
            <w:vAlign w:val="top"/>
          </w:tcPr>
          <w:p w14:paraId="69E8A80C">
            <w:pPr>
              <w:rPr>
                <w:rFonts w:ascii="Arial"/>
                <w:sz w:val="21"/>
              </w:rPr>
            </w:pPr>
          </w:p>
        </w:tc>
        <w:tc>
          <w:tcPr>
            <w:tcW w:w="366" w:type="dxa"/>
            <w:vMerge w:val="restart"/>
            <w:tcBorders>
              <w:bottom w:val="nil"/>
            </w:tcBorders>
            <w:vAlign w:val="top"/>
          </w:tcPr>
          <w:p w14:paraId="31A899A3">
            <w:pPr>
              <w:spacing w:line="304" w:lineRule="auto"/>
              <w:rPr>
                <w:rFonts w:ascii="Arial"/>
                <w:sz w:val="21"/>
              </w:rPr>
            </w:pPr>
          </w:p>
          <w:p w14:paraId="446EC64E">
            <w:pPr>
              <w:spacing w:line="304" w:lineRule="auto"/>
              <w:rPr>
                <w:rFonts w:ascii="Arial"/>
                <w:sz w:val="21"/>
              </w:rPr>
            </w:pPr>
          </w:p>
          <w:p w14:paraId="23ADE35D">
            <w:pPr>
              <w:spacing w:line="304" w:lineRule="auto"/>
              <w:rPr>
                <w:rFonts w:ascii="Arial"/>
                <w:sz w:val="21"/>
              </w:rPr>
            </w:pPr>
          </w:p>
          <w:p w14:paraId="62630B7C">
            <w:pPr>
              <w:spacing w:before="57" w:line="195" w:lineRule="auto"/>
              <w:ind w:left="145"/>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627" w:type="dxa"/>
            <w:vMerge w:val="restart"/>
            <w:tcBorders>
              <w:bottom w:val="nil"/>
            </w:tcBorders>
            <w:vAlign w:val="top"/>
          </w:tcPr>
          <w:p w14:paraId="603B28F9">
            <w:pPr>
              <w:spacing w:line="297" w:lineRule="auto"/>
              <w:rPr>
                <w:rFonts w:ascii="Arial"/>
                <w:sz w:val="21"/>
              </w:rPr>
            </w:pPr>
          </w:p>
          <w:p w14:paraId="24DEBB09">
            <w:pPr>
              <w:spacing w:line="298" w:lineRule="auto"/>
              <w:rPr>
                <w:rFonts w:ascii="Arial"/>
                <w:sz w:val="21"/>
              </w:rPr>
            </w:pPr>
          </w:p>
          <w:p w14:paraId="33F2C97A">
            <w:pPr>
              <w:pStyle w:val="9"/>
              <w:spacing w:before="65" w:line="253" w:lineRule="auto"/>
              <w:ind w:left="105" w:right="108" w:hanging="2"/>
              <w:outlineLvl w:val="2"/>
              <w:rPr>
                <w:sz w:val="20"/>
                <w:szCs w:val="20"/>
              </w:rPr>
            </w:pPr>
            <w:r>
              <w:rPr>
                <w:spacing w:val="5"/>
                <w:sz w:val="20"/>
                <w:szCs w:val="20"/>
              </w:rPr>
              <w:t>废水</w:t>
            </w:r>
            <w:r>
              <w:rPr>
                <w:spacing w:val="3"/>
                <w:sz w:val="20"/>
                <w:szCs w:val="20"/>
              </w:rPr>
              <w:t>污染防治</w:t>
            </w:r>
          </w:p>
        </w:tc>
        <w:tc>
          <w:tcPr>
            <w:tcW w:w="411" w:type="dxa"/>
            <w:gridSpan w:val="2"/>
            <w:vMerge w:val="restart"/>
            <w:tcBorders>
              <w:bottom w:val="nil"/>
            </w:tcBorders>
            <w:textDirection w:val="tbRlV"/>
            <w:vAlign w:val="top"/>
          </w:tcPr>
          <w:p w14:paraId="454A5D35">
            <w:pPr>
              <w:pStyle w:val="9"/>
              <w:spacing w:before="103" w:line="217" w:lineRule="auto"/>
              <w:ind w:left="252"/>
              <w:outlineLvl w:val="2"/>
              <w:rPr>
                <w:sz w:val="20"/>
                <w:szCs w:val="20"/>
              </w:rPr>
            </w:pPr>
            <w:r>
              <w:rPr>
                <w:spacing w:val="8"/>
                <w:sz w:val="20"/>
                <w:szCs w:val="20"/>
              </w:rPr>
              <w:t>施</w:t>
            </w:r>
            <w:r>
              <w:rPr>
                <w:spacing w:val="-34"/>
                <w:sz w:val="20"/>
                <w:szCs w:val="20"/>
              </w:rPr>
              <w:t xml:space="preserve"> </w:t>
            </w:r>
            <w:r>
              <w:rPr>
                <w:spacing w:val="8"/>
                <w:sz w:val="20"/>
                <w:szCs w:val="20"/>
              </w:rPr>
              <w:t>工</w:t>
            </w:r>
            <w:r>
              <w:rPr>
                <w:spacing w:val="-38"/>
                <w:sz w:val="20"/>
                <w:szCs w:val="20"/>
              </w:rPr>
              <w:t xml:space="preserve"> </w:t>
            </w:r>
            <w:r>
              <w:rPr>
                <w:spacing w:val="8"/>
                <w:sz w:val="20"/>
                <w:szCs w:val="20"/>
              </w:rPr>
              <w:t>期</w:t>
            </w:r>
          </w:p>
        </w:tc>
        <w:tc>
          <w:tcPr>
            <w:tcW w:w="6334" w:type="dxa"/>
            <w:gridSpan w:val="4"/>
            <w:vAlign w:val="top"/>
          </w:tcPr>
          <w:p w14:paraId="1C80BC6E">
            <w:pPr>
              <w:pStyle w:val="9"/>
              <w:spacing w:before="72" w:line="228" w:lineRule="auto"/>
              <w:ind w:left="479"/>
              <w:outlineLvl w:val="2"/>
              <w:rPr>
                <w:sz w:val="20"/>
                <w:szCs w:val="20"/>
              </w:rPr>
            </w:pPr>
            <w:r>
              <w:rPr>
                <w:spacing w:val="5"/>
                <w:sz w:val="20"/>
                <w:szCs w:val="20"/>
              </w:rPr>
              <w:t>升压站处设置</w:t>
            </w:r>
            <w:r>
              <w:rPr>
                <w:spacing w:val="-21"/>
                <w:sz w:val="20"/>
                <w:szCs w:val="20"/>
              </w:rPr>
              <w:t xml:space="preserve"> </w:t>
            </w:r>
            <w:r>
              <w:rPr>
                <w:rFonts w:ascii="Times New Roman" w:hAnsi="Times New Roman" w:eastAsia="Times New Roman" w:cs="Times New Roman"/>
                <w:spacing w:val="5"/>
                <w:sz w:val="20"/>
                <w:szCs w:val="20"/>
              </w:rPr>
              <w:t xml:space="preserve">1 </w:t>
            </w:r>
            <w:r>
              <w:rPr>
                <w:spacing w:val="5"/>
                <w:sz w:val="20"/>
                <w:szCs w:val="20"/>
              </w:rPr>
              <w:t>个</w:t>
            </w:r>
            <w:r>
              <w:rPr>
                <w:spacing w:val="-37"/>
                <w:sz w:val="20"/>
                <w:szCs w:val="20"/>
              </w:rPr>
              <w:t xml:space="preserve"> </w:t>
            </w:r>
            <w:r>
              <w:rPr>
                <w:rFonts w:ascii="Times New Roman" w:hAnsi="Times New Roman" w:eastAsia="Times New Roman" w:cs="Times New Roman"/>
                <w:spacing w:val="5"/>
                <w:sz w:val="20"/>
                <w:szCs w:val="20"/>
              </w:rPr>
              <w:t>50m</w:t>
            </w:r>
            <w:r>
              <w:rPr>
                <w:rFonts w:ascii="Times New Roman" w:hAnsi="Times New Roman" w:eastAsia="Times New Roman" w:cs="Times New Roman"/>
                <w:spacing w:val="5"/>
                <w:position w:val="6"/>
                <w:sz w:val="13"/>
                <w:szCs w:val="13"/>
              </w:rPr>
              <w:t xml:space="preserve">3  </w:t>
            </w:r>
            <w:r>
              <w:rPr>
                <w:spacing w:val="5"/>
                <w:sz w:val="20"/>
                <w:szCs w:val="20"/>
              </w:rPr>
              <w:t>的临时沉淀池（渗透系数</w:t>
            </w:r>
            <w:r>
              <w:rPr>
                <w:rFonts w:ascii="Times New Roman" w:hAnsi="Times New Roman" w:eastAsia="Times New Roman" w:cs="Times New Roman"/>
                <w:spacing w:val="5"/>
                <w:sz w:val="20"/>
                <w:szCs w:val="20"/>
              </w:rPr>
              <w:t>≤10</w:t>
            </w:r>
            <w:r>
              <w:rPr>
                <w:rFonts w:ascii="Times New Roman" w:hAnsi="Times New Roman" w:eastAsia="Times New Roman" w:cs="Times New Roman"/>
                <w:spacing w:val="5"/>
                <w:position w:val="6"/>
                <w:sz w:val="13"/>
                <w:szCs w:val="13"/>
              </w:rPr>
              <w:t>-7</w:t>
            </w:r>
            <w:r>
              <w:rPr>
                <w:rFonts w:ascii="Times New Roman" w:hAnsi="Times New Roman" w:eastAsia="Times New Roman" w:cs="Times New Roman"/>
                <w:sz w:val="20"/>
                <w:szCs w:val="20"/>
              </w:rPr>
              <w:t>cm</w:t>
            </w:r>
            <w:r>
              <w:rPr>
                <w:rFonts w:ascii="Times New Roman" w:hAnsi="Times New Roman" w:eastAsia="Times New Roman" w:cs="Times New Roman"/>
                <w:spacing w:val="4"/>
                <w:sz w:val="20"/>
                <w:szCs w:val="20"/>
              </w:rPr>
              <w:t>/s</w:t>
            </w:r>
            <w:r>
              <w:rPr>
                <w:spacing w:val="4"/>
                <w:sz w:val="20"/>
                <w:szCs w:val="20"/>
              </w:rPr>
              <w:t>）</w:t>
            </w:r>
          </w:p>
        </w:tc>
        <w:tc>
          <w:tcPr>
            <w:tcW w:w="894" w:type="dxa"/>
            <w:vMerge w:val="restart"/>
            <w:tcBorders>
              <w:bottom w:val="nil"/>
            </w:tcBorders>
            <w:vAlign w:val="top"/>
          </w:tcPr>
          <w:p w14:paraId="044ECBC1">
            <w:pPr>
              <w:spacing w:line="250" w:lineRule="auto"/>
              <w:rPr>
                <w:rFonts w:ascii="Arial"/>
                <w:sz w:val="21"/>
              </w:rPr>
            </w:pPr>
          </w:p>
          <w:p w14:paraId="5F13F007">
            <w:pPr>
              <w:spacing w:line="251" w:lineRule="auto"/>
              <w:rPr>
                <w:rFonts w:ascii="Arial"/>
                <w:sz w:val="21"/>
              </w:rPr>
            </w:pPr>
          </w:p>
          <w:p w14:paraId="2FC4EED2">
            <w:pPr>
              <w:spacing w:before="58" w:line="195" w:lineRule="auto"/>
              <w:ind w:left="371"/>
              <w:outlineLvl w:val="2"/>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10</w:t>
            </w:r>
          </w:p>
        </w:tc>
        <w:tc>
          <w:tcPr>
            <w:tcW w:w="218" w:type="dxa"/>
            <w:gridSpan w:val="2"/>
            <w:vMerge w:val="continue"/>
            <w:tcBorders>
              <w:top w:val="nil"/>
              <w:bottom w:val="nil"/>
              <w:right w:val="single" w:color="000000" w:sz="6" w:space="0"/>
            </w:tcBorders>
            <w:vAlign w:val="top"/>
          </w:tcPr>
          <w:p w14:paraId="66111EC8">
            <w:pPr>
              <w:rPr>
                <w:rFonts w:ascii="Arial"/>
                <w:sz w:val="21"/>
              </w:rPr>
            </w:pPr>
          </w:p>
        </w:tc>
      </w:tr>
      <w:tr w14:paraId="413E6D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05" w:type="dxa"/>
            <w:vMerge w:val="continue"/>
            <w:tcBorders>
              <w:top w:val="nil"/>
              <w:left w:val="single" w:color="000000" w:sz="6" w:space="0"/>
              <w:bottom w:val="nil"/>
            </w:tcBorders>
            <w:textDirection w:val="tbRlV"/>
            <w:vAlign w:val="top"/>
          </w:tcPr>
          <w:p w14:paraId="45472B04">
            <w:pPr>
              <w:rPr>
                <w:rFonts w:ascii="Arial"/>
                <w:sz w:val="21"/>
              </w:rPr>
            </w:pPr>
          </w:p>
        </w:tc>
        <w:tc>
          <w:tcPr>
            <w:tcW w:w="209" w:type="dxa"/>
            <w:gridSpan w:val="2"/>
            <w:vMerge w:val="continue"/>
            <w:tcBorders>
              <w:top w:val="nil"/>
              <w:bottom w:val="nil"/>
            </w:tcBorders>
            <w:vAlign w:val="top"/>
          </w:tcPr>
          <w:p w14:paraId="392555E5">
            <w:pPr>
              <w:rPr>
                <w:rFonts w:ascii="Arial"/>
                <w:sz w:val="21"/>
              </w:rPr>
            </w:pPr>
          </w:p>
        </w:tc>
        <w:tc>
          <w:tcPr>
            <w:tcW w:w="366" w:type="dxa"/>
            <w:vMerge w:val="continue"/>
            <w:tcBorders>
              <w:top w:val="nil"/>
              <w:bottom w:val="nil"/>
            </w:tcBorders>
            <w:vAlign w:val="top"/>
          </w:tcPr>
          <w:p w14:paraId="63CC19EB">
            <w:pPr>
              <w:rPr>
                <w:rFonts w:ascii="Arial"/>
                <w:sz w:val="21"/>
              </w:rPr>
            </w:pPr>
          </w:p>
        </w:tc>
        <w:tc>
          <w:tcPr>
            <w:tcW w:w="627" w:type="dxa"/>
            <w:vMerge w:val="continue"/>
            <w:tcBorders>
              <w:top w:val="nil"/>
              <w:bottom w:val="nil"/>
            </w:tcBorders>
            <w:vAlign w:val="top"/>
          </w:tcPr>
          <w:p w14:paraId="4FE75EAB">
            <w:pPr>
              <w:rPr>
                <w:rFonts w:ascii="Arial"/>
                <w:sz w:val="21"/>
              </w:rPr>
            </w:pPr>
          </w:p>
        </w:tc>
        <w:tc>
          <w:tcPr>
            <w:tcW w:w="411" w:type="dxa"/>
            <w:gridSpan w:val="2"/>
            <w:vMerge w:val="continue"/>
            <w:tcBorders>
              <w:top w:val="nil"/>
              <w:bottom w:val="nil"/>
            </w:tcBorders>
            <w:textDirection w:val="tbRlV"/>
            <w:vAlign w:val="top"/>
          </w:tcPr>
          <w:p w14:paraId="1E7BDA4D">
            <w:pPr>
              <w:rPr>
                <w:rFonts w:ascii="Arial"/>
                <w:sz w:val="21"/>
              </w:rPr>
            </w:pPr>
          </w:p>
        </w:tc>
        <w:tc>
          <w:tcPr>
            <w:tcW w:w="6334" w:type="dxa"/>
            <w:gridSpan w:val="4"/>
            <w:vAlign w:val="top"/>
          </w:tcPr>
          <w:p w14:paraId="3C6E7130">
            <w:pPr>
              <w:pStyle w:val="9"/>
              <w:spacing w:before="73" w:line="228" w:lineRule="auto"/>
              <w:ind w:left="493"/>
              <w:outlineLvl w:val="2"/>
              <w:rPr>
                <w:sz w:val="20"/>
                <w:szCs w:val="20"/>
              </w:rPr>
            </w:pPr>
            <w:r>
              <w:rPr>
                <w:rFonts w:ascii="Times New Roman" w:hAnsi="Times New Roman" w:eastAsia="Times New Roman" w:cs="Times New Roman"/>
                <w:spacing w:val="6"/>
                <w:sz w:val="20"/>
                <w:szCs w:val="20"/>
              </w:rPr>
              <w:t xml:space="preserve">1 </w:t>
            </w:r>
            <w:r>
              <w:rPr>
                <w:spacing w:val="6"/>
                <w:sz w:val="20"/>
                <w:szCs w:val="20"/>
              </w:rPr>
              <w:t>座化粪池</w:t>
            </w:r>
            <w:r>
              <w:rPr>
                <w:spacing w:val="-13"/>
                <w:sz w:val="20"/>
                <w:szCs w:val="20"/>
              </w:rPr>
              <w:t>，（</w:t>
            </w:r>
            <w:r>
              <w:rPr>
                <w:spacing w:val="6"/>
                <w:sz w:val="20"/>
                <w:szCs w:val="20"/>
              </w:rPr>
              <w:t>占地面积</w:t>
            </w:r>
            <w:r>
              <w:rPr>
                <w:spacing w:val="-18"/>
                <w:sz w:val="20"/>
                <w:szCs w:val="20"/>
              </w:rPr>
              <w:t xml:space="preserve"> </w:t>
            </w:r>
            <w:r>
              <w:rPr>
                <w:rFonts w:ascii="Times New Roman" w:hAnsi="Times New Roman" w:eastAsia="Times New Roman" w:cs="Times New Roman"/>
                <w:spacing w:val="6"/>
                <w:sz w:val="20"/>
                <w:szCs w:val="20"/>
              </w:rPr>
              <w:t>12m</w:t>
            </w:r>
            <w:r>
              <w:rPr>
                <w:rFonts w:ascii="Times New Roman" w:hAnsi="Times New Roman" w:eastAsia="Times New Roman" w:cs="Times New Roman"/>
                <w:spacing w:val="6"/>
                <w:position w:val="6"/>
                <w:sz w:val="13"/>
                <w:szCs w:val="13"/>
              </w:rPr>
              <w:t>2</w:t>
            </w:r>
            <w:r>
              <w:rPr>
                <w:rFonts w:ascii="Times New Roman" w:hAnsi="Times New Roman" w:eastAsia="Times New Roman" w:cs="Times New Roman"/>
                <w:spacing w:val="-9"/>
                <w:position w:val="6"/>
                <w:sz w:val="13"/>
                <w:szCs w:val="13"/>
              </w:rPr>
              <w:t xml:space="preserve"> </w:t>
            </w:r>
            <w:r>
              <w:rPr>
                <w:spacing w:val="6"/>
                <w:sz w:val="20"/>
                <w:szCs w:val="20"/>
              </w:rPr>
              <w:t>，渗透系数</w:t>
            </w:r>
            <w:r>
              <w:rPr>
                <w:rFonts w:ascii="Times New Roman" w:hAnsi="Times New Roman" w:eastAsia="Times New Roman" w:cs="Times New Roman"/>
                <w:spacing w:val="6"/>
                <w:sz w:val="20"/>
                <w:szCs w:val="20"/>
              </w:rPr>
              <w:t>≤10</w:t>
            </w:r>
            <w:r>
              <w:rPr>
                <w:rFonts w:ascii="Times New Roman" w:hAnsi="Times New Roman" w:eastAsia="Times New Roman" w:cs="Times New Roman"/>
                <w:spacing w:val="6"/>
                <w:position w:val="6"/>
                <w:sz w:val="13"/>
                <w:szCs w:val="13"/>
              </w:rPr>
              <w:t>-7</w:t>
            </w:r>
            <w:r>
              <w:rPr>
                <w:rFonts w:ascii="Times New Roman" w:hAnsi="Times New Roman" w:eastAsia="Times New Roman" w:cs="Times New Roman"/>
                <w:sz w:val="20"/>
                <w:szCs w:val="20"/>
              </w:rPr>
              <w:t>cm</w:t>
            </w:r>
            <w:r>
              <w:rPr>
                <w:rFonts w:ascii="Times New Roman" w:hAnsi="Times New Roman" w:eastAsia="Times New Roman" w:cs="Times New Roman"/>
                <w:spacing w:val="6"/>
                <w:sz w:val="20"/>
                <w:szCs w:val="20"/>
              </w:rPr>
              <w:t>/s</w:t>
            </w:r>
            <w:r>
              <w:rPr>
                <w:spacing w:val="6"/>
                <w:sz w:val="20"/>
                <w:szCs w:val="20"/>
              </w:rPr>
              <w:t>）</w:t>
            </w:r>
          </w:p>
        </w:tc>
        <w:tc>
          <w:tcPr>
            <w:tcW w:w="894" w:type="dxa"/>
            <w:vMerge w:val="continue"/>
            <w:tcBorders>
              <w:top w:val="nil"/>
              <w:bottom w:val="nil"/>
            </w:tcBorders>
            <w:vAlign w:val="top"/>
          </w:tcPr>
          <w:p w14:paraId="52BFB752">
            <w:pPr>
              <w:rPr>
                <w:rFonts w:ascii="Arial"/>
                <w:sz w:val="21"/>
              </w:rPr>
            </w:pPr>
          </w:p>
        </w:tc>
        <w:tc>
          <w:tcPr>
            <w:tcW w:w="218" w:type="dxa"/>
            <w:gridSpan w:val="2"/>
            <w:vMerge w:val="continue"/>
            <w:tcBorders>
              <w:top w:val="nil"/>
              <w:bottom w:val="nil"/>
              <w:right w:val="single" w:color="000000" w:sz="6" w:space="0"/>
            </w:tcBorders>
            <w:vAlign w:val="top"/>
          </w:tcPr>
          <w:p w14:paraId="6D39FEF1">
            <w:pPr>
              <w:rPr>
                <w:rFonts w:ascii="Arial"/>
                <w:sz w:val="21"/>
              </w:rPr>
            </w:pPr>
          </w:p>
        </w:tc>
      </w:tr>
      <w:tr w14:paraId="525200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505" w:type="dxa"/>
            <w:vMerge w:val="continue"/>
            <w:tcBorders>
              <w:top w:val="nil"/>
              <w:left w:val="single" w:color="000000" w:sz="6" w:space="0"/>
              <w:bottom w:val="nil"/>
            </w:tcBorders>
            <w:textDirection w:val="tbRlV"/>
            <w:vAlign w:val="top"/>
          </w:tcPr>
          <w:p w14:paraId="5F2FC6FC">
            <w:pPr>
              <w:rPr>
                <w:rFonts w:ascii="Arial"/>
                <w:sz w:val="21"/>
              </w:rPr>
            </w:pPr>
          </w:p>
        </w:tc>
        <w:tc>
          <w:tcPr>
            <w:tcW w:w="209" w:type="dxa"/>
            <w:gridSpan w:val="2"/>
            <w:vMerge w:val="continue"/>
            <w:tcBorders>
              <w:top w:val="nil"/>
              <w:bottom w:val="nil"/>
            </w:tcBorders>
            <w:vAlign w:val="top"/>
          </w:tcPr>
          <w:p w14:paraId="0612E030">
            <w:pPr>
              <w:rPr>
                <w:rFonts w:ascii="Arial"/>
                <w:sz w:val="21"/>
              </w:rPr>
            </w:pPr>
          </w:p>
        </w:tc>
        <w:tc>
          <w:tcPr>
            <w:tcW w:w="366" w:type="dxa"/>
            <w:vMerge w:val="continue"/>
            <w:tcBorders>
              <w:top w:val="nil"/>
              <w:bottom w:val="nil"/>
            </w:tcBorders>
            <w:vAlign w:val="top"/>
          </w:tcPr>
          <w:p w14:paraId="4B65DADC">
            <w:pPr>
              <w:rPr>
                <w:rFonts w:ascii="Arial"/>
                <w:sz w:val="21"/>
              </w:rPr>
            </w:pPr>
          </w:p>
        </w:tc>
        <w:tc>
          <w:tcPr>
            <w:tcW w:w="627" w:type="dxa"/>
            <w:vMerge w:val="continue"/>
            <w:tcBorders>
              <w:top w:val="nil"/>
              <w:bottom w:val="nil"/>
            </w:tcBorders>
            <w:vAlign w:val="top"/>
          </w:tcPr>
          <w:p w14:paraId="64ED4C10">
            <w:pPr>
              <w:rPr>
                <w:rFonts w:ascii="Arial"/>
                <w:sz w:val="21"/>
              </w:rPr>
            </w:pPr>
          </w:p>
        </w:tc>
        <w:tc>
          <w:tcPr>
            <w:tcW w:w="411" w:type="dxa"/>
            <w:gridSpan w:val="2"/>
            <w:vMerge w:val="continue"/>
            <w:tcBorders>
              <w:top w:val="nil"/>
            </w:tcBorders>
            <w:textDirection w:val="tbRlV"/>
            <w:vAlign w:val="top"/>
          </w:tcPr>
          <w:p w14:paraId="238A6E99">
            <w:pPr>
              <w:rPr>
                <w:rFonts w:ascii="Arial"/>
                <w:sz w:val="21"/>
              </w:rPr>
            </w:pPr>
          </w:p>
        </w:tc>
        <w:tc>
          <w:tcPr>
            <w:tcW w:w="6334" w:type="dxa"/>
            <w:gridSpan w:val="4"/>
            <w:vAlign w:val="top"/>
          </w:tcPr>
          <w:p w14:paraId="3C66AD72">
            <w:pPr>
              <w:pStyle w:val="9"/>
              <w:spacing w:before="42" w:line="229" w:lineRule="auto"/>
              <w:ind w:left="63" w:right="51" w:firstLine="413"/>
              <w:outlineLvl w:val="2"/>
              <w:rPr>
                <w:sz w:val="20"/>
                <w:szCs w:val="20"/>
              </w:rPr>
            </w:pPr>
            <w:r>
              <w:rPr>
                <w:spacing w:val="7"/>
                <w:sz w:val="20"/>
                <w:szCs w:val="20"/>
              </w:rPr>
              <w:t>施工期临时的废水环保设施在施工结束后，全部拆除，建设地点复垦绿化，恢复原貌。</w:t>
            </w:r>
          </w:p>
        </w:tc>
        <w:tc>
          <w:tcPr>
            <w:tcW w:w="894" w:type="dxa"/>
            <w:vMerge w:val="continue"/>
            <w:tcBorders>
              <w:top w:val="nil"/>
            </w:tcBorders>
            <w:vAlign w:val="top"/>
          </w:tcPr>
          <w:p w14:paraId="0FE5E276">
            <w:pPr>
              <w:rPr>
                <w:rFonts w:ascii="Arial"/>
                <w:sz w:val="21"/>
              </w:rPr>
            </w:pPr>
          </w:p>
        </w:tc>
        <w:tc>
          <w:tcPr>
            <w:tcW w:w="218" w:type="dxa"/>
            <w:gridSpan w:val="2"/>
            <w:vMerge w:val="continue"/>
            <w:tcBorders>
              <w:top w:val="nil"/>
              <w:bottom w:val="nil"/>
              <w:right w:val="single" w:color="000000" w:sz="6" w:space="0"/>
            </w:tcBorders>
            <w:vAlign w:val="top"/>
          </w:tcPr>
          <w:p w14:paraId="43D7FFF5">
            <w:pPr>
              <w:rPr>
                <w:rFonts w:ascii="Arial"/>
                <w:sz w:val="21"/>
              </w:rPr>
            </w:pPr>
          </w:p>
        </w:tc>
      </w:tr>
      <w:tr w14:paraId="6A3948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505" w:type="dxa"/>
            <w:vMerge w:val="continue"/>
            <w:tcBorders>
              <w:top w:val="nil"/>
              <w:left w:val="single" w:color="000000" w:sz="6" w:space="0"/>
              <w:bottom w:val="nil"/>
            </w:tcBorders>
            <w:textDirection w:val="tbRlV"/>
            <w:vAlign w:val="top"/>
          </w:tcPr>
          <w:p w14:paraId="67960D6E">
            <w:pPr>
              <w:rPr>
                <w:rFonts w:ascii="Arial"/>
                <w:sz w:val="21"/>
              </w:rPr>
            </w:pPr>
          </w:p>
        </w:tc>
        <w:tc>
          <w:tcPr>
            <w:tcW w:w="209" w:type="dxa"/>
            <w:gridSpan w:val="2"/>
            <w:vMerge w:val="continue"/>
            <w:tcBorders>
              <w:top w:val="nil"/>
              <w:bottom w:val="nil"/>
            </w:tcBorders>
            <w:vAlign w:val="top"/>
          </w:tcPr>
          <w:p w14:paraId="1AA81786">
            <w:pPr>
              <w:rPr>
                <w:rFonts w:ascii="Arial"/>
                <w:sz w:val="21"/>
              </w:rPr>
            </w:pPr>
          </w:p>
        </w:tc>
        <w:tc>
          <w:tcPr>
            <w:tcW w:w="366" w:type="dxa"/>
            <w:vMerge w:val="continue"/>
            <w:tcBorders>
              <w:top w:val="nil"/>
              <w:bottom w:val="nil"/>
            </w:tcBorders>
            <w:vAlign w:val="top"/>
          </w:tcPr>
          <w:p w14:paraId="0F9A8AD8">
            <w:pPr>
              <w:rPr>
                <w:rFonts w:ascii="Arial"/>
                <w:sz w:val="21"/>
              </w:rPr>
            </w:pPr>
          </w:p>
        </w:tc>
        <w:tc>
          <w:tcPr>
            <w:tcW w:w="627" w:type="dxa"/>
            <w:vMerge w:val="continue"/>
            <w:tcBorders>
              <w:top w:val="nil"/>
              <w:bottom w:val="nil"/>
            </w:tcBorders>
            <w:vAlign w:val="top"/>
          </w:tcPr>
          <w:p w14:paraId="330ECA5C">
            <w:pPr>
              <w:rPr>
                <w:rFonts w:ascii="Arial"/>
                <w:sz w:val="21"/>
              </w:rPr>
            </w:pPr>
          </w:p>
        </w:tc>
        <w:tc>
          <w:tcPr>
            <w:tcW w:w="411" w:type="dxa"/>
            <w:gridSpan w:val="2"/>
            <w:vMerge w:val="restart"/>
            <w:tcBorders>
              <w:bottom w:val="nil"/>
            </w:tcBorders>
            <w:textDirection w:val="tbRlV"/>
            <w:vAlign w:val="top"/>
          </w:tcPr>
          <w:p w14:paraId="7B8AC748">
            <w:pPr>
              <w:pStyle w:val="9"/>
              <w:spacing w:before="104" w:line="216" w:lineRule="auto"/>
              <w:ind w:left="42"/>
              <w:outlineLvl w:val="2"/>
              <w:rPr>
                <w:sz w:val="20"/>
                <w:szCs w:val="20"/>
              </w:rPr>
            </w:pPr>
            <w:r>
              <w:rPr>
                <w:spacing w:val="8"/>
                <w:sz w:val="20"/>
                <w:szCs w:val="20"/>
              </w:rPr>
              <w:t>运</w:t>
            </w:r>
            <w:r>
              <w:rPr>
                <w:spacing w:val="-34"/>
                <w:sz w:val="20"/>
                <w:szCs w:val="20"/>
              </w:rPr>
              <w:t xml:space="preserve"> </w:t>
            </w:r>
            <w:r>
              <w:rPr>
                <w:spacing w:val="8"/>
                <w:sz w:val="20"/>
                <w:szCs w:val="20"/>
              </w:rPr>
              <w:t>营</w:t>
            </w:r>
            <w:r>
              <w:rPr>
                <w:spacing w:val="-38"/>
                <w:sz w:val="20"/>
                <w:szCs w:val="20"/>
              </w:rPr>
              <w:t xml:space="preserve"> </w:t>
            </w:r>
            <w:r>
              <w:rPr>
                <w:spacing w:val="8"/>
                <w:sz w:val="20"/>
                <w:szCs w:val="20"/>
              </w:rPr>
              <w:t>期</w:t>
            </w:r>
          </w:p>
        </w:tc>
        <w:tc>
          <w:tcPr>
            <w:tcW w:w="6334" w:type="dxa"/>
            <w:gridSpan w:val="4"/>
            <w:vAlign w:val="top"/>
          </w:tcPr>
          <w:p w14:paraId="57D7B76C">
            <w:pPr>
              <w:pStyle w:val="9"/>
              <w:spacing w:before="75" w:line="228" w:lineRule="auto"/>
              <w:ind w:left="493"/>
              <w:outlineLvl w:val="2"/>
              <w:rPr>
                <w:sz w:val="20"/>
                <w:szCs w:val="20"/>
              </w:rPr>
            </w:pPr>
            <w:r>
              <w:rPr>
                <w:rFonts w:ascii="Times New Roman" w:hAnsi="Times New Roman" w:eastAsia="Times New Roman" w:cs="Times New Roman"/>
                <w:spacing w:val="4"/>
                <w:sz w:val="20"/>
                <w:szCs w:val="20"/>
              </w:rPr>
              <w:t xml:space="preserve">1 </w:t>
            </w:r>
            <w:r>
              <w:rPr>
                <w:spacing w:val="4"/>
                <w:sz w:val="20"/>
                <w:szCs w:val="20"/>
              </w:rPr>
              <w:t>个</w:t>
            </w:r>
            <w:r>
              <w:rPr>
                <w:spacing w:val="-29"/>
                <w:sz w:val="20"/>
                <w:szCs w:val="20"/>
              </w:rPr>
              <w:t xml:space="preserve"> </w:t>
            </w:r>
            <w:r>
              <w:rPr>
                <w:rFonts w:ascii="Times New Roman" w:hAnsi="Times New Roman" w:eastAsia="Times New Roman" w:cs="Times New Roman"/>
                <w:spacing w:val="4"/>
                <w:sz w:val="20"/>
                <w:szCs w:val="20"/>
              </w:rPr>
              <w:t>5m</w:t>
            </w:r>
            <w:r>
              <w:rPr>
                <w:rFonts w:ascii="Times New Roman" w:hAnsi="Times New Roman" w:eastAsia="Times New Roman" w:cs="Times New Roman"/>
                <w:spacing w:val="4"/>
                <w:position w:val="6"/>
                <w:sz w:val="13"/>
                <w:szCs w:val="13"/>
              </w:rPr>
              <w:t>3</w:t>
            </w:r>
            <w:r>
              <w:rPr>
                <w:rFonts w:ascii="Times New Roman" w:hAnsi="Times New Roman" w:eastAsia="Times New Roman" w:cs="Times New Roman"/>
                <w:spacing w:val="25"/>
                <w:w w:val="103"/>
                <w:position w:val="6"/>
                <w:sz w:val="13"/>
                <w:szCs w:val="13"/>
              </w:rPr>
              <w:t xml:space="preserve"> </w:t>
            </w:r>
            <w:r>
              <w:rPr>
                <w:spacing w:val="4"/>
                <w:sz w:val="20"/>
                <w:szCs w:val="20"/>
              </w:rPr>
              <w:t>的化粪池（渗透系数</w:t>
            </w:r>
            <w:r>
              <w:rPr>
                <w:rFonts w:ascii="Times New Roman" w:hAnsi="Times New Roman" w:eastAsia="Times New Roman" w:cs="Times New Roman"/>
                <w:spacing w:val="4"/>
                <w:sz w:val="20"/>
                <w:szCs w:val="20"/>
              </w:rPr>
              <w:t>≤10</w:t>
            </w:r>
            <w:r>
              <w:rPr>
                <w:rFonts w:ascii="Times New Roman" w:hAnsi="Times New Roman" w:eastAsia="Times New Roman" w:cs="Times New Roman"/>
                <w:spacing w:val="4"/>
                <w:position w:val="6"/>
                <w:sz w:val="13"/>
                <w:szCs w:val="13"/>
              </w:rPr>
              <w:t>-7</w:t>
            </w:r>
            <w:r>
              <w:rPr>
                <w:rFonts w:ascii="Times New Roman" w:hAnsi="Times New Roman" w:eastAsia="Times New Roman" w:cs="Times New Roman"/>
                <w:sz w:val="20"/>
                <w:szCs w:val="20"/>
              </w:rPr>
              <w:t>cm</w:t>
            </w:r>
            <w:r>
              <w:rPr>
                <w:rFonts w:ascii="Times New Roman" w:hAnsi="Times New Roman" w:eastAsia="Times New Roman" w:cs="Times New Roman"/>
                <w:spacing w:val="4"/>
                <w:sz w:val="20"/>
                <w:szCs w:val="20"/>
              </w:rPr>
              <w:t>/s</w:t>
            </w:r>
            <w:r>
              <w:rPr>
                <w:spacing w:val="4"/>
                <w:sz w:val="20"/>
                <w:szCs w:val="20"/>
              </w:rPr>
              <w:t>）</w:t>
            </w:r>
          </w:p>
        </w:tc>
        <w:tc>
          <w:tcPr>
            <w:tcW w:w="894" w:type="dxa"/>
            <w:vAlign w:val="top"/>
          </w:tcPr>
          <w:p w14:paraId="212B68C6">
            <w:pPr>
              <w:spacing w:before="114" w:line="195" w:lineRule="auto"/>
              <w:ind w:left="403"/>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218" w:type="dxa"/>
            <w:gridSpan w:val="2"/>
            <w:vMerge w:val="continue"/>
            <w:tcBorders>
              <w:top w:val="nil"/>
              <w:bottom w:val="nil"/>
              <w:right w:val="single" w:color="000000" w:sz="6" w:space="0"/>
            </w:tcBorders>
            <w:vAlign w:val="top"/>
          </w:tcPr>
          <w:p w14:paraId="515904DE">
            <w:pPr>
              <w:rPr>
                <w:rFonts w:ascii="Arial"/>
                <w:sz w:val="21"/>
              </w:rPr>
            </w:pPr>
          </w:p>
        </w:tc>
      </w:tr>
      <w:tr w14:paraId="42E2FF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505" w:type="dxa"/>
            <w:vMerge w:val="continue"/>
            <w:tcBorders>
              <w:top w:val="nil"/>
              <w:left w:val="single" w:color="000000" w:sz="6" w:space="0"/>
              <w:bottom w:val="nil"/>
            </w:tcBorders>
            <w:textDirection w:val="tbRlV"/>
            <w:vAlign w:val="top"/>
          </w:tcPr>
          <w:p w14:paraId="6DBB775A">
            <w:pPr>
              <w:rPr>
                <w:rFonts w:ascii="Arial"/>
                <w:sz w:val="21"/>
              </w:rPr>
            </w:pPr>
          </w:p>
        </w:tc>
        <w:tc>
          <w:tcPr>
            <w:tcW w:w="209" w:type="dxa"/>
            <w:gridSpan w:val="2"/>
            <w:vMerge w:val="continue"/>
            <w:tcBorders>
              <w:top w:val="nil"/>
              <w:bottom w:val="nil"/>
            </w:tcBorders>
            <w:vAlign w:val="top"/>
          </w:tcPr>
          <w:p w14:paraId="445EB4C3">
            <w:pPr>
              <w:rPr>
                <w:rFonts w:ascii="Arial"/>
                <w:sz w:val="21"/>
              </w:rPr>
            </w:pPr>
          </w:p>
        </w:tc>
        <w:tc>
          <w:tcPr>
            <w:tcW w:w="366" w:type="dxa"/>
            <w:vMerge w:val="continue"/>
            <w:tcBorders>
              <w:top w:val="nil"/>
            </w:tcBorders>
            <w:vAlign w:val="top"/>
          </w:tcPr>
          <w:p w14:paraId="6EE040AC">
            <w:pPr>
              <w:rPr>
                <w:rFonts w:ascii="Arial"/>
                <w:sz w:val="21"/>
              </w:rPr>
            </w:pPr>
          </w:p>
        </w:tc>
        <w:tc>
          <w:tcPr>
            <w:tcW w:w="627" w:type="dxa"/>
            <w:vMerge w:val="continue"/>
            <w:tcBorders>
              <w:top w:val="nil"/>
            </w:tcBorders>
            <w:vAlign w:val="top"/>
          </w:tcPr>
          <w:p w14:paraId="509A392A">
            <w:pPr>
              <w:rPr>
                <w:rFonts w:ascii="Arial"/>
                <w:sz w:val="21"/>
              </w:rPr>
            </w:pPr>
          </w:p>
        </w:tc>
        <w:tc>
          <w:tcPr>
            <w:tcW w:w="411" w:type="dxa"/>
            <w:gridSpan w:val="2"/>
            <w:vMerge w:val="continue"/>
            <w:tcBorders>
              <w:top w:val="nil"/>
            </w:tcBorders>
            <w:textDirection w:val="tbRlV"/>
            <w:vAlign w:val="top"/>
          </w:tcPr>
          <w:p w14:paraId="4FC3AF87">
            <w:pPr>
              <w:rPr>
                <w:rFonts w:ascii="Arial"/>
                <w:sz w:val="21"/>
              </w:rPr>
            </w:pPr>
          </w:p>
        </w:tc>
        <w:tc>
          <w:tcPr>
            <w:tcW w:w="6334" w:type="dxa"/>
            <w:gridSpan w:val="4"/>
            <w:vAlign w:val="top"/>
          </w:tcPr>
          <w:p w14:paraId="290C2D37">
            <w:pPr>
              <w:pStyle w:val="9"/>
              <w:spacing w:before="141" w:line="229" w:lineRule="auto"/>
              <w:ind w:left="493"/>
              <w:outlineLvl w:val="2"/>
              <w:rPr>
                <w:sz w:val="20"/>
                <w:szCs w:val="20"/>
              </w:rPr>
            </w:pPr>
            <w:r>
              <w:rPr>
                <w:rFonts w:ascii="Times New Roman" w:hAnsi="Times New Roman" w:eastAsia="Times New Roman" w:cs="Times New Roman"/>
                <w:spacing w:val="6"/>
                <w:sz w:val="20"/>
                <w:szCs w:val="20"/>
              </w:rPr>
              <w:t xml:space="preserve">1 </w:t>
            </w:r>
            <w:r>
              <w:rPr>
                <w:spacing w:val="6"/>
                <w:sz w:val="20"/>
                <w:szCs w:val="20"/>
              </w:rPr>
              <w:t>座地埋式一体化设备</w:t>
            </w:r>
          </w:p>
        </w:tc>
        <w:tc>
          <w:tcPr>
            <w:tcW w:w="894" w:type="dxa"/>
            <w:vAlign w:val="top"/>
          </w:tcPr>
          <w:p w14:paraId="761DB960">
            <w:pPr>
              <w:spacing w:before="177" w:line="195" w:lineRule="auto"/>
              <w:ind w:left="412"/>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218" w:type="dxa"/>
            <w:gridSpan w:val="2"/>
            <w:vMerge w:val="continue"/>
            <w:tcBorders>
              <w:top w:val="nil"/>
              <w:bottom w:val="nil"/>
              <w:right w:val="single" w:color="000000" w:sz="6" w:space="0"/>
            </w:tcBorders>
            <w:vAlign w:val="top"/>
          </w:tcPr>
          <w:p w14:paraId="2976861D">
            <w:pPr>
              <w:rPr>
                <w:rFonts w:ascii="Arial"/>
                <w:sz w:val="21"/>
              </w:rPr>
            </w:pPr>
          </w:p>
        </w:tc>
      </w:tr>
      <w:tr w14:paraId="21D802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505" w:type="dxa"/>
            <w:vMerge w:val="continue"/>
            <w:tcBorders>
              <w:top w:val="nil"/>
              <w:left w:val="single" w:color="000000" w:sz="6" w:space="0"/>
              <w:bottom w:val="nil"/>
            </w:tcBorders>
            <w:textDirection w:val="tbRlV"/>
            <w:vAlign w:val="top"/>
          </w:tcPr>
          <w:p w14:paraId="285D781E">
            <w:pPr>
              <w:rPr>
                <w:rFonts w:ascii="Arial"/>
                <w:sz w:val="21"/>
              </w:rPr>
            </w:pPr>
          </w:p>
        </w:tc>
        <w:tc>
          <w:tcPr>
            <w:tcW w:w="209" w:type="dxa"/>
            <w:gridSpan w:val="2"/>
            <w:vMerge w:val="continue"/>
            <w:tcBorders>
              <w:top w:val="nil"/>
              <w:bottom w:val="nil"/>
            </w:tcBorders>
            <w:vAlign w:val="top"/>
          </w:tcPr>
          <w:p w14:paraId="0C08703E">
            <w:pPr>
              <w:rPr>
                <w:rFonts w:ascii="Arial"/>
                <w:sz w:val="21"/>
              </w:rPr>
            </w:pPr>
          </w:p>
        </w:tc>
        <w:tc>
          <w:tcPr>
            <w:tcW w:w="366" w:type="dxa"/>
            <w:vMerge w:val="restart"/>
            <w:tcBorders>
              <w:bottom w:val="nil"/>
            </w:tcBorders>
            <w:vAlign w:val="top"/>
          </w:tcPr>
          <w:p w14:paraId="4B1B8A05">
            <w:pPr>
              <w:spacing w:line="361" w:lineRule="auto"/>
              <w:rPr>
                <w:rFonts w:ascii="Arial"/>
                <w:sz w:val="21"/>
              </w:rPr>
            </w:pPr>
          </w:p>
          <w:p w14:paraId="375DEDDE">
            <w:pPr>
              <w:spacing w:before="57" w:line="195" w:lineRule="auto"/>
              <w:ind w:left="125"/>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627" w:type="dxa"/>
            <w:vMerge w:val="restart"/>
            <w:tcBorders>
              <w:bottom w:val="nil"/>
            </w:tcBorders>
            <w:vAlign w:val="top"/>
          </w:tcPr>
          <w:p w14:paraId="14F8E129">
            <w:pPr>
              <w:pStyle w:val="9"/>
              <w:spacing w:before="110" w:line="253" w:lineRule="auto"/>
              <w:ind w:left="105" w:right="108" w:hanging="2"/>
              <w:outlineLvl w:val="2"/>
              <w:rPr>
                <w:sz w:val="20"/>
                <w:szCs w:val="20"/>
              </w:rPr>
            </w:pPr>
            <w:r>
              <w:rPr>
                <w:spacing w:val="5"/>
                <w:sz w:val="20"/>
                <w:szCs w:val="20"/>
              </w:rPr>
              <w:t>废气</w:t>
            </w:r>
            <w:r>
              <w:rPr>
                <w:spacing w:val="3"/>
                <w:sz w:val="20"/>
                <w:szCs w:val="20"/>
              </w:rPr>
              <w:t>污染防治</w:t>
            </w:r>
          </w:p>
        </w:tc>
        <w:tc>
          <w:tcPr>
            <w:tcW w:w="411" w:type="dxa"/>
            <w:gridSpan w:val="2"/>
            <w:vMerge w:val="restart"/>
            <w:tcBorders>
              <w:bottom w:val="nil"/>
            </w:tcBorders>
            <w:textDirection w:val="tbRlV"/>
            <w:vAlign w:val="top"/>
          </w:tcPr>
          <w:p w14:paraId="5F8E932E">
            <w:pPr>
              <w:pStyle w:val="9"/>
              <w:spacing w:before="103" w:line="217" w:lineRule="auto"/>
              <w:ind w:left="111"/>
              <w:outlineLvl w:val="2"/>
              <w:rPr>
                <w:sz w:val="20"/>
                <w:szCs w:val="20"/>
              </w:rPr>
            </w:pPr>
            <w:r>
              <w:rPr>
                <w:spacing w:val="8"/>
                <w:sz w:val="20"/>
                <w:szCs w:val="20"/>
              </w:rPr>
              <w:t>施</w:t>
            </w:r>
            <w:r>
              <w:rPr>
                <w:spacing w:val="-34"/>
                <w:sz w:val="20"/>
                <w:szCs w:val="20"/>
              </w:rPr>
              <w:t xml:space="preserve"> </w:t>
            </w:r>
            <w:r>
              <w:rPr>
                <w:spacing w:val="8"/>
                <w:sz w:val="20"/>
                <w:szCs w:val="20"/>
              </w:rPr>
              <w:t>工</w:t>
            </w:r>
            <w:r>
              <w:rPr>
                <w:spacing w:val="-38"/>
                <w:sz w:val="20"/>
                <w:szCs w:val="20"/>
              </w:rPr>
              <w:t xml:space="preserve"> </w:t>
            </w:r>
            <w:r>
              <w:rPr>
                <w:spacing w:val="8"/>
                <w:sz w:val="20"/>
                <w:szCs w:val="20"/>
              </w:rPr>
              <w:t>期</w:t>
            </w:r>
          </w:p>
        </w:tc>
        <w:tc>
          <w:tcPr>
            <w:tcW w:w="6334" w:type="dxa"/>
            <w:gridSpan w:val="4"/>
            <w:vAlign w:val="top"/>
          </w:tcPr>
          <w:p w14:paraId="3969A22F">
            <w:pPr>
              <w:pStyle w:val="9"/>
              <w:spacing w:before="77" w:line="227" w:lineRule="auto"/>
              <w:ind w:left="476"/>
              <w:outlineLvl w:val="2"/>
              <w:rPr>
                <w:sz w:val="20"/>
                <w:szCs w:val="20"/>
              </w:rPr>
            </w:pPr>
            <w:r>
              <w:rPr>
                <w:spacing w:val="9"/>
                <w:sz w:val="20"/>
                <w:szCs w:val="20"/>
              </w:rPr>
              <w:t>粉尘遮盖苫布等防风措施</w:t>
            </w:r>
          </w:p>
        </w:tc>
        <w:tc>
          <w:tcPr>
            <w:tcW w:w="894" w:type="dxa"/>
            <w:vMerge w:val="restart"/>
            <w:tcBorders>
              <w:bottom w:val="nil"/>
            </w:tcBorders>
            <w:vAlign w:val="top"/>
          </w:tcPr>
          <w:p w14:paraId="7DEC4A0A">
            <w:pPr>
              <w:spacing w:line="361" w:lineRule="auto"/>
              <w:rPr>
                <w:rFonts w:ascii="Arial"/>
                <w:sz w:val="21"/>
              </w:rPr>
            </w:pPr>
          </w:p>
          <w:p w14:paraId="19AC8536">
            <w:pPr>
              <w:spacing w:before="57" w:line="195" w:lineRule="auto"/>
              <w:ind w:left="371"/>
              <w:outlineLvl w:val="2"/>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12</w:t>
            </w:r>
          </w:p>
        </w:tc>
        <w:tc>
          <w:tcPr>
            <w:tcW w:w="218" w:type="dxa"/>
            <w:gridSpan w:val="2"/>
            <w:vMerge w:val="continue"/>
            <w:tcBorders>
              <w:top w:val="nil"/>
              <w:bottom w:val="nil"/>
              <w:right w:val="single" w:color="000000" w:sz="6" w:space="0"/>
            </w:tcBorders>
            <w:vAlign w:val="top"/>
          </w:tcPr>
          <w:p w14:paraId="009DA06D">
            <w:pPr>
              <w:rPr>
                <w:rFonts w:ascii="Arial"/>
                <w:sz w:val="21"/>
              </w:rPr>
            </w:pPr>
          </w:p>
        </w:tc>
      </w:tr>
      <w:tr w14:paraId="29A641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0" w:hRule="atLeast"/>
        </w:trPr>
        <w:tc>
          <w:tcPr>
            <w:tcW w:w="505" w:type="dxa"/>
            <w:vMerge w:val="continue"/>
            <w:tcBorders>
              <w:top w:val="nil"/>
              <w:left w:val="single" w:color="000000" w:sz="6" w:space="0"/>
              <w:bottom w:val="nil"/>
            </w:tcBorders>
            <w:textDirection w:val="tbRlV"/>
            <w:vAlign w:val="top"/>
          </w:tcPr>
          <w:p w14:paraId="789BA9C4">
            <w:pPr>
              <w:rPr>
                <w:rFonts w:ascii="Arial"/>
                <w:sz w:val="21"/>
              </w:rPr>
            </w:pPr>
          </w:p>
        </w:tc>
        <w:tc>
          <w:tcPr>
            <w:tcW w:w="209" w:type="dxa"/>
            <w:gridSpan w:val="2"/>
            <w:vMerge w:val="continue"/>
            <w:tcBorders>
              <w:top w:val="nil"/>
              <w:bottom w:val="nil"/>
            </w:tcBorders>
            <w:vAlign w:val="top"/>
          </w:tcPr>
          <w:p w14:paraId="545BB121">
            <w:pPr>
              <w:rPr>
                <w:rFonts w:ascii="Arial"/>
                <w:sz w:val="21"/>
              </w:rPr>
            </w:pPr>
          </w:p>
        </w:tc>
        <w:tc>
          <w:tcPr>
            <w:tcW w:w="366" w:type="dxa"/>
            <w:vMerge w:val="continue"/>
            <w:tcBorders>
              <w:top w:val="nil"/>
              <w:bottom w:val="nil"/>
            </w:tcBorders>
            <w:vAlign w:val="top"/>
          </w:tcPr>
          <w:p w14:paraId="5128E02F">
            <w:pPr>
              <w:rPr>
                <w:rFonts w:ascii="Arial"/>
                <w:sz w:val="21"/>
              </w:rPr>
            </w:pPr>
          </w:p>
        </w:tc>
        <w:tc>
          <w:tcPr>
            <w:tcW w:w="627" w:type="dxa"/>
            <w:vMerge w:val="continue"/>
            <w:tcBorders>
              <w:top w:val="nil"/>
              <w:bottom w:val="nil"/>
            </w:tcBorders>
            <w:vAlign w:val="top"/>
          </w:tcPr>
          <w:p w14:paraId="558A471C">
            <w:pPr>
              <w:rPr>
                <w:rFonts w:ascii="Arial"/>
                <w:sz w:val="21"/>
              </w:rPr>
            </w:pPr>
          </w:p>
        </w:tc>
        <w:tc>
          <w:tcPr>
            <w:tcW w:w="411" w:type="dxa"/>
            <w:gridSpan w:val="2"/>
            <w:vMerge w:val="continue"/>
            <w:tcBorders>
              <w:top w:val="nil"/>
              <w:bottom w:val="nil"/>
            </w:tcBorders>
            <w:textDirection w:val="tbRlV"/>
            <w:vAlign w:val="top"/>
          </w:tcPr>
          <w:p w14:paraId="0E5DD55D">
            <w:pPr>
              <w:rPr>
                <w:rFonts w:ascii="Arial"/>
                <w:sz w:val="21"/>
              </w:rPr>
            </w:pPr>
          </w:p>
        </w:tc>
        <w:tc>
          <w:tcPr>
            <w:tcW w:w="6334" w:type="dxa"/>
            <w:gridSpan w:val="4"/>
            <w:vAlign w:val="top"/>
          </w:tcPr>
          <w:p w14:paraId="42EB2C53">
            <w:pPr>
              <w:pStyle w:val="9"/>
              <w:spacing w:before="45" w:line="207" w:lineRule="auto"/>
              <w:ind w:left="480"/>
              <w:outlineLvl w:val="2"/>
              <w:rPr>
                <w:sz w:val="20"/>
                <w:szCs w:val="20"/>
              </w:rPr>
            </w:pPr>
            <w:r>
              <w:rPr>
                <w:spacing w:val="8"/>
                <w:sz w:val="20"/>
                <w:szCs w:val="20"/>
              </w:rPr>
              <w:t>混凝土料场挡墙</w:t>
            </w:r>
          </w:p>
        </w:tc>
        <w:tc>
          <w:tcPr>
            <w:tcW w:w="894" w:type="dxa"/>
            <w:vMerge w:val="continue"/>
            <w:tcBorders>
              <w:top w:val="nil"/>
              <w:bottom w:val="nil"/>
            </w:tcBorders>
            <w:vAlign w:val="top"/>
          </w:tcPr>
          <w:p w14:paraId="2200EEB7">
            <w:pPr>
              <w:rPr>
                <w:rFonts w:ascii="Arial"/>
                <w:sz w:val="21"/>
              </w:rPr>
            </w:pPr>
          </w:p>
        </w:tc>
        <w:tc>
          <w:tcPr>
            <w:tcW w:w="218" w:type="dxa"/>
            <w:gridSpan w:val="2"/>
            <w:vMerge w:val="continue"/>
            <w:tcBorders>
              <w:top w:val="nil"/>
              <w:bottom w:val="nil"/>
              <w:right w:val="single" w:color="000000" w:sz="6" w:space="0"/>
            </w:tcBorders>
            <w:vAlign w:val="top"/>
          </w:tcPr>
          <w:p w14:paraId="41BEFF78">
            <w:pPr>
              <w:rPr>
                <w:rFonts w:ascii="Arial"/>
                <w:sz w:val="21"/>
              </w:rPr>
            </w:pPr>
          </w:p>
        </w:tc>
      </w:tr>
      <w:tr w14:paraId="7E131F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505" w:type="dxa"/>
            <w:vMerge w:val="continue"/>
            <w:tcBorders>
              <w:top w:val="nil"/>
              <w:left w:val="single" w:color="000000" w:sz="6" w:space="0"/>
              <w:bottom w:val="nil"/>
            </w:tcBorders>
            <w:textDirection w:val="tbRlV"/>
            <w:vAlign w:val="top"/>
          </w:tcPr>
          <w:p w14:paraId="0C86EB46">
            <w:pPr>
              <w:rPr>
                <w:rFonts w:ascii="Arial"/>
                <w:sz w:val="21"/>
              </w:rPr>
            </w:pPr>
          </w:p>
        </w:tc>
        <w:tc>
          <w:tcPr>
            <w:tcW w:w="209" w:type="dxa"/>
            <w:gridSpan w:val="2"/>
            <w:vMerge w:val="continue"/>
            <w:tcBorders>
              <w:top w:val="nil"/>
              <w:bottom w:val="nil"/>
            </w:tcBorders>
            <w:vAlign w:val="top"/>
          </w:tcPr>
          <w:p w14:paraId="5C6C1617">
            <w:pPr>
              <w:rPr>
                <w:rFonts w:ascii="Arial"/>
                <w:sz w:val="21"/>
              </w:rPr>
            </w:pPr>
          </w:p>
        </w:tc>
        <w:tc>
          <w:tcPr>
            <w:tcW w:w="366" w:type="dxa"/>
            <w:vMerge w:val="continue"/>
            <w:tcBorders>
              <w:top w:val="nil"/>
            </w:tcBorders>
            <w:vAlign w:val="top"/>
          </w:tcPr>
          <w:p w14:paraId="2D338F20">
            <w:pPr>
              <w:rPr>
                <w:rFonts w:ascii="Arial"/>
                <w:sz w:val="21"/>
              </w:rPr>
            </w:pPr>
          </w:p>
        </w:tc>
        <w:tc>
          <w:tcPr>
            <w:tcW w:w="627" w:type="dxa"/>
            <w:vMerge w:val="continue"/>
            <w:tcBorders>
              <w:top w:val="nil"/>
            </w:tcBorders>
            <w:vAlign w:val="top"/>
          </w:tcPr>
          <w:p w14:paraId="13917ED1">
            <w:pPr>
              <w:rPr>
                <w:rFonts w:ascii="Arial"/>
                <w:sz w:val="21"/>
              </w:rPr>
            </w:pPr>
          </w:p>
        </w:tc>
        <w:tc>
          <w:tcPr>
            <w:tcW w:w="411" w:type="dxa"/>
            <w:gridSpan w:val="2"/>
            <w:vMerge w:val="continue"/>
            <w:tcBorders>
              <w:top w:val="nil"/>
            </w:tcBorders>
            <w:textDirection w:val="tbRlV"/>
            <w:vAlign w:val="top"/>
          </w:tcPr>
          <w:p w14:paraId="6B6004AD">
            <w:pPr>
              <w:rPr>
                <w:rFonts w:ascii="Arial"/>
                <w:sz w:val="21"/>
              </w:rPr>
            </w:pPr>
          </w:p>
        </w:tc>
        <w:tc>
          <w:tcPr>
            <w:tcW w:w="6334" w:type="dxa"/>
            <w:gridSpan w:val="4"/>
            <w:vAlign w:val="top"/>
          </w:tcPr>
          <w:p w14:paraId="3F7A6986">
            <w:pPr>
              <w:pStyle w:val="9"/>
              <w:spacing w:before="67" w:line="228" w:lineRule="auto"/>
              <w:ind w:left="493"/>
              <w:outlineLvl w:val="2"/>
              <w:rPr>
                <w:sz w:val="20"/>
                <w:szCs w:val="20"/>
              </w:rPr>
            </w:pPr>
            <w:r>
              <w:rPr>
                <w:rFonts w:ascii="Times New Roman" w:hAnsi="Times New Roman" w:eastAsia="Times New Roman" w:cs="Times New Roman"/>
                <w:spacing w:val="3"/>
                <w:sz w:val="20"/>
                <w:szCs w:val="20"/>
              </w:rPr>
              <w:t xml:space="preserve">1 </w:t>
            </w:r>
            <w:r>
              <w:rPr>
                <w:spacing w:val="3"/>
                <w:sz w:val="20"/>
                <w:szCs w:val="20"/>
              </w:rPr>
              <w:t>辆洒水车</w:t>
            </w:r>
          </w:p>
        </w:tc>
        <w:tc>
          <w:tcPr>
            <w:tcW w:w="894" w:type="dxa"/>
            <w:vMerge w:val="continue"/>
            <w:tcBorders>
              <w:top w:val="nil"/>
            </w:tcBorders>
            <w:vAlign w:val="top"/>
          </w:tcPr>
          <w:p w14:paraId="08FBC2C6">
            <w:pPr>
              <w:rPr>
                <w:rFonts w:ascii="Arial"/>
                <w:sz w:val="21"/>
              </w:rPr>
            </w:pPr>
          </w:p>
        </w:tc>
        <w:tc>
          <w:tcPr>
            <w:tcW w:w="218" w:type="dxa"/>
            <w:gridSpan w:val="2"/>
            <w:vMerge w:val="continue"/>
            <w:tcBorders>
              <w:top w:val="nil"/>
              <w:bottom w:val="nil"/>
              <w:right w:val="single" w:color="000000" w:sz="6" w:space="0"/>
            </w:tcBorders>
            <w:vAlign w:val="top"/>
          </w:tcPr>
          <w:p w14:paraId="3F823D74">
            <w:pPr>
              <w:rPr>
                <w:rFonts w:ascii="Arial"/>
                <w:sz w:val="21"/>
              </w:rPr>
            </w:pPr>
          </w:p>
        </w:tc>
      </w:tr>
      <w:tr w14:paraId="10BFD5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505" w:type="dxa"/>
            <w:vMerge w:val="continue"/>
            <w:tcBorders>
              <w:top w:val="nil"/>
              <w:left w:val="single" w:color="000000" w:sz="6" w:space="0"/>
              <w:bottom w:val="nil"/>
            </w:tcBorders>
            <w:textDirection w:val="tbRlV"/>
            <w:vAlign w:val="top"/>
          </w:tcPr>
          <w:p w14:paraId="1D974E40">
            <w:pPr>
              <w:rPr>
                <w:rFonts w:ascii="Arial"/>
                <w:sz w:val="21"/>
              </w:rPr>
            </w:pPr>
          </w:p>
        </w:tc>
        <w:tc>
          <w:tcPr>
            <w:tcW w:w="209" w:type="dxa"/>
            <w:gridSpan w:val="2"/>
            <w:vMerge w:val="continue"/>
            <w:tcBorders>
              <w:top w:val="nil"/>
              <w:bottom w:val="nil"/>
            </w:tcBorders>
            <w:vAlign w:val="top"/>
          </w:tcPr>
          <w:p w14:paraId="3505AF9C">
            <w:pPr>
              <w:rPr>
                <w:rFonts w:ascii="Arial"/>
                <w:sz w:val="21"/>
              </w:rPr>
            </w:pPr>
          </w:p>
        </w:tc>
        <w:tc>
          <w:tcPr>
            <w:tcW w:w="366" w:type="dxa"/>
            <w:vMerge w:val="restart"/>
            <w:tcBorders>
              <w:bottom w:val="nil"/>
            </w:tcBorders>
            <w:vAlign w:val="top"/>
          </w:tcPr>
          <w:p w14:paraId="4C054BC6">
            <w:pPr>
              <w:spacing w:line="467" w:lineRule="auto"/>
              <w:rPr>
                <w:rFonts w:ascii="Arial"/>
                <w:sz w:val="21"/>
              </w:rPr>
            </w:pPr>
          </w:p>
          <w:p w14:paraId="790B5D5B">
            <w:pPr>
              <w:spacing w:before="57" w:line="195" w:lineRule="auto"/>
              <w:ind w:left="129"/>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627" w:type="dxa"/>
            <w:vMerge w:val="restart"/>
            <w:tcBorders>
              <w:bottom w:val="nil"/>
            </w:tcBorders>
            <w:vAlign w:val="top"/>
          </w:tcPr>
          <w:p w14:paraId="2CDB7AB5">
            <w:pPr>
              <w:pStyle w:val="9"/>
              <w:spacing w:before="221" w:line="250" w:lineRule="auto"/>
              <w:ind w:left="106" w:right="108" w:firstLine="16"/>
              <w:outlineLvl w:val="2"/>
              <w:rPr>
                <w:sz w:val="20"/>
                <w:szCs w:val="20"/>
              </w:rPr>
            </w:pPr>
            <w:r>
              <w:rPr>
                <w:spacing w:val="-5"/>
                <w:sz w:val="20"/>
                <w:szCs w:val="20"/>
              </w:rPr>
              <w:t>固废</w:t>
            </w:r>
            <w:r>
              <w:rPr>
                <w:spacing w:val="3"/>
                <w:sz w:val="20"/>
                <w:szCs w:val="20"/>
              </w:rPr>
              <w:t>污染</w:t>
            </w:r>
          </w:p>
          <w:p w14:paraId="7FD25C37">
            <w:pPr>
              <w:pStyle w:val="9"/>
              <w:spacing w:line="228" w:lineRule="auto"/>
              <w:ind w:left="117"/>
              <w:rPr>
                <w:sz w:val="20"/>
                <w:szCs w:val="20"/>
              </w:rPr>
            </w:pPr>
            <w:r>
              <w:rPr>
                <w:spacing w:val="-2"/>
                <w:sz w:val="20"/>
                <w:szCs w:val="20"/>
              </w:rPr>
              <w:t>防治</w:t>
            </w:r>
          </w:p>
        </w:tc>
        <w:tc>
          <w:tcPr>
            <w:tcW w:w="411" w:type="dxa"/>
            <w:gridSpan w:val="2"/>
            <w:textDirection w:val="tbRlV"/>
            <w:vAlign w:val="top"/>
          </w:tcPr>
          <w:p w14:paraId="005C89A9">
            <w:pPr>
              <w:pStyle w:val="9"/>
              <w:spacing w:before="103" w:line="217" w:lineRule="auto"/>
              <w:ind w:left="45"/>
              <w:outlineLvl w:val="2"/>
              <w:rPr>
                <w:sz w:val="20"/>
                <w:szCs w:val="20"/>
              </w:rPr>
            </w:pPr>
            <w:r>
              <w:rPr>
                <w:spacing w:val="8"/>
                <w:sz w:val="20"/>
                <w:szCs w:val="20"/>
              </w:rPr>
              <w:t>施</w:t>
            </w:r>
            <w:r>
              <w:rPr>
                <w:spacing w:val="-37"/>
                <w:sz w:val="20"/>
                <w:szCs w:val="20"/>
              </w:rPr>
              <w:t xml:space="preserve"> </w:t>
            </w:r>
            <w:r>
              <w:rPr>
                <w:spacing w:val="8"/>
                <w:sz w:val="20"/>
                <w:szCs w:val="20"/>
              </w:rPr>
              <w:t>工</w:t>
            </w:r>
            <w:r>
              <w:rPr>
                <w:spacing w:val="-35"/>
                <w:sz w:val="20"/>
                <w:szCs w:val="20"/>
              </w:rPr>
              <w:t xml:space="preserve"> </w:t>
            </w:r>
            <w:r>
              <w:rPr>
                <w:spacing w:val="8"/>
                <w:sz w:val="20"/>
                <w:szCs w:val="20"/>
              </w:rPr>
              <w:t>期</w:t>
            </w:r>
          </w:p>
        </w:tc>
        <w:tc>
          <w:tcPr>
            <w:tcW w:w="6334" w:type="dxa"/>
            <w:gridSpan w:val="4"/>
            <w:vAlign w:val="top"/>
          </w:tcPr>
          <w:p w14:paraId="0E456F21">
            <w:pPr>
              <w:spacing w:line="249" w:lineRule="auto"/>
              <w:rPr>
                <w:rFonts w:ascii="Arial"/>
                <w:sz w:val="21"/>
              </w:rPr>
            </w:pPr>
          </w:p>
          <w:p w14:paraId="20DA5643">
            <w:pPr>
              <w:pStyle w:val="9"/>
              <w:spacing w:before="65" w:line="228" w:lineRule="auto"/>
              <w:ind w:left="493"/>
              <w:outlineLvl w:val="2"/>
              <w:rPr>
                <w:sz w:val="20"/>
                <w:szCs w:val="20"/>
              </w:rPr>
            </w:pPr>
            <w:r>
              <w:rPr>
                <w:rFonts w:ascii="Times New Roman" w:hAnsi="Times New Roman" w:eastAsia="Times New Roman" w:cs="Times New Roman"/>
                <w:spacing w:val="5"/>
                <w:sz w:val="20"/>
                <w:szCs w:val="20"/>
              </w:rPr>
              <w:t xml:space="preserve">1 </w:t>
            </w:r>
            <w:r>
              <w:rPr>
                <w:spacing w:val="5"/>
                <w:sz w:val="20"/>
                <w:szCs w:val="20"/>
              </w:rPr>
              <w:t>个生活垃圾收集箱</w:t>
            </w:r>
          </w:p>
        </w:tc>
        <w:tc>
          <w:tcPr>
            <w:tcW w:w="894" w:type="dxa"/>
            <w:vAlign w:val="top"/>
          </w:tcPr>
          <w:p w14:paraId="12D2EE0F">
            <w:pPr>
              <w:spacing w:line="293" w:lineRule="auto"/>
              <w:rPr>
                <w:rFonts w:ascii="Arial"/>
                <w:sz w:val="21"/>
              </w:rPr>
            </w:pPr>
          </w:p>
          <w:p w14:paraId="3C35BCB7">
            <w:pPr>
              <w:spacing w:before="57" w:line="195" w:lineRule="auto"/>
              <w:ind w:left="327"/>
              <w:outlineLvl w:val="2"/>
              <w:rPr>
                <w:rFonts w:ascii="Times New Roman" w:hAnsi="Times New Roman" w:eastAsia="Times New Roman" w:cs="Times New Roman"/>
                <w:sz w:val="20"/>
                <w:szCs w:val="20"/>
              </w:rPr>
            </w:pPr>
            <w:r>
              <w:rPr>
                <w:rFonts w:ascii="Times New Roman" w:hAnsi="Times New Roman" w:eastAsia="Times New Roman" w:cs="Times New Roman"/>
                <w:sz w:val="20"/>
                <w:szCs w:val="20"/>
              </w:rPr>
              <w:t>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z w:val="20"/>
                <w:szCs w:val="20"/>
              </w:rPr>
              <w:t>1</w:t>
            </w:r>
          </w:p>
        </w:tc>
        <w:tc>
          <w:tcPr>
            <w:tcW w:w="218" w:type="dxa"/>
            <w:gridSpan w:val="2"/>
            <w:vMerge w:val="continue"/>
            <w:tcBorders>
              <w:top w:val="nil"/>
              <w:bottom w:val="nil"/>
              <w:right w:val="single" w:color="000000" w:sz="6" w:space="0"/>
            </w:tcBorders>
            <w:vAlign w:val="top"/>
          </w:tcPr>
          <w:p w14:paraId="7462C0DC">
            <w:pPr>
              <w:rPr>
                <w:rFonts w:ascii="Arial"/>
                <w:sz w:val="21"/>
              </w:rPr>
            </w:pPr>
          </w:p>
        </w:tc>
      </w:tr>
      <w:tr w14:paraId="261BF8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505" w:type="dxa"/>
            <w:vMerge w:val="continue"/>
            <w:tcBorders>
              <w:top w:val="nil"/>
              <w:left w:val="single" w:color="000000" w:sz="6" w:space="0"/>
              <w:bottom w:val="single" w:color="000000" w:sz="6" w:space="0"/>
            </w:tcBorders>
            <w:textDirection w:val="tbRlV"/>
            <w:vAlign w:val="top"/>
          </w:tcPr>
          <w:p w14:paraId="4B21ACE8">
            <w:pPr>
              <w:rPr>
                <w:rFonts w:ascii="Arial"/>
                <w:sz w:val="21"/>
              </w:rPr>
            </w:pPr>
          </w:p>
        </w:tc>
        <w:tc>
          <w:tcPr>
            <w:tcW w:w="209" w:type="dxa"/>
            <w:gridSpan w:val="2"/>
            <w:vMerge w:val="continue"/>
            <w:tcBorders>
              <w:top w:val="nil"/>
              <w:bottom w:val="single" w:color="000000" w:sz="6" w:space="0"/>
            </w:tcBorders>
            <w:vAlign w:val="top"/>
          </w:tcPr>
          <w:p w14:paraId="0BA4CE81">
            <w:pPr>
              <w:rPr>
                <w:rFonts w:ascii="Arial"/>
                <w:sz w:val="21"/>
              </w:rPr>
            </w:pPr>
          </w:p>
        </w:tc>
        <w:tc>
          <w:tcPr>
            <w:tcW w:w="366" w:type="dxa"/>
            <w:vMerge w:val="continue"/>
            <w:tcBorders>
              <w:top w:val="nil"/>
              <w:bottom w:val="single" w:color="000000" w:sz="6" w:space="0"/>
            </w:tcBorders>
            <w:vAlign w:val="top"/>
          </w:tcPr>
          <w:p w14:paraId="3733EA57">
            <w:pPr>
              <w:rPr>
                <w:rFonts w:ascii="Arial"/>
                <w:sz w:val="21"/>
              </w:rPr>
            </w:pPr>
          </w:p>
        </w:tc>
        <w:tc>
          <w:tcPr>
            <w:tcW w:w="627" w:type="dxa"/>
            <w:vMerge w:val="continue"/>
            <w:tcBorders>
              <w:top w:val="nil"/>
              <w:bottom w:val="single" w:color="000000" w:sz="6" w:space="0"/>
            </w:tcBorders>
            <w:vAlign w:val="top"/>
          </w:tcPr>
          <w:p w14:paraId="4C9DA730">
            <w:pPr>
              <w:rPr>
                <w:rFonts w:ascii="Arial"/>
                <w:sz w:val="21"/>
              </w:rPr>
            </w:pPr>
          </w:p>
        </w:tc>
        <w:tc>
          <w:tcPr>
            <w:tcW w:w="411" w:type="dxa"/>
            <w:gridSpan w:val="2"/>
            <w:tcBorders>
              <w:bottom w:val="single" w:color="000000" w:sz="6" w:space="0"/>
            </w:tcBorders>
            <w:vAlign w:val="top"/>
          </w:tcPr>
          <w:p w14:paraId="66536B45">
            <w:pPr>
              <w:pStyle w:val="9"/>
              <w:spacing w:before="78" w:line="237" w:lineRule="auto"/>
              <w:ind w:left="101"/>
              <w:rPr>
                <w:sz w:val="20"/>
                <w:szCs w:val="20"/>
              </w:rPr>
            </w:pPr>
            <w:r>
              <w:rPr>
                <w:sz w:val="20"/>
                <w:szCs w:val="20"/>
              </w:rPr>
              <w:t>运</w:t>
            </w:r>
          </w:p>
        </w:tc>
        <w:tc>
          <w:tcPr>
            <w:tcW w:w="6334" w:type="dxa"/>
            <w:gridSpan w:val="4"/>
            <w:tcBorders>
              <w:bottom w:val="single" w:color="000000" w:sz="6" w:space="0"/>
            </w:tcBorders>
            <w:vAlign w:val="top"/>
          </w:tcPr>
          <w:p w14:paraId="695EDFE0">
            <w:pPr>
              <w:pStyle w:val="9"/>
              <w:spacing w:before="78" w:line="228" w:lineRule="auto"/>
              <w:ind w:left="477"/>
              <w:outlineLvl w:val="2"/>
              <w:rPr>
                <w:sz w:val="20"/>
                <w:szCs w:val="20"/>
              </w:rPr>
            </w:pPr>
            <w:r>
              <w:rPr>
                <w:rFonts w:ascii="Times New Roman" w:hAnsi="Times New Roman" w:eastAsia="Times New Roman" w:cs="Times New Roman"/>
                <w:spacing w:val="6"/>
                <w:sz w:val="20"/>
                <w:szCs w:val="20"/>
              </w:rPr>
              <w:t xml:space="preserve">3 </w:t>
            </w:r>
            <w:r>
              <w:rPr>
                <w:spacing w:val="6"/>
                <w:sz w:val="20"/>
                <w:szCs w:val="20"/>
              </w:rPr>
              <w:t>个生活垃圾桶</w:t>
            </w:r>
          </w:p>
        </w:tc>
        <w:tc>
          <w:tcPr>
            <w:tcW w:w="894" w:type="dxa"/>
            <w:tcBorders>
              <w:bottom w:val="single" w:color="000000" w:sz="6" w:space="0"/>
            </w:tcBorders>
            <w:vAlign w:val="top"/>
          </w:tcPr>
          <w:p w14:paraId="3343264B">
            <w:pPr>
              <w:spacing w:before="116" w:line="195" w:lineRule="auto"/>
              <w:ind w:left="350"/>
              <w:outlineLvl w:val="2"/>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25</w:t>
            </w:r>
          </w:p>
        </w:tc>
        <w:tc>
          <w:tcPr>
            <w:tcW w:w="218" w:type="dxa"/>
            <w:gridSpan w:val="2"/>
            <w:vMerge w:val="continue"/>
            <w:tcBorders>
              <w:top w:val="nil"/>
              <w:bottom w:val="single" w:color="000000" w:sz="6" w:space="0"/>
              <w:right w:val="single" w:color="000000" w:sz="6" w:space="0"/>
            </w:tcBorders>
            <w:vAlign w:val="top"/>
          </w:tcPr>
          <w:p w14:paraId="605CFCC9">
            <w:pPr>
              <w:rPr>
                <w:rFonts w:ascii="Arial"/>
                <w:sz w:val="21"/>
              </w:rPr>
            </w:pPr>
          </w:p>
        </w:tc>
      </w:tr>
    </w:tbl>
    <w:p w14:paraId="2998032C">
      <w:pPr>
        <w:pStyle w:val="3"/>
      </w:pPr>
    </w:p>
    <w:p w14:paraId="7AA2E4C8">
      <w:pPr>
        <w:sectPr>
          <w:footerReference r:id="rId87" w:type="default"/>
          <w:pgSz w:w="11907" w:h="16840"/>
          <w:pgMar w:top="1431" w:right="1164" w:bottom="1295" w:left="1163" w:header="0" w:footer="1133" w:gutter="0"/>
          <w:cols w:space="720" w:num="1"/>
        </w:sectPr>
      </w:pPr>
    </w:p>
    <w:p w14:paraId="5235A327">
      <w:pPr>
        <w:spacing w:line="89" w:lineRule="auto"/>
        <w:rPr>
          <w:rFonts w:ascii="Arial"/>
          <w:sz w:val="2"/>
        </w:rPr>
      </w:pPr>
      <w:r>
        <w:pict>
          <v:shape id="_x0000_s1047" o:spid="_x0000_s1047" style="position:absolute;left:0pt;margin-left:93.65pt;margin-top:650.7pt;height:0.5pt;width:432.8pt;mso-position-horizontal-relative:page;mso-position-vertical-relative:page;z-index:-251630592;mso-width-relative:page;mso-height-relative:page;" filled="f" stroked="t" coordsize="8656,10" o:allowincell="f" path="m0,4l8655,4e">
            <v:fill on="f" focussize="0,0"/>
            <v:stroke weight="0.48pt" color="#000000" miterlimit="2" joinstyle="bevel"/>
            <v:imagedata o:title=""/>
            <o:lock v:ext="edit"/>
          </v:shape>
        </w:pict>
      </w:r>
    </w:p>
    <w:tbl>
      <w:tblPr>
        <w:tblStyle w:val="8"/>
        <w:tblW w:w="95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5"/>
        <w:gridCol w:w="209"/>
        <w:gridCol w:w="366"/>
        <w:gridCol w:w="627"/>
        <w:gridCol w:w="410"/>
        <w:gridCol w:w="6335"/>
        <w:gridCol w:w="894"/>
        <w:gridCol w:w="218"/>
      </w:tblGrid>
      <w:tr w14:paraId="4522BF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45" w:hRule="atLeast"/>
        </w:trPr>
        <w:tc>
          <w:tcPr>
            <w:tcW w:w="505" w:type="dxa"/>
            <w:vMerge w:val="restart"/>
            <w:tcBorders>
              <w:top w:val="single" w:color="000000" w:sz="6" w:space="0"/>
              <w:left w:val="single" w:color="000000" w:sz="6" w:space="0"/>
              <w:bottom w:val="nil"/>
            </w:tcBorders>
            <w:vAlign w:val="top"/>
          </w:tcPr>
          <w:p w14:paraId="279EB720">
            <w:pPr>
              <w:rPr>
                <w:rFonts w:ascii="Arial"/>
                <w:sz w:val="21"/>
              </w:rPr>
            </w:pPr>
          </w:p>
        </w:tc>
        <w:tc>
          <w:tcPr>
            <w:tcW w:w="209" w:type="dxa"/>
            <w:vMerge w:val="restart"/>
            <w:tcBorders>
              <w:top w:val="single" w:color="000000" w:sz="6" w:space="0"/>
              <w:bottom w:val="nil"/>
            </w:tcBorders>
            <w:vAlign w:val="top"/>
          </w:tcPr>
          <w:p w14:paraId="3032CB92">
            <w:pPr>
              <w:rPr>
                <w:rFonts w:ascii="Arial"/>
                <w:sz w:val="21"/>
              </w:rPr>
            </w:pPr>
          </w:p>
        </w:tc>
        <w:tc>
          <w:tcPr>
            <w:tcW w:w="366" w:type="dxa"/>
            <w:tcBorders>
              <w:top w:val="single" w:color="000000" w:sz="6" w:space="0"/>
            </w:tcBorders>
            <w:vAlign w:val="top"/>
          </w:tcPr>
          <w:p w14:paraId="43487CAE">
            <w:pPr>
              <w:rPr>
                <w:rFonts w:ascii="Arial"/>
                <w:sz w:val="21"/>
              </w:rPr>
            </w:pPr>
          </w:p>
        </w:tc>
        <w:tc>
          <w:tcPr>
            <w:tcW w:w="627" w:type="dxa"/>
            <w:tcBorders>
              <w:top w:val="single" w:color="000000" w:sz="6" w:space="0"/>
            </w:tcBorders>
            <w:vAlign w:val="top"/>
          </w:tcPr>
          <w:p w14:paraId="2A40CFF1">
            <w:pPr>
              <w:rPr>
                <w:rFonts w:ascii="Arial"/>
                <w:sz w:val="21"/>
              </w:rPr>
            </w:pPr>
          </w:p>
        </w:tc>
        <w:tc>
          <w:tcPr>
            <w:tcW w:w="410" w:type="dxa"/>
            <w:tcBorders>
              <w:top w:val="single" w:color="000000" w:sz="6" w:space="0"/>
            </w:tcBorders>
            <w:textDirection w:val="tbRlV"/>
            <w:vAlign w:val="top"/>
          </w:tcPr>
          <w:p w14:paraId="4B0A72E3">
            <w:pPr>
              <w:pStyle w:val="9"/>
              <w:spacing w:before="102" w:line="214" w:lineRule="auto"/>
              <w:ind w:left="36"/>
              <w:rPr>
                <w:sz w:val="20"/>
                <w:szCs w:val="20"/>
              </w:rPr>
            </w:pPr>
            <w:r>
              <w:rPr>
                <w:spacing w:val="8"/>
                <w:sz w:val="20"/>
                <w:szCs w:val="20"/>
              </w:rPr>
              <w:t>营</w:t>
            </w:r>
            <w:r>
              <w:rPr>
                <w:spacing w:val="-38"/>
                <w:sz w:val="20"/>
                <w:szCs w:val="20"/>
              </w:rPr>
              <w:t xml:space="preserve"> </w:t>
            </w:r>
            <w:r>
              <w:rPr>
                <w:spacing w:val="8"/>
                <w:sz w:val="20"/>
                <w:szCs w:val="20"/>
              </w:rPr>
              <w:t>期</w:t>
            </w:r>
          </w:p>
        </w:tc>
        <w:tc>
          <w:tcPr>
            <w:tcW w:w="6335" w:type="dxa"/>
            <w:tcBorders>
              <w:top w:val="single" w:color="000000" w:sz="6" w:space="0"/>
            </w:tcBorders>
            <w:vAlign w:val="top"/>
          </w:tcPr>
          <w:p w14:paraId="000A1B06">
            <w:pPr>
              <w:pStyle w:val="9"/>
              <w:spacing w:before="36" w:line="227" w:lineRule="auto"/>
              <w:ind w:left="481"/>
              <w:outlineLvl w:val="2"/>
              <w:rPr>
                <w:sz w:val="20"/>
                <w:szCs w:val="20"/>
              </w:rPr>
            </w:pPr>
            <w:r>
              <w:rPr>
                <w:spacing w:val="19"/>
                <w:sz w:val="20"/>
                <w:szCs w:val="20"/>
              </w:rPr>
              <w:t xml:space="preserve">建设 </w:t>
            </w:r>
            <w:r>
              <w:rPr>
                <w:rFonts w:ascii="Times New Roman" w:hAnsi="Times New Roman" w:eastAsia="Times New Roman" w:cs="Times New Roman"/>
                <w:spacing w:val="19"/>
                <w:sz w:val="20"/>
                <w:szCs w:val="20"/>
              </w:rPr>
              <w:t>1</w:t>
            </w:r>
            <w:r>
              <w:rPr>
                <w:rFonts w:ascii="Times New Roman" w:hAnsi="Times New Roman" w:eastAsia="Times New Roman" w:cs="Times New Roman"/>
                <w:spacing w:val="48"/>
                <w:w w:val="101"/>
                <w:sz w:val="20"/>
                <w:szCs w:val="20"/>
              </w:rPr>
              <w:t xml:space="preserve"> </w:t>
            </w:r>
            <w:r>
              <w:rPr>
                <w:spacing w:val="19"/>
                <w:sz w:val="20"/>
                <w:szCs w:val="20"/>
              </w:rPr>
              <w:t>座</w:t>
            </w:r>
            <w:r>
              <w:rPr>
                <w:spacing w:val="-17"/>
                <w:sz w:val="20"/>
                <w:szCs w:val="20"/>
              </w:rPr>
              <w:t xml:space="preserve"> </w:t>
            </w:r>
            <w:r>
              <w:rPr>
                <w:rFonts w:ascii="Times New Roman" w:hAnsi="Times New Roman" w:eastAsia="Times New Roman" w:cs="Times New Roman"/>
                <w:spacing w:val="19"/>
                <w:sz w:val="20"/>
                <w:szCs w:val="20"/>
              </w:rPr>
              <w:t>60m</w:t>
            </w:r>
            <w:r>
              <w:rPr>
                <w:rFonts w:ascii="Times New Roman" w:hAnsi="Times New Roman" w:eastAsia="Times New Roman" w:cs="Times New Roman"/>
                <w:spacing w:val="19"/>
                <w:position w:val="6"/>
                <w:sz w:val="13"/>
                <w:szCs w:val="13"/>
              </w:rPr>
              <w:t>3</w:t>
            </w:r>
            <w:r>
              <w:rPr>
                <w:rFonts w:ascii="Times New Roman" w:hAnsi="Times New Roman" w:eastAsia="Times New Roman" w:cs="Times New Roman"/>
                <w:spacing w:val="29"/>
                <w:w w:val="103"/>
                <w:position w:val="6"/>
                <w:sz w:val="13"/>
                <w:szCs w:val="13"/>
              </w:rPr>
              <w:t xml:space="preserve"> </w:t>
            </w:r>
            <w:r>
              <w:rPr>
                <w:spacing w:val="19"/>
                <w:sz w:val="20"/>
                <w:szCs w:val="20"/>
              </w:rPr>
              <w:t>事故油池（主变事故油池顶板井盖高出地面</w:t>
            </w:r>
          </w:p>
          <w:p w14:paraId="76D11A58">
            <w:pPr>
              <w:pStyle w:val="9"/>
              <w:spacing w:before="24" w:line="252" w:lineRule="auto"/>
              <w:ind w:left="59" w:firstLine="15"/>
              <w:jc w:val="both"/>
              <w:rPr>
                <w:sz w:val="20"/>
                <w:szCs w:val="20"/>
              </w:rPr>
            </w:pPr>
            <w:r>
              <w:rPr>
                <w:rFonts w:ascii="Times New Roman" w:hAnsi="Times New Roman" w:eastAsia="Times New Roman" w:cs="Times New Roman"/>
                <w:spacing w:val="4"/>
                <w:sz w:val="20"/>
                <w:szCs w:val="20"/>
              </w:rPr>
              <w:t>150</w:t>
            </w:r>
            <w:r>
              <w:rPr>
                <w:rFonts w:ascii="Times New Roman" w:hAnsi="Times New Roman" w:eastAsia="Times New Roman" w:cs="Times New Roman"/>
                <w:sz w:val="20"/>
                <w:szCs w:val="20"/>
              </w:rPr>
              <w:t>mm</w:t>
            </w:r>
            <w:r>
              <w:rPr>
                <w:spacing w:val="4"/>
                <w:sz w:val="20"/>
                <w:szCs w:val="20"/>
              </w:rPr>
              <w:t>。采用</w:t>
            </w:r>
            <w:r>
              <w:rPr>
                <w:rFonts w:ascii="Times New Roman" w:hAnsi="Times New Roman" w:eastAsia="Times New Roman" w:cs="Times New Roman"/>
                <w:spacing w:val="4"/>
                <w:sz w:val="20"/>
                <w:szCs w:val="20"/>
              </w:rPr>
              <w:t xml:space="preserve">C30P8 </w:t>
            </w:r>
            <w:r>
              <w:rPr>
                <w:spacing w:val="4"/>
                <w:sz w:val="20"/>
                <w:szCs w:val="20"/>
              </w:rPr>
              <w:t>抗渗钢筋混凝土整版基础</w:t>
            </w:r>
            <w:r>
              <w:rPr>
                <w:spacing w:val="3"/>
                <w:sz w:val="20"/>
                <w:szCs w:val="20"/>
              </w:rPr>
              <w:t>基础底板、墙板</w:t>
            </w:r>
            <w:r>
              <w:rPr>
                <w:spacing w:val="-41"/>
                <w:sz w:val="20"/>
                <w:szCs w:val="20"/>
              </w:rPr>
              <w:t xml:space="preserve"> </w:t>
            </w:r>
            <w:r>
              <w:rPr>
                <w:rFonts w:ascii="Times New Roman" w:hAnsi="Times New Roman" w:eastAsia="Times New Roman" w:cs="Times New Roman"/>
                <w:spacing w:val="3"/>
                <w:sz w:val="20"/>
                <w:szCs w:val="20"/>
              </w:rPr>
              <w:t>250</w:t>
            </w:r>
            <w:r>
              <w:rPr>
                <w:rFonts w:ascii="Times New Roman" w:hAnsi="Times New Roman" w:eastAsia="Times New Roman" w:cs="Times New Roman"/>
                <w:sz w:val="20"/>
                <w:szCs w:val="20"/>
              </w:rPr>
              <w:t>mm</w:t>
            </w:r>
            <w:r>
              <w:rPr>
                <w:spacing w:val="2"/>
                <w:sz w:val="20"/>
                <w:szCs w:val="20"/>
              </w:rPr>
              <w:t>厚，</w:t>
            </w:r>
            <w:r>
              <w:rPr>
                <w:rFonts w:ascii="Times New Roman" w:hAnsi="Times New Roman" w:eastAsia="Times New Roman" w:cs="Times New Roman"/>
                <w:spacing w:val="2"/>
                <w:sz w:val="20"/>
                <w:szCs w:val="20"/>
              </w:rPr>
              <w:t>100</w:t>
            </w:r>
            <w:r>
              <w:rPr>
                <w:rFonts w:ascii="Times New Roman" w:hAnsi="Times New Roman" w:eastAsia="Times New Roman" w:cs="Times New Roman"/>
                <w:sz w:val="20"/>
                <w:szCs w:val="20"/>
              </w:rPr>
              <w:t>mm</w:t>
            </w:r>
            <w:r>
              <w:rPr>
                <w:rFonts w:ascii="Times New Roman" w:hAnsi="Times New Roman" w:eastAsia="Times New Roman" w:cs="Times New Roman"/>
                <w:spacing w:val="19"/>
                <w:w w:val="101"/>
                <w:sz w:val="20"/>
                <w:szCs w:val="20"/>
              </w:rPr>
              <w:t xml:space="preserve"> </w:t>
            </w:r>
            <w:r>
              <w:rPr>
                <w:spacing w:val="2"/>
                <w:sz w:val="20"/>
                <w:szCs w:val="20"/>
              </w:rPr>
              <w:t>厚的</w:t>
            </w:r>
            <w:r>
              <w:rPr>
                <w:rFonts w:ascii="Times New Roman" w:hAnsi="Times New Roman" w:eastAsia="Times New Roman" w:cs="Times New Roman"/>
                <w:spacing w:val="2"/>
                <w:sz w:val="20"/>
                <w:szCs w:val="20"/>
              </w:rPr>
              <w:t>C20</w:t>
            </w:r>
            <w:r>
              <w:rPr>
                <w:rFonts w:ascii="Times New Roman" w:hAnsi="Times New Roman" w:eastAsia="Times New Roman" w:cs="Times New Roman"/>
                <w:spacing w:val="14"/>
                <w:w w:val="101"/>
                <w:sz w:val="20"/>
                <w:szCs w:val="20"/>
              </w:rPr>
              <w:t xml:space="preserve"> </w:t>
            </w:r>
            <w:r>
              <w:rPr>
                <w:spacing w:val="2"/>
                <w:sz w:val="20"/>
                <w:szCs w:val="20"/>
              </w:rPr>
              <w:t>混凝土垫层，防渗层为</w:t>
            </w:r>
            <w:r>
              <w:rPr>
                <w:spacing w:val="-43"/>
                <w:sz w:val="20"/>
                <w:szCs w:val="20"/>
              </w:rPr>
              <w:t xml:space="preserve"> </w:t>
            </w:r>
            <w:r>
              <w:rPr>
                <w:rFonts w:ascii="Times New Roman" w:hAnsi="Times New Roman" w:eastAsia="Times New Roman" w:cs="Times New Roman"/>
                <w:spacing w:val="2"/>
                <w:sz w:val="20"/>
                <w:szCs w:val="20"/>
              </w:rPr>
              <w:t>2</w:t>
            </w:r>
            <w:r>
              <w:rPr>
                <w:rFonts w:ascii="Times New Roman" w:hAnsi="Times New Roman" w:eastAsia="Times New Roman" w:cs="Times New Roman"/>
                <w:sz w:val="20"/>
                <w:szCs w:val="20"/>
              </w:rPr>
              <w:t>mm</w:t>
            </w:r>
            <w:r>
              <w:rPr>
                <w:rFonts w:ascii="Times New Roman" w:hAnsi="Times New Roman" w:eastAsia="Times New Roman" w:cs="Times New Roman"/>
                <w:spacing w:val="21"/>
                <w:w w:val="101"/>
                <w:sz w:val="20"/>
                <w:szCs w:val="20"/>
              </w:rPr>
              <w:t xml:space="preserve"> </w:t>
            </w:r>
            <w:r>
              <w:rPr>
                <w:spacing w:val="1"/>
                <w:sz w:val="20"/>
                <w:szCs w:val="20"/>
              </w:rPr>
              <w:t>厚高密度聚乙烯膜，</w:t>
            </w:r>
            <w:r>
              <w:rPr>
                <w:spacing w:val="7"/>
                <w:sz w:val="20"/>
                <w:szCs w:val="20"/>
              </w:rPr>
              <w:t>渗透系数≤</w:t>
            </w:r>
            <w:r>
              <w:rPr>
                <w:rFonts w:ascii="Times New Roman" w:hAnsi="Times New Roman" w:eastAsia="Times New Roman" w:cs="Times New Roman"/>
                <w:spacing w:val="7"/>
                <w:sz w:val="20"/>
                <w:szCs w:val="20"/>
              </w:rPr>
              <w:t>10</w:t>
            </w:r>
            <w:r>
              <w:rPr>
                <w:rFonts w:ascii="Times New Roman" w:hAnsi="Times New Roman" w:eastAsia="Times New Roman" w:cs="Times New Roman"/>
                <w:spacing w:val="7"/>
                <w:position w:val="6"/>
                <w:sz w:val="13"/>
                <w:szCs w:val="13"/>
              </w:rPr>
              <w:t>-10</w:t>
            </w:r>
            <w:r>
              <w:rPr>
                <w:rFonts w:ascii="Times New Roman" w:hAnsi="Times New Roman" w:eastAsia="Times New Roman" w:cs="Times New Roman"/>
                <w:sz w:val="20"/>
                <w:szCs w:val="20"/>
              </w:rPr>
              <w:t>cm</w:t>
            </w:r>
            <w:r>
              <w:rPr>
                <w:rFonts w:ascii="Times New Roman" w:hAnsi="Times New Roman" w:eastAsia="Times New Roman" w:cs="Times New Roman"/>
                <w:spacing w:val="7"/>
                <w:sz w:val="20"/>
                <w:szCs w:val="20"/>
              </w:rPr>
              <w:t>/s</w:t>
            </w:r>
            <w:r>
              <w:rPr>
                <w:rFonts w:ascii="Times New Roman" w:hAnsi="Times New Roman" w:eastAsia="Times New Roman" w:cs="Times New Roman"/>
                <w:spacing w:val="-24"/>
                <w:sz w:val="20"/>
                <w:szCs w:val="20"/>
              </w:rPr>
              <w:t xml:space="preserve"> </w:t>
            </w:r>
            <w:r>
              <w:rPr>
                <w:spacing w:val="7"/>
                <w:sz w:val="20"/>
                <w:szCs w:val="20"/>
              </w:rPr>
              <w:t>，油池内外壁和底板抹防水砂浆厚</w:t>
            </w:r>
            <w:r>
              <w:rPr>
                <w:spacing w:val="-40"/>
                <w:sz w:val="20"/>
                <w:szCs w:val="20"/>
              </w:rPr>
              <w:t xml:space="preserve"> </w:t>
            </w:r>
            <w:r>
              <w:rPr>
                <w:rFonts w:ascii="Times New Roman" w:hAnsi="Times New Roman" w:eastAsia="Times New Roman" w:cs="Times New Roman"/>
                <w:spacing w:val="7"/>
                <w:sz w:val="20"/>
                <w:szCs w:val="20"/>
              </w:rPr>
              <w:t>20</w:t>
            </w:r>
            <w:r>
              <w:rPr>
                <w:rFonts w:ascii="Times New Roman" w:hAnsi="Times New Roman" w:eastAsia="Times New Roman" w:cs="Times New Roman"/>
                <w:sz w:val="20"/>
                <w:szCs w:val="20"/>
              </w:rPr>
              <w:t>mm</w:t>
            </w:r>
            <w:r>
              <w:rPr>
                <w:spacing w:val="4"/>
                <w:sz w:val="20"/>
                <w:szCs w:val="20"/>
              </w:rPr>
              <w:t>）；</w:t>
            </w:r>
          </w:p>
          <w:p w14:paraId="594FC79B">
            <w:pPr>
              <w:pStyle w:val="9"/>
              <w:spacing w:line="251" w:lineRule="auto"/>
              <w:ind w:left="63" w:right="49" w:firstLine="416"/>
              <w:rPr>
                <w:sz w:val="20"/>
                <w:szCs w:val="20"/>
              </w:rPr>
            </w:pPr>
            <w:r>
              <w:rPr>
                <w:spacing w:val="10"/>
                <w:sz w:val="20"/>
                <w:szCs w:val="20"/>
              </w:rPr>
              <w:t xml:space="preserve">站内 </w:t>
            </w:r>
            <w:r>
              <w:rPr>
                <w:rFonts w:ascii="Times New Roman" w:hAnsi="Times New Roman" w:eastAsia="Times New Roman" w:cs="Times New Roman"/>
                <w:spacing w:val="10"/>
                <w:sz w:val="20"/>
                <w:szCs w:val="20"/>
              </w:rPr>
              <w:t>1#</w:t>
            </w:r>
            <w:r>
              <w:rPr>
                <w:rFonts w:ascii="Times New Roman" w:hAnsi="Times New Roman" w:eastAsia="Times New Roman" w:cs="Times New Roman"/>
                <w:spacing w:val="-8"/>
                <w:sz w:val="20"/>
                <w:szCs w:val="20"/>
              </w:rPr>
              <w:t xml:space="preserve"> </w:t>
            </w:r>
            <w:r>
              <w:rPr>
                <w:spacing w:val="10"/>
                <w:sz w:val="20"/>
                <w:szCs w:val="20"/>
              </w:rPr>
              <w:t>、</w:t>
            </w:r>
            <w:r>
              <w:rPr>
                <w:rFonts w:ascii="Times New Roman" w:hAnsi="Times New Roman" w:eastAsia="Times New Roman" w:cs="Times New Roman"/>
                <w:spacing w:val="10"/>
                <w:sz w:val="20"/>
                <w:szCs w:val="20"/>
              </w:rPr>
              <w:t>2#</w:t>
            </w:r>
            <w:r>
              <w:rPr>
                <w:spacing w:val="10"/>
                <w:sz w:val="20"/>
                <w:szCs w:val="20"/>
              </w:rPr>
              <w:t>主变贮油坑容积均为</w:t>
            </w:r>
            <w:r>
              <w:rPr>
                <w:spacing w:val="-25"/>
                <w:sz w:val="20"/>
                <w:szCs w:val="20"/>
              </w:rPr>
              <w:t xml:space="preserve"> </w:t>
            </w:r>
            <w:r>
              <w:rPr>
                <w:rFonts w:ascii="Times New Roman" w:hAnsi="Times New Roman" w:eastAsia="Times New Roman" w:cs="Times New Roman"/>
                <w:spacing w:val="10"/>
                <w:sz w:val="20"/>
                <w:szCs w:val="20"/>
              </w:rPr>
              <w:t>85m</w:t>
            </w:r>
            <w:r>
              <w:rPr>
                <w:rFonts w:ascii="Times New Roman" w:hAnsi="Times New Roman" w:eastAsia="Times New Roman" w:cs="Times New Roman"/>
                <w:spacing w:val="10"/>
                <w:position w:val="6"/>
                <w:sz w:val="13"/>
                <w:szCs w:val="13"/>
              </w:rPr>
              <w:t xml:space="preserve">3 </w:t>
            </w:r>
            <w:r>
              <w:rPr>
                <w:spacing w:val="10"/>
                <w:sz w:val="20"/>
                <w:szCs w:val="20"/>
              </w:rPr>
              <w:t>，</w:t>
            </w:r>
            <w:r>
              <w:rPr>
                <w:rFonts w:ascii="Times New Roman" w:hAnsi="Times New Roman" w:eastAsia="Times New Roman" w:cs="Times New Roman"/>
                <w:spacing w:val="10"/>
                <w:sz w:val="20"/>
                <w:szCs w:val="20"/>
              </w:rPr>
              <w:t>3#</w:t>
            </w:r>
            <w:r>
              <w:rPr>
                <w:spacing w:val="10"/>
                <w:sz w:val="20"/>
                <w:szCs w:val="20"/>
              </w:rPr>
              <w:t>主变贮油坑容积为</w:t>
            </w:r>
            <w:r>
              <w:rPr>
                <w:rFonts w:ascii="Times New Roman" w:hAnsi="Times New Roman" w:eastAsia="Times New Roman" w:cs="Times New Roman"/>
                <w:spacing w:val="3"/>
                <w:sz w:val="20"/>
                <w:szCs w:val="20"/>
              </w:rPr>
              <w:t>80m</w:t>
            </w:r>
            <w:r>
              <w:rPr>
                <w:rFonts w:ascii="Times New Roman" w:hAnsi="Times New Roman" w:eastAsia="Times New Roman" w:cs="Times New Roman"/>
                <w:spacing w:val="3"/>
                <w:position w:val="6"/>
                <w:sz w:val="13"/>
                <w:szCs w:val="13"/>
              </w:rPr>
              <w:t>3</w:t>
            </w:r>
            <w:r>
              <w:rPr>
                <w:rFonts w:ascii="Times New Roman" w:hAnsi="Times New Roman" w:eastAsia="Times New Roman" w:cs="Times New Roman"/>
                <w:spacing w:val="5"/>
                <w:position w:val="6"/>
                <w:sz w:val="13"/>
                <w:szCs w:val="13"/>
              </w:rPr>
              <w:t xml:space="preserve"> </w:t>
            </w:r>
            <w:r>
              <w:rPr>
                <w:spacing w:val="3"/>
                <w:sz w:val="20"/>
                <w:szCs w:val="20"/>
              </w:rPr>
              <w:t>，</w:t>
            </w:r>
            <w:r>
              <w:rPr>
                <w:rFonts w:ascii="Times New Roman" w:hAnsi="Times New Roman" w:eastAsia="Times New Roman" w:cs="Times New Roman"/>
                <w:spacing w:val="3"/>
                <w:sz w:val="20"/>
                <w:szCs w:val="20"/>
              </w:rPr>
              <w:t>5#</w:t>
            </w:r>
            <w:r>
              <w:rPr>
                <w:spacing w:val="3"/>
                <w:sz w:val="20"/>
                <w:szCs w:val="20"/>
              </w:rPr>
              <w:t>主变贮油坑容积为</w:t>
            </w:r>
            <w:r>
              <w:rPr>
                <w:spacing w:val="-23"/>
                <w:sz w:val="20"/>
                <w:szCs w:val="20"/>
              </w:rPr>
              <w:t xml:space="preserve"> </w:t>
            </w:r>
            <w:r>
              <w:rPr>
                <w:rFonts w:ascii="Times New Roman" w:hAnsi="Times New Roman" w:eastAsia="Times New Roman" w:cs="Times New Roman"/>
                <w:spacing w:val="3"/>
                <w:sz w:val="20"/>
                <w:szCs w:val="20"/>
              </w:rPr>
              <w:t>113m</w:t>
            </w:r>
            <w:r>
              <w:rPr>
                <w:rFonts w:ascii="Times New Roman" w:hAnsi="Times New Roman" w:eastAsia="Times New Roman" w:cs="Times New Roman"/>
                <w:spacing w:val="3"/>
                <w:position w:val="6"/>
                <w:sz w:val="13"/>
                <w:szCs w:val="13"/>
              </w:rPr>
              <w:t>3</w:t>
            </w:r>
            <w:r>
              <w:rPr>
                <w:spacing w:val="3"/>
                <w:sz w:val="20"/>
                <w:szCs w:val="20"/>
              </w:rPr>
              <w:t>。</w:t>
            </w:r>
          </w:p>
          <w:p w14:paraId="7CA034B0">
            <w:pPr>
              <w:pStyle w:val="9"/>
              <w:spacing w:before="1" w:line="227" w:lineRule="auto"/>
              <w:ind w:left="479"/>
              <w:outlineLvl w:val="2"/>
              <w:rPr>
                <w:rFonts w:ascii="Times New Roman" w:hAnsi="Times New Roman" w:eastAsia="Times New Roman" w:cs="Times New Roman"/>
                <w:sz w:val="20"/>
                <w:szCs w:val="20"/>
              </w:rPr>
            </w:pPr>
            <w:r>
              <w:rPr>
                <w:spacing w:val="5"/>
                <w:sz w:val="20"/>
                <w:szCs w:val="20"/>
              </w:rPr>
              <w:t>贮油坑的四周设挡油坎，高出地面</w:t>
            </w:r>
            <w:r>
              <w:rPr>
                <w:spacing w:val="-14"/>
                <w:sz w:val="20"/>
                <w:szCs w:val="20"/>
              </w:rPr>
              <w:t xml:space="preserve"> </w:t>
            </w:r>
            <w:r>
              <w:rPr>
                <w:rFonts w:ascii="Times New Roman" w:hAnsi="Times New Roman" w:eastAsia="Times New Roman" w:cs="Times New Roman"/>
                <w:spacing w:val="5"/>
                <w:sz w:val="20"/>
                <w:szCs w:val="20"/>
              </w:rPr>
              <w:t>100</w:t>
            </w:r>
            <w:r>
              <w:rPr>
                <w:rFonts w:ascii="Times New Roman" w:hAnsi="Times New Roman" w:eastAsia="Times New Roman" w:cs="Times New Roman"/>
                <w:sz w:val="20"/>
                <w:szCs w:val="20"/>
              </w:rPr>
              <w:t>mm</w:t>
            </w:r>
            <w:r>
              <w:rPr>
                <w:spacing w:val="5"/>
                <w:sz w:val="20"/>
                <w:szCs w:val="20"/>
              </w:rPr>
              <w:t>。坑内铺设厚度为</w:t>
            </w:r>
            <w:r>
              <w:rPr>
                <w:spacing w:val="-41"/>
                <w:sz w:val="20"/>
                <w:szCs w:val="20"/>
              </w:rPr>
              <w:t xml:space="preserve"> </w:t>
            </w:r>
            <w:r>
              <w:rPr>
                <w:rFonts w:ascii="Times New Roman" w:hAnsi="Times New Roman" w:eastAsia="Times New Roman" w:cs="Times New Roman"/>
                <w:spacing w:val="5"/>
                <w:sz w:val="20"/>
                <w:szCs w:val="20"/>
              </w:rPr>
              <w:t>250</w:t>
            </w:r>
          </w:p>
          <w:p w14:paraId="61A82925">
            <w:pPr>
              <w:pStyle w:val="9"/>
              <w:spacing w:before="25" w:line="251" w:lineRule="auto"/>
              <w:ind w:left="75" w:right="47" w:hanging="23"/>
              <w:jc w:val="both"/>
              <w:rPr>
                <w:sz w:val="20"/>
                <w:szCs w:val="20"/>
              </w:rPr>
            </w:pPr>
            <w:r>
              <w:rPr>
                <w:rFonts w:ascii="Times New Roman" w:hAnsi="Times New Roman" w:eastAsia="Times New Roman" w:cs="Times New Roman"/>
                <w:sz w:val="20"/>
                <w:szCs w:val="20"/>
              </w:rPr>
              <w:t>mm</w:t>
            </w:r>
            <w:r>
              <w:rPr>
                <w:rFonts w:ascii="Times New Roman" w:hAnsi="Times New Roman" w:eastAsia="Times New Roman" w:cs="Times New Roman"/>
                <w:spacing w:val="36"/>
                <w:sz w:val="20"/>
                <w:szCs w:val="20"/>
              </w:rPr>
              <w:t xml:space="preserve"> </w:t>
            </w:r>
            <w:r>
              <w:rPr>
                <w:spacing w:val="5"/>
                <w:sz w:val="20"/>
                <w:szCs w:val="20"/>
              </w:rPr>
              <w:t>的卵石，卵石粒径为</w:t>
            </w:r>
            <w:r>
              <w:rPr>
                <w:spacing w:val="-35"/>
                <w:sz w:val="20"/>
                <w:szCs w:val="20"/>
              </w:rPr>
              <w:t xml:space="preserve"> </w:t>
            </w:r>
            <w:r>
              <w:rPr>
                <w:rFonts w:ascii="Times New Roman" w:hAnsi="Times New Roman" w:eastAsia="Times New Roman" w:cs="Times New Roman"/>
                <w:spacing w:val="5"/>
                <w:sz w:val="20"/>
                <w:szCs w:val="20"/>
              </w:rPr>
              <w:t>50--80</w:t>
            </w:r>
            <w:r>
              <w:rPr>
                <w:rFonts w:ascii="Times New Roman" w:hAnsi="Times New Roman" w:eastAsia="Times New Roman" w:cs="Times New Roman"/>
                <w:sz w:val="20"/>
                <w:szCs w:val="20"/>
              </w:rPr>
              <w:t>mm</w:t>
            </w:r>
            <w:r>
              <w:rPr>
                <w:rFonts w:ascii="Times New Roman" w:hAnsi="Times New Roman" w:eastAsia="Times New Roman" w:cs="Times New Roman"/>
                <w:spacing w:val="-24"/>
                <w:sz w:val="20"/>
                <w:szCs w:val="20"/>
              </w:rPr>
              <w:t xml:space="preserve"> </w:t>
            </w:r>
            <w:r>
              <w:rPr>
                <w:spacing w:val="5"/>
                <w:sz w:val="20"/>
                <w:szCs w:val="20"/>
              </w:rPr>
              <w:t>，坑底设有排油管，以不小于</w:t>
            </w:r>
            <w:r>
              <w:rPr>
                <w:spacing w:val="-21"/>
                <w:sz w:val="20"/>
                <w:szCs w:val="20"/>
              </w:rPr>
              <w:t xml:space="preserve"> </w:t>
            </w:r>
            <w:r>
              <w:rPr>
                <w:rFonts w:ascii="Times New Roman" w:hAnsi="Times New Roman" w:eastAsia="Times New Roman" w:cs="Times New Roman"/>
                <w:spacing w:val="5"/>
                <w:sz w:val="20"/>
                <w:szCs w:val="20"/>
              </w:rPr>
              <w:t>1%</w:t>
            </w:r>
            <w:r>
              <w:rPr>
                <w:spacing w:val="14"/>
                <w:sz w:val="20"/>
                <w:szCs w:val="20"/>
              </w:rPr>
              <w:t>的排油坡度连接至事故油池，能将事故油及消防废水排至事故</w:t>
            </w:r>
            <w:r>
              <w:rPr>
                <w:spacing w:val="13"/>
                <w:sz w:val="20"/>
                <w:szCs w:val="20"/>
              </w:rPr>
              <w:t>油池</w:t>
            </w:r>
            <w:r>
              <w:rPr>
                <w:spacing w:val="7"/>
                <w:sz w:val="20"/>
                <w:szCs w:val="20"/>
              </w:rPr>
              <w:t>中，可确保事故情况下变压器油不外流；</w:t>
            </w:r>
          </w:p>
          <w:p w14:paraId="50B2F464">
            <w:pPr>
              <w:pStyle w:val="9"/>
              <w:spacing w:before="1" w:line="226" w:lineRule="auto"/>
              <w:ind w:left="479"/>
              <w:outlineLvl w:val="2"/>
              <w:rPr>
                <w:sz w:val="20"/>
                <w:szCs w:val="20"/>
              </w:rPr>
            </w:pPr>
            <w:r>
              <w:rPr>
                <w:spacing w:val="15"/>
                <w:sz w:val="20"/>
                <w:szCs w:val="20"/>
              </w:rPr>
              <w:t>贮油坑防渗采取地面防渗层整体基础采用抗渗混凝土</w:t>
            </w:r>
            <w:r>
              <w:rPr>
                <w:rFonts w:ascii="Times New Roman" w:hAnsi="Times New Roman" w:eastAsia="Times New Roman" w:cs="Times New Roman"/>
                <w:spacing w:val="15"/>
                <w:sz w:val="20"/>
                <w:szCs w:val="20"/>
              </w:rPr>
              <w:t>+2</w:t>
            </w:r>
            <w:r>
              <w:rPr>
                <w:rFonts w:ascii="Times New Roman" w:hAnsi="Times New Roman" w:eastAsia="Times New Roman" w:cs="Times New Roman"/>
                <w:sz w:val="20"/>
                <w:szCs w:val="20"/>
              </w:rPr>
              <w:t>mm</w:t>
            </w:r>
            <w:r>
              <w:rPr>
                <w:rFonts w:ascii="Times New Roman" w:hAnsi="Times New Roman" w:eastAsia="Times New Roman" w:cs="Times New Roman"/>
                <w:spacing w:val="38"/>
                <w:sz w:val="20"/>
                <w:szCs w:val="20"/>
              </w:rPr>
              <w:t xml:space="preserve"> </w:t>
            </w:r>
            <w:r>
              <w:rPr>
                <w:spacing w:val="15"/>
                <w:sz w:val="20"/>
                <w:szCs w:val="20"/>
              </w:rPr>
              <w:t>厚</w:t>
            </w:r>
          </w:p>
          <w:p w14:paraId="255FC8DD">
            <w:pPr>
              <w:pStyle w:val="9"/>
              <w:spacing w:before="28" w:line="232" w:lineRule="auto"/>
              <w:ind w:left="69" w:right="49" w:hanging="5"/>
              <w:rPr>
                <w:sz w:val="20"/>
                <w:szCs w:val="20"/>
              </w:rPr>
            </w:pPr>
            <w:r>
              <w:rPr>
                <w:spacing w:val="4"/>
                <w:sz w:val="20"/>
                <w:szCs w:val="20"/>
              </w:rPr>
              <w:t>高密度聚乙烯膜等人工防渗材料，渗透系数≤</w:t>
            </w:r>
            <w:r>
              <w:rPr>
                <w:rFonts w:ascii="Times New Roman" w:hAnsi="Times New Roman" w:eastAsia="Times New Roman" w:cs="Times New Roman"/>
                <w:spacing w:val="4"/>
                <w:sz w:val="20"/>
                <w:szCs w:val="20"/>
              </w:rPr>
              <w:t>1</w:t>
            </w:r>
            <w:r>
              <w:rPr>
                <w:spacing w:val="4"/>
                <w:sz w:val="20"/>
                <w:szCs w:val="20"/>
              </w:rPr>
              <w:t>×</w:t>
            </w:r>
            <w:r>
              <w:rPr>
                <w:spacing w:val="-72"/>
                <w:sz w:val="20"/>
                <w:szCs w:val="20"/>
              </w:rPr>
              <w:t xml:space="preserve"> </w:t>
            </w:r>
            <w:r>
              <w:rPr>
                <w:rFonts w:ascii="Times New Roman" w:hAnsi="Times New Roman" w:eastAsia="Times New Roman" w:cs="Times New Roman"/>
                <w:spacing w:val="4"/>
                <w:sz w:val="20"/>
                <w:szCs w:val="20"/>
              </w:rPr>
              <w:t>10</w:t>
            </w:r>
            <w:r>
              <w:rPr>
                <w:rFonts w:ascii="Times New Roman" w:hAnsi="Times New Roman" w:eastAsia="Times New Roman" w:cs="Times New Roman"/>
                <w:spacing w:val="4"/>
                <w:position w:val="6"/>
                <w:sz w:val="13"/>
                <w:szCs w:val="13"/>
              </w:rPr>
              <w:t>-10</w:t>
            </w:r>
            <w:r>
              <w:rPr>
                <w:rFonts w:ascii="Times New Roman" w:hAnsi="Times New Roman" w:eastAsia="Times New Roman" w:cs="Times New Roman"/>
                <w:sz w:val="20"/>
                <w:szCs w:val="20"/>
              </w:rPr>
              <w:t>cm</w:t>
            </w:r>
            <w:r>
              <w:rPr>
                <w:rFonts w:ascii="Times New Roman" w:hAnsi="Times New Roman" w:eastAsia="Times New Roman" w:cs="Times New Roman"/>
                <w:spacing w:val="4"/>
                <w:sz w:val="20"/>
                <w:szCs w:val="20"/>
              </w:rPr>
              <w:t>/s</w:t>
            </w:r>
            <w:r>
              <w:rPr>
                <w:spacing w:val="4"/>
                <w:sz w:val="20"/>
                <w:szCs w:val="20"/>
              </w:rPr>
              <w:t>。满足《危</w:t>
            </w:r>
            <w:r>
              <w:rPr>
                <w:spacing w:val="7"/>
                <w:sz w:val="20"/>
                <w:szCs w:val="20"/>
              </w:rPr>
              <w:t>险废物贮存污染控制标准》（</w:t>
            </w:r>
            <w:r>
              <w:rPr>
                <w:rFonts w:ascii="Times New Roman" w:hAnsi="Times New Roman" w:eastAsia="Times New Roman" w:cs="Times New Roman"/>
                <w:sz w:val="20"/>
                <w:szCs w:val="20"/>
              </w:rPr>
              <w:t>GB</w:t>
            </w:r>
            <w:r>
              <w:rPr>
                <w:rFonts w:ascii="Times New Roman" w:hAnsi="Times New Roman" w:eastAsia="Times New Roman" w:cs="Times New Roman"/>
                <w:spacing w:val="28"/>
                <w:sz w:val="20"/>
                <w:szCs w:val="20"/>
              </w:rPr>
              <w:t xml:space="preserve"> </w:t>
            </w:r>
            <w:r>
              <w:rPr>
                <w:rFonts w:ascii="Times New Roman" w:hAnsi="Times New Roman" w:eastAsia="Times New Roman" w:cs="Times New Roman"/>
                <w:spacing w:val="7"/>
                <w:sz w:val="20"/>
                <w:szCs w:val="20"/>
              </w:rPr>
              <w:t>18597</w:t>
            </w:r>
            <w:r>
              <w:rPr>
                <w:spacing w:val="7"/>
                <w:sz w:val="20"/>
                <w:szCs w:val="20"/>
              </w:rPr>
              <w:t>—</w:t>
            </w:r>
            <w:r>
              <w:rPr>
                <w:rFonts w:ascii="Times New Roman" w:hAnsi="Times New Roman" w:eastAsia="Times New Roman" w:cs="Times New Roman"/>
                <w:spacing w:val="7"/>
                <w:sz w:val="20"/>
                <w:szCs w:val="20"/>
              </w:rPr>
              <w:t>2023</w:t>
            </w:r>
            <w:r>
              <w:rPr>
                <w:spacing w:val="7"/>
                <w:sz w:val="20"/>
                <w:szCs w:val="20"/>
              </w:rPr>
              <w:t>）的防渗要求。</w:t>
            </w:r>
          </w:p>
        </w:tc>
        <w:tc>
          <w:tcPr>
            <w:tcW w:w="894" w:type="dxa"/>
            <w:tcBorders>
              <w:top w:val="single" w:color="000000" w:sz="6" w:space="0"/>
            </w:tcBorders>
            <w:vAlign w:val="top"/>
          </w:tcPr>
          <w:p w14:paraId="35804D70">
            <w:pPr>
              <w:rPr>
                <w:rFonts w:ascii="Arial"/>
                <w:sz w:val="21"/>
              </w:rPr>
            </w:pPr>
          </w:p>
        </w:tc>
        <w:tc>
          <w:tcPr>
            <w:tcW w:w="218" w:type="dxa"/>
            <w:vMerge w:val="restart"/>
            <w:tcBorders>
              <w:top w:val="single" w:color="000000" w:sz="6" w:space="0"/>
              <w:bottom w:val="nil"/>
              <w:right w:val="single" w:color="000000" w:sz="6" w:space="0"/>
            </w:tcBorders>
            <w:vAlign w:val="top"/>
          </w:tcPr>
          <w:p w14:paraId="03B9B54D">
            <w:pPr>
              <w:rPr>
                <w:rFonts w:ascii="Arial"/>
                <w:sz w:val="21"/>
              </w:rPr>
            </w:pPr>
          </w:p>
        </w:tc>
      </w:tr>
      <w:tr w14:paraId="27B1AC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5" w:hRule="atLeast"/>
        </w:trPr>
        <w:tc>
          <w:tcPr>
            <w:tcW w:w="505" w:type="dxa"/>
            <w:vMerge w:val="continue"/>
            <w:tcBorders>
              <w:top w:val="nil"/>
              <w:left w:val="single" w:color="000000" w:sz="6" w:space="0"/>
              <w:bottom w:val="nil"/>
            </w:tcBorders>
            <w:vAlign w:val="top"/>
          </w:tcPr>
          <w:p w14:paraId="12A6EE32">
            <w:pPr>
              <w:rPr>
                <w:rFonts w:ascii="Arial"/>
                <w:sz w:val="21"/>
              </w:rPr>
            </w:pPr>
          </w:p>
        </w:tc>
        <w:tc>
          <w:tcPr>
            <w:tcW w:w="209" w:type="dxa"/>
            <w:vMerge w:val="continue"/>
            <w:tcBorders>
              <w:top w:val="nil"/>
              <w:bottom w:val="nil"/>
            </w:tcBorders>
            <w:vAlign w:val="top"/>
          </w:tcPr>
          <w:p w14:paraId="6530AB1A">
            <w:pPr>
              <w:rPr>
                <w:rFonts w:ascii="Arial"/>
                <w:sz w:val="21"/>
              </w:rPr>
            </w:pPr>
          </w:p>
        </w:tc>
        <w:tc>
          <w:tcPr>
            <w:tcW w:w="366" w:type="dxa"/>
            <w:vAlign w:val="top"/>
          </w:tcPr>
          <w:p w14:paraId="51A939FF">
            <w:pPr>
              <w:spacing w:line="246" w:lineRule="auto"/>
              <w:rPr>
                <w:rFonts w:ascii="Arial"/>
                <w:sz w:val="21"/>
              </w:rPr>
            </w:pPr>
          </w:p>
          <w:p w14:paraId="5679DC39">
            <w:pPr>
              <w:spacing w:line="246" w:lineRule="auto"/>
              <w:rPr>
                <w:rFonts w:ascii="Arial"/>
                <w:sz w:val="21"/>
              </w:rPr>
            </w:pPr>
          </w:p>
          <w:p w14:paraId="6DCE0502">
            <w:pPr>
              <w:spacing w:line="246" w:lineRule="auto"/>
              <w:rPr>
                <w:rFonts w:ascii="Arial"/>
                <w:sz w:val="21"/>
              </w:rPr>
            </w:pPr>
          </w:p>
          <w:p w14:paraId="7E6EAB8E">
            <w:pPr>
              <w:spacing w:line="246" w:lineRule="auto"/>
              <w:rPr>
                <w:rFonts w:ascii="Arial"/>
                <w:sz w:val="21"/>
              </w:rPr>
            </w:pPr>
          </w:p>
          <w:p w14:paraId="279C243F">
            <w:pPr>
              <w:spacing w:line="247" w:lineRule="auto"/>
              <w:rPr>
                <w:rFonts w:ascii="Arial"/>
                <w:sz w:val="21"/>
              </w:rPr>
            </w:pPr>
          </w:p>
          <w:p w14:paraId="4354F912">
            <w:pPr>
              <w:spacing w:before="57" w:line="195" w:lineRule="auto"/>
              <w:ind w:left="12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627" w:type="dxa"/>
            <w:vAlign w:val="top"/>
          </w:tcPr>
          <w:p w14:paraId="1E5F0473">
            <w:pPr>
              <w:spacing w:line="260" w:lineRule="auto"/>
              <w:rPr>
                <w:rFonts w:ascii="Arial"/>
                <w:sz w:val="21"/>
              </w:rPr>
            </w:pPr>
          </w:p>
          <w:p w14:paraId="3AB864F4">
            <w:pPr>
              <w:spacing w:line="261" w:lineRule="auto"/>
              <w:rPr>
                <w:rFonts w:ascii="Arial"/>
                <w:sz w:val="21"/>
              </w:rPr>
            </w:pPr>
          </w:p>
          <w:p w14:paraId="309821DE">
            <w:pPr>
              <w:spacing w:line="261" w:lineRule="auto"/>
              <w:rPr>
                <w:rFonts w:ascii="Arial"/>
                <w:sz w:val="21"/>
              </w:rPr>
            </w:pPr>
          </w:p>
          <w:p w14:paraId="23073CBE">
            <w:pPr>
              <w:pStyle w:val="9"/>
              <w:spacing w:before="65" w:line="252" w:lineRule="auto"/>
              <w:ind w:left="102" w:right="108" w:firstLine="26"/>
              <w:outlineLvl w:val="2"/>
              <w:rPr>
                <w:sz w:val="20"/>
                <w:szCs w:val="20"/>
              </w:rPr>
            </w:pPr>
            <w:r>
              <w:rPr>
                <w:spacing w:val="-8"/>
                <w:sz w:val="20"/>
                <w:szCs w:val="20"/>
              </w:rPr>
              <w:t>电磁</w:t>
            </w:r>
            <w:r>
              <w:rPr>
                <w:spacing w:val="5"/>
                <w:sz w:val="20"/>
                <w:szCs w:val="20"/>
              </w:rPr>
              <w:t>辐射防治措施</w:t>
            </w:r>
          </w:p>
        </w:tc>
        <w:tc>
          <w:tcPr>
            <w:tcW w:w="410" w:type="dxa"/>
            <w:textDirection w:val="tbRlV"/>
            <w:vAlign w:val="top"/>
          </w:tcPr>
          <w:p w14:paraId="2D222D2F">
            <w:pPr>
              <w:pStyle w:val="9"/>
              <w:spacing w:before="103" w:line="216" w:lineRule="auto"/>
              <w:ind w:left="989"/>
              <w:outlineLvl w:val="2"/>
              <w:rPr>
                <w:sz w:val="20"/>
                <w:szCs w:val="20"/>
              </w:rPr>
            </w:pPr>
            <w:r>
              <w:rPr>
                <w:spacing w:val="8"/>
                <w:sz w:val="20"/>
                <w:szCs w:val="20"/>
              </w:rPr>
              <w:t>运</w:t>
            </w:r>
            <w:r>
              <w:rPr>
                <w:spacing w:val="-37"/>
                <w:sz w:val="20"/>
                <w:szCs w:val="20"/>
              </w:rPr>
              <w:t xml:space="preserve"> </w:t>
            </w:r>
            <w:r>
              <w:rPr>
                <w:spacing w:val="8"/>
                <w:sz w:val="20"/>
                <w:szCs w:val="20"/>
              </w:rPr>
              <w:t>营</w:t>
            </w:r>
            <w:r>
              <w:rPr>
                <w:spacing w:val="-37"/>
                <w:sz w:val="20"/>
                <w:szCs w:val="20"/>
              </w:rPr>
              <w:t xml:space="preserve"> </w:t>
            </w:r>
            <w:r>
              <w:rPr>
                <w:spacing w:val="8"/>
                <w:sz w:val="20"/>
                <w:szCs w:val="20"/>
              </w:rPr>
              <w:t>期</w:t>
            </w:r>
          </w:p>
        </w:tc>
        <w:tc>
          <w:tcPr>
            <w:tcW w:w="6335" w:type="dxa"/>
            <w:vAlign w:val="top"/>
          </w:tcPr>
          <w:p w14:paraId="6DEDD6AC">
            <w:pPr>
              <w:pStyle w:val="9"/>
              <w:spacing w:before="36" w:line="225" w:lineRule="auto"/>
              <w:ind w:left="477"/>
              <w:outlineLvl w:val="2"/>
              <w:rPr>
                <w:sz w:val="20"/>
                <w:szCs w:val="20"/>
              </w:rPr>
            </w:pPr>
            <w:r>
              <w:rPr>
                <w:spacing w:val="7"/>
                <w:sz w:val="20"/>
                <w:szCs w:val="20"/>
              </w:rPr>
              <w:t>①合理布局，在满足升压站内电气布局设计要求的前提下，加大</w:t>
            </w:r>
          </w:p>
          <w:p w14:paraId="677A3200">
            <w:pPr>
              <w:pStyle w:val="9"/>
              <w:spacing w:before="27" w:line="251" w:lineRule="auto"/>
              <w:ind w:left="61" w:right="30" w:hanging="1"/>
              <w:rPr>
                <w:sz w:val="20"/>
                <w:szCs w:val="20"/>
              </w:rPr>
            </w:pPr>
            <w:r>
              <w:rPr>
                <w:spacing w:val="8"/>
                <w:sz w:val="20"/>
                <w:szCs w:val="20"/>
              </w:rPr>
              <w:t>主变与厂界的距离；加强电磁环境影响宣传，消除公众的恐惧心</w:t>
            </w:r>
            <w:r>
              <w:rPr>
                <w:spacing w:val="7"/>
                <w:sz w:val="20"/>
                <w:szCs w:val="20"/>
              </w:rPr>
              <w:t>理，设置明显的警告标志。</w:t>
            </w:r>
          </w:p>
          <w:p w14:paraId="3647D2BC">
            <w:pPr>
              <w:pStyle w:val="9"/>
              <w:spacing w:line="225" w:lineRule="auto"/>
              <w:ind w:left="476"/>
              <w:outlineLvl w:val="2"/>
              <w:rPr>
                <w:sz w:val="20"/>
                <w:szCs w:val="20"/>
              </w:rPr>
            </w:pPr>
            <w:r>
              <w:rPr>
                <w:spacing w:val="7"/>
                <w:sz w:val="20"/>
                <w:szCs w:val="20"/>
              </w:rPr>
              <w:t>②使用设计合理的绝缘子，特别关注绝缘子的几何形状及关键部</w:t>
            </w:r>
          </w:p>
          <w:p w14:paraId="2E2170F5">
            <w:pPr>
              <w:pStyle w:val="9"/>
              <w:spacing w:before="29" w:line="227" w:lineRule="auto"/>
              <w:ind w:left="58"/>
              <w:outlineLvl w:val="2"/>
              <w:rPr>
                <w:sz w:val="20"/>
                <w:szCs w:val="20"/>
              </w:rPr>
            </w:pPr>
            <w:r>
              <w:rPr>
                <w:spacing w:val="7"/>
                <w:sz w:val="20"/>
                <w:szCs w:val="20"/>
              </w:rPr>
              <w:t>位材料的特性，尽量使用能改善绝缘子表面或沿绝缘子串电压分布的</w:t>
            </w:r>
          </w:p>
          <w:p w14:paraId="64D9D653">
            <w:pPr>
              <w:pStyle w:val="9"/>
              <w:spacing w:before="26" w:line="228" w:lineRule="auto"/>
              <w:ind w:left="59"/>
              <w:rPr>
                <w:sz w:val="20"/>
                <w:szCs w:val="20"/>
              </w:rPr>
            </w:pPr>
            <w:r>
              <w:rPr>
                <w:spacing w:val="5"/>
                <w:sz w:val="20"/>
                <w:szCs w:val="20"/>
              </w:rPr>
              <w:t>保护装置。</w:t>
            </w:r>
          </w:p>
          <w:p w14:paraId="045F60F9">
            <w:pPr>
              <w:pStyle w:val="9"/>
              <w:spacing w:before="27" w:line="250" w:lineRule="auto"/>
              <w:ind w:left="60" w:right="51" w:firstLine="416"/>
              <w:outlineLvl w:val="2"/>
              <w:rPr>
                <w:sz w:val="20"/>
                <w:szCs w:val="20"/>
              </w:rPr>
            </w:pPr>
            <w:r>
              <w:rPr>
                <w:spacing w:val="7"/>
                <w:sz w:val="20"/>
                <w:szCs w:val="20"/>
              </w:rPr>
              <w:t>③在安装高压设备时，应保证所有的固定螺栓都可靠拧紧，导电</w:t>
            </w:r>
            <w:r>
              <w:rPr>
                <w:spacing w:val="9"/>
                <w:sz w:val="20"/>
                <w:szCs w:val="20"/>
              </w:rPr>
              <w:t>元件尽可能接地或连接导线电位，提高屏蔽效果。</w:t>
            </w:r>
          </w:p>
          <w:p w14:paraId="2B46BBE4">
            <w:pPr>
              <w:pStyle w:val="9"/>
              <w:spacing w:before="1" w:line="231" w:lineRule="auto"/>
              <w:ind w:left="59" w:right="49" w:firstLine="417"/>
              <w:outlineLvl w:val="2"/>
              <w:rPr>
                <w:sz w:val="20"/>
                <w:szCs w:val="20"/>
              </w:rPr>
            </w:pPr>
            <w:r>
              <w:rPr>
                <w:spacing w:val="7"/>
                <w:sz w:val="20"/>
                <w:szCs w:val="20"/>
              </w:rPr>
              <w:t>④对站区内升压站的工作人员进行电磁防护知识的培训，尽量减</w:t>
            </w:r>
            <w:r>
              <w:rPr>
                <w:spacing w:val="9"/>
                <w:sz w:val="20"/>
                <w:szCs w:val="20"/>
              </w:rPr>
              <w:t>少在高电磁区域的停留时间，以减小电磁辐射影响。</w:t>
            </w:r>
          </w:p>
        </w:tc>
        <w:tc>
          <w:tcPr>
            <w:tcW w:w="894" w:type="dxa"/>
            <w:vAlign w:val="top"/>
          </w:tcPr>
          <w:p w14:paraId="108D81F6">
            <w:pPr>
              <w:spacing w:line="246" w:lineRule="auto"/>
              <w:rPr>
                <w:rFonts w:ascii="Arial"/>
                <w:sz w:val="21"/>
              </w:rPr>
            </w:pPr>
          </w:p>
          <w:p w14:paraId="74B980C8">
            <w:pPr>
              <w:spacing w:line="247" w:lineRule="auto"/>
              <w:rPr>
                <w:rFonts w:ascii="Arial"/>
                <w:sz w:val="21"/>
              </w:rPr>
            </w:pPr>
          </w:p>
          <w:p w14:paraId="45292A94">
            <w:pPr>
              <w:spacing w:line="247" w:lineRule="auto"/>
              <w:rPr>
                <w:rFonts w:ascii="Arial"/>
                <w:sz w:val="21"/>
              </w:rPr>
            </w:pPr>
          </w:p>
          <w:p w14:paraId="2AF79505">
            <w:pPr>
              <w:spacing w:line="247" w:lineRule="auto"/>
              <w:rPr>
                <w:rFonts w:ascii="Arial"/>
                <w:sz w:val="21"/>
              </w:rPr>
            </w:pPr>
          </w:p>
          <w:p w14:paraId="098552DF">
            <w:pPr>
              <w:spacing w:line="247" w:lineRule="auto"/>
              <w:rPr>
                <w:rFonts w:ascii="Arial"/>
                <w:sz w:val="21"/>
              </w:rPr>
            </w:pPr>
          </w:p>
          <w:p w14:paraId="07AF2B16">
            <w:pPr>
              <w:spacing w:before="57" w:line="192" w:lineRule="auto"/>
              <w:ind w:left="409"/>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218" w:type="dxa"/>
            <w:vMerge w:val="continue"/>
            <w:tcBorders>
              <w:top w:val="nil"/>
              <w:bottom w:val="nil"/>
              <w:right w:val="single" w:color="000000" w:sz="6" w:space="0"/>
            </w:tcBorders>
            <w:vAlign w:val="top"/>
          </w:tcPr>
          <w:p w14:paraId="6FCBA942">
            <w:pPr>
              <w:rPr>
                <w:rFonts w:ascii="Arial"/>
                <w:sz w:val="21"/>
              </w:rPr>
            </w:pPr>
          </w:p>
        </w:tc>
      </w:tr>
      <w:tr w14:paraId="7FB2CC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7" w:hRule="atLeast"/>
        </w:trPr>
        <w:tc>
          <w:tcPr>
            <w:tcW w:w="505" w:type="dxa"/>
            <w:vMerge w:val="continue"/>
            <w:tcBorders>
              <w:top w:val="nil"/>
              <w:left w:val="single" w:color="000000" w:sz="6" w:space="0"/>
              <w:bottom w:val="nil"/>
            </w:tcBorders>
            <w:vAlign w:val="top"/>
          </w:tcPr>
          <w:p w14:paraId="4E1BBBF4">
            <w:pPr>
              <w:rPr>
                <w:rFonts w:ascii="Arial"/>
                <w:sz w:val="21"/>
              </w:rPr>
            </w:pPr>
          </w:p>
        </w:tc>
        <w:tc>
          <w:tcPr>
            <w:tcW w:w="209" w:type="dxa"/>
            <w:vMerge w:val="continue"/>
            <w:tcBorders>
              <w:top w:val="nil"/>
              <w:bottom w:val="nil"/>
            </w:tcBorders>
            <w:vAlign w:val="top"/>
          </w:tcPr>
          <w:p w14:paraId="23B6FA91">
            <w:pPr>
              <w:rPr>
                <w:rFonts w:ascii="Arial"/>
                <w:sz w:val="21"/>
              </w:rPr>
            </w:pPr>
          </w:p>
        </w:tc>
        <w:tc>
          <w:tcPr>
            <w:tcW w:w="366" w:type="dxa"/>
            <w:vMerge w:val="restart"/>
            <w:tcBorders>
              <w:bottom w:val="nil"/>
            </w:tcBorders>
            <w:vAlign w:val="top"/>
          </w:tcPr>
          <w:p w14:paraId="3BDE034B">
            <w:pPr>
              <w:spacing w:line="274" w:lineRule="auto"/>
              <w:rPr>
                <w:rFonts w:ascii="Arial"/>
                <w:sz w:val="21"/>
              </w:rPr>
            </w:pPr>
          </w:p>
          <w:p w14:paraId="6A77C7C4">
            <w:pPr>
              <w:spacing w:line="274" w:lineRule="auto"/>
              <w:rPr>
                <w:rFonts w:ascii="Arial"/>
                <w:sz w:val="21"/>
              </w:rPr>
            </w:pPr>
          </w:p>
          <w:p w14:paraId="090EF59B">
            <w:pPr>
              <w:spacing w:line="274" w:lineRule="auto"/>
              <w:rPr>
                <w:rFonts w:ascii="Arial"/>
                <w:sz w:val="21"/>
              </w:rPr>
            </w:pPr>
          </w:p>
          <w:p w14:paraId="53364F7F">
            <w:pPr>
              <w:spacing w:line="274" w:lineRule="auto"/>
              <w:rPr>
                <w:rFonts w:ascii="Arial"/>
                <w:sz w:val="21"/>
              </w:rPr>
            </w:pPr>
          </w:p>
          <w:p w14:paraId="0A399163">
            <w:pPr>
              <w:spacing w:line="274" w:lineRule="auto"/>
              <w:rPr>
                <w:rFonts w:ascii="Arial"/>
                <w:sz w:val="21"/>
              </w:rPr>
            </w:pPr>
          </w:p>
          <w:p w14:paraId="39D1E55E">
            <w:pPr>
              <w:spacing w:line="274" w:lineRule="auto"/>
              <w:rPr>
                <w:rFonts w:ascii="Arial"/>
                <w:sz w:val="21"/>
              </w:rPr>
            </w:pPr>
          </w:p>
          <w:p w14:paraId="6DD7C2C8">
            <w:pPr>
              <w:spacing w:line="275" w:lineRule="auto"/>
              <w:rPr>
                <w:rFonts w:ascii="Arial"/>
                <w:sz w:val="21"/>
              </w:rPr>
            </w:pPr>
          </w:p>
          <w:p w14:paraId="243ACF94">
            <w:pPr>
              <w:spacing w:before="58" w:line="192" w:lineRule="auto"/>
              <w:ind w:left="131"/>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627" w:type="dxa"/>
            <w:vMerge w:val="restart"/>
            <w:tcBorders>
              <w:bottom w:val="nil"/>
            </w:tcBorders>
            <w:vAlign w:val="top"/>
          </w:tcPr>
          <w:p w14:paraId="1BCC5E4C">
            <w:pPr>
              <w:spacing w:line="266" w:lineRule="auto"/>
              <w:rPr>
                <w:rFonts w:ascii="Arial"/>
                <w:sz w:val="21"/>
              </w:rPr>
            </w:pPr>
          </w:p>
          <w:p w14:paraId="1FA2B9DB">
            <w:pPr>
              <w:spacing w:line="266" w:lineRule="auto"/>
              <w:rPr>
                <w:rFonts w:ascii="Arial"/>
                <w:sz w:val="21"/>
              </w:rPr>
            </w:pPr>
          </w:p>
          <w:p w14:paraId="4913D7E3">
            <w:pPr>
              <w:spacing w:line="267" w:lineRule="auto"/>
              <w:rPr>
                <w:rFonts w:ascii="Arial"/>
                <w:sz w:val="21"/>
              </w:rPr>
            </w:pPr>
          </w:p>
          <w:p w14:paraId="3F1CE610">
            <w:pPr>
              <w:spacing w:line="267" w:lineRule="auto"/>
              <w:rPr>
                <w:rFonts w:ascii="Arial"/>
                <w:sz w:val="21"/>
              </w:rPr>
            </w:pPr>
          </w:p>
          <w:p w14:paraId="669545A5">
            <w:pPr>
              <w:spacing w:line="267" w:lineRule="auto"/>
              <w:rPr>
                <w:rFonts w:ascii="Arial"/>
                <w:sz w:val="21"/>
              </w:rPr>
            </w:pPr>
          </w:p>
          <w:p w14:paraId="6B0A3269">
            <w:pPr>
              <w:spacing w:line="267" w:lineRule="auto"/>
              <w:rPr>
                <w:rFonts w:ascii="Arial"/>
                <w:sz w:val="21"/>
              </w:rPr>
            </w:pPr>
          </w:p>
          <w:p w14:paraId="414D77A1">
            <w:pPr>
              <w:pStyle w:val="9"/>
              <w:spacing w:before="65" w:line="253" w:lineRule="auto"/>
              <w:ind w:left="104" w:right="108" w:firstLine="9"/>
              <w:outlineLvl w:val="2"/>
              <w:rPr>
                <w:sz w:val="20"/>
                <w:szCs w:val="20"/>
              </w:rPr>
            </w:pPr>
            <w:r>
              <w:rPr>
                <w:spacing w:val="-1"/>
                <w:sz w:val="20"/>
                <w:szCs w:val="20"/>
              </w:rPr>
              <w:t>噪声</w:t>
            </w:r>
            <w:r>
              <w:rPr>
                <w:spacing w:val="4"/>
                <w:sz w:val="20"/>
                <w:szCs w:val="20"/>
              </w:rPr>
              <w:t>防治措施</w:t>
            </w:r>
          </w:p>
        </w:tc>
        <w:tc>
          <w:tcPr>
            <w:tcW w:w="410" w:type="dxa"/>
            <w:textDirection w:val="tbRlV"/>
            <w:vAlign w:val="top"/>
          </w:tcPr>
          <w:p w14:paraId="6B58D3E4">
            <w:pPr>
              <w:pStyle w:val="9"/>
              <w:spacing w:before="102" w:line="217" w:lineRule="auto"/>
              <w:ind w:left="448"/>
              <w:outlineLvl w:val="2"/>
              <w:rPr>
                <w:sz w:val="20"/>
                <w:szCs w:val="20"/>
              </w:rPr>
            </w:pPr>
            <w:r>
              <w:rPr>
                <w:spacing w:val="8"/>
                <w:sz w:val="20"/>
                <w:szCs w:val="20"/>
              </w:rPr>
              <w:t>施</w:t>
            </w:r>
            <w:r>
              <w:rPr>
                <w:spacing w:val="-37"/>
                <w:sz w:val="20"/>
                <w:szCs w:val="20"/>
              </w:rPr>
              <w:t xml:space="preserve"> </w:t>
            </w:r>
            <w:r>
              <w:rPr>
                <w:spacing w:val="8"/>
                <w:sz w:val="20"/>
                <w:szCs w:val="20"/>
              </w:rPr>
              <w:t>工</w:t>
            </w:r>
            <w:r>
              <w:rPr>
                <w:spacing w:val="-37"/>
                <w:sz w:val="20"/>
                <w:szCs w:val="20"/>
              </w:rPr>
              <w:t xml:space="preserve"> </w:t>
            </w:r>
            <w:r>
              <w:rPr>
                <w:spacing w:val="8"/>
                <w:sz w:val="20"/>
                <w:szCs w:val="20"/>
              </w:rPr>
              <w:t>期</w:t>
            </w:r>
          </w:p>
        </w:tc>
        <w:tc>
          <w:tcPr>
            <w:tcW w:w="6335" w:type="dxa"/>
            <w:vAlign w:val="top"/>
          </w:tcPr>
          <w:p w14:paraId="787A1B54">
            <w:pPr>
              <w:pStyle w:val="9"/>
              <w:spacing w:before="40" w:line="250" w:lineRule="auto"/>
              <w:ind w:left="68" w:right="51" w:firstLine="409"/>
              <w:outlineLvl w:val="2"/>
              <w:rPr>
                <w:sz w:val="20"/>
                <w:szCs w:val="20"/>
              </w:rPr>
            </w:pPr>
            <w:r>
              <w:rPr>
                <w:spacing w:val="7"/>
                <w:sz w:val="20"/>
                <w:szCs w:val="20"/>
              </w:rPr>
              <w:t>①施工期间，尽量选用优质低噪声施工机械设备。确需夜间施工</w:t>
            </w:r>
            <w:r>
              <w:rPr>
                <w:spacing w:val="9"/>
                <w:sz w:val="20"/>
                <w:szCs w:val="20"/>
              </w:rPr>
              <w:t>时，必须经当地环境保护行政主管部门同意，并</w:t>
            </w:r>
            <w:r>
              <w:rPr>
                <w:spacing w:val="8"/>
                <w:sz w:val="20"/>
                <w:szCs w:val="20"/>
              </w:rPr>
              <w:t>告知公众。</w:t>
            </w:r>
          </w:p>
          <w:p w14:paraId="2E06DD6B">
            <w:pPr>
              <w:pStyle w:val="9"/>
              <w:spacing w:line="251" w:lineRule="auto"/>
              <w:ind w:left="60" w:right="51" w:firstLine="416"/>
              <w:outlineLvl w:val="2"/>
              <w:rPr>
                <w:sz w:val="20"/>
                <w:szCs w:val="20"/>
              </w:rPr>
            </w:pPr>
            <w:r>
              <w:rPr>
                <w:spacing w:val="7"/>
                <w:sz w:val="20"/>
                <w:szCs w:val="20"/>
              </w:rPr>
              <w:t>②加强施工机械的维修、管理，保证施工机械处于低噪声、高效率的良好工作状态。</w:t>
            </w:r>
          </w:p>
          <w:p w14:paraId="213A644D">
            <w:pPr>
              <w:pStyle w:val="9"/>
              <w:spacing w:before="1" w:line="230" w:lineRule="auto"/>
              <w:ind w:left="61" w:right="49" w:firstLine="414"/>
              <w:outlineLvl w:val="2"/>
              <w:rPr>
                <w:sz w:val="20"/>
                <w:szCs w:val="20"/>
              </w:rPr>
            </w:pPr>
            <w:r>
              <w:rPr>
                <w:spacing w:val="7"/>
                <w:sz w:val="20"/>
                <w:szCs w:val="20"/>
              </w:rPr>
              <w:t>③合理布置施工场地，电动机、水泵、搅拌机等强噪声设备安置于单独的工棚内。</w:t>
            </w:r>
          </w:p>
        </w:tc>
        <w:tc>
          <w:tcPr>
            <w:tcW w:w="894" w:type="dxa"/>
            <w:vMerge w:val="restart"/>
            <w:tcBorders>
              <w:bottom w:val="nil"/>
            </w:tcBorders>
            <w:vAlign w:val="top"/>
          </w:tcPr>
          <w:p w14:paraId="47FA95BA">
            <w:pPr>
              <w:spacing w:line="273" w:lineRule="auto"/>
              <w:rPr>
                <w:rFonts w:ascii="Arial"/>
                <w:sz w:val="21"/>
              </w:rPr>
            </w:pPr>
          </w:p>
          <w:p w14:paraId="1C9EB601">
            <w:pPr>
              <w:spacing w:line="274" w:lineRule="auto"/>
              <w:rPr>
                <w:rFonts w:ascii="Arial"/>
                <w:sz w:val="21"/>
              </w:rPr>
            </w:pPr>
          </w:p>
          <w:p w14:paraId="0B1B648C">
            <w:pPr>
              <w:spacing w:line="274" w:lineRule="auto"/>
              <w:rPr>
                <w:rFonts w:ascii="Arial"/>
                <w:sz w:val="21"/>
              </w:rPr>
            </w:pPr>
          </w:p>
          <w:p w14:paraId="540D2C98">
            <w:pPr>
              <w:spacing w:line="274" w:lineRule="auto"/>
              <w:rPr>
                <w:rFonts w:ascii="Arial"/>
                <w:sz w:val="21"/>
              </w:rPr>
            </w:pPr>
          </w:p>
          <w:p w14:paraId="1CA15A10">
            <w:pPr>
              <w:spacing w:line="274" w:lineRule="auto"/>
              <w:rPr>
                <w:rFonts w:ascii="Arial"/>
                <w:sz w:val="21"/>
              </w:rPr>
            </w:pPr>
          </w:p>
          <w:p w14:paraId="7BDB8F71">
            <w:pPr>
              <w:spacing w:line="274" w:lineRule="auto"/>
              <w:rPr>
                <w:rFonts w:ascii="Arial"/>
                <w:sz w:val="21"/>
              </w:rPr>
            </w:pPr>
          </w:p>
          <w:p w14:paraId="681673ED">
            <w:pPr>
              <w:spacing w:line="274" w:lineRule="auto"/>
              <w:rPr>
                <w:rFonts w:ascii="Arial"/>
                <w:sz w:val="21"/>
              </w:rPr>
            </w:pPr>
          </w:p>
          <w:p w14:paraId="2561256E">
            <w:pPr>
              <w:spacing w:before="57" w:line="195" w:lineRule="auto"/>
              <w:ind w:left="403"/>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218" w:type="dxa"/>
            <w:vMerge w:val="continue"/>
            <w:tcBorders>
              <w:top w:val="nil"/>
              <w:bottom w:val="nil"/>
              <w:right w:val="single" w:color="000000" w:sz="6" w:space="0"/>
            </w:tcBorders>
            <w:vAlign w:val="top"/>
          </w:tcPr>
          <w:p w14:paraId="60BAA4D2">
            <w:pPr>
              <w:rPr>
                <w:rFonts w:ascii="Arial"/>
                <w:sz w:val="21"/>
              </w:rPr>
            </w:pPr>
          </w:p>
        </w:tc>
      </w:tr>
      <w:tr w14:paraId="7F85D3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3" w:hRule="atLeast"/>
        </w:trPr>
        <w:tc>
          <w:tcPr>
            <w:tcW w:w="505" w:type="dxa"/>
            <w:vMerge w:val="continue"/>
            <w:tcBorders>
              <w:top w:val="nil"/>
              <w:left w:val="single" w:color="000000" w:sz="6" w:space="0"/>
              <w:bottom w:val="nil"/>
            </w:tcBorders>
            <w:vAlign w:val="top"/>
          </w:tcPr>
          <w:p w14:paraId="42F4EF80">
            <w:pPr>
              <w:rPr>
                <w:rFonts w:ascii="Arial"/>
                <w:sz w:val="21"/>
              </w:rPr>
            </w:pPr>
          </w:p>
        </w:tc>
        <w:tc>
          <w:tcPr>
            <w:tcW w:w="209" w:type="dxa"/>
            <w:vMerge w:val="continue"/>
            <w:tcBorders>
              <w:top w:val="nil"/>
              <w:bottom w:val="nil"/>
            </w:tcBorders>
            <w:vAlign w:val="top"/>
          </w:tcPr>
          <w:p w14:paraId="501DDAE2">
            <w:pPr>
              <w:rPr>
                <w:rFonts w:ascii="Arial"/>
                <w:sz w:val="21"/>
              </w:rPr>
            </w:pPr>
          </w:p>
        </w:tc>
        <w:tc>
          <w:tcPr>
            <w:tcW w:w="366" w:type="dxa"/>
            <w:vMerge w:val="continue"/>
            <w:tcBorders>
              <w:top w:val="nil"/>
            </w:tcBorders>
            <w:vAlign w:val="top"/>
          </w:tcPr>
          <w:p w14:paraId="1DCF2832">
            <w:pPr>
              <w:rPr>
                <w:rFonts w:ascii="Arial"/>
                <w:sz w:val="21"/>
              </w:rPr>
            </w:pPr>
          </w:p>
        </w:tc>
        <w:tc>
          <w:tcPr>
            <w:tcW w:w="627" w:type="dxa"/>
            <w:vMerge w:val="continue"/>
            <w:tcBorders>
              <w:top w:val="nil"/>
            </w:tcBorders>
            <w:vAlign w:val="top"/>
          </w:tcPr>
          <w:p w14:paraId="79A31D18">
            <w:pPr>
              <w:rPr>
                <w:rFonts w:ascii="Arial"/>
                <w:sz w:val="21"/>
              </w:rPr>
            </w:pPr>
          </w:p>
        </w:tc>
        <w:tc>
          <w:tcPr>
            <w:tcW w:w="410" w:type="dxa"/>
            <w:textDirection w:val="tbRlV"/>
            <w:vAlign w:val="top"/>
          </w:tcPr>
          <w:p w14:paraId="4D5E2B75">
            <w:pPr>
              <w:pStyle w:val="9"/>
              <w:spacing w:before="103" w:line="216" w:lineRule="auto"/>
              <w:ind w:left="858"/>
              <w:outlineLvl w:val="2"/>
              <w:rPr>
                <w:sz w:val="20"/>
                <w:szCs w:val="20"/>
              </w:rPr>
            </w:pPr>
            <w:r>
              <w:rPr>
                <w:spacing w:val="8"/>
                <w:sz w:val="20"/>
                <w:szCs w:val="20"/>
              </w:rPr>
              <w:t>运</w:t>
            </w:r>
            <w:r>
              <w:rPr>
                <w:spacing w:val="-37"/>
                <w:sz w:val="20"/>
                <w:szCs w:val="20"/>
              </w:rPr>
              <w:t xml:space="preserve"> </w:t>
            </w:r>
            <w:r>
              <w:rPr>
                <w:spacing w:val="8"/>
                <w:sz w:val="20"/>
                <w:szCs w:val="20"/>
              </w:rPr>
              <w:t>营</w:t>
            </w:r>
            <w:r>
              <w:rPr>
                <w:spacing w:val="-37"/>
                <w:sz w:val="20"/>
                <w:szCs w:val="20"/>
              </w:rPr>
              <w:t xml:space="preserve"> </w:t>
            </w:r>
            <w:r>
              <w:rPr>
                <w:spacing w:val="8"/>
                <w:sz w:val="20"/>
                <w:szCs w:val="20"/>
              </w:rPr>
              <w:t>期</w:t>
            </w:r>
          </w:p>
        </w:tc>
        <w:tc>
          <w:tcPr>
            <w:tcW w:w="6335" w:type="dxa"/>
            <w:vAlign w:val="top"/>
          </w:tcPr>
          <w:p w14:paraId="5B3317B4">
            <w:pPr>
              <w:pStyle w:val="9"/>
              <w:spacing w:before="42" w:line="250" w:lineRule="auto"/>
              <w:ind w:left="58" w:right="51" w:firstLine="419"/>
              <w:outlineLvl w:val="2"/>
              <w:rPr>
                <w:sz w:val="20"/>
                <w:szCs w:val="20"/>
              </w:rPr>
            </w:pPr>
            <w:r>
              <w:rPr>
                <w:spacing w:val="7"/>
                <w:sz w:val="20"/>
                <w:szCs w:val="20"/>
              </w:rPr>
              <w:t>①项目设计时应合理布局场区，合理布局升压站，主变布置在场</w:t>
            </w:r>
            <w:r>
              <w:rPr>
                <w:spacing w:val="8"/>
                <w:sz w:val="20"/>
                <w:szCs w:val="20"/>
              </w:rPr>
              <w:t>地中间，周围布置主控楼等辅助建筑。</w:t>
            </w:r>
          </w:p>
          <w:p w14:paraId="6B516BC3">
            <w:pPr>
              <w:pStyle w:val="9"/>
              <w:spacing w:line="251" w:lineRule="auto"/>
              <w:ind w:left="63" w:right="51" w:firstLine="413"/>
              <w:outlineLvl w:val="2"/>
              <w:rPr>
                <w:sz w:val="20"/>
                <w:szCs w:val="20"/>
              </w:rPr>
            </w:pPr>
            <w:r>
              <w:rPr>
                <w:spacing w:val="7"/>
                <w:sz w:val="20"/>
                <w:szCs w:val="20"/>
              </w:rPr>
              <w:t>②选用低噪声主变压器等设备，并加强维护管理，确保设备在正</w:t>
            </w:r>
            <w:r>
              <w:rPr>
                <w:spacing w:val="6"/>
                <w:sz w:val="20"/>
                <w:szCs w:val="20"/>
              </w:rPr>
              <w:t>常状态下运行。</w:t>
            </w:r>
          </w:p>
          <w:p w14:paraId="35DC5EEB">
            <w:pPr>
              <w:pStyle w:val="9"/>
              <w:spacing w:line="225" w:lineRule="auto"/>
              <w:ind w:left="476"/>
              <w:outlineLvl w:val="2"/>
              <w:rPr>
                <w:sz w:val="20"/>
                <w:szCs w:val="20"/>
              </w:rPr>
            </w:pPr>
            <w:r>
              <w:rPr>
                <w:spacing w:val="9"/>
                <w:sz w:val="20"/>
                <w:szCs w:val="20"/>
              </w:rPr>
              <w:t>③升压站周围植树种草进行绿化，通过绿化带衰减降低噪声。</w:t>
            </w:r>
          </w:p>
          <w:p w14:paraId="313B73D3">
            <w:pPr>
              <w:pStyle w:val="9"/>
              <w:spacing w:before="30" w:line="225" w:lineRule="auto"/>
              <w:jc w:val="right"/>
              <w:outlineLvl w:val="2"/>
              <w:rPr>
                <w:sz w:val="20"/>
                <w:szCs w:val="20"/>
              </w:rPr>
            </w:pPr>
            <w:r>
              <w:rPr>
                <w:spacing w:val="8"/>
                <w:sz w:val="20"/>
                <w:szCs w:val="20"/>
              </w:rPr>
              <w:t>④变压器等变配电设备的低频噪声容易引起人群和动物的</w:t>
            </w:r>
            <w:r>
              <w:rPr>
                <w:spacing w:val="7"/>
                <w:sz w:val="20"/>
                <w:szCs w:val="20"/>
              </w:rPr>
              <w:t>烦恼，</w:t>
            </w:r>
          </w:p>
          <w:p w14:paraId="61AD0E1B">
            <w:pPr>
              <w:pStyle w:val="9"/>
              <w:spacing w:before="28" w:line="236" w:lineRule="auto"/>
              <w:ind w:left="60" w:right="49" w:firstLine="14"/>
              <w:jc w:val="both"/>
              <w:rPr>
                <w:sz w:val="20"/>
                <w:szCs w:val="20"/>
              </w:rPr>
            </w:pPr>
            <w:r>
              <w:rPr>
                <w:spacing w:val="7"/>
                <w:sz w:val="20"/>
                <w:szCs w:val="20"/>
              </w:rPr>
              <w:t>因此应做好变压器等设备基础的隔振处理；合理布局升压</w:t>
            </w:r>
            <w:r>
              <w:rPr>
                <w:spacing w:val="6"/>
                <w:sz w:val="20"/>
                <w:szCs w:val="20"/>
              </w:rPr>
              <w:t>站，并针对</w:t>
            </w:r>
            <w:r>
              <w:rPr>
                <w:spacing w:val="7"/>
                <w:sz w:val="20"/>
                <w:szCs w:val="20"/>
              </w:rPr>
              <w:t>升压站室内变配电设备噪声，采取室内壁吸声处理措施，可降低低频</w:t>
            </w:r>
            <w:r>
              <w:rPr>
                <w:spacing w:val="6"/>
                <w:sz w:val="20"/>
                <w:szCs w:val="20"/>
              </w:rPr>
              <w:t>噪声烦恼度。</w:t>
            </w:r>
          </w:p>
        </w:tc>
        <w:tc>
          <w:tcPr>
            <w:tcW w:w="894" w:type="dxa"/>
            <w:vMerge w:val="continue"/>
            <w:tcBorders>
              <w:top w:val="nil"/>
            </w:tcBorders>
            <w:vAlign w:val="top"/>
          </w:tcPr>
          <w:p w14:paraId="0A2B9C25">
            <w:pPr>
              <w:rPr>
                <w:rFonts w:ascii="Arial"/>
                <w:sz w:val="21"/>
              </w:rPr>
            </w:pPr>
          </w:p>
        </w:tc>
        <w:tc>
          <w:tcPr>
            <w:tcW w:w="218" w:type="dxa"/>
            <w:vMerge w:val="continue"/>
            <w:tcBorders>
              <w:top w:val="nil"/>
              <w:bottom w:val="nil"/>
              <w:right w:val="single" w:color="000000" w:sz="6" w:space="0"/>
            </w:tcBorders>
            <w:vAlign w:val="top"/>
          </w:tcPr>
          <w:p w14:paraId="2ABD10BB">
            <w:pPr>
              <w:rPr>
                <w:rFonts w:ascii="Arial"/>
                <w:sz w:val="21"/>
              </w:rPr>
            </w:pPr>
          </w:p>
        </w:tc>
      </w:tr>
      <w:tr w14:paraId="3F7A60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505" w:type="dxa"/>
            <w:vMerge w:val="continue"/>
            <w:tcBorders>
              <w:top w:val="nil"/>
              <w:left w:val="single" w:color="000000" w:sz="6" w:space="0"/>
              <w:bottom w:val="nil"/>
            </w:tcBorders>
            <w:vAlign w:val="top"/>
          </w:tcPr>
          <w:p w14:paraId="7F4540D7">
            <w:pPr>
              <w:rPr>
                <w:rFonts w:ascii="Arial"/>
                <w:sz w:val="21"/>
              </w:rPr>
            </w:pPr>
          </w:p>
        </w:tc>
        <w:tc>
          <w:tcPr>
            <w:tcW w:w="209" w:type="dxa"/>
            <w:vMerge w:val="continue"/>
            <w:tcBorders>
              <w:top w:val="nil"/>
              <w:bottom w:val="nil"/>
            </w:tcBorders>
            <w:vAlign w:val="top"/>
          </w:tcPr>
          <w:p w14:paraId="31938BAA">
            <w:pPr>
              <w:rPr>
                <w:rFonts w:ascii="Arial"/>
                <w:sz w:val="21"/>
              </w:rPr>
            </w:pPr>
          </w:p>
        </w:tc>
        <w:tc>
          <w:tcPr>
            <w:tcW w:w="366" w:type="dxa"/>
            <w:vAlign w:val="top"/>
          </w:tcPr>
          <w:p w14:paraId="4E29D14B">
            <w:pPr>
              <w:spacing w:line="294" w:lineRule="auto"/>
              <w:rPr>
                <w:rFonts w:ascii="Arial"/>
                <w:sz w:val="21"/>
              </w:rPr>
            </w:pPr>
          </w:p>
          <w:p w14:paraId="210C3DD0">
            <w:pPr>
              <w:spacing w:before="57" w:line="195" w:lineRule="auto"/>
              <w:ind w:left="130"/>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627" w:type="dxa"/>
            <w:vAlign w:val="top"/>
          </w:tcPr>
          <w:p w14:paraId="5040EC95">
            <w:pPr>
              <w:pStyle w:val="9"/>
              <w:spacing w:before="47" w:line="235" w:lineRule="auto"/>
              <w:ind w:left="104" w:right="108" w:firstLine="1"/>
              <w:outlineLvl w:val="2"/>
              <w:rPr>
                <w:sz w:val="20"/>
                <w:szCs w:val="20"/>
              </w:rPr>
            </w:pPr>
            <w:r>
              <w:rPr>
                <w:spacing w:val="3"/>
                <w:sz w:val="20"/>
                <w:szCs w:val="20"/>
              </w:rPr>
              <w:t>生态</w:t>
            </w:r>
            <w:r>
              <w:rPr>
                <w:spacing w:val="4"/>
                <w:sz w:val="20"/>
                <w:szCs w:val="20"/>
              </w:rPr>
              <w:t>保护措施</w:t>
            </w:r>
          </w:p>
        </w:tc>
        <w:tc>
          <w:tcPr>
            <w:tcW w:w="6745" w:type="dxa"/>
            <w:gridSpan w:val="2"/>
            <w:vAlign w:val="top"/>
          </w:tcPr>
          <w:p w14:paraId="352BC35A">
            <w:pPr>
              <w:pStyle w:val="9"/>
              <w:spacing w:before="46" w:line="228" w:lineRule="auto"/>
              <w:ind w:left="477"/>
              <w:outlineLvl w:val="2"/>
              <w:rPr>
                <w:sz w:val="20"/>
                <w:szCs w:val="20"/>
              </w:rPr>
            </w:pPr>
            <w:r>
              <w:rPr>
                <w:spacing w:val="9"/>
                <w:sz w:val="20"/>
                <w:szCs w:val="20"/>
              </w:rPr>
              <w:t>施工结束后，对临时施工营地周边扰动区进行植被恢复。</w:t>
            </w:r>
          </w:p>
          <w:p w14:paraId="04FA52AC">
            <w:pPr>
              <w:pStyle w:val="9"/>
              <w:spacing w:before="23" w:line="228" w:lineRule="auto"/>
              <w:ind w:left="67" w:right="51" w:firstLine="411"/>
              <w:outlineLvl w:val="2"/>
              <w:rPr>
                <w:sz w:val="20"/>
                <w:szCs w:val="20"/>
              </w:rPr>
            </w:pPr>
            <w:r>
              <w:rPr>
                <w:spacing w:val="7"/>
                <w:sz w:val="20"/>
                <w:szCs w:val="20"/>
              </w:rPr>
              <w:t>升压站生活管理区进行绿化，在生活区围墙周围进行绿化，主</w:t>
            </w:r>
            <w:r>
              <w:rPr>
                <w:spacing w:val="6"/>
                <w:sz w:val="20"/>
                <w:szCs w:val="20"/>
              </w:rPr>
              <w:t>要种植</w:t>
            </w:r>
            <w:r>
              <w:rPr>
                <w:spacing w:val="8"/>
                <w:sz w:val="20"/>
                <w:szCs w:val="20"/>
              </w:rPr>
              <w:t>多年生羊草</w:t>
            </w:r>
            <w:r>
              <w:rPr>
                <w:rFonts w:ascii="Times New Roman" w:hAnsi="Times New Roman" w:eastAsia="Times New Roman" w:cs="Times New Roman"/>
                <w:spacing w:val="8"/>
                <w:sz w:val="20"/>
                <w:szCs w:val="20"/>
              </w:rPr>
              <w:t>+</w:t>
            </w:r>
            <w:r>
              <w:rPr>
                <w:spacing w:val="8"/>
                <w:sz w:val="20"/>
                <w:szCs w:val="20"/>
              </w:rPr>
              <w:t>紫苜蓿草，及当地树种杨树。</w:t>
            </w:r>
          </w:p>
        </w:tc>
        <w:tc>
          <w:tcPr>
            <w:tcW w:w="894" w:type="dxa"/>
            <w:vAlign w:val="top"/>
          </w:tcPr>
          <w:p w14:paraId="5452FD5D">
            <w:pPr>
              <w:spacing w:line="294" w:lineRule="auto"/>
              <w:rPr>
                <w:rFonts w:ascii="Arial"/>
                <w:sz w:val="21"/>
              </w:rPr>
            </w:pPr>
          </w:p>
          <w:p w14:paraId="473D873F">
            <w:pPr>
              <w:spacing w:before="57" w:line="195" w:lineRule="auto"/>
              <w:ind w:left="355"/>
              <w:outlineLvl w:val="2"/>
              <w:rPr>
                <w:rFonts w:ascii="Times New Roman" w:hAnsi="Times New Roman" w:eastAsia="Times New Roman" w:cs="Times New Roman"/>
                <w:sz w:val="20"/>
                <w:szCs w:val="20"/>
              </w:rPr>
            </w:pPr>
            <w:r>
              <w:rPr>
                <w:rFonts w:ascii="Times New Roman" w:hAnsi="Times New Roman" w:eastAsia="Times New Roman" w:cs="Times New Roman"/>
                <w:sz w:val="20"/>
                <w:szCs w:val="20"/>
              </w:rPr>
              <w:t>35</w:t>
            </w:r>
          </w:p>
        </w:tc>
        <w:tc>
          <w:tcPr>
            <w:tcW w:w="218" w:type="dxa"/>
            <w:vMerge w:val="continue"/>
            <w:tcBorders>
              <w:top w:val="nil"/>
              <w:bottom w:val="nil"/>
              <w:right w:val="single" w:color="000000" w:sz="6" w:space="0"/>
            </w:tcBorders>
            <w:vAlign w:val="top"/>
          </w:tcPr>
          <w:p w14:paraId="3768837D">
            <w:pPr>
              <w:rPr>
                <w:rFonts w:ascii="Arial"/>
                <w:sz w:val="21"/>
              </w:rPr>
            </w:pPr>
          </w:p>
        </w:tc>
      </w:tr>
      <w:tr w14:paraId="3513D9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505" w:type="dxa"/>
            <w:vMerge w:val="continue"/>
            <w:tcBorders>
              <w:top w:val="nil"/>
              <w:left w:val="single" w:color="000000" w:sz="6" w:space="0"/>
              <w:bottom w:val="single" w:color="000000" w:sz="6" w:space="0"/>
            </w:tcBorders>
            <w:vAlign w:val="top"/>
          </w:tcPr>
          <w:p w14:paraId="680FE416">
            <w:pPr>
              <w:rPr>
                <w:rFonts w:ascii="Arial"/>
                <w:sz w:val="21"/>
              </w:rPr>
            </w:pPr>
          </w:p>
        </w:tc>
        <w:tc>
          <w:tcPr>
            <w:tcW w:w="209" w:type="dxa"/>
            <w:vMerge w:val="continue"/>
            <w:tcBorders>
              <w:top w:val="nil"/>
              <w:bottom w:val="single" w:color="000000" w:sz="6" w:space="0"/>
            </w:tcBorders>
            <w:vAlign w:val="top"/>
          </w:tcPr>
          <w:p w14:paraId="768C73E6">
            <w:pPr>
              <w:rPr>
                <w:rFonts w:ascii="Arial"/>
                <w:sz w:val="21"/>
              </w:rPr>
            </w:pPr>
          </w:p>
        </w:tc>
        <w:tc>
          <w:tcPr>
            <w:tcW w:w="7738" w:type="dxa"/>
            <w:gridSpan w:val="4"/>
            <w:tcBorders>
              <w:bottom w:val="single" w:color="000000" w:sz="6" w:space="0"/>
            </w:tcBorders>
            <w:vAlign w:val="top"/>
          </w:tcPr>
          <w:p w14:paraId="6CA33A5E">
            <w:pPr>
              <w:pStyle w:val="9"/>
              <w:spacing w:before="79" w:line="229" w:lineRule="auto"/>
              <w:ind w:left="3665"/>
              <w:outlineLvl w:val="2"/>
              <w:rPr>
                <w:sz w:val="20"/>
                <w:szCs w:val="20"/>
              </w:rPr>
            </w:pPr>
            <w:r>
              <w:rPr>
                <w:spacing w:val="4"/>
                <w:sz w:val="20"/>
                <w:szCs w:val="20"/>
              </w:rPr>
              <w:t>合计</w:t>
            </w:r>
          </w:p>
        </w:tc>
        <w:tc>
          <w:tcPr>
            <w:tcW w:w="894" w:type="dxa"/>
            <w:tcBorders>
              <w:bottom w:val="single" w:color="000000" w:sz="6" w:space="0"/>
            </w:tcBorders>
            <w:vAlign w:val="top"/>
          </w:tcPr>
          <w:p w14:paraId="46F682C3">
            <w:pPr>
              <w:spacing w:before="115" w:line="195" w:lineRule="auto"/>
              <w:ind w:left="275"/>
              <w:outlineLvl w:val="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99.</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p>
        </w:tc>
        <w:tc>
          <w:tcPr>
            <w:tcW w:w="218" w:type="dxa"/>
            <w:vMerge w:val="continue"/>
            <w:tcBorders>
              <w:top w:val="nil"/>
              <w:bottom w:val="single" w:color="000000" w:sz="6" w:space="0"/>
              <w:right w:val="single" w:color="000000" w:sz="6" w:space="0"/>
            </w:tcBorders>
            <w:vAlign w:val="top"/>
          </w:tcPr>
          <w:p w14:paraId="19EA4692">
            <w:pPr>
              <w:rPr>
                <w:rFonts w:ascii="Arial"/>
                <w:sz w:val="21"/>
              </w:rPr>
            </w:pPr>
          </w:p>
        </w:tc>
      </w:tr>
    </w:tbl>
    <w:p w14:paraId="28E4425B">
      <w:pPr>
        <w:pStyle w:val="3"/>
      </w:pPr>
    </w:p>
    <w:p w14:paraId="650AAAFE">
      <w:pPr>
        <w:sectPr>
          <w:footerReference r:id="rId88" w:type="default"/>
          <w:pgSz w:w="11907" w:h="16840"/>
          <w:pgMar w:top="1431" w:right="1164" w:bottom="1295" w:left="1163" w:header="0" w:footer="1133" w:gutter="0"/>
          <w:cols w:space="720" w:num="1"/>
        </w:sectPr>
      </w:pPr>
    </w:p>
    <w:p w14:paraId="3E66F4BC">
      <w:pPr>
        <w:pStyle w:val="3"/>
        <w:spacing w:line="263" w:lineRule="auto"/>
      </w:pPr>
    </w:p>
    <w:p w14:paraId="7A1B8FA2">
      <w:pPr>
        <w:pStyle w:val="3"/>
        <w:spacing w:line="263" w:lineRule="auto"/>
      </w:pPr>
    </w:p>
    <w:p w14:paraId="6FD53014">
      <w:pPr>
        <w:spacing w:before="97" w:line="216" w:lineRule="auto"/>
        <w:ind w:left="4599"/>
        <w:outlineLvl w:val="0"/>
        <w:rPr>
          <w:rFonts w:ascii="宋体" w:hAnsi="宋体" w:eastAsia="宋体" w:cs="宋体"/>
          <w:sz w:val="30"/>
          <w:szCs w:val="30"/>
        </w:rPr>
      </w:pPr>
      <w:r>
        <w:rPr>
          <w:rFonts w:ascii="宋体" w:hAnsi="宋体" w:eastAsia="宋体" w:cs="宋体"/>
          <w:b/>
          <w:bCs/>
          <w:spacing w:val="-3"/>
          <w:sz w:val="30"/>
          <w:szCs w:val="30"/>
        </w:rPr>
        <w:t>六、生态环境保护措施监督检查清单</w:t>
      </w:r>
    </w:p>
    <w:tbl>
      <w:tblPr>
        <w:tblStyle w:val="8"/>
        <w:tblW w:w="136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15"/>
        <w:gridCol w:w="3195"/>
        <w:gridCol w:w="2503"/>
        <w:gridCol w:w="3793"/>
        <w:gridCol w:w="2377"/>
      </w:tblGrid>
      <w:tr w14:paraId="257C1F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815" w:type="dxa"/>
            <w:vMerge w:val="restart"/>
            <w:tcBorders>
              <w:bottom w:val="nil"/>
              <w:tl2br w:val="single" w:color="000000" w:sz="4" w:space="0"/>
            </w:tcBorders>
            <w:vAlign w:val="top"/>
          </w:tcPr>
          <w:p w14:paraId="02EC7D03">
            <w:pPr>
              <w:pStyle w:val="9"/>
              <w:spacing w:before="55" w:line="228" w:lineRule="auto"/>
              <w:ind w:left="982"/>
              <w:outlineLvl w:val="0"/>
              <w:rPr>
                <w:sz w:val="20"/>
                <w:szCs w:val="20"/>
              </w:rPr>
            </w:pPr>
            <w:r>
              <w:rPr>
                <w:b/>
                <w:bCs/>
                <w:spacing w:val="-9"/>
                <w:sz w:val="20"/>
                <w:szCs w:val="20"/>
              </w:rPr>
              <w:t>内容</w:t>
            </w:r>
          </w:p>
          <w:p w14:paraId="40672DA2">
            <w:pPr>
              <w:spacing w:line="279" w:lineRule="auto"/>
              <w:rPr>
                <w:rFonts w:ascii="Arial"/>
                <w:sz w:val="21"/>
              </w:rPr>
            </w:pPr>
          </w:p>
          <w:p w14:paraId="6E2B8C53">
            <w:pPr>
              <w:pStyle w:val="9"/>
              <w:spacing w:before="65" w:line="228" w:lineRule="auto"/>
              <w:ind w:left="537"/>
              <w:outlineLvl w:val="0"/>
              <w:rPr>
                <w:sz w:val="20"/>
                <w:szCs w:val="20"/>
              </w:rPr>
            </w:pPr>
            <w:r>
              <w:rPr>
                <w:b/>
                <w:bCs/>
                <w:spacing w:val="3"/>
                <w:sz w:val="20"/>
                <w:szCs w:val="20"/>
              </w:rPr>
              <w:t>要素</w:t>
            </w:r>
          </w:p>
        </w:tc>
        <w:tc>
          <w:tcPr>
            <w:tcW w:w="5698" w:type="dxa"/>
            <w:gridSpan w:val="2"/>
            <w:vAlign w:val="top"/>
          </w:tcPr>
          <w:p w14:paraId="1042F002">
            <w:pPr>
              <w:pStyle w:val="9"/>
              <w:spacing w:before="56" w:line="228" w:lineRule="auto"/>
              <w:ind w:left="2745"/>
              <w:outlineLvl w:val="0"/>
              <w:rPr>
                <w:sz w:val="20"/>
                <w:szCs w:val="20"/>
              </w:rPr>
            </w:pPr>
            <w:r>
              <w:rPr>
                <w:b/>
                <w:bCs/>
                <w:spacing w:val="5"/>
                <w:sz w:val="20"/>
                <w:szCs w:val="20"/>
              </w:rPr>
              <w:t>施工期</w:t>
            </w:r>
          </w:p>
        </w:tc>
        <w:tc>
          <w:tcPr>
            <w:tcW w:w="6170" w:type="dxa"/>
            <w:gridSpan w:val="2"/>
            <w:vAlign w:val="top"/>
          </w:tcPr>
          <w:p w14:paraId="115F8BD2">
            <w:pPr>
              <w:pStyle w:val="9"/>
              <w:spacing w:before="56" w:line="228" w:lineRule="auto"/>
              <w:ind w:left="2983"/>
              <w:outlineLvl w:val="0"/>
              <w:rPr>
                <w:sz w:val="20"/>
                <w:szCs w:val="20"/>
              </w:rPr>
            </w:pPr>
            <w:r>
              <w:rPr>
                <w:b/>
                <w:bCs/>
                <w:spacing w:val="5"/>
                <w:sz w:val="20"/>
                <w:szCs w:val="20"/>
              </w:rPr>
              <w:t>运营期</w:t>
            </w:r>
          </w:p>
        </w:tc>
      </w:tr>
      <w:tr w14:paraId="53056D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7" w:hRule="atLeast"/>
        </w:trPr>
        <w:tc>
          <w:tcPr>
            <w:tcW w:w="1815" w:type="dxa"/>
            <w:vMerge w:val="continue"/>
            <w:tcBorders>
              <w:top w:val="nil"/>
              <w:tl2br w:val="single" w:color="000000" w:sz="4" w:space="0"/>
            </w:tcBorders>
            <w:vAlign w:val="top"/>
          </w:tcPr>
          <w:p w14:paraId="0F9BD8F4">
            <w:pPr>
              <w:rPr>
                <w:rFonts w:ascii="Arial"/>
                <w:sz w:val="21"/>
              </w:rPr>
            </w:pPr>
          </w:p>
        </w:tc>
        <w:tc>
          <w:tcPr>
            <w:tcW w:w="3195" w:type="dxa"/>
            <w:vAlign w:val="top"/>
          </w:tcPr>
          <w:p w14:paraId="6F80960A">
            <w:pPr>
              <w:pStyle w:val="9"/>
              <w:spacing w:before="188" w:line="228" w:lineRule="auto"/>
              <w:ind w:left="1179"/>
              <w:rPr>
                <w:sz w:val="20"/>
                <w:szCs w:val="20"/>
              </w:rPr>
            </w:pPr>
            <w:r>
              <w:rPr>
                <w:b/>
                <w:bCs/>
                <w:spacing w:val="6"/>
                <w:sz w:val="20"/>
                <w:szCs w:val="20"/>
              </w:rPr>
              <w:t>环境保护措施</w:t>
            </w:r>
          </w:p>
        </w:tc>
        <w:tc>
          <w:tcPr>
            <w:tcW w:w="2503" w:type="dxa"/>
            <w:vAlign w:val="top"/>
          </w:tcPr>
          <w:p w14:paraId="3B1C2C4A">
            <w:pPr>
              <w:pStyle w:val="9"/>
              <w:spacing w:before="188" w:line="228" w:lineRule="auto"/>
              <w:ind w:left="1043"/>
              <w:rPr>
                <w:sz w:val="20"/>
                <w:szCs w:val="20"/>
              </w:rPr>
            </w:pPr>
            <w:r>
              <w:rPr>
                <w:b/>
                <w:bCs/>
                <w:spacing w:val="6"/>
                <w:sz w:val="20"/>
                <w:szCs w:val="20"/>
              </w:rPr>
              <w:t>验收要求</w:t>
            </w:r>
          </w:p>
        </w:tc>
        <w:tc>
          <w:tcPr>
            <w:tcW w:w="3793" w:type="dxa"/>
            <w:vAlign w:val="top"/>
          </w:tcPr>
          <w:p w14:paraId="33818111">
            <w:pPr>
              <w:pStyle w:val="9"/>
              <w:spacing w:before="188" w:line="228" w:lineRule="auto"/>
              <w:ind w:left="1481"/>
              <w:rPr>
                <w:sz w:val="20"/>
                <w:szCs w:val="20"/>
              </w:rPr>
            </w:pPr>
            <w:r>
              <w:rPr>
                <w:b/>
                <w:bCs/>
                <w:spacing w:val="6"/>
                <w:sz w:val="20"/>
                <w:szCs w:val="20"/>
              </w:rPr>
              <w:t>环境保护措施</w:t>
            </w:r>
          </w:p>
        </w:tc>
        <w:tc>
          <w:tcPr>
            <w:tcW w:w="2377" w:type="dxa"/>
            <w:vAlign w:val="top"/>
          </w:tcPr>
          <w:p w14:paraId="0236DCF0">
            <w:pPr>
              <w:pStyle w:val="9"/>
              <w:spacing w:before="188" w:line="228" w:lineRule="auto"/>
              <w:ind w:left="982"/>
              <w:rPr>
                <w:sz w:val="20"/>
                <w:szCs w:val="20"/>
              </w:rPr>
            </w:pPr>
            <w:r>
              <w:rPr>
                <w:b/>
                <w:bCs/>
                <w:spacing w:val="6"/>
                <w:sz w:val="20"/>
                <w:szCs w:val="20"/>
              </w:rPr>
              <w:t>验收要求</w:t>
            </w:r>
          </w:p>
        </w:tc>
      </w:tr>
      <w:tr w14:paraId="6D47B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4" w:hRule="atLeast"/>
        </w:trPr>
        <w:tc>
          <w:tcPr>
            <w:tcW w:w="1815" w:type="dxa"/>
            <w:vAlign w:val="top"/>
          </w:tcPr>
          <w:p w14:paraId="2D83B0DD">
            <w:pPr>
              <w:spacing w:line="257" w:lineRule="auto"/>
              <w:rPr>
                <w:rFonts w:ascii="Arial"/>
                <w:sz w:val="21"/>
              </w:rPr>
            </w:pPr>
          </w:p>
          <w:p w14:paraId="52781054">
            <w:pPr>
              <w:spacing w:line="257" w:lineRule="auto"/>
              <w:rPr>
                <w:rFonts w:ascii="Arial"/>
                <w:sz w:val="21"/>
              </w:rPr>
            </w:pPr>
          </w:p>
          <w:p w14:paraId="53966C0E">
            <w:pPr>
              <w:spacing w:line="257" w:lineRule="auto"/>
              <w:rPr>
                <w:rFonts w:ascii="Arial"/>
                <w:sz w:val="21"/>
              </w:rPr>
            </w:pPr>
          </w:p>
          <w:p w14:paraId="21C55AB0">
            <w:pPr>
              <w:spacing w:line="257" w:lineRule="auto"/>
              <w:rPr>
                <w:rFonts w:ascii="Arial"/>
                <w:sz w:val="21"/>
              </w:rPr>
            </w:pPr>
          </w:p>
          <w:p w14:paraId="3F53AB8B">
            <w:pPr>
              <w:spacing w:line="258" w:lineRule="auto"/>
              <w:rPr>
                <w:rFonts w:ascii="Arial"/>
                <w:sz w:val="21"/>
              </w:rPr>
            </w:pPr>
          </w:p>
          <w:p w14:paraId="0CC6E33B">
            <w:pPr>
              <w:spacing w:line="258" w:lineRule="auto"/>
              <w:rPr>
                <w:rFonts w:ascii="Arial"/>
                <w:sz w:val="21"/>
              </w:rPr>
            </w:pPr>
          </w:p>
          <w:p w14:paraId="00C9B0D5">
            <w:pPr>
              <w:spacing w:line="258" w:lineRule="auto"/>
              <w:rPr>
                <w:rFonts w:ascii="Arial"/>
                <w:sz w:val="21"/>
              </w:rPr>
            </w:pPr>
          </w:p>
          <w:p w14:paraId="277A0AD1">
            <w:pPr>
              <w:spacing w:line="258" w:lineRule="auto"/>
              <w:rPr>
                <w:rFonts w:ascii="Arial"/>
                <w:sz w:val="21"/>
              </w:rPr>
            </w:pPr>
          </w:p>
          <w:p w14:paraId="66A3E152">
            <w:pPr>
              <w:spacing w:line="258" w:lineRule="auto"/>
              <w:rPr>
                <w:rFonts w:ascii="Arial"/>
                <w:sz w:val="21"/>
              </w:rPr>
            </w:pPr>
          </w:p>
          <w:p w14:paraId="4A5903AA">
            <w:pPr>
              <w:spacing w:line="258" w:lineRule="auto"/>
              <w:rPr>
                <w:rFonts w:ascii="Arial"/>
                <w:sz w:val="21"/>
              </w:rPr>
            </w:pPr>
          </w:p>
          <w:p w14:paraId="38ECC892">
            <w:pPr>
              <w:spacing w:line="258" w:lineRule="auto"/>
              <w:rPr>
                <w:rFonts w:ascii="Arial"/>
                <w:sz w:val="21"/>
              </w:rPr>
            </w:pPr>
          </w:p>
          <w:p w14:paraId="4E980BAA">
            <w:pPr>
              <w:spacing w:line="258" w:lineRule="auto"/>
              <w:rPr>
                <w:rFonts w:ascii="Arial"/>
                <w:sz w:val="21"/>
              </w:rPr>
            </w:pPr>
          </w:p>
          <w:p w14:paraId="76628014">
            <w:pPr>
              <w:spacing w:line="258" w:lineRule="auto"/>
              <w:rPr>
                <w:rFonts w:ascii="Arial"/>
                <w:sz w:val="21"/>
              </w:rPr>
            </w:pPr>
          </w:p>
          <w:p w14:paraId="499BCA50">
            <w:pPr>
              <w:pStyle w:val="9"/>
              <w:spacing w:before="65" w:line="231" w:lineRule="auto"/>
              <w:ind w:left="504"/>
              <w:outlineLvl w:val="0"/>
              <w:rPr>
                <w:sz w:val="20"/>
                <w:szCs w:val="20"/>
              </w:rPr>
            </w:pPr>
            <w:r>
              <w:rPr>
                <w:spacing w:val="4"/>
                <w:sz w:val="20"/>
                <w:szCs w:val="20"/>
              </w:rPr>
              <w:t>陆生生态</w:t>
            </w:r>
          </w:p>
        </w:tc>
        <w:tc>
          <w:tcPr>
            <w:tcW w:w="3195" w:type="dxa"/>
            <w:vAlign w:val="top"/>
          </w:tcPr>
          <w:p w14:paraId="1977F5AC">
            <w:pPr>
              <w:pStyle w:val="9"/>
              <w:spacing w:before="33" w:line="228" w:lineRule="auto"/>
              <w:ind w:left="541"/>
              <w:rPr>
                <w:sz w:val="20"/>
                <w:szCs w:val="20"/>
              </w:rPr>
            </w:pPr>
            <w:r>
              <w:rPr>
                <w:spacing w:val="3"/>
                <w:sz w:val="20"/>
                <w:szCs w:val="20"/>
              </w:rPr>
              <w:t>（</w:t>
            </w:r>
            <w:r>
              <w:rPr>
                <w:rFonts w:ascii="Times New Roman" w:hAnsi="Times New Roman" w:eastAsia="Times New Roman" w:cs="Times New Roman"/>
                <w:spacing w:val="3"/>
                <w:sz w:val="20"/>
                <w:szCs w:val="20"/>
              </w:rPr>
              <w:t>1</w:t>
            </w:r>
            <w:r>
              <w:rPr>
                <w:spacing w:val="3"/>
                <w:sz w:val="20"/>
                <w:szCs w:val="20"/>
              </w:rPr>
              <w:t>）对生态环境的避免措施</w:t>
            </w:r>
          </w:p>
          <w:p w14:paraId="7A14A873">
            <w:pPr>
              <w:pStyle w:val="9"/>
              <w:spacing w:before="25" w:line="251" w:lineRule="auto"/>
              <w:ind w:left="111" w:right="108" w:firstLine="419"/>
              <w:rPr>
                <w:sz w:val="20"/>
                <w:szCs w:val="20"/>
              </w:rPr>
            </w:pPr>
            <w:r>
              <w:rPr>
                <w:spacing w:val="12"/>
                <w:sz w:val="20"/>
                <w:szCs w:val="20"/>
              </w:rPr>
              <w:t>①尽量利用已有道路进行施工，运输、施工车辆不得随意行</w:t>
            </w:r>
            <w:r>
              <w:rPr>
                <w:spacing w:val="9"/>
                <w:sz w:val="20"/>
                <w:szCs w:val="20"/>
              </w:rPr>
              <w:t>驶，</w:t>
            </w:r>
            <w:r>
              <w:rPr>
                <w:spacing w:val="-57"/>
                <w:sz w:val="20"/>
                <w:szCs w:val="20"/>
              </w:rPr>
              <w:t xml:space="preserve"> </w:t>
            </w:r>
            <w:r>
              <w:rPr>
                <w:spacing w:val="9"/>
                <w:sz w:val="20"/>
                <w:szCs w:val="20"/>
              </w:rPr>
              <w:t>以免土层松动导致水土流失</w:t>
            </w:r>
            <w:r>
              <w:rPr>
                <w:spacing w:val="7"/>
                <w:sz w:val="20"/>
                <w:szCs w:val="20"/>
              </w:rPr>
              <w:t>的可能性增加。</w:t>
            </w:r>
          </w:p>
          <w:p w14:paraId="773CC61B">
            <w:pPr>
              <w:pStyle w:val="9"/>
              <w:spacing w:line="251" w:lineRule="auto"/>
              <w:ind w:left="109" w:right="108" w:firstLine="420"/>
              <w:rPr>
                <w:sz w:val="20"/>
                <w:szCs w:val="20"/>
              </w:rPr>
            </w:pPr>
            <w:r>
              <w:rPr>
                <w:spacing w:val="12"/>
                <w:sz w:val="20"/>
                <w:szCs w:val="20"/>
              </w:rPr>
              <w:t>②严格控制施工范围，施工活动限制在征地红线内进行并设</w:t>
            </w:r>
            <w:r>
              <w:rPr>
                <w:spacing w:val="5"/>
                <w:sz w:val="20"/>
                <w:szCs w:val="20"/>
              </w:rPr>
              <w:t>置围挡。</w:t>
            </w:r>
          </w:p>
          <w:p w14:paraId="25DB10E8">
            <w:pPr>
              <w:pStyle w:val="9"/>
              <w:spacing w:line="251" w:lineRule="auto"/>
              <w:ind w:left="114" w:right="108" w:firstLine="414"/>
              <w:rPr>
                <w:sz w:val="20"/>
                <w:szCs w:val="20"/>
              </w:rPr>
            </w:pPr>
            <w:r>
              <w:rPr>
                <w:spacing w:val="12"/>
                <w:sz w:val="20"/>
                <w:szCs w:val="20"/>
              </w:rPr>
              <w:t>③基础开挖时要进行表土剥</w:t>
            </w:r>
            <w:r>
              <w:rPr>
                <w:spacing w:val="8"/>
                <w:sz w:val="20"/>
                <w:szCs w:val="20"/>
              </w:rPr>
              <w:t>离，表土和熟化土分开堆放。</w:t>
            </w:r>
          </w:p>
          <w:p w14:paraId="5F899074">
            <w:pPr>
              <w:pStyle w:val="9"/>
              <w:spacing w:before="3" w:line="251" w:lineRule="auto"/>
              <w:ind w:left="110" w:right="108" w:firstLine="419"/>
              <w:rPr>
                <w:sz w:val="20"/>
                <w:szCs w:val="20"/>
              </w:rPr>
            </w:pPr>
            <w:r>
              <w:rPr>
                <w:spacing w:val="12"/>
                <w:sz w:val="20"/>
                <w:szCs w:val="20"/>
              </w:rPr>
              <w:t>④对施工过程中开挖的土方采取拦挡、苫盖等防护措施，避</w:t>
            </w:r>
            <w:r>
              <w:rPr>
                <w:spacing w:val="7"/>
                <w:sz w:val="20"/>
                <w:szCs w:val="20"/>
              </w:rPr>
              <w:t>免产生水土流失。</w:t>
            </w:r>
          </w:p>
          <w:p w14:paraId="06BC3777">
            <w:pPr>
              <w:pStyle w:val="9"/>
              <w:spacing w:before="1" w:line="251" w:lineRule="auto"/>
              <w:ind w:left="110" w:right="108" w:firstLine="419"/>
              <w:rPr>
                <w:sz w:val="20"/>
                <w:szCs w:val="20"/>
              </w:rPr>
            </w:pPr>
            <w:r>
              <w:rPr>
                <w:spacing w:val="12"/>
                <w:sz w:val="20"/>
                <w:szCs w:val="20"/>
              </w:rPr>
              <w:t>⑤加强施工期管理，加强对施工人员的思想教育，提高其生态环保意识；妥善处理施工过程中产生的建筑垃圾，防止乱堆乱</w:t>
            </w:r>
            <w:r>
              <w:rPr>
                <w:spacing w:val="7"/>
                <w:sz w:val="20"/>
                <w:szCs w:val="20"/>
              </w:rPr>
              <w:t>弃影响周边环境。</w:t>
            </w:r>
          </w:p>
          <w:p w14:paraId="103228B7">
            <w:pPr>
              <w:pStyle w:val="9"/>
              <w:spacing w:before="8" w:line="246" w:lineRule="auto"/>
              <w:ind w:left="110" w:right="108" w:firstLine="419"/>
              <w:rPr>
                <w:sz w:val="20"/>
                <w:szCs w:val="20"/>
              </w:rPr>
            </w:pPr>
            <w:r>
              <w:rPr>
                <w:spacing w:val="28"/>
                <w:sz w:val="20"/>
                <w:szCs w:val="20"/>
              </w:rPr>
              <w:t>⑥</w:t>
            </w:r>
            <w:r>
              <w:rPr>
                <w:spacing w:val="-57"/>
                <w:sz w:val="20"/>
                <w:szCs w:val="20"/>
              </w:rPr>
              <w:t xml:space="preserve"> </w:t>
            </w:r>
            <w:r>
              <w:rPr>
                <w:spacing w:val="28"/>
                <w:sz w:val="20"/>
                <w:szCs w:val="20"/>
              </w:rPr>
              <w:t>施工结束后根据地形条</w:t>
            </w:r>
            <w:r>
              <w:rPr>
                <w:spacing w:val="9"/>
                <w:sz w:val="20"/>
                <w:szCs w:val="20"/>
              </w:rPr>
              <w:t>件，</w:t>
            </w:r>
            <w:r>
              <w:rPr>
                <w:spacing w:val="-56"/>
                <w:sz w:val="20"/>
                <w:szCs w:val="20"/>
              </w:rPr>
              <w:t xml:space="preserve"> </w:t>
            </w:r>
            <w:r>
              <w:rPr>
                <w:spacing w:val="9"/>
                <w:sz w:val="20"/>
                <w:szCs w:val="20"/>
              </w:rPr>
              <w:t>以因地制宜的原则对施工占</w:t>
            </w:r>
            <w:r>
              <w:rPr>
                <w:spacing w:val="28"/>
                <w:sz w:val="20"/>
                <w:szCs w:val="20"/>
              </w:rPr>
              <w:t>地区域裸露地进行土地功能恢</w:t>
            </w:r>
            <w:r>
              <w:rPr>
                <w:spacing w:val="12"/>
                <w:sz w:val="20"/>
                <w:szCs w:val="20"/>
              </w:rPr>
              <w:t>复，植被恢复和绿化。针对不同的占地类型，应采取有针对性的生态恢复措施，如：施工前进行表土剥离，表土单独存放并采取遮盖措施，施工结束后进行表土</w:t>
            </w:r>
          </w:p>
        </w:tc>
        <w:tc>
          <w:tcPr>
            <w:tcW w:w="2503" w:type="dxa"/>
            <w:vAlign w:val="top"/>
          </w:tcPr>
          <w:p w14:paraId="2B5FFFA2">
            <w:pPr>
              <w:pStyle w:val="9"/>
              <w:spacing w:before="33" w:line="250" w:lineRule="auto"/>
              <w:ind w:left="111" w:right="105" w:firstLine="431"/>
              <w:rPr>
                <w:sz w:val="20"/>
                <w:szCs w:val="20"/>
              </w:rPr>
            </w:pPr>
            <w:r>
              <w:rPr>
                <w:spacing w:val="16"/>
                <w:sz w:val="20"/>
                <w:szCs w:val="20"/>
              </w:rPr>
              <w:t>（</w:t>
            </w:r>
            <w:r>
              <w:rPr>
                <w:rFonts w:ascii="Times New Roman" w:hAnsi="Times New Roman" w:eastAsia="Times New Roman" w:cs="Times New Roman"/>
                <w:spacing w:val="16"/>
                <w:sz w:val="20"/>
                <w:szCs w:val="20"/>
              </w:rPr>
              <w:t>1</w:t>
            </w:r>
            <w:r>
              <w:rPr>
                <w:spacing w:val="16"/>
                <w:sz w:val="20"/>
                <w:szCs w:val="20"/>
              </w:rPr>
              <w:t>）对生态环境的</w:t>
            </w:r>
            <w:r>
              <w:rPr>
                <w:spacing w:val="7"/>
                <w:sz w:val="20"/>
                <w:szCs w:val="20"/>
              </w:rPr>
              <w:t>避免要求</w:t>
            </w:r>
          </w:p>
          <w:p w14:paraId="199B2663">
            <w:pPr>
              <w:pStyle w:val="9"/>
              <w:spacing w:line="251" w:lineRule="auto"/>
              <w:ind w:left="114" w:right="105" w:firstLine="418"/>
              <w:rPr>
                <w:sz w:val="20"/>
                <w:szCs w:val="20"/>
              </w:rPr>
            </w:pPr>
            <w:r>
              <w:rPr>
                <w:spacing w:val="6"/>
                <w:sz w:val="20"/>
                <w:szCs w:val="20"/>
              </w:rPr>
              <w:t>①运输、施工车辆不得随意行驶。</w:t>
            </w:r>
          </w:p>
          <w:p w14:paraId="111BB69F">
            <w:pPr>
              <w:pStyle w:val="9"/>
              <w:spacing w:before="1" w:line="251" w:lineRule="auto"/>
              <w:ind w:left="112" w:right="107" w:firstLine="419"/>
              <w:rPr>
                <w:sz w:val="20"/>
                <w:szCs w:val="20"/>
              </w:rPr>
            </w:pPr>
            <w:r>
              <w:rPr>
                <w:spacing w:val="15"/>
                <w:sz w:val="20"/>
                <w:szCs w:val="20"/>
              </w:rPr>
              <w:t>②</w:t>
            </w:r>
            <w:r>
              <w:rPr>
                <w:spacing w:val="-64"/>
                <w:sz w:val="20"/>
                <w:szCs w:val="20"/>
              </w:rPr>
              <w:t xml:space="preserve"> </w:t>
            </w:r>
            <w:r>
              <w:rPr>
                <w:spacing w:val="15"/>
                <w:sz w:val="20"/>
                <w:szCs w:val="20"/>
              </w:rPr>
              <w:t>在征地</w:t>
            </w:r>
            <w:r>
              <w:rPr>
                <w:spacing w:val="-59"/>
                <w:sz w:val="20"/>
                <w:szCs w:val="20"/>
              </w:rPr>
              <w:t xml:space="preserve"> </w:t>
            </w:r>
            <w:r>
              <w:rPr>
                <w:spacing w:val="15"/>
                <w:sz w:val="20"/>
                <w:szCs w:val="20"/>
              </w:rPr>
              <w:t>红线</w:t>
            </w:r>
            <w:r>
              <w:rPr>
                <w:spacing w:val="-40"/>
                <w:sz w:val="20"/>
                <w:szCs w:val="20"/>
              </w:rPr>
              <w:t xml:space="preserve"> </w:t>
            </w:r>
            <w:r>
              <w:rPr>
                <w:spacing w:val="15"/>
                <w:sz w:val="20"/>
                <w:szCs w:val="20"/>
              </w:rPr>
              <w:t>内进</w:t>
            </w:r>
            <w:r>
              <w:rPr>
                <w:spacing w:val="7"/>
                <w:sz w:val="20"/>
                <w:szCs w:val="20"/>
              </w:rPr>
              <w:t>行并设置围挡，应无越界施工、损坏占地范围外植</w:t>
            </w:r>
            <w:r>
              <w:rPr>
                <w:spacing w:val="5"/>
                <w:sz w:val="20"/>
                <w:szCs w:val="20"/>
              </w:rPr>
              <w:t>被现象。</w:t>
            </w:r>
          </w:p>
          <w:p w14:paraId="3B63C692">
            <w:pPr>
              <w:pStyle w:val="9"/>
              <w:spacing w:before="3" w:line="251" w:lineRule="auto"/>
              <w:ind w:left="114" w:right="107" w:firstLine="417"/>
              <w:rPr>
                <w:sz w:val="20"/>
                <w:szCs w:val="20"/>
              </w:rPr>
            </w:pPr>
            <w:r>
              <w:rPr>
                <w:spacing w:val="27"/>
                <w:sz w:val="20"/>
                <w:szCs w:val="20"/>
              </w:rPr>
              <w:t>③</w:t>
            </w:r>
            <w:r>
              <w:rPr>
                <w:spacing w:val="-59"/>
                <w:sz w:val="20"/>
                <w:szCs w:val="20"/>
              </w:rPr>
              <w:t xml:space="preserve"> </w:t>
            </w:r>
            <w:r>
              <w:rPr>
                <w:spacing w:val="27"/>
                <w:sz w:val="20"/>
                <w:szCs w:val="20"/>
              </w:rPr>
              <w:t>升压站基础开挖</w:t>
            </w:r>
            <w:r>
              <w:rPr>
                <w:spacing w:val="6"/>
                <w:sz w:val="20"/>
                <w:szCs w:val="20"/>
              </w:rPr>
              <w:t>时，表土剥离，表土和熟化土分开堆放。</w:t>
            </w:r>
          </w:p>
          <w:p w14:paraId="0CD27704">
            <w:pPr>
              <w:pStyle w:val="9"/>
              <w:spacing w:line="251" w:lineRule="auto"/>
              <w:ind w:left="113" w:right="105" w:firstLine="418"/>
              <w:rPr>
                <w:sz w:val="20"/>
                <w:szCs w:val="20"/>
              </w:rPr>
            </w:pPr>
            <w:r>
              <w:rPr>
                <w:spacing w:val="14"/>
                <w:sz w:val="20"/>
                <w:szCs w:val="20"/>
              </w:rPr>
              <w:t>④</w:t>
            </w:r>
            <w:r>
              <w:rPr>
                <w:spacing w:val="-60"/>
                <w:sz w:val="20"/>
                <w:szCs w:val="20"/>
              </w:rPr>
              <w:t xml:space="preserve"> </w:t>
            </w:r>
            <w:r>
              <w:rPr>
                <w:spacing w:val="14"/>
                <w:sz w:val="20"/>
                <w:szCs w:val="20"/>
              </w:rPr>
              <w:t>过程</w:t>
            </w:r>
            <w:r>
              <w:rPr>
                <w:spacing w:val="-47"/>
                <w:sz w:val="20"/>
                <w:szCs w:val="20"/>
              </w:rPr>
              <w:t xml:space="preserve"> </w:t>
            </w:r>
            <w:r>
              <w:rPr>
                <w:spacing w:val="14"/>
                <w:sz w:val="20"/>
                <w:szCs w:val="20"/>
              </w:rPr>
              <w:t>中开挖</w:t>
            </w:r>
            <w:r>
              <w:rPr>
                <w:spacing w:val="-48"/>
                <w:sz w:val="20"/>
                <w:szCs w:val="20"/>
              </w:rPr>
              <w:t xml:space="preserve"> </w:t>
            </w:r>
            <w:r>
              <w:rPr>
                <w:spacing w:val="14"/>
                <w:sz w:val="20"/>
                <w:szCs w:val="20"/>
              </w:rPr>
              <w:t>的土</w:t>
            </w:r>
            <w:r>
              <w:rPr>
                <w:spacing w:val="7"/>
                <w:sz w:val="20"/>
                <w:szCs w:val="20"/>
              </w:rPr>
              <w:t>方采取拦挡、苫盖等防护</w:t>
            </w:r>
            <w:r>
              <w:rPr>
                <w:spacing w:val="3"/>
                <w:sz w:val="20"/>
                <w:szCs w:val="20"/>
              </w:rPr>
              <w:t>措施。</w:t>
            </w:r>
          </w:p>
          <w:p w14:paraId="1C3ABE3D">
            <w:pPr>
              <w:pStyle w:val="9"/>
              <w:spacing w:before="1" w:line="251" w:lineRule="auto"/>
              <w:ind w:left="130" w:right="107" w:firstLine="401"/>
              <w:rPr>
                <w:sz w:val="20"/>
                <w:szCs w:val="20"/>
              </w:rPr>
            </w:pPr>
            <w:r>
              <w:rPr>
                <w:spacing w:val="21"/>
                <w:sz w:val="20"/>
                <w:szCs w:val="20"/>
              </w:rPr>
              <w:t>⑤</w:t>
            </w:r>
            <w:r>
              <w:rPr>
                <w:spacing w:val="-67"/>
                <w:sz w:val="20"/>
                <w:szCs w:val="20"/>
              </w:rPr>
              <w:t xml:space="preserve"> </w:t>
            </w:r>
            <w:r>
              <w:rPr>
                <w:spacing w:val="21"/>
                <w:sz w:val="20"/>
                <w:szCs w:val="20"/>
              </w:rPr>
              <w:t>施工过程</w:t>
            </w:r>
            <w:r>
              <w:rPr>
                <w:spacing w:val="-44"/>
                <w:sz w:val="20"/>
                <w:szCs w:val="20"/>
              </w:rPr>
              <w:t xml:space="preserve"> </w:t>
            </w:r>
            <w:r>
              <w:rPr>
                <w:spacing w:val="21"/>
                <w:sz w:val="20"/>
                <w:szCs w:val="20"/>
              </w:rPr>
              <w:t>中产生</w:t>
            </w:r>
            <w:r>
              <w:rPr>
                <w:spacing w:val="7"/>
                <w:sz w:val="20"/>
                <w:szCs w:val="20"/>
              </w:rPr>
              <w:t>的建筑垃圾已妥善处理</w:t>
            </w:r>
          </w:p>
          <w:p w14:paraId="25B9D631">
            <w:pPr>
              <w:pStyle w:val="9"/>
              <w:spacing w:before="1" w:line="251" w:lineRule="auto"/>
              <w:ind w:left="113" w:right="105" w:firstLine="418"/>
              <w:rPr>
                <w:sz w:val="20"/>
                <w:szCs w:val="20"/>
              </w:rPr>
            </w:pPr>
            <w:r>
              <w:rPr>
                <w:spacing w:val="22"/>
                <w:sz w:val="20"/>
                <w:szCs w:val="20"/>
              </w:rPr>
              <w:t>⑥</w:t>
            </w:r>
            <w:r>
              <w:rPr>
                <w:spacing w:val="-61"/>
                <w:sz w:val="20"/>
                <w:szCs w:val="20"/>
              </w:rPr>
              <w:t xml:space="preserve"> </w:t>
            </w:r>
            <w:r>
              <w:rPr>
                <w:spacing w:val="22"/>
                <w:sz w:val="20"/>
                <w:szCs w:val="20"/>
              </w:rPr>
              <w:t>施工结束后裸</w:t>
            </w:r>
            <w:r>
              <w:rPr>
                <w:spacing w:val="-58"/>
                <w:sz w:val="20"/>
                <w:szCs w:val="20"/>
              </w:rPr>
              <w:t xml:space="preserve"> </w:t>
            </w:r>
            <w:r>
              <w:rPr>
                <w:spacing w:val="22"/>
                <w:sz w:val="20"/>
                <w:szCs w:val="20"/>
              </w:rPr>
              <w:t>露</w:t>
            </w:r>
            <w:r>
              <w:rPr>
                <w:spacing w:val="7"/>
                <w:sz w:val="20"/>
                <w:szCs w:val="20"/>
              </w:rPr>
              <w:t>地进行土地功能恢复，植被恢复及绿化。</w:t>
            </w:r>
          </w:p>
          <w:p w14:paraId="40B9329A">
            <w:pPr>
              <w:pStyle w:val="9"/>
              <w:spacing w:before="2" w:line="251" w:lineRule="auto"/>
              <w:ind w:left="115" w:right="107" w:firstLine="416"/>
              <w:rPr>
                <w:sz w:val="20"/>
                <w:szCs w:val="20"/>
              </w:rPr>
            </w:pPr>
            <w:r>
              <w:rPr>
                <w:spacing w:val="6"/>
                <w:sz w:val="20"/>
                <w:szCs w:val="20"/>
              </w:rPr>
              <w:t>⑦施工结束后，施工临时占地及时清理现场、恢复原貌</w:t>
            </w:r>
          </w:p>
          <w:p w14:paraId="5716AD5B">
            <w:pPr>
              <w:pStyle w:val="9"/>
              <w:spacing w:before="1" w:line="251" w:lineRule="auto"/>
              <w:ind w:left="114" w:right="105" w:firstLine="429"/>
              <w:rPr>
                <w:sz w:val="20"/>
                <w:szCs w:val="20"/>
              </w:rPr>
            </w:pPr>
            <w:r>
              <w:rPr>
                <w:spacing w:val="16"/>
                <w:sz w:val="20"/>
                <w:szCs w:val="20"/>
              </w:rPr>
              <w:t>（</w:t>
            </w:r>
            <w:r>
              <w:rPr>
                <w:rFonts w:ascii="Times New Roman" w:hAnsi="Times New Roman" w:eastAsia="Times New Roman" w:cs="Times New Roman"/>
                <w:spacing w:val="16"/>
                <w:sz w:val="20"/>
                <w:szCs w:val="20"/>
              </w:rPr>
              <w:t>2</w:t>
            </w:r>
            <w:r>
              <w:rPr>
                <w:spacing w:val="16"/>
                <w:sz w:val="20"/>
                <w:szCs w:val="20"/>
              </w:rPr>
              <w:t>）对周边动物的</w:t>
            </w:r>
            <w:r>
              <w:rPr>
                <w:spacing w:val="7"/>
                <w:sz w:val="20"/>
                <w:szCs w:val="20"/>
              </w:rPr>
              <w:t>保护要求</w:t>
            </w:r>
          </w:p>
          <w:p w14:paraId="38E27732">
            <w:pPr>
              <w:pStyle w:val="9"/>
              <w:spacing w:before="1" w:line="233" w:lineRule="auto"/>
              <w:ind w:left="112" w:right="105" w:firstLine="430"/>
              <w:rPr>
                <w:sz w:val="20"/>
                <w:szCs w:val="20"/>
              </w:rPr>
            </w:pPr>
            <w:r>
              <w:rPr>
                <w:spacing w:val="16"/>
                <w:sz w:val="20"/>
                <w:szCs w:val="20"/>
              </w:rPr>
              <w:t>（</w:t>
            </w:r>
            <w:r>
              <w:rPr>
                <w:rFonts w:ascii="Times New Roman" w:hAnsi="Times New Roman" w:eastAsia="Times New Roman" w:cs="Times New Roman"/>
                <w:spacing w:val="16"/>
                <w:sz w:val="20"/>
                <w:szCs w:val="20"/>
              </w:rPr>
              <w:t>3</w:t>
            </w:r>
            <w:r>
              <w:rPr>
                <w:spacing w:val="16"/>
                <w:sz w:val="20"/>
                <w:szCs w:val="20"/>
              </w:rPr>
              <w:t>）施工过程中无</w:t>
            </w:r>
            <w:r>
              <w:rPr>
                <w:spacing w:val="28"/>
                <w:sz w:val="20"/>
                <w:szCs w:val="20"/>
              </w:rPr>
              <w:t>捕杀野生动物和从事其</w:t>
            </w:r>
          </w:p>
        </w:tc>
        <w:tc>
          <w:tcPr>
            <w:tcW w:w="3793" w:type="dxa"/>
            <w:vAlign w:val="top"/>
          </w:tcPr>
          <w:p w14:paraId="00F45F22">
            <w:pPr>
              <w:pStyle w:val="9"/>
              <w:spacing w:before="33" w:line="251" w:lineRule="auto"/>
              <w:ind w:left="112" w:right="33" w:firstLine="430"/>
              <w:rPr>
                <w:sz w:val="20"/>
                <w:szCs w:val="20"/>
              </w:rPr>
            </w:pPr>
            <w:r>
              <w:rPr>
                <w:spacing w:val="2"/>
                <w:sz w:val="20"/>
                <w:szCs w:val="20"/>
              </w:rPr>
              <w:t>（</w:t>
            </w:r>
            <w:r>
              <w:rPr>
                <w:rFonts w:ascii="Times New Roman" w:hAnsi="Times New Roman" w:eastAsia="Times New Roman" w:cs="Times New Roman"/>
                <w:spacing w:val="2"/>
                <w:sz w:val="20"/>
                <w:szCs w:val="20"/>
              </w:rPr>
              <w:t>1</w:t>
            </w:r>
            <w:r>
              <w:rPr>
                <w:spacing w:val="2"/>
                <w:sz w:val="20"/>
                <w:szCs w:val="20"/>
              </w:rPr>
              <w:t>）项目施工结束后，优先选择适</w:t>
            </w:r>
            <w:r>
              <w:rPr>
                <w:spacing w:val="10"/>
                <w:sz w:val="20"/>
                <w:szCs w:val="20"/>
              </w:rPr>
              <w:t>合于当地生长的植物种，草种选用当地</w:t>
            </w:r>
            <w:r>
              <w:rPr>
                <w:spacing w:val="2"/>
                <w:sz w:val="20"/>
                <w:szCs w:val="20"/>
              </w:rPr>
              <w:t>普遍分布的沙生植物等，确保生物安全。</w:t>
            </w:r>
          </w:p>
          <w:p w14:paraId="04944740">
            <w:pPr>
              <w:pStyle w:val="9"/>
              <w:spacing w:line="251" w:lineRule="auto"/>
              <w:ind w:left="116" w:right="104" w:firstLine="427"/>
              <w:rPr>
                <w:sz w:val="20"/>
                <w:szCs w:val="20"/>
              </w:rPr>
            </w:pPr>
            <w:r>
              <w:rPr>
                <w:spacing w:val="16"/>
                <w:sz w:val="20"/>
                <w:szCs w:val="20"/>
              </w:rPr>
              <w:t>（</w:t>
            </w:r>
            <w:r>
              <w:rPr>
                <w:rFonts w:ascii="Times New Roman" w:hAnsi="Times New Roman" w:eastAsia="Times New Roman" w:cs="Times New Roman"/>
                <w:spacing w:val="16"/>
                <w:sz w:val="20"/>
                <w:szCs w:val="20"/>
              </w:rPr>
              <w:t>2</w:t>
            </w:r>
            <w:r>
              <w:rPr>
                <w:spacing w:val="16"/>
                <w:sz w:val="20"/>
                <w:szCs w:val="20"/>
              </w:rPr>
              <w:t>）按设计要求进一步完善各项</w:t>
            </w:r>
            <w:r>
              <w:rPr>
                <w:spacing w:val="9"/>
                <w:sz w:val="20"/>
                <w:szCs w:val="20"/>
              </w:rPr>
              <w:t>工程措施、植物措施，确保工程前后项</w:t>
            </w:r>
            <w:r>
              <w:rPr>
                <w:spacing w:val="8"/>
                <w:sz w:val="20"/>
                <w:szCs w:val="20"/>
              </w:rPr>
              <w:t>目区域损失与补偿的生物量达到平衡。</w:t>
            </w:r>
          </w:p>
          <w:p w14:paraId="518ABD2C">
            <w:pPr>
              <w:pStyle w:val="9"/>
              <w:spacing w:before="2" w:line="252" w:lineRule="auto"/>
              <w:ind w:left="113" w:right="104" w:firstLine="430"/>
              <w:rPr>
                <w:sz w:val="20"/>
                <w:szCs w:val="20"/>
              </w:rPr>
            </w:pPr>
            <w:r>
              <w:rPr>
                <w:spacing w:val="16"/>
                <w:sz w:val="20"/>
                <w:szCs w:val="20"/>
              </w:rPr>
              <w:t>（</w:t>
            </w:r>
            <w:r>
              <w:rPr>
                <w:rFonts w:ascii="Times New Roman" w:hAnsi="Times New Roman" w:eastAsia="Times New Roman" w:cs="Times New Roman"/>
                <w:spacing w:val="16"/>
                <w:sz w:val="20"/>
                <w:szCs w:val="20"/>
              </w:rPr>
              <w:t>3</w:t>
            </w:r>
            <w:r>
              <w:rPr>
                <w:spacing w:val="16"/>
                <w:sz w:val="20"/>
                <w:szCs w:val="20"/>
              </w:rPr>
              <w:t>）强化升压站运维人员的生态</w:t>
            </w:r>
            <w:r>
              <w:rPr>
                <w:spacing w:val="10"/>
                <w:sz w:val="20"/>
                <w:szCs w:val="20"/>
              </w:rPr>
              <w:t>保护意识教育，并严格管理，禁止滥采滥伐，避免因此导致的周边自然植被和</w:t>
            </w:r>
            <w:r>
              <w:rPr>
                <w:spacing w:val="7"/>
                <w:sz w:val="20"/>
                <w:szCs w:val="20"/>
              </w:rPr>
              <w:t>生态系统的破坏。</w:t>
            </w:r>
          </w:p>
        </w:tc>
        <w:tc>
          <w:tcPr>
            <w:tcW w:w="2377" w:type="dxa"/>
            <w:vAlign w:val="top"/>
          </w:tcPr>
          <w:p w14:paraId="2D0A6E00">
            <w:pPr>
              <w:pStyle w:val="9"/>
              <w:spacing w:before="274" w:line="251" w:lineRule="auto"/>
              <w:ind w:left="116" w:right="109" w:firstLine="428"/>
              <w:rPr>
                <w:sz w:val="20"/>
                <w:szCs w:val="20"/>
              </w:rPr>
            </w:pPr>
            <w:r>
              <w:rPr>
                <w:spacing w:val="1"/>
                <w:sz w:val="20"/>
                <w:szCs w:val="20"/>
              </w:rPr>
              <w:t>（</w:t>
            </w:r>
            <w:r>
              <w:rPr>
                <w:rFonts w:ascii="Times New Roman" w:hAnsi="Times New Roman" w:eastAsia="Times New Roman" w:cs="Times New Roman"/>
                <w:spacing w:val="1"/>
                <w:sz w:val="20"/>
                <w:szCs w:val="20"/>
              </w:rPr>
              <w:t>1</w:t>
            </w:r>
            <w:r>
              <w:rPr>
                <w:spacing w:val="1"/>
                <w:sz w:val="20"/>
                <w:szCs w:val="20"/>
              </w:rPr>
              <w:t>）施</w:t>
            </w:r>
            <w:r>
              <w:rPr>
                <w:spacing w:val="-49"/>
                <w:sz w:val="20"/>
                <w:szCs w:val="20"/>
              </w:rPr>
              <w:t xml:space="preserve"> </w:t>
            </w:r>
            <w:r>
              <w:rPr>
                <w:spacing w:val="1"/>
                <w:sz w:val="20"/>
                <w:szCs w:val="20"/>
              </w:rPr>
              <w:t>工</w:t>
            </w:r>
            <w:r>
              <w:rPr>
                <w:spacing w:val="-43"/>
                <w:sz w:val="20"/>
                <w:szCs w:val="20"/>
              </w:rPr>
              <w:t xml:space="preserve"> </w:t>
            </w:r>
            <w:r>
              <w:rPr>
                <w:spacing w:val="1"/>
                <w:sz w:val="20"/>
                <w:szCs w:val="20"/>
              </w:rPr>
              <w:t>结</w:t>
            </w:r>
            <w:r>
              <w:rPr>
                <w:spacing w:val="-51"/>
                <w:sz w:val="20"/>
                <w:szCs w:val="20"/>
              </w:rPr>
              <w:t xml:space="preserve"> </w:t>
            </w:r>
            <w:r>
              <w:rPr>
                <w:spacing w:val="1"/>
                <w:sz w:val="20"/>
                <w:szCs w:val="20"/>
              </w:rPr>
              <w:t>束</w:t>
            </w:r>
            <w:r>
              <w:rPr>
                <w:spacing w:val="-49"/>
                <w:sz w:val="20"/>
                <w:szCs w:val="20"/>
              </w:rPr>
              <w:t xml:space="preserve"> </w:t>
            </w:r>
            <w:r>
              <w:rPr>
                <w:spacing w:val="1"/>
                <w:sz w:val="20"/>
                <w:szCs w:val="20"/>
              </w:rPr>
              <w:t>后</w:t>
            </w:r>
            <w:r>
              <w:rPr>
                <w:spacing w:val="7"/>
                <w:sz w:val="20"/>
                <w:szCs w:val="20"/>
              </w:rPr>
              <w:t>按要求开展植被恢复。</w:t>
            </w:r>
          </w:p>
          <w:p w14:paraId="4FE63E5F">
            <w:pPr>
              <w:pStyle w:val="9"/>
              <w:spacing w:before="1" w:line="252" w:lineRule="auto"/>
              <w:ind w:left="114" w:right="109" w:firstLine="430"/>
              <w:rPr>
                <w:sz w:val="20"/>
                <w:szCs w:val="20"/>
              </w:rPr>
            </w:pPr>
            <w:r>
              <w:rPr>
                <w:spacing w:val="2"/>
                <w:sz w:val="20"/>
                <w:szCs w:val="20"/>
              </w:rPr>
              <w:t>（</w:t>
            </w:r>
            <w:r>
              <w:rPr>
                <w:rFonts w:ascii="Times New Roman" w:hAnsi="Times New Roman" w:eastAsia="Times New Roman" w:cs="Times New Roman"/>
                <w:spacing w:val="2"/>
                <w:sz w:val="20"/>
                <w:szCs w:val="20"/>
              </w:rPr>
              <w:t>2</w:t>
            </w:r>
            <w:r>
              <w:rPr>
                <w:spacing w:val="2"/>
                <w:sz w:val="20"/>
                <w:szCs w:val="20"/>
              </w:rPr>
              <w:t>）环</w:t>
            </w:r>
            <w:r>
              <w:rPr>
                <w:spacing w:val="-51"/>
                <w:sz w:val="20"/>
                <w:szCs w:val="20"/>
              </w:rPr>
              <w:t xml:space="preserve"> </w:t>
            </w:r>
            <w:r>
              <w:rPr>
                <w:spacing w:val="2"/>
                <w:sz w:val="20"/>
                <w:szCs w:val="20"/>
              </w:rPr>
              <w:t>境</w:t>
            </w:r>
            <w:r>
              <w:rPr>
                <w:spacing w:val="-48"/>
                <w:sz w:val="20"/>
                <w:szCs w:val="20"/>
              </w:rPr>
              <w:t xml:space="preserve"> </w:t>
            </w:r>
            <w:r>
              <w:rPr>
                <w:spacing w:val="2"/>
                <w:sz w:val="20"/>
                <w:szCs w:val="20"/>
              </w:rPr>
              <w:t>保</w:t>
            </w:r>
            <w:r>
              <w:rPr>
                <w:spacing w:val="-50"/>
                <w:sz w:val="20"/>
                <w:szCs w:val="20"/>
              </w:rPr>
              <w:t xml:space="preserve"> </w:t>
            </w:r>
            <w:r>
              <w:rPr>
                <w:spacing w:val="2"/>
                <w:sz w:val="20"/>
                <w:szCs w:val="20"/>
              </w:rPr>
              <w:t>护</w:t>
            </w:r>
            <w:r>
              <w:rPr>
                <w:spacing w:val="-51"/>
                <w:sz w:val="20"/>
                <w:szCs w:val="20"/>
              </w:rPr>
              <w:t xml:space="preserve"> </w:t>
            </w:r>
            <w:r>
              <w:rPr>
                <w:spacing w:val="2"/>
                <w:sz w:val="20"/>
                <w:szCs w:val="20"/>
              </w:rPr>
              <w:t>措</w:t>
            </w:r>
            <w:r>
              <w:rPr>
                <w:spacing w:val="14"/>
                <w:sz w:val="20"/>
                <w:szCs w:val="20"/>
              </w:rPr>
              <w:t>施的维护和运行得到了良好管理，本项目运行期对周边自然植被和生</w:t>
            </w:r>
            <w:r>
              <w:rPr>
                <w:spacing w:val="38"/>
                <w:sz w:val="20"/>
                <w:szCs w:val="20"/>
              </w:rPr>
              <w:t>态系统未造成不利影</w:t>
            </w:r>
            <w:r>
              <w:rPr>
                <w:sz w:val="20"/>
                <w:szCs w:val="20"/>
              </w:rPr>
              <w:t>响。</w:t>
            </w:r>
          </w:p>
        </w:tc>
      </w:tr>
    </w:tbl>
    <w:p w14:paraId="092291E4">
      <w:pPr>
        <w:pStyle w:val="3"/>
      </w:pPr>
    </w:p>
    <w:p w14:paraId="7F88F8A0">
      <w:pPr>
        <w:sectPr>
          <w:footerReference r:id="rId89" w:type="default"/>
          <w:pgSz w:w="16838" w:h="11906"/>
          <w:pgMar w:top="1012" w:right="1727" w:bottom="969" w:left="1422" w:header="0" w:footer="807" w:gutter="0"/>
          <w:cols w:space="720" w:num="1"/>
        </w:sectPr>
      </w:pPr>
    </w:p>
    <w:p w14:paraId="50081759">
      <w:pPr>
        <w:spacing w:before="13"/>
      </w:pPr>
    </w:p>
    <w:p w14:paraId="47270A16">
      <w:pPr>
        <w:spacing w:before="12"/>
      </w:pPr>
    </w:p>
    <w:tbl>
      <w:tblPr>
        <w:tblStyle w:val="8"/>
        <w:tblW w:w="136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15"/>
        <w:gridCol w:w="3195"/>
        <w:gridCol w:w="2503"/>
        <w:gridCol w:w="3793"/>
        <w:gridCol w:w="2377"/>
      </w:tblGrid>
      <w:tr w14:paraId="196082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0" w:hRule="atLeast"/>
        </w:trPr>
        <w:tc>
          <w:tcPr>
            <w:tcW w:w="1815" w:type="dxa"/>
            <w:vAlign w:val="top"/>
          </w:tcPr>
          <w:p w14:paraId="760602FF">
            <w:pPr>
              <w:rPr>
                <w:rFonts w:ascii="Arial"/>
                <w:sz w:val="21"/>
              </w:rPr>
            </w:pPr>
          </w:p>
        </w:tc>
        <w:tc>
          <w:tcPr>
            <w:tcW w:w="3195" w:type="dxa"/>
            <w:vAlign w:val="top"/>
          </w:tcPr>
          <w:p w14:paraId="350D7133">
            <w:pPr>
              <w:pStyle w:val="9"/>
              <w:spacing w:before="36" w:line="251" w:lineRule="auto"/>
              <w:ind w:left="112" w:right="108" w:firstLine="19"/>
              <w:jc w:val="both"/>
              <w:rPr>
                <w:sz w:val="20"/>
                <w:szCs w:val="20"/>
              </w:rPr>
            </w:pPr>
            <w:r>
              <w:rPr>
                <w:spacing w:val="10"/>
                <w:sz w:val="20"/>
                <w:szCs w:val="20"/>
              </w:rPr>
              <w:t>回填，采取自然恢复的方式进行</w:t>
            </w:r>
            <w:r>
              <w:rPr>
                <w:spacing w:val="12"/>
                <w:sz w:val="20"/>
                <w:szCs w:val="20"/>
              </w:rPr>
              <w:t>植被恢复，撒播适宜当地环境的</w:t>
            </w:r>
            <w:r>
              <w:rPr>
                <w:spacing w:val="7"/>
                <w:sz w:val="20"/>
                <w:szCs w:val="20"/>
              </w:rPr>
              <w:t>草籽进行植被恢复。</w:t>
            </w:r>
          </w:p>
          <w:p w14:paraId="1B61D479">
            <w:pPr>
              <w:pStyle w:val="9"/>
              <w:spacing w:line="251" w:lineRule="auto"/>
              <w:ind w:left="111" w:right="108" w:firstLine="418"/>
              <w:rPr>
                <w:sz w:val="20"/>
                <w:szCs w:val="20"/>
              </w:rPr>
            </w:pPr>
            <w:r>
              <w:rPr>
                <w:spacing w:val="12"/>
                <w:sz w:val="20"/>
                <w:szCs w:val="20"/>
              </w:rPr>
              <w:t>⑦施工结束后，施工临时占</w:t>
            </w:r>
            <w:r>
              <w:rPr>
                <w:spacing w:val="8"/>
                <w:sz w:val="20"/>
                <w:szCs w:val="20"/>
              </w:rPr>
              <w:t>地应及时清理现场、恢复原貌。</w:t>
            </w:r>
          </w:p>
          <w:p w14:paraId="4E70E06C">
            <w:pPr>
              <w:pStyle w:val="9"/>
              <w:spacing w:line="251" w:lineRule="auto"/>
              <w:ind w:left="111" w:right="108" w:firstLine="418"/>
              <w:rPr>
                <w:sz w:val="20"/>
                <w:szCs w:val="20"/>
              </w:rPr>
            </w:pPr>
            <w:r>
              <w:rPr>
                <w:spacing w:val="12"/>
                <w:sz w:val="20"/>
                <w:szCs w:val="20"/>
              </w:rPr>
              <w:t>⑧施工时临时场地选择在植被稀疏的地带布置，减少植被破</w:t>
            </w:r>
            <w:r>
              <w:rPr>
                <w:sz w:val="20"/>
                <w:szCs w:val="20"/>
              </w:rPr>
              <w:t>坏。</w:t>
            </w:r>
          </w:p>
          <w:p w14:paraId="77CCBA13">
            <w:pPr>
              <w:pStyle w:val="9"/>
              <w:spacing w:line="228" w:lineRule="auto"/>
              <w:ind w:left="541"/>
              <w:rPr>
                <w:sz w:val="20"/>
                <w:szCs w:val="20"/>
              </w:rPr>
            </w:pPr>
            <w:r>
              <w:rPr>
                <w:spacing w:val="3"/>
                <w:sz w:val="20"/>
                <w:szCs w:val="20"/>
              </w:rPr>
              <w:t>（</w:t>
            </w:r>
            <w:r>
              <w:rPr>
                <w:rFonts w:ascii="Times New Roman" w:hAnsi="Times New Roman" w:eastAsia="Times New Roman" w:cs="Times New Roman"/>
                <w:spacing w:val="3"/>
                <w:sz w:val="20"/>
                <w:szCs w:val="20"/>
              </w:rPr>
              <w:t>2</w:t>
            </w:r>
            <w:r>
              <w:rPr>
                <w:spacing w:val="3"/>
                <w:sz w:val="20"/>
                <w:szCs w:val="20"/>
              </w:rPr>
              <w:t>）对周边动物的保护措施</w:t>
            </w:r>
          </w:p>
          <w:p w14:paraId="2738C8AF">
            <w:pPr>
              <w:pStyle w:val="9"/>
              <w:spacing w:before="28" w:line="251" w:lineRule="auto"/>
              <w:ind w:left="110" w:right="108" w:firstLine="420"/>
              <w:rPr>
                <w:sz w:val="20"/>
                <w:szCs w:val="20"/>
              </w:rPr>
            </w:pPr>
            <w:r>
              <w:rPr>
                <w:spacing w:val="12"/>
                <w:sz w:val="20"/>
                <w:szCs w:val="20"/>
              </w:rPr>
              <w:t>①加强对施工人员的思想教育和管理，加强施工生态监管。禁止捕杀野生动物和从事其它有</w:t>
            </w:r>
            <w:r>
              <w:rPr>
                <w:spacing w:val="8"/>
                <w:sz w:val="20"/>
                <w:szCs w:val="20"/>
              </w:rPr>
              <w:t>碍生态环境保护的活动。</w:t>
            </w:r>
          </w:p>
          <w:p w14:paraId="6BC14019">
            <w:pPr>
              <w:pStyle w:val="9"/>
              <w:spacing w:before="2" w:line="251" w:lineRule="auto"/>
              <w:ind w:left="111" w:right="108" w:firstLine="418"/>
              <w:rPr>
                <w:sz w:val="20"/>
                <w:szCs w:val="20"/>
              </w:rPr>
            </w:pPr>
            <w:r>
              <w:rPr>
                <w:spacing w:val="12"/>
                <w:sz w:val="20"/>
                <w:szCs w:val="20"/>
              </w:rPr>
              <w:t>②施工结束后，对施工扰动</w:t>
            </w:r>
            <w:r>
              <w:rPr>
                <w:spacing w:val="28"/>
                <w:sz w:val="20"/>
                <w:szCs w:val="20"/>
              </w:rPr>
              <w:t>区域区域进行平整和原生态恢</w:t>
            </w:r>
            <w:r>
              <w:rPr>
                <w:spacing w:val="12"/>
                <w:sz w:val="20"/>
                <w:szCs w:val="20"/>
              </w:rPr>
              <w:t>复，减少对于野生动物生境的改</w:t>
            </w:r>
            <w:r>
              <w:rPr>
                <w:sz w:val="20"/>
                <w:szCs w:val="20"/>
              </w:rPr>
              <w:t>变。</w:t>
            </w:r>
          </w:p>
          <w:p w14:paraId="45F900CD">
            <w:pPr>
              <w:pStyle w:val="9"/>
              <w:spacing w:before="1" w:line="227" w:lineRule="auto"/>
              <w:ind w:left="541"/>
              <w:rPr>
                <w:sz w:val="20"/>
                <w:szCs w:val="20"/>
              </w:rPr>
            </w:pPr>
            <w:r>
              <w:rPr>
                <w:spacing w:val="7"/>
                <w:sz w:val="20"/>
                <w:szCs w:val="20"/>
              </w:rPr>
              <w:t>（</w:t>
            </w:r>
            <w:r>
              <w:rPr>
                <w:rFonts w:ascii="Times New Roman" w:hAnsi="Times New Roman" w:eastAsia="Times New Roman" w:cs="Times New Roman"/>
                <w:spacing w:val="7"/>
                <w:sz w:val="20"/>
                <w:szCs w:val="20"/>
              </w:rPr>
              <w:t>3</w:t>
            </w:r>
            <w:r>
              <w:rPr>
                <w:spacing w:val="7"/>
                <w:sz w:val="20"/>
                <w:szCs w:val="20"/>
              </w:rPr>
              <w:t>）对草地的保护措施</w:t>
            </w:r>
          </w:p>
          <w:p w14:paraId="14595ADB">
            <w:pPr>
              <w:pStyle w:val="9"/>
              <w:spacing w:before="24" w:line="227" w:lineRule="auto"/>
              <w:ind w:left="532"/>
              <w:rPr>
                <w:sz w:val="20"/>
                <w:szCs w:val="20"/>
              </w:rPr>
            </w:pPr>
            <w:r>
              <w:rPr>
                <w:spacing w:val="12"/>
                <w:sz w:val="20"/>
                <w:szCs w:val="20"/>
              </w:rPr>
              <w:t>本项目永久占地类型均为天</w:t>
            </w:r>
          </w:p>
          <w:p w14:paraId="2E824414">
            <w:pPr>
              <w:pStyle w:val="9"/>
              <w:spacing w:before="28" w:line="251" w:lineRule="auto"/>
              <w:ind w:left="111" w:right="108"/>
              <w:jc w:val="both"/>
              <w:rPr>
                <w:sz w:val="20"/>
                <w:szCs w:val="20"/>
              </w:rPr>
            </w:pPr>
            <w:r>
              <w:rPr>
                <w:spacing w:val="12"/>
                <w:sz w:val="20"/>
                <w:szCs w:val="20"/>
              </w:rPr>
              <w:t>然牧草地，属基本草原。施工期应按以下措施要求做好对基本草</w:t>
            </w:r>
            <w:r>
              <w:rPr>
                <w:spacing w:val="5"/>
                <w:sz w:val="20"/>
                <w:szCs w:val="20"/>
              </w:rPr>
              <w:t>原的保护：</w:t>
            </w:r>
          </w:p>
          <w:p w14:paraId="2D983ACF">
            <w:pPr>
              <w:pStyle w:val="9"/>
              <w:spacing w:before="2" w:line="251" w:lineRule="auto"/>
              <w:ind w:left="110" w:right="108" w:firstLine="420"/>
              <w:rPr>
                <w:sz w:val="20"/>
                <w:szCs w:val="20"/>
              </w:rPr>
            </w:pPr>
            <w:r>
              <w:rPr>
                <w:spacing w:val="12"/>
                <w:sz w:val="20"/>
                <w:szCs w:val="20"/>
              </w:rPr>
              <w:t>①根据工程区域地质条件及施工布置，统筹规划，尽量节约用地，合理布置施工临时设施，</w:t>
            </w:r>
            <w:r>
              <w:rPr>
                <w:spacing w:val="8"/>
                <w:sz w:val="20"/>
                <w:szCs w:val="20"/>
              </w:rPr>
              <w:t>尽可能实现永临结合。</w:t>
            </w:r>
          </w:p>
          <w:p w14:paraId="21951868">
            <w:pPr>
              <w:pStyle w:val="9"/>
              <w:spacing w:before="1" w:line="251" w:lineRule="auto"/>
              <w:ind w:left="112" w:right="108" w:firstLine="417"/>
              <w:rPr>
                <w:sz w:val="20"/>
                <w:szCs w:val="20"/>
              </w:rPr>
            </w:pPr>
            <w:r>
              <w:rPr>
                <w:spacing w:val="12"/>
                <w:sz w:val="20"/>
                <w:szCs w:val="20"/>
              </w:rPr>
              <w:t>②施工过程中的临时堆土不</w:t>
            </w:r>
            <w:r>
              <w:rPr>
                <w:spacing w:val="8"/>
                <w:sz w:val="20"/>
                <w:szCs w:val="20"/>
              </w:rPr>
              <w:t>得覆压征用范围外的草地。</w:t>
            </w:r>
          </w:p>
          <w:p w14:paraId="2F8237BD">
            <w:pPr>
              <w:pStyle w:val="9"/>
              <w:spacing w:before="2" w:line="239" w:lineRule="auto"/>
              <w:ind w:left="111" w:right="108" w:firstLine="418"/>
              <w:rPr>
                <w:sz w:val="20"/>
                <w:szCs w:val="20"/>
              </w:rPr>
            </w:pPr>
            <w:r>
              <w:rPr>
                <w:spacing w:val="12"/>
                <w:sz w:val="20"/>
                <w:szCs w:val="20"/>
              </w:rPr>
              <w:t>③施工开挖过程中的表层熟土和生土应分开堆放，并按原来</w:t>
            </w:r>
            <w:r>
              <w:rPr>
                <w:spacing w:val="9"/>
                <w:sz w:val="20"/>
                <w:szCs w:val="20"/>
              </w:rPr>
              <w:t>层次复土，</w:t>
            </w:r>
            <w:r>
              <w:rPr>
                <w:spacing w:val="-57"/>
                <w:sz w:val="20"/>
                <w:szCs w:val="20"/>
              </w:rPr>
              <w:t xml:space="preserve"> </w:t>
            </w:r>
            <w:r>
              <w:rPr>
                <w:spacing w:val="9"/>
                <w:sz w:val="20"/>
                <w:szCs w:val="20"/>
              </w:rPr>
              <w:t>以利于施工后草原生</w:t>
            </w:r>
          </w:p>
        </w:tc>
        <w:tc>
          <w:tcPr>
            <w:tcW w:w="2503" w:type="dxa"/>
            <w:vAlign w:val="top"/>
          </w:tcPr>
          <w:p w14:paraId="3C5B941A">
            <w:pPr>
              <w:pStyle w:val="9"/>
              <w:spacing w:before="38" w:line="251" w:lineRule="auto"/>
              <w:ind w:left="115" w:right="105" w:firstLine="1"/>
              <w:jc w:val="both"/>
              <w:rPr>
                <w:sz w:val="20"/>
                <w:szCs w:val="20"/>
              </w:rPr>
            </w:pPr>
            <w:r>
              <w:rPr>
                <w:spacing w:val="27"/>
                <w:sz w:val="20"/>
                <w:szCs w:val="20"/>
              </w:rPr>
              <w:t>它有碍生态环境保护的</w:t>
            </w:r>
            <w:r>
              <w:rPr>
                <w:spacing w:val="6"/>
                <w:sz w:val="20"/>
                <w:szCs w:val="20"/>
              </w:rPr>
              <w:t>活动，施工结束后，对施</w:t>
            </w:r>
            <w:r>
              <w:rPr>
                <w:spacing w:val="27"/>
                <w:sz w:val="20"/>
                <w:szCs w:val="20"/>
              </w:rPr>
              <w:t>工扰动区域进行平整和</w:t>
            </w:r>
            <w:r>
              <w:rPr>
                <w:spacing w:val="6"/>
                <w:sz w:val="20"/>
                <w:szCs w:val="20"/>
              </w:rPr>
              <w:t>原生态恢复。</w:t>
            </w:r>
          </w:p>
          <w:p w14:paraId="30D4434D">
            <w:pPr>
              <w:pStyle w:val="9"/>
              <w:spacing w:line="251" w:lineRule="auto"/>
              <w:ind w:left="130" w:right="105" w:firstLine="413"/>
              <w:rPr>
                <w:sz w:val="20"/>
                <w:szCs w:val="20"/>
              </w:rPr>
            </w:pPr>
            <w:r>
              <w:rPr>
                <w:spacing w:val="11"/>
                <w:sz w:val="20"/>
                <w:szCs w:val="20"/>
              </w:rPr>
              <w:t>（</w:t>
            </w:r>
            <w:r>
              <w:rPr>
                <w:rFonts w:ascii="Times New Roman" w:hAnsi="Times New Roman" w:eastAsia="Times New Roman" w:cs="Times New Roman"/>
                <w:spacing w:val="11"/>
                <w:sz w:val="20"/>
                <w:szCs w:val="20"/>
              </w:rPr>
              <w:t>4</w:t>
            </w:r>
            <w:r>
              <w:rPr>
                <w:spacing w:val="11"/>
                <w:sz w:val="20"/>
                <w:szCs w:val="20"/>
              </w:rPr>
              <w:t>）</w:t>
            </w:r>
            <w:r>
              <w:rPr>
                <w:spacing w:val="-51"/>
                <w:sz w:val="20"/>
                <w:szCs w:val="20"/>
              </w:rPr>
              <w:t xml:space="preserve"> </w:t>
            </w:r>
            <w:r>
              <w:rPr>
                <w:spacing w:val="11"/>
                <w:sz w:val="20"/>
                <w:szCs w:val="20"/>
              </w:rPr>
              <w:t>已针对不同的</w:t>
            </w:r>
            <w:r>
              <w:rPr>
                <w:spacing w:val="5"/>
                <w:sz w:val="20"/>
                <w:szCs w:val="20"/>
              </w:rPr>
              <w:t>占地类型，采取有针对性的生态恢复措施。</w:t>
            </w:r>
          </w:p>
          <w:p w14:paraId="6C717114">
            <w:pPr>
              <w:pStyle w:val="9"/>
              <w:spacing w:line="251" w:lineRule="auto"/>
              <w:ind w:left="113" w:right="105" w:firstLine="430"/>
              <w:rPr>
                <w:sz w:val="20"/>
                <w:szCs w:val="20"/>
              </w:rPr>
            </w:pPr>
            <w:r>
              <w:rPr>
                <w:spacing w:val="16"/>
                <w:sz w:val="20"/>
                <w:szCs w:val="20"/>
              </w:rPr>
              <w:t>（</w:t>
            </w:r>
            <w:r>
              <w:rPr>
                <w:rFonts w:ascii="Times New Roman" w:hAnsi="Times New Roman" w:eastAsia="Times New Roman" w:cs="Times New Roman"/>
                <w:spacing w:val="16"/>
                <w:sz w:val="20"/>
                <w:szCs w:val="20"/>
              </w:rPr>
              <w:t>5</w:t>
            </w:r>
            <w:r>
              <w:rPr>
                <w:spacing w:val="16"/>
                <w:sz w:val="20"/>
                <w:szCs w:val="20"/>
              </w:rPr>
              <w:t>）主要生态恢复</w:t>
            </w:r>
            <w:r>
              <w:rPr>
                <w:spacing w:val="4"/>
                <w:sz w:val="20"/>
                <w:szCs w:val="20"/>
              </w:rPr>
              <w:t>措施</w:t>
            </w:r>
          </w:p>
          <w:p w14:paraId="080570D2">
            <w:pPr>
              <w:pStyle w:val="9"/>
              <w:spacing w:before="12" w:line="251" w:lineRule="auto"/>
              <w:ind w:left="111" w:right="105" w:firstLine="421"/>
              <w:jc w:val="both"/>
              <w:rPr>
                <w:sz w:val="20"/>
                <w:szCs w:val="20"/>
              </w:rPr>
            </w:pPr>
            <w:r>
              <w:rPr>
                <w:spacing w:val="6"/>
                <w:sz w:val="20"/>
                <w:szCs w:val="20"/>
              </w:rPr>
              <w:t>科学规划施工场地，</w:t>
            </w:r>
            <w:r>
              <w:rPr>
                <w:spacing w:val="7"/>
                <w:sz w:val="20"/>
                <w:szCs w:val="20"/>
              </w:rPr>
              <w:t>合理安排施工进度，做到尽量减少临时工程占地，缩短临时占地使用时间，及时恢复土地原有功能。</w:t>
            </w:r>
            <w:r>
              <w:rPr>
                <w:spacing w:val="28"/>
                <w:sz w:val="20"/>
                <w:szCs w:val="20"/>
              </w:rPr>
              <w:t>施工结束后根据地形条</w:t>
            </w:r>
            <w:r>
              <w:rPr>
                <w:spacing w:val="7"/>
                <w:sz w:val="20"/>
                <w:szCs w:val="20"/>
              </w:rPr>
              <w:t>件和占用的土地类型，以</w:t>
            </w:r>
            <w:r>
              <w:rPr>
                <w:spacing w:val="28"/>
                <w:sz w:val="20"/>
                <w:szCs w:val="20"/>
              </w:rPr>
              <w:t>因地制宜的原则对施工占地区域裸露地进行土</w:t>
            </w:r>
            <w:r>
              <w:rPr>
                <w:spacing w:val="7"/>
                <w:sz w:val="20"/>
                <w:szCs w:val="20"/>
              </w:rPr>
              <w:t>地功能恢复，植被恢复和绿化。针对不同的占地类型，应采取有针对性的生态恢复措施，如：施工前进行表土剥离，表土单独存放并采取遮盖措施，施工结束后进行表土回填，</w:t>
            </w:r>
            <w:r>
              <w:rPr>
                <w:spacing w:val="28"/>
                <w:sz w:val="20"/>
                <w:szCs w:val="20"/>
              </w:rPr>
              <w:t>采取自然恢复的方式进</w:t>
            </w:r>
            <w:r>
              <w:rPr>
                <w:spacing w:val="7"/>
                <w:sz w:val="20"/>
                <w:szCs w:val="20"/>
              </w:rPr>
              <w:t>行植被恢复，撒播适宜当</w:t>
            </w:r>
            <w:r>
              <w:rPr>
                <w:spacing w:val="28"/>
                <w:sz w:val="20"/>
                <w:szCs w:val="20"/>
              </w:rPr>
              <w:t>地环境的草籽进行植被</w:t>
            </w:r>
            <w:r>
              <w:rPr>
                <w:spacing w:val="3"/>
                <w:sz w:val="20"/>
                <w:szCs w:val="20"/>
              </w:rPr>
              <w:t>恢复。</w:t>
            </w:r>
          </w:p>
        </w:tc>
        <w:tc>
          <w:tcPr>
            <w:tcW w:w="3793" w:type="dxa"/>
            <w:vAlign w:val="top"/>
          </w:tcPr>
          <w:p w14:paraId="164881DA">
            <w:pPr>
              <w:rPr>
                <w:rFonts w:ascii="Arial"/>
                <w:sz w:val="21"/>
              </w:rPr>
            </w:pPr>
          </w:p>
        </w:tc>
        <w:tc>
          <w:tcPr>
            <w:tcW w:w="2377" w:type="dxa"/>
            <w:vAlign w:val="top"/>
          </w:tcPr>
          <w:p w14:paraId="55376FDB">
            <w:pPr>
              <w:rPr>
                <w:rFonts w:ascii="Arial"/>
                <w:sz w:val="21"/>
              </w:rPr>
            </w:pPr>
          </w:p>
        </w:tc>
      </w:tr>
    </w:tbl>
    <w:p w14:paraId="697935E2">
      <w:pPr>
        <w:pStyle w:val="3"/>
      </w:pPr>
    </w:p>
    <w:p w14:paraId="2F7632CC">
      <w:pPr>
        <w:sectPr>
          <w:footerReference r:id="rId90" w:type="default"/>
          <w:pgSz w:w="16838" w:h="11906"/>
          <w:pgMar w:top="1012" w:right="1727" w:bottom="969" w:left="1422" w:header="0" w:footer="807" w:gutter="0"/>
          <w:cols w:space="720" w:num="1"/>
        </w:sectPr>
      </w:pPr>
    </w:p>
    <w:p w14:paraId="536DD172">
      <w:pPr>
        <w:spacing w:before="13"/>
      </w:pPr>
    </w:p>
    <w:p w14:paraId="7D381016">
      <w:pPr>
        <w:spacing w:before="12"/>
      </w:pPr>
    </w:p>
    <w:tbl>
      <w:tblPr>
        <w:tblStyle w:val="8"/>
        <w:tblW w:w="136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15"/>
        <w:gridCol w:w="3195"/>
        <w:gridCol w:w="2503"/>
        <w:gridCol w:w="3793"/>
        <w:gridCol w:w="2377"/>
      </w:tblGrid>
      <w:tr w14:paraId="7DEDB4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0" w:hRule="atLeast"/>
        </w:trPr>
        <w:tc>
          <w:tcPr>
            <w:tcW w:w="1815" w:type="dxa"/>
            <w:vAlign w:val="top"/>
          </w:tcPr>
          <w:p w14:paraId="74819D7F">
            <w:pPr>
              <w:rPr>
                <w:rFonts w:ascii="Arial"/>
                <w:sz w:val="21"/>
              </w:rPr>
            </w:pPr>
          </w:p>
        </w:tc>
        <w:tc>
          <w:tcPr>
            <w:tcW w:w="3195" w:type="dxa"/>
            <w:vAlign w:val="top"/>
          </w:tcPr>
          <w:p w14:paraId="3939C0F6">
            <w:pPr>
              <w:pStyle w:val="9"/>
              <w:spacing w:before="36" w:line="228" w:lineRule="auto"/>
              <w:ind w:left="111"/>
              <w:rPr>
                <w:sz w:val="20"/>
                <w:szCs w:val="20"/>
              </w:rPr>
            </w:pPr>
            <w:r>
              <w:rPr>
                <w:spacing w:val="7"/>
                <w:sz w:val="20"/>
                <w:szCs w:val="20"/>
              </w:rPr>
              <w:t>态系统的恢复。</w:t>
            </w:r>
          </w:p>
          <w:p w14:paraId="61657EBE">
            <w:pPr>
              <w:pStyle w:val="9"/>
              <w:spacing w:before="26" w:line="251" w:lineRule="auto"/>
              <w:ind w:left="110" w:right="108" w:firstLine="419"/>
              <w:rPr>
                <w:sz w:val="20"/>
                <w:szCs w:val="20"/>
              </w:rPr>
            </w:pPr>
            <w:r>
              <w:rPr>
                <w:spacing w:val="12"/>
                <w:sz w:val="20"/>
                <w:szCs w:val="20"/>
              </w:rPr>
              <w:t>④施工临时占地尽可能通过合理布局减少临时性用地，避免更大范围的破坏地表植被。严格控制各类临时工程用地的数量，</w:t>
            </w:r>
            <w:r>
              <w:rPr>
                <w:spacing w:val="28"/>
                <w:sz w:val="20"/>
                <w:szCs w:val="20"/>
              </w:rPr>
              <w:t>其面积不应大于设计给定的面</w:t>
            </w:r>
            <w:r>
              <w:rPr>
                <w:spacing w:val="8"/>
                <w:sz w:val="20"/>
                <w:szCs w:val="20"/>
              </w:rPr>
              <w:t>积，禁止随意的超标占地。</w:t>
            </w:r>
          </w:p>
          <w:p w14:paraId="1275526E">
            <w:pPr>
              <w:pStyle w:val="9"/>
              <w:spacing w:before="4" w:line="251" w:lineRule="auto"/>
              <w:ind w:left="110" w:right="55" w:firstLine="419"/>
              <w:rPr>
                <w:sz w:val="20"/>
                <w:szCs w:val="20"/>
              </w:rPr>
            </w:pPr>
            <w:r>
              <w:rPr>
                <w:spacing w:val="12"/>
                <w:sz w:val="20"/>
                <w:szCs w:val="20"/>
              </w:rPr>
              <w:t>⑤施工道路应尽量利用风场施工道路，新设施工便道应控制</w:t>
            </w:r>
            <w:r>
              <w:rPr>
                <w:spacing w:val="9"/>
                <w:sz w:val="20"/>
                <w:szCs w:val="20"/>
              </w:rPr>
              <w:t>宽度，</w:t>
            </w:r>
            <w:r>
              <w:rPr>
                <w:spacing w:val="-56"/>
                <w:sz w:val="20"/>
                <w:szCs w:val="20"/>
              </w:rPr>
              <w:t xml:space="preserve"> </w:t>
            </w:r>
            <w:r>
              <w:rPr>
                <w:spacing w:val="9"/>
                <w:sz w:val="20"/>
                <w:szCs w:val="20"/>
              </w:rPr>
              <w:t>以减少临时占地面积，从</w:t>
            </w:r>
            <w:r>
              <w:rPr>
                <w:spacing w:val="12"/>
                <w:sz w:val="20"/>
                <w:szCs w:val="20"/>
              </w:rPr>
              <w:t>而减轻对草地的影响；施工运输车辆按照指定运输道路行驶（避</w:t>
            </w:r>
            <w:r>
              <w:rPr>
                <w:spacing w:val="4"/>
                <w:sz w:val="20"/>
                <w:szCs w:val="20"/>
              </w:rPr>
              <w:t>让居民点</w:t>
            </w:r>
            <w:r>
              <w:rPr>
                <w:spacing w:val="-15"/>
                <w:sz w:val="20"/>
                <w:szCs w:val="20"/>
              </w:rPr>
              <w:t>），</w:t>
            </w:r>
            <w:r>
              <w:rPr>
                <w:spacing w:val="4"/>
                <w:sz w:val="20"/>
                <w:szCs w:val="20"/>
              </w:rPr>
              <w:t>禁止肆意碾压草地；</w:t>
            </w:r>
            <w:r>
              <w:rPr>
                <w:spacing w:val="12"/>
                <w:sz w:val="20"/>
                <w:szCs w:val="20"/>
              </w:rPr>
              <w:t>同时注意做好路面洒水等防尘工作，减少扬尘影响。临时用地应尽量缩短使用时间，用后及时恢</w:t>
            </w:r>
            <w:r>
              <w:rPr>
                <w:spacing w:val="7"/>
                <w:sz w:val="20"/>
                <w:szCs w:val="20"/>
              </w:rPr>
              <w:t>复土地原来的功能。</w:t>
            </w:r>
          </w:p>
          <w:p w14:paraId="29318B6D">
            <w:pPr>
              <w:pStyle w:val="9"/>
              <w:spacing w:before="2" w:line="251" w:lineRule="auto"/>
              <w:ind w:left="109" w:right="53" w:firstLine="420"/>
              <w:rPr>
                <w:sz w:val="20"/>
                <w:szCs w:val="20"/>
              </w:rPr>
            </w:pPr>
            <w:r>
              <w:rPr>
                <w:spacing w:val="12"/>
                <w:sz w:val="20"/>
                <w:szCs w:val="20"/>
              </w:rPr>
              <w:t>⑥施工临时占用草地时注意</w:t>
            </w:r>
            <w:r>
              <w:rPr>
                <w:spacing w:val="1"/>
                <w:sz w:val="20"/>
                <w:szCs w:val="20"/>
              </w:rPr>
              <w:t>避让植被生长茂密、物种丰富地，</w:t>
            </w:r>
            <w:r>
              <w:rPr>
                <w:spacing w:val="12"/>
                <w:sz w:val="20"/>
                <w:szCs w:val="20"/>
              </w:rPr>
              <w:t>选在抗干扰性较强，物种较为单</w:t>
            </w:r>
            <w:r>
              <w:rPr>
                <w:spacing w:val="7"/>
                <w:sz w:val="20"/>
                <w:szCs w:val="20"/>
              </w:rPr>
              <w:t>一和常见处。</w:t>
            </w:r>
          </w:p>
          <w:p w14:paraId="2DFFEFA5">
            <w:pPr>
              <w:pStyle w:val="9"/>
              <w:spacing w:line="228" w:lineRule="auto"/>
              <w:ind w:left="541"/>
              <w:rPr>
                <w:sz w:val="20"/>
                <w:szCs w:val="20"/>
              </w:rPr>
            </w:pPr>
            <w:r>
              <w:rPr>
                <w:spacing w:val="7"/>
                <w:sz w:val="20"/>
                <w:szCs w:val="20"/>
              </w:rPr>
              <w:t>（</w:t>
            </w:r>
            <w:r>
              <w:rPr>
                <w:rFonts w:ascii="Times New Roman" w:hAnsi="Times New Roman" w:eastAsia="Times New Roman" w:cs="Times New Roman"/>
                <w:spacing w:val="7"/>
                <w:sz w:val="20"/>
                <w:szCs w:val="20"/>
              </w:rPr>
              <w:t>4</w:t>
            </w:r>
            <w:r>
              <w:rPr>
                <w:spacing w:val="7"/>
                <w:sz w:val="20"/>
                <w:szCs w:val="20"/>
              </w:rPr>
              <w:t>）主要生态恢复措施</w:t>
            </w:r>
          </w:p>
          <w:p w14:paraId="14520F06">
            <w:pPr>
              <w:pStyle w:val="9"/>
              <w:spacing w:before="24" w:line="227" w:lineRule="auto"/>
              <w:ind w:left="531"/>
              <w:rPr>
                <w:sz w:val="20"/>
                <w:szCs w:val="20"/>
              </w:rPr>
            </w:pPr>
            <w:r>
              <w:rPr>
                <w:spacing w:val="12"/>
                <w:sz w:val="20"/>
                <w:szCs w:val="20"/>
              </w:rPr>
              <w:t>科学规划施工场地，合理安</w:t>
            </w:r>
          </w:p>
          <w:p w14:paraId="09F15878">
            <w:pPr>
              <w:pStyle w:val="9"/>
              <w:spacing w:before="27" w:line="247" w:lineRule="auto"/>
              <w:ind w:left="110" w:right="53"/>
              <w:jc w:val="both"/>
              <w:rPr>
                <w:sz w:val="20"/>
                <w:szCs w:val="20"/>
              </w:rPr>
            </w:pPr>
            <w:r>
              <w:rPr>
                <w:spacing w:val="12"/>
                <w:sz w:val="20"/>
                <w:szCs w:val="20"/>
              </w:rPr>
              <w:t>排施工进度，应尽量减少临时工</w:t>
            </w:r>
            <w:r>
              <w:rPr>
                <w:spacing w:val="1"/>
                <w:sz w:val="20"/>
                <w:szCs w:val="20"/>
              </w:rPr>
              <w:t>程占地，缩短临时占地使用时间，</w:t>
            </w:r>
            <w:r>
              <w:rPr>
                <w:spacing w:val="12"/>
                <w:sz w:val="20"/>
                <w:szCs w:val="20"/>
              </w:rPr>
              <w:t>及时恢复土地原有功能。施工结束后根据地形条件和占用的土地</w:t>
            </w:r>
            <w:r>
              <w:rPr>
                <w:spacing w:val="9"/>
                <w:sz w:val="20"/>
                <w:szCs w:val="20"/>
              </w:rPr>
              <w:t>类型，</w:t>
            </w:r>
            <w:r>
              <w:rPr>
                <w:spacing w:val="-56"/>
                <w:sz w:val="20"/>
                <w:szCs w:val="20"/>
              </w:rPr>
              <w:t xml:space="preserve"> </w:t>
            </w:r>
            <w:r>
              <w:rPr>
                <w:spacing w:val="9"/>
                <w:sz w:val="20"/>
                <w:szCs w:val="20"/>
              </w:rPr>
              <w:t>以因地制宜的原则对施工</w:t>
            </w:r>
            <w:r>
              <w:rPr>
                <w:spacing w:val="12"/>
                <w:sz w:val="20"/>
                <w:szCs w:val="20"/>
              </w:rPr>
              <w:t>占地区域裸露地进行土地功能恢复，植被恢复和绿化。针对不同的占地类型，应采取有针对性的</w:t>
            </w:r>
          </w:p>
        </w:tc>
        <w:tc>
          <w:tcPr>
            <w:tcW w:w="2503" w:type="dxa"/>
            <w:vAlign w:val="top"/>
          </w:tcPr>
          <w:p w14:paraId="1ADC63DE">
            <w:pPr>
              <w:rPr>
                <w:rFonts w:ascii="Arial"/>
                <w:sz w:val="21"/>
              </w:rPr>
            </w:pPr>
          </w:p>
        </w:tc>
        <w:tc>
          <w:tcPr>
            <w:tcW w:w="3793" w:type="dxa"/>
            <w:vAlign w:val="top"/>
          </w:tcPr>
          <w:p w14:paraId="24FD58C0">
            <w:pPr>
              <w:rPr>
                <w:rFonts w:ascii="Arial"/>
                <w:sz w:val="21"/>
              </w:rPr>
            </w:pPr>
          </w:p>
        </w:tc>
        <w:tc>
          <w:tcPr>
            <w:tcW w:w="2377" w:type="dxa"/>
            <w:vAlign w:val="top"/>
          </w:tcPr>
          <w:p w14:paraId="5A885E19">
            <w:pPr>
              <w:rPr>
                <w:rFonts w:ascii="Arial"/>
                <w:sz w:val="21"/>
              </w:rPr>
            </w:pPr>
          </w:p>
        </w:tc>
      </w:tr>
    </w:tbl>
    <w:p w14:paraId="0553AB92">
      <w:pPr>
        <w:pStyle w:val="3"/>
      </w:pPr>
    </w:p>
    <w:p w14:paraId="089FCD77">
      <w:pPr>
        <w:sectPr>
          <w:footerReference r:id="rId91" w:type="default"/>
          <w:pgSz w:w="16838" w:h="11906"/>
          <w:pgMar w:top="1012" w:right="1727" w:bottom="969" w:left="1422" w:header="0" w:footer="807" w:gutter="0"/>
          <w:cols w:space="720" w:num="1"/>
        </w:sectPr>
      </w:pPr>
    </w:p>
    <w:p w14:paraId="7D90EA03">
      <w:pPr>
        <w:spacing w:before="13"/>
      </w:pPr>
    </w:p>
    <w:p w14:paraId="7E1824E7">
      <w:pPr>
        <w:spacing w:before="12"/>
      </w:pPr>
    </w:p>
    <w:tbl>
      <w:tblPr>
        <w:tblStyle w:val="8"/>
        <w:tblW w:w="136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15"/>
        <w:gridCol w:w="3195"/>
        <w:gridCol w:w="2503"/>
        <w:gridCol w:w="3793"/>
        <w:gridCol w:w="2377"/>
      </w:tblGrid>
      <w:tr w14:paraId="3E4CAE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3" w:hRule="atLeast"/>
        </w:trPr>
        <w:tc>
          <w:tcPr>
            <w:tcW w:w="1815" w:type="dxa"/>
            <w:vAlign w:val="top"/>
          </w:tcPr>
          <w:p w14:paraId="543848E3">
            <w:pPr>
              <w:rPr>
                <w:rFonts w:ascii="Arial"/>
                <w:sz w:val="21"/>
              </w:rPr>
            </w:pPr>
          </w:p>
        </w:tc>
        <w:tc>
          <w:tcPr>
            <w:tcW w:w="3195" w:type="dxa"/>
            <w:vAlign w:val="top"/>
          </w:tcPr>
          <w:p w14:paraId="356FFD6F">
            <w:pPr>
              <w:pStyle w:val="9"/>
              <w:spacing w:before="33" w:line="246" w:lineRule="auto"/>
              <w:ind w:left="110" w:right="108" w:firstLine="2"/>
              <w:jc w:val="both"/>
              <w:rPr>
                <w:sz w:val="20"/>
                <w:szCs w:val="20"/>
              </w:rPr>
            </w:pPr>
            <w:r>
              <w:rPr>
                <w:spacing w:val="12"/>
                <w:sz w:val="20"/>
                <w:szCs w:val="20"/>
              </w:rPr>
              <w:t>生态恢复措施，如：施工前进行表土剥离，表土单独存放并采取遮盖措施，施工结束后进行表土回填，采取自然恢复的方式进行植被恢复，撒播适宜当地环境的</w:t>
            </w:r>
            <w:r>
              <w:rPr>
                <w:spacing w:val="7"/>
                <w:sz w:val="20"/>
                <w:szCs w:val="20"/>
              </w:rPr>
              <w:t>草籽进行植被恢复。</w:t>
            </w:r>
          </w:p>
        </w:tc>
        <w:tc>
          <w:tcPr>
            <w:tcW w:w="2503" w:type="dxa"/>
            <w:vAlign w:val="top"/>
          </w:tcPr>
          <w:p w14:paraId="0D06BF44">
            <w:pPr>
              <w:rPr>
                <w:rFonts w:ascii="Arial"/>
                <w:sz w:val="21"/>
              </w:rPr>
            </w:pPr>
          </w:p>
        </w:tc>
        <w:tc>
          <w:tcPr>
            <w:tcW w:w="3793" w:type="dxa"/>
            <w:vAlign w:val="top"/>
          </w:tcPr>
          <w:p w14:paraId="03E9902C">
            <w:pPr>
              <w:rPr>
                <w:rFonts w:ascii="Arial"/>
                <w:sz w:val="21"/>
              </w:rPr>
            </w:pPr>
          </w:p>
        </w:tc>
        <w:tc>
          <w:tcPr>
            <w:tcW w:w="2377" w:type="dxa"/>
            <w:vAlign w:val="top"/>
          </w:tcPr>
          <w:p w14:paraId="63F7A37E">
            <w:pPr>
              <w:rPr>
                <w:rFonts w:ascii="Arial"/>
                <w:sz w:val="21"/>
              </w:rPr>
            </w:pPr>
          </w:p>
        </w:tc>
      </w:tr>
      <w:tr w14:paraId="54630E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 w:hRule="atLeast"/>
        </w:trPr>
        <w:tc>
          <w:tcPr>
            <w:tcW w:w="1815" w:type="dxa"/>
            <w:vAlign w:val="top"/>
          </w:tcPr>
          <w:p w14:paraId="56ED835C">
            <w:pPr>
              <w:pStyle w:val="9"/>
              <w:spacing w:before="92" w:line="228" w:lineRule="auto"/>
              <w:ind w:left="613"/>
              <w:rPr>
                <w:sz w:val="20"/>
                <w:szCs w:val="20"/>
              </w:rPr>
            </w:pPr>
            <w:r>
              <w:rPr>
                <w:spacing w:val="6"/>
                <w:sz w:val="20"/>
                <w:szCs w:val="20"/>
              </w:rPr>
              <w:t>水生生态</w:t>
            </w:r>
          </w:p>
        </w:tc>
        <w:tc>
          <w:tcPr>
            <w:tcW w:w="3195" w:type="dxa"/>
            <w:vAlign w:val="top"/>
          </w:tcPr>
          <w:p w14:paraId="55713BA4">
            <w:pPr>
              <w:spacing w:before="158" w:line="199" w:lineRule="auto"/>
              <w:ind w:left="177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2503" w:type="dxa"/>
            <w:vAlign w:val="top"/>
          </w:tcPr>
          <w:p w14:paraId="48EF07DC">
            <w:pPr>
              <w:spacing w:before="158" w:line="199" w:lineRule="auto"/>
              <w:ind w:left="150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3793" w:type="dxa"/>
            <w:vAlign w:val="top"/>
          </w:tcPr>
          <w:p w14:paraId="478A4561">
            <w:pPr>
              <w:spacing w:before="158" w:line="199" w:lineRule="auto"/>
              <w:ind w:left="207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2377" w:type="dxa"/>
            <w:vAlign w:val="top"/>
          </w:tcPr>
          <w:p w14:paraId="39B2361A">
            <w:pPr>
              <w:spacing w:before="158" w:line="199" w:lineRule="auto"/>
              <w:ind w:left="136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2E9C2F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7" w:hRule="atLeast"/>
        </w:trPr>
        <w:tc>
          <w:tcPr>
            <w:tcW w:w="1815" w:type="dxa"/>
            <w:vAlign w:val="top"/>
          </w:tcPr>
          <w:p w14:paraId="05538E21">
            <w:pPr>
              <w:spacing w:line="257" w:lineRule="auto"/>
              <w:rPr>
                <w:rFonts w:ascii="Arial"/>
                <w:sz w:val="21"/>
              </w:rPr>
            </w:pPr>
          </w:p>
          <w:p w14:paraId="5198BF10">
            <w:pPr>
              <w:spacing w:line="257" w:lineRule="auto"/>
              <w:rPr>
                <w:rFonts w:ascii="Arial"/>
                <w:sz w:val="21"/>
              </w:rPr>
            </w:pPr>
          </w:p>
          <w:p w14:paraId="50B3B04B">
            <w:pPr>
              <w:spacing w:line="257" w:lineRule="auto"/>
              <w:rPr>
                <w:rFonts w:ascii="Arial"/>
                <w:sz w:val="21"/>
              </w:rPr>
            </w:pPr>
          </w:p>
          <w:p w14:paraId="340D6C46">
            <w:pPr>
              <w:spacing w:line="258" w:lineRule="auto"/>
              <w:rPr>
                <w:rFonts w:ascii="Arial"/>
                <w:sz w:val="21"/>
              </w:rPr>
            </w:pPr>
          </w:p>
          <w:p w14:paraId="0ADDD17C">
            <w:pPr>
              <w:pStyle w:val="9"/>
              <w:spacing w:before="65" w:line="290" w:lineRule="auto"/>
              <w:ind w:left="808" w:right="172" w:hanging="632"/>
              <w:outlineLvl w:val="0"/>
              <w:rPr>
                <w:sz w:val="20"/>
                <w:szCs w:val="20"/>
              </w:rPr>
            </w:pPr>
            <w:r>
              <w:rPr>
                <w:spacing w:val="8"/>
                <w:sz w:val="20"/>
                <w:szCs w:val="20"/>
              </w:rPr>
              <w:t>地下水及土壤环</w:t>
            </w:r>
            <w:r>
              <w:rPr>
                <w:sz w:val="20"/>
                <w:szCs w:val="20"/>
              </w:rPr>
              <w:t>境</w:t>
            </w:r>
          </w:p>
        </w:tc>
        <w:tc>
          <w:tcPr>
            <w:tcW w:w="3195" w:type="dxa"/>
            <w:vAlign w:val="top"/>
          </w:tcPr>
          <w:p w14:paraId="406B6421">
            <w:pPr>
              <w:pStyle w:val="9"/>
              <w:spacing w:before="30" w:line="248" w:lineRule="auto"/>
              <w:ind w:left="111" w:right="106" w:firstLine="419"/>
              <w:jc w:val="both"/>
              <w:rPr>
                <w:sz w:val="20"/>
                <w:szCs w:val="20"/>
              </w:rPr>
            </w:pPr>
            <w:r>
              <w:rPr>
                <w:spacing w:val="12"/>
                <w:sz w:val="20"/>
                <w:szCs w:val="20"/>
              </w:rPr>
              <w:t>施工期产生的生产废水在施</w:t>
            </w:r>
            <w:r>
              <w:rPr>
                <w:spacing w:val="28"/>
                <w:sz w:val="20"/>
                <w:szCs w:val="20"/>
              </w:rPr>
              <w:t>工区域内位置较低处修建沉淀</w:t>
            </w:r>
            <w:r>
              <w:rPr>
                <w:spacing w:val="12"/>
                <w:sz w:val="20"/>
                <w:szCs w:val="20"/>
              </w:rPr>
              <w:t>池，周围设置排水沟，将废水导流至沉淀池内，经沉淀后可回用</w:t>
            </w:r>
            <w:r>
              <w:rPr>
                <w:spacing w:val="4"/>
                <w:sz w:val="20"/>
                <w:szCs w:val="20"/>
              </w:rPr>
              <w:t>作附近绿化用水；施工营地建有</w:t>
            </w:r>
            <w:r>
              <w:rPr>
                <w:rFonts w:ascii="Times New Roman" w:hAnsi="Times New Roman" w:eastAsia="Times New Roman" w:cs="Times New Roman"/>
                <w:spacing w:val="4"/>
                <w:sz w:val="20"/>
                <w:szCs w:val="20"/>
              </w:rPr>
              <w:t>1</w:t>
            </w:r>
            <w:r>
              <w:rPr>
                <w:spacing w:val="13"/>
                <w:sz w:val="20"/>
                <w:szCs w:val="20"/>
              </w:rPr>
              <w:t>座</w:t>
            </w:r>
            <w:r>
              <w:rPr>
                <w:rFonts w:ascii="Times New Roman" w:hAnsi="Times New Roman" w:eastAsia="Times New Roman" w:cs="Times New Roman"/>
                <w:spacing w:val="13"/>
                <w:sz w:val="20"/>
                <w:szCs w:val="20"/>
              </w:rPr>
              <w:t>5m</w:t>
            </w:r>
            <w:r>
              <w:rPr>
                <w:rFonts w:ascii="Times New Roman" w:hAnsi="Times New Roman" w:eastAsia="Times New Roman" w:cs="Times New Roman"/>
                <w:spacing w:val="13"/>
                <w:position w:val="6"/>
                <w:sz w:val="13"/>
                <w:szCs w:val="13"/>
              </w:rPr>
              <w:t xml:space="preserve">3 </w:t>
            </w:r>
            <w:r>
              <w:rPr>
                <w:spacing w:val="13"/>
                <w:sz w:val="20"/>
                <w:szCs w:val="20"/>
              </w:rPr>
              <w:t>的化粪池用于收集施工期</w:t>
            </w:r>
            <w:r>
              <w:rPr>
                <w:spacing w:val="12"/>
                <w:sz w:val="20"/>
                <w:szCs w:val="20"/>
              </w:rPr>
              <w:t>的生活废水，定期委托环卫部门清掏处理。沉淀池污泥和其他固体废物一起定期拉运至环卫部门</w:t>
            </w:r>
            <w:r>
              <w:rPr>
                <w:spacing w:val="7"/>
                <w:sz w:val="20"/>
                <w:szCs w:val="20"/>
              </w:rPr>
              <w:t>指定地点进行处置。</w:t>
            </w:r>
          </w:p>
        </w:tc>
        <w:tc>
          <w:tcPr>
            <w:tcW w:w="2503" w:type="dxa"/>
            <w:vAlign w:val="top"/>
          </w:tcPr>
          <w:p w14:paraId="08707D92">
            <w:pPr>
              <w:spacing w:line="296" w:lineRule="auto"/>
              <w:rPr>
                <w:rFonts w:ascii="Arial"/>
                <w:sz w:val="21"/>
              </w:rPr>
            </w:pPr>
          </w:p>
          <w:p w14:paraId="0F991970">
            <w:pPr>
              <w:spacing w:line="296" w:lineRule="auto"/>
              <w:rPr>
                <w:rFonts w:ascii="Arial"/>
                <w:sz w:val="21"/>
              </w:rPr>
            </w:pPr>
          </w:p>
          <w:p w14:paraId="600E9720">
            <w:pPr>
              <w:spacing w:line="296" w:lineRule="auto"/>
              <w:rPr>
                <w:rFonts w:ascii="Arial"/>
                <w:sz w:val="21"/>
              </w:rPr>
            </w:pPr>
          </w:p>
          <w:p w14:paraId="799ABD09">
            <w:pPr>
              <w:spacing w:line="297" w:lineRule="auto"/>
              <w:rPr>
                <w:rFonts w:ascii="Arial"/>
                <w:sz w:val="21"/>
              </w:rPr>
            </w:pPr>
          </w:p>
          <w:p w14:paraId="49E93C6E">
            <w:pPr>
              <w:pStyle w:val="9"/>
              <w:spacing w:before="65" w:line="228" w:lineRule="auto"/>
              <w:ind w:left="627"/>
              <w:rPr>
                <w:sz w:val="20"/>
                <w:szCs w:val="20"/>
              </w:rPr>
            </w:pPr>
            <w:r>
              <w:rPr>
                <w:spacing w:val="8"/>
                <w:sz w:val="20"/>
                <w:szCs w:val="20"/>
              </w:rPr>
              <w:t>合理处置，不外排</w:t>
            </w:r>
          </w:p>
        </w:tc>
        <w:tc>
          <w:tcPr>
            <w:tcW w:w="3793" w:type="dxa"/>
            <w:vAlign w:val="top"/>
          </w:tcPr>
          <w:p w14:paraId="57A78D39">
            <w:pPr>
              <w:spacing w:line="259" w:lineRule="auto"/>
              <w:rPr>
                <w:rFonts w:ascii="Arial"/>
                <w:sz w:val="21"/>
              </w:rPr>
            </w:pPr>
          </w:p>
          <w:p w14:paraId="38C6C185">
            <w:pPr>
              <w:spacing w:line="259" w:lineRule="auto"/>
              <w:rPr>
                <w:rFonts w:ascii="Arial"/>
                <w:sz w:val="21"/>
              </w:rPr>
            </w:pPr>
          </w:p>
          <w:p w14:paraId="7C9D0D3B">
            <w:pPr>
              <w:spacing w:line="260" w:lineRule="auto"/>
              <w:rPr>
                <w:rFonts w:ascii="Arial"/>
                <w:sz w:val="21"/>
              </w:rPr>
            </w:pPr>
          </w:p>
          <w:p w14:paraId="7ED01340">
            <w:pPr>
              <w:pStyle w:val="9"/>
              <w:spacing w:before="65" w:line="252" w:lineRule="auto"/>
              <w:ind w:left="113" w:right="104" w:firstLine="420"/>
              <w:jc w:val="both"/>
              <w:rPr>
                <w:sz w:val="20"/>
                <w:szCs w:val="20"/>
              </w:rPr>
            </w:pPr>
            <w:r>
              <w:rPr>
                <w:spacing w:val="9"/>
                <w:sz w:val="20"/>
                <w:szCs w:val="20"/>
              </w:rPr>
              <w:t>站区生活污水经排水管道排至站内</w:t>
            </w:r>
            <w:r>
              <w:rPr>
                <w:spacing w:val="10"/>
                <w:sz w:val="20"/>
                <w:szCs w:val="20"/>
              </w:rPr>
              <w:t>地埋式一体化污水处理设施处理后排入</w:t>
            </w:r>
            <w:r>
              <w:rPr>
                <w:rFonts w:ascii="Times New Roman" w:hAnsi="Times New Roman" w:eastAsia="Times New Roman" w:cs="Times New Roman"/>
                <w:spacing w:val="7"/>
                <w:sz w:val="20"/>
                <w:szCs w:val="20"/>
              </w:rPr>
              <w:t>80m</w:t>
            </w:r>
            <w:r>
              <w:rPr>
                <w:rFonts w:ascii="Times New Roman" w:hAnsi="Times New Roman" w:eastAsia="Times New Roman" w:cs="Times New Roman"/>
                <w:spacing w:val="7"/>
                <w:position w:val="6"/>
                <w:sz w:val="13"/>
                <w:szCs w:val="13"/>
              </w:rPr>
              <w:t>3</w:t>
            </w:r>
            <w:r>
              <w:rPr>
                <w:spacing w:val="7"/>
                <w:sz w:val="20"/>
                <w:szCs w:val="20"/>
              </w:rPr>
              <w:t>储水池，最终用于升压站区内绿化</w:t>
            </w:r>
            <w:r>
              <w:rPr>
                <w:spacing w:val="4"/>
                <w:sz w:val="20"/>
                <w:szCs w:val="20"/>
              </w:rPr>
              <w:t>用水</w:t>
            </w:r>
          </w:p>
        </w:tc>
        <w:tc>
          <w:tcPr>
            <w:tcW w:w="2377" w:type="dxa"/>
            <w:vAlign w:val="top"/>
          </w:tcPr>
          <w:p w14:paraId="06AB70D9">
            <w:pPr>
              <w:spacing w:line="262" w:lineRule="auto"/>
              <w:rPr>
                <w:rFonts w:ascii="Arial"/>
                <w:sz w:val="21"/>
              </w:rPr>
            </w:pPr>
          </w:p>
          <w:p w14:paraId="76AF27DA">
            <w:pPr>
              <w:spacing w:line="262" w:lineRule="auto"/>
              <w:rPr>
                <w:rFonts w:ascii="Arial"/>
                <w:sz w:val="21"/>
              </w:rPr>
            </w:pPr>
          </w:p>
          <w:p w14:paraId="08802A91">
            <w:pPr>
              <w:spacing w:line="262" w:lineRule="auto"/>
              <w:rPr>
                <w:rFonts w:ascii="Arial"/>
                <w:sz w:val="21"/>
              </w:rPr>
            </w:pPr>
          </w:p>
          <w:p w14:paraId="4459DE51">
            <w:pPr>
              <w:spacing w:line="262" w:lineRule="auto"/>
              <w:rPr>
                <w:rFonts w:ascii="Arial"/>
                <w:sz w:val="21"/>
              </w:rPr>
            </w:pPr>
          </w:p>
          <w:p w14:paraId="6EB49E08">
            <w:pPr>
              <w:pStyle w:val="9"/>
              <w:spacing w:before="65" w:line="255" w:lineRule="auto"/>
              <w:ind w:left="116" w:right="109" w:firstLine="422"/>
              <w:rPr>
                <w:sz w:val="20"/>
                <w:szCs w:val="20"/>
              </w:rPr>
            </w:pPr>
            <w:r>
              <w:rPr>
                <w:spacing w:val="15"/>
                <w:sz w:val="20"/>
                <w:szCs w:val="20"/>
              </w:rPr>
              <w:t>处理后，用于厂区</w:t>
            </w:r>
            <w:r>
              <w:rPr>
                <w:spacing w:val="3"/>
                <w:sz w:val="20"/>
                <w:szCs w:val="20"/>
              </w:rPr>
              <w:t>绿化</w:t>
            </w:r>
          </w:p>
        </w:tc>
      </w:tr>
      <w:tr w14:paraId="6DD782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1815" w:type="dxa"/>
            <w:vAlign w:val="top"/>
          </w:tcPr>
          <w:p w14:paraId="7E6AC7FB">
            <w:pPr>
              <w:spacing w:line="373" w:lineRule="auto"/>
              <w:rPr>
                <w:rFonts w:ascii="Arial"/>
                <w:sz w:val="21"/>
              </w:rPr>
            </w:pPr>
          </w:p>
          <w:p w14:paraId="1792666C">
            <w:pPr>
              <w:pStyle w:val="9"/>
              <w:spacing w:before="65" w:line="228" w:lineRule="auto"/>
              <w:ind w:left="601"/>
              <w:outlineLvl w:val="0"/>
              <w:rPr>
                <w:sz w:val="20"/>
                <w:szCs w:val="20"/>
              </w:rPr>
            </w:pPr>
            <w:r>
              <w:rPr>
                <w:spacing w:val="5"/>
                <w:sz w:val="20"/>
                <w:szCs w:val="20"/>
              </w:rPr>
              <w:t>声环境</w:t>
            </w:r>
          </w:p>
        </w:tc>
        <w:tc>
          <w:tcPr>
            <w:tcW w:w="3195" w:type="dxa"/>
            <w:vAlign w:val="top"/>
          </w:tcPr>
          <w:p w14:paraId="21921AEA">
            <w:pPr>
              <w:pStyle w:val="9"/>
              <w:spacing w:before="305" w:line="252" w:lineRule="auto"/>
              <w:ind w:left="112" w:right="108" w:firstLine="418"/>
              <w:rPr>
                <w:sz w:val="20"/>
                <w:szCs w:val="20"/>
              </w:rPr>
            </w:pPr>
            <w:r>
              <w:rPr>
                <w:spacing w:val="12"/>
                <w:sz w:val="20"/>
                <w:szCs w:val="20"/>
              </w:rPr>
              <w:t>施工期合理分配高噪声设备</w:t>
            </w:r>
            <w:r>
              <w:rPr>
                <w:spacing w:val="9"/>
                <w:sz w:val="20"/>
                <w:szCs w:val="20"/>
              </w:rPr>
              <w:t>使用时间，减少噪声排放时长</w:t>
            </w:r>
          </w:p>
        </w:tc>
        <w:tc>
          <w:tcPr>
            <w:tcW w:w="2503" w:type="dxa"/>
            <w:vAlign w:val="top"/>
          </w:tcPr>
          <w:p w14:paraId="1A0B8F5A">
            <w:pPr>
              <w:rPr>
                <w:rFonts w:ascii="Arial"/>
                <w:sz w:val="21"/>
              </w:rPr>
            </w:pPr>
          </w:p>
          <w:p w14:paraId="095845D5">
            <w:pPr>
              <w:pStyle w:val="9"/>
              <w:spacing w:before="65" w:line="252" w:lineRule="auto"/>
              <w:ind w:left="184" w:right="195" w:firstLine="27"/>
              <w:rPr>
                <w:sz w:val="20"/>
                <w:szCs w:val="20"/>
              </w:rPr>
            </w:pPr>
            <w:r>
              <w:rPr>
                <w:spacing w:val="8"/>
                <w:sz w:val="20"/>
                <w:szCs w:val="20"/>
              </w:rPr>
              <w:t>《建筑施工噪声排放标</w:t>
            </w:r>
            <w:r>
              <w:rPr>
                <w:spacing w:val="5"/>
                <w:sz w:val="20"/>
                <w:szCs w:val="20"/>
              </w:rPr>
              <w:t>准》（</w:t>
            </w:r>
            <w:r>
              <w:rPr>
                <w:rFonts w:ascii="Times New Roman" w:hAnsi="Times New Roman" w:eastAsia="Times New Roman" w:cs="Times New Roman"/>
                <w:sz w:val="20"/>
                <w:szCs w:val="20"/>
              </w:rPr>
              <w:t>GB</w:t>
            </w:r>
            <w:r>
              <w:rPr>
                <w:rFonts w:ascii="Times New Roman" w:hAnsi="Times New Roman" w:eastAsia="Times New Roman" w:cs="Times New Roman"/>
                <w:spacing w:val="5"/>
                <w:sz w:val="20"/>
                <w:szCs w:val="20"/>
              </w:rPr>
              <w:t>12523-2025</w:t>
            </w:r>
            <w:r>
              <w:rPr>
                <w:spacing w:val="5"/>
                <w:sz w:val="20"/>
                <w:szCs w:val="20"/>
              </w:rPr>
              <w:t>）</w:t>
            </w:r>
          </w:p>
        </w:tc>
        <w:tc>
          <w:tcPr>
            <w:tcW w:w="3793" w:type="dxa"/>
            <w:vAlign w:val="top"/>
          </w:tcPr>
          <w:p w14:paraId="2754B2BA">
            <w:pPr>
              <w:pStyle w:val="9"/>
              <w:spacing w:before="305" w:line="252" w:lineRule="auto"/>
              <w:ind w:left="129" w:right="104" w:firstLine="406"/>
              <w:rPr>
                <w:sz w:val="20"/>
                <w:szCs w:val="20"/>
              </w:rPr>
            </w:pPr>
            <w:r>
              <w:rPr>
                <w:spacing w:val="9"/>
                <w:sz w:val="20"/>
                <w:szCs w:val="20"/>
              </w:rPr>
              <w:t>主变选用低噪音节能型变压器。站</w:t>
            </w:r>
            <w:r>
              <w:rPr>
                <w:spacing w:val="7"/>
                <w:sz w:val="20"/>
                <w:szCs w:val="20"/>
              </w:rPr>
              <w:t>区设置围墙隔声降噪</w:t>
            </w:r>
          </w:p>
        </w:tc>
        <w:tc>
          <w:tcPr>
            <w:tcW w:w="2377" w:type="dxa"/>
            <w:vAlign w:val="top"/>
          </w:tcPr>
          <w:p w14:paraId="05CFFF74">
            <w:pPr>
              <w:pStyle w:val="9"/>
              <w:spacing w:before="32" w:line="228" w:lineRule="auto"/>
              <w:ind w:left="143"/>
              <w:rPr>
                <w:sz w:val="20"/>
                <w:szCs w:val="20"/>
              </w:rPr>
            </w:pPr>
            <w:r>
              <w:rPr>
                <w:spacing w:val="8"/>
                <w:sz w:val="20"/>
                <w:szCs w:val="20"/>
              </w:rPr>
              <w:t>满足《工业企业厂界环</w:t>
            </w:r>
          </w:p>
          <w:p w14:paraId="47AFE989">
            <w:pPr>
              <w:pStyle w:val="9"/>
              <w:spacing w:before="27" w:line="228" w:lineRule="auto"/>
              <w:ind w:left="355"/>
              <w:rPr>
                <w:sz w:val="20"/>
                <w:szCs w:val="20"/>
              </w:rPr>
            </w:pPr>
            <w:r>
              <w:rPr>
                <w:spacing w:val="7"/>
                <w:sz w:val="20"/>
                <w:szCs w:val="20"/>
              </w:rPr>
              <w:t>境噪声排放标准》</w:t>
            </w:r>
          </w:p>
          <w:p w14:paraId="4285DBB8">
            <w:pPr>
              <w:pStyle w:val="9"/>
              <w:spacing w:before="23" w:line="228" w:lineRule="auto"/>
              <w:ind w:left="125"/>
              <w:rPr>
                <w:sz w:val="20"/>
                <w:szCs w:val="20"/>
              </w:rPr>
            </w:pPr>
            <w:r>
              <w:rPr>
                <w:spacing w:val="-1"/>
                <w:sz w:val="20"/>
                <w:szCs w:val="20"/>
              </w:rPr>
              <w:t>（</w:t>
            </w:r>
            <w:r>
              <w:rPr>
                <w:rFonts w:ascii="Times New Roman" w:hAnsi="Times New Roman" w:eastAsia="Times New Roman" w:cs="Times New Roman"/>
                <w:spacing w:val="-1"/>
                <w:sz w:val="20"/>
                <w:szCs w:val="20"/>
              </w:rPr>
              <w:t>GB12348-2008</w:t>
            </w:r>
            <w:r>
              <w:rPr>
                <w:spacing w:val="-1"/>
                <w:sz w:val="20"/>
                <w:szCs w:val="20"/>
              </w:rPr>
              <w:t>）</w:t>
            </w:r>
            <w:r>
              <w:rPr>
                <w:rFonts w:ascii="Times New Roman" w:hAnsi="Times New Roman" w:eastAsia="Times New Roman" w:cs="Times New Roman"/>
                <w:spacing w:val="-1"/>
                <w:sz w:val="20"/>
                <w:szCs w:val="20"/>
              </w:rPr>
              <w:t>2</w:t>
            </w:r>
            <w:r>
              <w:rPr>
                <w:spacing w:val="-1"/>
                <w:sz w:val="20"/>
                <w:szCs w:val="20"/>
              </w:rPr>
              <w:t>类标</w:t>
            </w:r>
          </w:p>
          <w:p w14:paraId="5D7ACF2D">
            <w:pPr>
              <w:pStyle w:val="9"/>
              <w:spacing w:before="27" w:line="214" w:lineRule="auto"/>
              <w:ind w:left="1091"/>
              <w:rPr>
                <w:sz w:val="20"/>
                <w:szCs w:val="20"/>
              </w:rPr>
            </w:pPr>
            <w:r>
              <w:rPr>
                <w:sz w:val="20"/>
                <w:szCs w:val="20"/>
              </w:rPr>
              <w:t>准</w:t>
            </w:r>
          </w:p>
        </w:tc>
      </w:tr>
      <w:tr w14:paraId="46E4C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3" w:hRule="atLeast"/>
        </w:trPr>
        <w:tc>
          <w:tcPr>
            <w:tcW w:w="1815" w:type="dxa"/>
            <w:vAlign w:val="top"/>
          </w:tcPr>
          <w:p w14:paraId="33C5629C">
            <w:pPr>
              <w:spacing w:line="374" w:lineRule="auto"/>
              <w:rPr>
                <w:rFonts w:ascii="Arial"/>
                <w:sz w:val="21"/>
              </w:rPr>
            </w:pPr>
          </w:p>
          <w:p w14:paraId="53B9E9D4">
            <w:pPr>
              <w:pStyle w:val="9"/>
              <w:spacing w:before="65" w:line="228" w:lineRule="auto"/>
              <w:ind w:left="496"/>
              <w:outlineLvl w:val="0"/>
              <w:rPr>
                <w:sz w:val="20"/>
                <w:szCs w:val="20"/>
              </w:rPr>
            </w:pPr>
            <w:r>
              <w:rPr>
                <w:spacing w:val="6"/>
                <w:sz w:val="20"/>
                <w:szCs w:val="20"/>
              </w:rPr>
              <w:t>大气环境</w:t>
            </w:r>
          </w:p>
        </w:tc>
        <w:tc>
          <w:tcPr>
            <w:tcW w:w="3195" w:type="dxa"/>
            <w:vAlign w:val="top"/>
          </w:tcPr>
          <w:p w14:paraId="3746F320">
            <w:pPr>
              <w:rPr>
                <w:rFonts w:ascii="Arial"/>
                <w:sz w:val="21"/>
              </w:rPr>
            </w:pPr>
          </w:p>
          <w:p w14:paraId="5B01A7D4">
            <w:pPr>
              <w:pStyle w:val="9"/>
              <w:spacing w:before="65" w:line="252" w:lineRule="auto"/>
              <w:ind w:left="110" w:right="142" w:firstLine="434"/>
              <w:rPr>
                <w:sz w:val="20"/>
                <w:szCs w:val="20"/>
              </w:rPr>
            </w:pPr>
            <w:r>
              <w:rPr>
                <w:spacing w:val="8"/>
                <w:sz w:val="20"/>
                <w:szCs w:val="20"/>
              </w:rPr>
              <w:t>防止扬尘污染：采用围挡、遮盖、定期洒水等措施。</w:t>
            </w:r>
          </w:p>
        </w:tc>
        <w:tc>
          <w:tcPr>
            <w:tcW w:w="2503" w:type="dxa"/>
            <w:vAlign w:val="top"/>
          </w:tcPr>
          <w:p w14:paraId="6F4BD9BE">
            <w:pPr>
              <w:pStyle w:val="9"/>
              <w:spacing w:before="34" w:line="228" w:lineRule="auto"/>
              <w:ind w:left="212"/>
              <w:rPr>
                <w:sz w:val="20"/>
                <w:szCs w:val="20"/>
              </w:rPr>
            </w:pPr>
            <w:r>
              <w:rPr>
                <w:spacing w:val="8"/>
                <w:sz w:val="20"/>
                <w:szCs w:val="20"/>
              </w:rPr>
              <w:t>《大气污染物综合排放</w:t>
            </w:r>
          </w:p>
          <w:p w14:paraId="63B99D48">
            <w:pPr>
              <w:pStyle w:val="9"/>
              <w:spacing w:before="26" w:line="221" w:lineRule="auto"/>
              <w:ind w:left="114"/>
              <w:rPr>
                <w:sz w:val="20"/>
                <w:szCs w:val="20"/>
              </w:rPr>
            </w:pPr>
            <w:r>
              <w:rPr>
                <w:spacing w:val="4"/>
                <w:sz w:val="20"/>
                <w:szCs w:val="20"/>
              </w:rPr>
              <w:t>标准》</w:t>
            </w:r>
            <w:r>
              <w:rPr>
                <w:rFonts w:ascii="Times New Roman" w:hAnsi="Times New Roman" w:eastAsia="Times New Roman" w:cs="Times New Roman"/>
                <w:spacing w:val="4"/>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4"/>
                <w:sz w:val="20"/>
                <w:szCs w:val="20"/>
              </w:rPr>
              <w:t>16297-</w:t>
            </w:r>
            <w:r>
              <w:rPr>
                <w:rFonts w:ascii="Times New Roman" w:hAnsi="Times New Roman" w:eastAsia="Times New Roman" w:cs="Times New Roman"/>
                <w:spacing w:val="-17"/>
                <w:sz w:val="20"/>
                <w:szCs w:val="20"/>
              </w:rPr>
              <w:t xml:space="preserve"> </w:t>
            </w:r>
            <w:r>
              <w:rPr>
                <w:rFonts w:ascii="Times New Roman" w:hAnsi="Times New Roman" w:eastAsia="Times New Roman" w:cs="Times New Roman"/>
                <w:spacing w:val="4"/>
                <w:sz w:val="20"/>
                <w:szCs w:val="20"/>
              </w:rPr>
              <w:t>1996)</w:t>
            </w:r>
            <w:r>
              <w:rPr>
                <w:spacing w:val="4"/>
                <w:sz w:val="20"/>
                <w:szCs w:val="20"/>
              </w:rPr>
              <w:t>中</w:t>
            </w:r>
          </w:p>
          <w:p w14:paraId="5DFB3607">
            <w:pPr>
              <w:pStyle w:val="9"/>
              <w:spacing w:before="32" w:line="228" w:lineRule="auto"/>
              <w:ind w:left="207"/>
              <w:rPr>
                <w:sz w:val="20"/>
                <w:szCs w:val="20"/>
              </w:rPr>
            </w:pPr>
            <w:r>
              <w:rPr>
                <w:spacing w:val="8"/>
                <w:sz w:val="20"/>
                <w:szCs w:val="20"/>
              </w:rPr>
              <w:t>新污染源无组织监控浓</w:t>
            </w:r>
          </w:p>
          <w:p w14:paraId="3A93BA8A">
            <w:pPr>
              <w:pStyle w:val="9"/>
              <w:spacing w:before="26" w:line="213" w:lineRule="auto"/>
              <w:ind w:left="1151"/>
              <w:rPr>
                <w:sz w:val="20"/>
                <w:szCs w:val="20"/>
              </w:rPr>
            </w:pPr>
            <w:r>
              <w:rPr>
                <w:spacing w:val="1"/>
                <w:sz w:val="20"/>
                <w:szCs w:val="20"/>
              </w:rPr>
              <w:t>度</w:t>
            </w:r>
          </w:p>
        </w:tc>
        <w:tc>
          <w:tcPr>
            <w:tcW w:w="3793" w:type="dxa"/>
            <w:vAlign w:val="top"/>
          </w:tcPr>
          <w:p w14:paraId="00EF5309">
            <w:pPr>
              <w:spacing w:line="413" w:lineRule="auto"/>
              <w:rPr>
                <w:rFonts w:ascii="Arial"/>
                <w:sz w:val="21"/>
              </w:rPr>
            </w:pPr>
          </w:p>
          <w:p w14:paraId="5AA15357">
            <w:pPr>
              <w:spacing w:before="58" w:line="199" w:lineRule="auto"/>
              <w:ind w:left="207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2377" w:type="dxa"/>
            <w:vAlign w:val="top"/>
          </w:tcPr>
          <w:p w14:paraId="7EBDBB33">
            <w:pPr>
              <w:spacing w:line="413" w:lineRule="auto"/>
              <w:rPr>
                <w:rFonts w:ascii="Arial"/>
                <w:sz w:val="21"/>
              </w:rPr>
            </w:pPr>
          </w:p>
          <w:p w14:paraId="146AB56C">
            <w:pPr>
              <w:spacing w:before="58" w:line="199" w:lineRule="auto"/>
              <w:ind w:left="115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7D7439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9" w:hRule="atLeast"/>
        </w:trPr>
        <w:tc>
          <w:tcPr>
            <w:tcW w:w="1815" w:type="dxa"/>
            <w:vAlign w:val="top"/>
          </w:tcPr>
          <w:p w14:paraId="2BA63116">
            <w:pPr>
              <w:spacing w:line="256" w:lineRule="auto"/>
              <w:rPr>
                <w:rFonts w:ascii="Arial"/>
                <w:sz w:val="21"/>
              </w:rPr>
            </w:pPr>
          </w:p>
          <w:p w14:paraId="4DE11CB1">
            <w:pPr>
              <w:spacing w:line="256" w:lineRule="auto"/>
              <w:rPr>
                <w:rFonts w:ascii="Arial"/>
                <w:sz w:val="21"/>
              </w:rPr>
            </w:pPr>
          </w:p>
          <w:p w14:paraId="2C215A63">
            <w:pPr>
              <w:pStyle w:val="9"/>
              <w:spacing w:before="65" w:line="228" w:lineRule="auto"/>
              <w:ind w:left="511"/>
              <w:outlineLvl w:val="0"/>
              <w:rPr>
                <w:sz w:val="20"/>
                <w:szCs w:val="20"/>
              </w:rPr>
            </w:pPr>
            <w:r>
              <w:rPr>
                <w:spacing w:val="2"/>
                <w:sz w:val="20"/>
                <w:szCs w:val="20"/>
              </w:rPr>
              <w:t>固体废物</w:t>
            </w:r>
          </w:p>
        </w:tc>
        <w:tc>
          <w:tcPr>
            <w:tcW w:w="3195" w:type="dxa"/>
            <w:vAlign w:val="top"/>
          </w:tcPr>
          <w:p w14:paraId="4F87FC92">
            <w:pPr>
              <w:rPr>
                <w:rFonts w:ascii="Arial"/>
                <w:sz w:val="21"/>
              </w:rPr>
            </w:pPr>
          </w:p>
          <w:p w14:paraId="32B0289E">
            <w:pPr>
              <w:pStyle w:val="9"/>
              <w:spacing w:before="66" w:line="252" w:lineRule="auto"/>
              <w:ind w:left="113" w:right="108" w:firstLine="417"/>
              <w:jc w:val="both"/>
              <w:rPr>
                <w:sz w:val="20"/>
                <w:szCs w:val="20"/>
              </w:rPr>
            </w:pPr>
            <w:r>
              <w:rPr>
                <w:spacing w:val="12"/>
                <w:sz w:val="20"/>
                <w:szCs w:val="20"/>
              </w:rPr>
              <w:t>施工生活垃圾、建筑垃圾是否按要求清运到指定地点，做到</w:t>
            </w:r>
            <w:r>
              <w:rPr>
                <w:spacing w:val="6"/>
                <w:sz w:val="20"/>
                <w:szCs w:val="20"/>
              </w:rPr>
              <w:t>文明施工</w:t>
            </w:r>
          </w:p>
        </w:tc>
        <w:tc>
          <w:tcPr>
            <w:tcW w:w="2503" w:type="dxa"/>
            <w:vAlign w:val="top"/>
          </w:tcPr>
          <w:p w14:paraId="19CF83A3">
            <w:pPr>
              <w:spacing w:line="256" w:lineRule="auto"/>
              <w:rPr>
                <w:rFonts w:ascii="Arial"/>
                <w:sz w:val="21"/>
              </w:rPr>
            </w:pPr>
          </w:p>
          <w:p w14:paraId="47DA2640">
            <w:pPr>
              <w:spacing w:line="256" w:lineRule="auto"/>
              <w:rPr>
                <w:rFonts w:ascii="Arial"/>
                <w:sz w:val="21"/>
              </w:rPr>
            </w:pPr>
          </w:p>
          <w:p w14:paraId="26E6C8C7">
            <w:pPr>
              <w:pStyle w:val="9"/>
              <w:spacing w:before="65" w:line="228" w:lineRule="auto"/>
              <w:ind w:left="627"/>
              <w:rPr>
                <w:sz w:val="20"/>
                <w:szCs w:val="20"/>
              </w:rPr>
            </w:pPr>
            <w:r>
              <w:rPr>
                <w:spacing w:val="8"/>
                <w:sz w:val="20"/>
                <w:szCs w:val="20"/>
              </w:rPr>
              <w:t>合理处置，不外排</w:t>
            </w:r>
          </w:p>
        </w:tc>
        <w:tc>
          <w:tcPr>
            <w:tcW w:w="3793" w:type="dxa"/>
            <w:vAlign w:val="top"/>
          </w:tcPr>
          <w:p w14:paraId="5535CD6E">
            <w:pPr>
              <w:pStyle w:val="9"/>
              <w:spacing w:before="38" w:line="250" w:lineRule="auto"/>
              <w:ind w:left="119" w:right="104" w:firstLine="416"/>
              <w:rPr>
                <w:sz w:val="20"/>
                <w:szCs w:val="20"/>
              </w:rPr>
            </w:pPr>
            <w:r>
              <w:rPr>
                <w:spacing w:val="9"/>
                <w:sz w:val="20"/>
                <w:szCs w:val="20"/>
              </w:rPr>
              <w:t>生活垃圾由垃圾箱收集，委托霍林</w:t>
            </w:r>
            <w:r>
              <w:rPr>
                <w:spacing w:val="8"/>
                <w:sz w:val="20"/>
                <w:szCs w:val="20"/>
              </w:rPr>
              <w:t>郭勒市环境卫生服务中心处置</w:t>
            </w:r>
          </w:p>
          <w:p w14:paraId="6B7B3D44">
            <w:pPr>
              <w:pStyle w:val="9"/>
              <w:spacing w:before="2" w:line="239" w:lineRule="auto"/>
              <w:ind w:left="115" w:right="104" w:firstLine="417"/>
              <w:rPr>
                <w:sz w:val="20"/>
                <w:szCs w:val="20"/>
              </w:rPr>
            </w:pPr>
            <w:r>
              <w:rPr>
                <w:spacing w:val="11"/>
                <w:sz w:val="20"/>
                <w:szCs w:val="20"/>
              </w:rPr>
              <w:t>废铅蓄电池暂存于站内</w:t>
            </w:r>
            <w:r>
              <w:rPr>
                <w:rFonts w:ascii="Times New Roman" w:hAnsi="Times New Roman" w:eastAsia="Times New Roman" w:cs="Times New Roman"/>
                <w:spacing w:val="11"/>
                <w:sz w:val="20"/>
                <w:szCs w:val="20"/>
              </w:rPr>
              <w:t>1</w:t>
            </w:r>
            <w:r>
              <w:rPr>
                <w:spacing w:val="11"/>
                <w:sz w:val="20"/>
                <w:szCs w:val="20"/>
              </w:rPr>
              <w:t>座</w:t>
            </w:r>
            <w:r>
              <w:rPr>
                <w:rFonts w:ascii="Times New Roman" w:hAnsi="Times New Roman" w:eastAsia="Times New Roman" w:cs="Times New Roman"/>
                <w:spacing w:val="11"/>
                <w:sz w:val="20"/>
                <w:szCs w:val="20"/>
              </w:rPr>
              <w:t>57m</w:t>
            </w:r>
            <w:r>
              <w:rPr>
                <w:rFonts w:ascii="Times New Roman" w:hAnsi="Times New Roman" w:eastAsia="Times New Roman" w:cs="Times New Roman"/>
                <w:spacing w:val="11"/>
                <w:position w:val="6"/>
                <w:sz w:val="13"/>
                <w:szCs w:val="13"/>
              </w:rPr>
              <w:t xml:space="preserve">2 </w:t>
            </w:r>
            <w:r>
              <w:rPr>
                <w:spacing w:val="11"/>
                <w:sz w:val="20"/>
                <w:szCs w:val="20"/>
              </w:rPr>
              <w:t>的</w:t>
            </w:r>
            <w:r>
              <w:rPr>
                <w:spacing w:val="9"/>
                <w:sz w:val="20"/>
                <w:szCs w:val="20"/>
              </w:rPr>
              <w:t>危险废物暂存间内，定期由有资质的厂</w:t>
            </w:r>
            <w:r>
              <w:rPr>
                <w:spacing w:val="7"/>
                <w:sz w:val="20"/>
                <w:szCs w:val="20"/>
              </w:rPr>
              <w:t>家更换回收处理。</w:t>
            </w:r>
          </w:p>
        </w:tc>
        <w:tc>
          <w:tcPr>
            <w:tcW w:w="2377" w:type="dxa"/>
            <w:vAlign w:val="top"/>
          </w:tcPr>
          <w:p w14:paraId="2D9A6042">
            <w:pPr>
              <w:pStyle w:val="9"/>
              <w:spacing w:before="171" w:line="228" w:lineRule="auto"/>
              <w:ind w:left="143"/>
              <w:rPr>
                <w:sz w:val="20"/>
                <w:szCs w:val="20"/>
              </w:rPr>
            </w:pPr>
            <w:r>
              <w:rPr>
                <w:spacing w:val="8"/>
                <w:sz w:val="20"/>
                <w:szCs w:val="20"/>
              </w:rPr>
              <w:t>满足《危险废物贮存污</w:t>
            </w:r>
          </w:p>
          <w:p w14:paraId="3DEB5139">
            <w:pPr>
              <w:pStyle w:val="9"/>
              <w:spacing w:before="24" w:line="228" w:lineRule="auto"/>
              <w:ind w:left="567"/>
              <w:rPr>
                <w:sz w:val="20"/>
                <w:szCs w:val="20"/>
              </w:rPr>
            </w:pPr>
            <w:r>
              <w:rPr>
                <w:spacing w:val="6"/>
                <w:sz w:val="20"/>
                <w:szCs w:val="20"/>
              </w:rPr>
              <w:t>染控制标准》</w:t>
            </w:r>
          </w:p>
          <w:p w14:paraId="71AE27D8">
            <w:pPr>
              <w:pStyle w:val="9"/>
              <w:spacing w:before="23" w:line="231" w:lineRule="auto"/>
              <w:ind w:left="129"/>
              <w:rPr>
                <w:sz w:val="20"/>
                <w:szCs w:val="20"/>
              </w:rPr>
            </w:pPr>
            <w:r>
              <w:rPr>
                <w:spacing w:val="5"/>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5"/>
                <w:sz w:val="20"/>
                <w:szCs w:val="20"/>
              </w:rPr>
              <w:t>18597-2023</w:t>
            </w:r>
            <w:r>
              <w:rPr>
                <w:spacing w:val="5"/>
                <w:sz w:val="20"/>
                <w:szCs w:val="20"/>
              </w:rPr>
              <w:t>）的要</w:t>
            </w:r>
          </w:p>
          <w:p w14:paraId="5E12587F">
            <w:pPr>
              <w:pStyle w:val="9"/>
              <w:spacing w:before="23" w:line="229" w:lineRule="auto"/>
              <w:ind w:left="1091"/>
              <w:rPr>
                <w:sz w:val="20"/>
                <w:szCs w:val="20"/>
              </w:rPr>
            </w:pPr>
            <w:r>
              <w:rPr>
                <w:sz w:val="20"/>
                <w:szCs w:val="20"/>
              </w:rPr>
              <w:t>求</w:t>
            </w:r>
          </w:p>
        </w:tc>
      </w:tr>
    </w:tbl>
    <w:p w14:paraId="1DBA0EF6">
      <w:pPr>
        <w:pStyle w:val="3"/>
      </w:pPr>
    </w:p>
    <w:p w14:paraId="6B9D860F">
      <w:pPr>
        <w:sectPr>
          <w:footerReference r:id="rId92" w:type="default"/>
          <w:pgSz w:w="16838" w:h="11906"/>
          <w:pgMar w:top="1012" w:right="1727" w:bottom="969" w:left="1422" w:header="0" w:footer="807" w:gutter="0"/>
          <w:cols w:space="720" w:num="1"/>
        </w:sectPr>
      </w:pPr>
    </w:p>
    <w:p w14:paraId="38D26D1E">
      <w:pPr>
        <w:spacing w:before="13"/>
      </w:pPr>
    </w:p>
    <w:p w14:paraId="14A41513">
      <w:pPr>
        <w:spacing w:before="12"/>
      </w:pPr>
    </w:p>
    <w:tbl>
      <w:tblPr>
        <w:tblStyle w:val="8"/>
        <w:tblW w:w="136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15"/>
        <w:gridCol w:w="3195"/>
        <w:gridCol w:w="2503"/>
        <w:gridCol w:w="3793"/>
        <w:gridCol w:w="2377"/>
      </w:tblGrid>
      <w:tr w14:paraId="76A758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6" w:hRule="atLeast"/>
        </w:trPr>
        <w:tc>
          <w:tcPr>
            <w:tcW w:w="1815" w:type="dxa"/>
            <w:vAlign w:val="top"/>
          </w:tcPr>
          <w:p w14:paraId="2A818AB5">
            <w:pPr>
              <w:rPr>
                <w:rFonts w:ascii="Arial"/>
                <w:sz w:val="21"/>
              </w:rPr>
            </w:pPr>
          </w:p>
        </w:tc>
        <w:tc>
          <w:tcPr>
            <w:tcW w:w="3195" w:type="dxa"/>
            <w:vAlign w:val="top"/>
          </w:tcPr>
          <w:p w14:paraId="7862DAD4">
            <w:pPr>
              <w:rPr>
                <w:rFonts w:ascii="Arial"/>
                <w:sz w:val="21"/>
              </w:rPr>
            </w:pPr>
          </w:p>
        </w:tc>
        <w:tc>
          <w:tcPr>
            <w:tcW w:w="2503" w:type="dxa"/>
            <w:vAlign w:val="top"/>
          </w:tcPr>
          <w:p w14:paraId="3FB422CB">
            <w:pPr>
              <w:rPr>
                <w:rFonts w:ascii="Arial"/>
                <w:sz w:val="21"/>
              </w:rPr>
            </w:pPr>
          </w:p>
        </w:tc>
        <w:tc>
          <w:tcPr>
            <w:tcW w:w="3793" w:type="dxa"/>
            <w:vAlign w:val="top"/>
          </w:tcPr>
          <w:p w14:paraId="25F6882E">
            <w:pPr>
              <w:pStyle w:val="9"/>
              <w:spacing w:before="36" w:line="252" w:lineRule="auto"/>
              <w:ind w:left="116" w:right="104" w:firstLine="416"/>
              <w:rPr>
                <w:sz w:val="20"/>
                <w:szCs w:val="20"/>
              </w:rPr>
            </w:pPr>
            <w:r>
              <w:rPr>
                <w:spacing w:val="10"/>
                <w:sz w:val="20"/>
                <w:szCs w:val="20"/>
              </w:rPr>
              <w:t>事故状态下产生的废油暂存于事故</w:t>
            </w:r>
            <w:r>
              <w:rPr>
                <w:spacing w:val="9"/>
                <w:sz w:val="20"/>
                <w:szCs w:val="20"/>
              </w:rPr>
              <w:t>油池，委托有资质单位进行处置</w:t>
            </w:r>
          </w:p>
        </w:tc>
        <w:tc>
          <w:tcPr>
            <w:tcW w:w="2377" w:type="dxa"/>
            <w:vAlign w:val="top"/>
          </w:tcPr>
          <w:p w14:paraId="50CA86A5">
            <w:pPr>
              <w:rPr>
                <w:rFonts w:ascii="Arial"/>
                <w:sz w:val="21"/>
              </w:rPr>
            </w:pPr>
          </w:p>
        </w:tc>
      </w:tr>
      <w:tr w14:paraId="3A4B69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7" w:hRule="atLeast"/>
        </w:trPr>
        <w:tc>
          <w:tcPr>
            <w:tcW w:w="1815" w:type="dxa"/>
            <w:vAlign w:val="top"/>
          </w:tcPr>
          <w:p w14:paraId="5E54761C">
            <w:pPr>
              <w:rPr>
                <w:rFonts w:ascii="Arial"/>
                <w:sz w:val="21"/>
              </w:rPr>
            </w:pPr>
          </w:p>
          <w:p w14:paraId="3DD9C1B5">
            <w:pPr>
              <w:rPr>
                <w:rFonts w:ascii="Arial"/>
                <w:sz w:val="21"/>
              </w:rPr>
            </w:pPr>
          </w:p>
          <w:p w14:paraId="6B05126F">
            <w:pPr>
              <w:rPr>
                <w:rFonts w:ascii="Arial"/>
                <w:sz w:val="21"/>
              </w:rPr>
            </w:pPr>
          </w:p>
          <w:p w14:paraId="247EEB3F">
            <w:pPr>
              <w:rPr>
                <w:rFonts w:ascii="Arial"/>
                <w:sz w:val="21"/>
              </w:rPr>
            </w:pPr>
          </w:p>
          <w:p w14:paraId="6B290D78">
            <w:pPr>
              <w:rPr>
                <w:rFonts w:ascii="Arial"/>
                <w:sz w:val="21"/>
              </w:rPr>
            </w:pPr>
          </w:p>
          <w:p w14:paraId="15610D49">
            <w:pPr>
              <w:rPr>
                <w:rFonts w:ascii="Arial"/>
                <w:sz w:val="21"/>
              </w:rPr>
            </w:pPr>
          </w:p>
          <w:p w14:paraId="3E2E0111">
            <w:pPr>
              <w:rPr>
                <w:rFonts w:ascii="Arial"/>
                <w:sz w:val="21"/>
              </w:rPr>
            </w:pPr>
          </w:p>
          <w:p w14:paraId="03E41388">
            <w:pPr>
              <w:spacing w:line="241" w:lineRule="auto"/>
              <w:rPr>
                <w:rFonts w:ascii="Arial"/>
                <w:sz w:val="21"/>
              </w:rPr>
            </w:pPr>
          </w:p>
          <w:p w14:paraId="5503AE4C">
            <w:pPr>
              <w:spacing w:line="241" w:lineRule="auto"/>
              <w:rPr>
                <w:rFonts w:ascii="Arial"/>
                <w:sz w:val="21"/>
              </w:rPr>
            </w:pPr>
          </w:p>
          <w:p w14:paraId="779800E5">
            <w:pPr>
              <w:spacing w:line="241" w:lineRule="auto"/>
              <w:rPr>
                <w:rFonts w:ascii="Arial"/>
                <w:sz w:val="21"/>
              </w:rPr>
            </w:pPr>
          </w:p>
          <w:p w14:paraId="609FA282">
            <w:pPr>
              <w:pStyle w:val="9"/>
              <w:spacing w:before="65" w:line="228" w:lineRule="auto"/>
              <w:ind w:left="518"/>
              <w:outlineLvl w:val="0"/>
              <w:rPr>
                <w:sz w:val="20"/>
                <w:szCs w:val="20"/>
              </w:rPr>
            </w:pPr>
            <w:r>
              <w:rPr>
                <w:spacing w:val="1"/>
                <w:sz w:val="20"/>
                <w:szCs w:val="20"/>
              </w:rPr>
              <w:t>电磁环境</w:t>
            </w:r>
          </w:p>
        </w:tc>
        <w:tc>
          <w:tcPr>
            <w:tcW w:w="3195" w:type="dxa"/>
            <w:vAlign w:val="top"/>
          </w:tcPr>
          <w:p w14:paraId="12752E92">
            <w:pPr>
              <w:rPr>
                <w:rFonts w:ascii="Arial"/>
                <w:sz w:val="21"/>
              </w:rPr>
            </w:pPr>
          </w:p>
        </w:tc>
        <w:tc>
          <w:tcPr>
            <w:tcW w:w="2503" w:type="dxa"/>
            <w:vAlign w:val="top"/>
          </w:tcPr>
          <w:p w14:paraId="03FA691E">
            <w:pPr>
              <w:rPr>
                <w:rFonts w:ascii="Arial"/>
                <w:sz w:val="21"/>
              </w:rPr>
            </w:pPr>
          </w:p>
        </w:tc>
        <w:tc>
          <w:tcPr>
            <w:tcW w:w="3793" w:type="dxa"/>
            <w:vAlign w:val="top"/>
          </w:tcPr>
          <w:p w14:paraId="34476A93">
            <w:pPr>
              <w:pStyle w:val="9"/>
              <w:spacing w:before="34" w:line="251" w:lineRule="auto"/>
              <w:ind w:left="113" w:right="104" w:firstLine="430"/>
              <w:rPr>
                <w:sz w:val="20"/>
                <w:szCs w:val="20"/>
              </w:rPr>
            </w:pPr>
            <w:r>
              <w:rPr>
                <w:spacing w:val="2"/>
                <w:sz w:val="20"/>
                <w:szCs w:val="20"/>
              </w:rPr>
              <w:t>（</w:t>
            </w:r>
            <w:r>
              <w:rPr>
                <w:rFonts w:ascii="Times New Roman" w:hAnsi="Times New Roman" w:eastAsia="Times New Roman" w:cs="Times New Roman"/>
                <w:spacing w:val="2"/>
                <w:sz w:val="20"/>
                <w:szCs w:val="20"/>
              </w:rPr>
              <w:t>1</w:t>
            </w:r>
            <w:r>
              <w:rPr>
                <w:spacing w:val="2"/>
                <w:sz w:val="20"/>
                <w:szCs w:val="20"/>
              </w:rPr>
              <w:t>）合理布局，在满足升压站内电</w:t>
            </w:r>
            <w:r>
              <w:rPr>
                <w:spacing w:val="10"/>
                <w:sz w:val="20"/>
                <w:szCs w:val="20"/>
              </w:rPr>
              <w:t>气布局设计要求的前提下，加大主变与厂界的距离；加强电磁环境影响宣传，消除公众的恐惧心理，设置明显的警告标志。进一步将变压器等产生的电磁辐射环境影响降到最低水平，最大限度的</w:t>
            </w:r>
            <w:r>
              <w:rPr>
                <w:spacing w:val="7"/>
                <w:sz w:val="20"/>
                <w:szCs w:val="20"/>
              </w:rPr>
              <w:t>保障公众身体健康。</w:t>
            </w:r>
          </w:p>
          <w:p w14:paraId="7FEF935D">
            <w:pPr>
              <w:pStyle w:val="9"/>
              <w:spacing w:before="1" w:line="251" w:lineRule="auto"/>
              <w:ind w:left="113" w:right="104" w:firstLine="430"/>
              <w:rPr>
                <w:sz w:val="20"/>
                <w:szCs w:val="20"/>
              </w:rPr>
            </w:pPr>
            <w:r>
              <w:rPr>
                <w:spacing w:val="2"/>
                <w:sz w:val="20"/>
                <w:szCs w:val="20"/>
              </w:rPr>
              <w:t>（</w:t>
            </w:r>
            <w:r>
              <w:rPr>
                <w:rFonts w:ascii="Times New Roman" w:hAnsi="Times New Roman" w:eastAsia="Times New Roman" w:cs="Times New Roman"/>
                <w:spacing w:val="2"/>
                <w:sz w:val="20"/>
                <w:szCs w:val="20"/>
              </w:rPr>
              <w:t>2</w:t>
            </w:r>
            <w:r>
              <w:rPr>
                <w:spacing w:val="2"/>
                <w:sz w:val="20"/>
                <w:szCs w:val="20"/>
              </w:rPr>
              <w:t>）应使用设计合理的绝缘子，要</w:t>
            </w:r>
            <w:r>
              <w:rPr>
                <w:spacing w:val="10"/>
                <w:sz w:val="20"/>
                <w:szCs w:val="20"/>
              </w:rPr>
              <w:t>特别关注绝缘子的几何形状及关键部位材料的特性，尽量使用能改善绝缘子表</w:t>
            </w:r>
            <w:r>
              <w:rPr>
                <w:spacing w:val="8"/>
                <w:sz w:val="20"/>
                <w:szCs w:val="20"/>
              </w:rPr>
              <w:t>面或沿绝缘子串电压分布的保护装置。</w:t>
            </w:r>
          </w:p>
          <w:p w14:paraId="143CE541">
            <w:pPr>
              <w:pStyle w:val="9"/>
              <w:spacing w:before="1" w:line="251" w:lineRule="auto"/>
              <w:ind w:left="114" w:right="104" w:firstLine="429"/>
              <w:rPr>
                <w:sz w:val="20"/>
                <w:szCs w:val="20"/>
              </w:rPr>
            </w:pPr>
            <w:r>
              <w:rPr>
                <w:spacing w:val="2"/>
                <w:sz w:val="20"/>
                <w:szCs w:val="20"/>
              </w:rPr>
              <w:t>（</w:t>
            </w:r>
            <w:r>
              <w:rPr>
                <w:rFonts w:ascii="Times New Roman" w:hAnsi="Times New Roman" w:eastAsia="Times New Roman" w:cs="Times New Roman"/>
                <w:spacing w:val="2"/>
                <w:sz w:val="20"/>
                <w:szCs w:val="20"/>
              </w:rPr>
              <w:t>3</w:t>
            </w:r>
            <w:r>
              <w:rPr>
                <w:spacing w:val="2"/>
                <w:sz w:val="20"/>
                <w:szCs w:val="20"/>
              </w:rPr>
              <w:t>）在安装高压设备时，应保证所</w:t>
            </w:r>
            <w:r>
              <w:rPr>
                <w:spacing w:val="9"/>
                <w:sz w:val="20"/>
                <w:szCs w:val="20"/>
              </w:rPr>
              <w:t>有的固定螺栓都可靠拧紧，导电元件尽可能接地或连接导线电位，提高屏蔽效</w:t>
            </w:r>
            <w:r>
              <w:rPr>
                <w:sz w:val="20"/>
                <w:szCs w:val="20"/>
              </w:rPr>
              <w:t>果。</w:t>
            </w:r>
          </w:p>
          <w:p w14:paraId="6C57ADCF">
            <w:pPr>
              <w:pStyle w:val="9"/>
              <w:spacing w:before="1" w:line="242" w:lineRule="auto"/>
              <w:ind w:left="111" w:right="104" w:firstLine="431"/>
              <w:rPr>
                <w:sz w:val="20"/>
                <w:szCs w:val="20"/>
              </w:rPr>
            </w:pPr>
            <w:r>
              <w:rPr>
                <w:spacing w:val="2"/>
                <w:sz w:val="20"/>
                <w:szCs w:val="20"/>
              </w:rPr>
              <w:t>（</w:t>
            </w:r>
            <w:r>
              <w:rPr>
                <w:rFonts w:ascii="Times New Roman" w:hAnsi="Times New Roman" w:eastAsia="Times New Roman" w:cs="Times New Roman"/>
                <w:spacing w:val="2"/>
                <w:sz w:val="20"/>
                <w:szCs w:val="20"/>
              </w:rPr>
              <w:t>4</w:t>
            </w:r>
            <w:r>
              <w:rPr>
                <w:spacing w:val="2"/>
                <w:sz w:val="20"/>
                <w:szCs w:val="20"/>
              </w:rPr>
              <w:t>）应对站区内升压站的工作人员</w:t>
            </w:r>
            <w:r>
              <w:rPr>
                <w:spacing w:val="10"/>
                <w:sz w:val="20"/>
                <w:szCs w:val="20"/>
              </w:rPr>
              <w:t>进行电磁防护知识的培训，尽量减少在</w:t>
            </w:r>
            <w:r>
              <w:rPr>
                <w:spacing w:val="7"/>
                <w:sz w:val="20"/>
                <w:szCs w:val="20"/>
              </w:rPr>
              <w:t>高电磁区域的停留时间，</w:t>
            </w:r>
            <w:r>
              <w:rPr>
                <w:spacing w:val="-49"/>
                <w:sz w:val="20"/>
                <w:szCs w:val="20"/>
              </w:rPr>
              <w:t xml:space="preserve"> </w:t>
            </w:r>
            <w:r>
              <w:rPr>
                <w:spacing w:val="7"/>
                <w:sz w:val="20"/>
                <w:szCs w:val="20"/>
              </w:rPr>
              <w:t>以减小电磁辐</w:t>
            </w:r>
            <w:r>
              <w:rPr>
                <w:spacing w:val="5"/>
                <w:sz w:val="20"/>
                <w:szCs w:val="20"/>
              </w:rPr>
              <w:t>射影响。</w:t>
            </w:r>
          </w:p>
        </w:tc>
        <w:tc>
          <w:tcPr>
            <w:tcW w:w="2377" w:type="dxa"/>
            <w:vAlign w:val="top"/>
          </w:tcPr>
          <w:p w14:paraId="76905D4C">
            <w:pPr>
              <w:pStyle w:val="9"/>
              <w:spacing w:before="32" w:line="228" w:lineRule="auto"/>
              <w:ind w:left="143"/>
              <w:rPr>
                <w:sz w:val="20"/>
                <w:szCs w:val="20"/>
              </w:rPr>
            </w:pPr>
            <w:r>
              <w:rPr>
                <w:spacing w:val="8"/>
                <w:sz w:val="20"/>
                <w:szCs w:val="20"/>
              </w:rPr>
              <w:t>满足《电磁环境控制限</w:t>
            </w:r>
          </w:p>
          <w:p w14:paraId="7E38F427">
            <w:pPr>
              <w:pStyle w:val="9"/>
              <w:spacing w:before="24" w:line="228" w:lineRule="auto"/>
              <w:ind w:left="114"/>
              <w:rPr>
                <w:sz w:val="20"/>
                <w:szCs w:val="20"/>
              </w:rPr>
            </w:pPr>
            <w:r>
              <w:rPr>
                <w:spacing w:val="4"/>
                <w:sz w:val="20"/>
                <w:szCs w:val="20"/>
              </w:rPr>
              <w:t>值》</w:t>
            </w:r>
            <w:r>
              <w:rPr>
                <w:spacing w:val="17"/>
                <w:sz w:val="20"/>
                <w:szCs w:val="20"/>
              </w:rPr>
              <w:t xml:space="preserve">  </w:t>
            </w:r>
            <w:r>
              <w:rPr>
                <w:spacing w:val="4"/>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4"/>
                <w:sz w:val="20"/>
                <w:szCs w:val="20"/>
              </w:rPr>
              <w:t>8702-2014</w:t>
            </w:r>
            <w:r>
              <w:rPr>
                <w:spacing w:val="4"/>
                <w:sz w:val="20"/>
                <w:szCs w:val="20"/>
              </w:rPr>
              <w:t>）</w:t>
            </w:r>
          </w:p>
          <w:p w14:paraId="6041263E">
            <w:pPr>
              <w:pStyle w:val="9"/>
              <w:spacing w:before="27" w:line="228" w:lineRule="auto"/>
              <w:ind w:left="132"/>
              <w:rPr>
                <w:sz w:val="20"/>
                <w:szCs w:val="20"/>
              </w:rPr>
            </w:pPr>
            <w:r>
              <w:rPr>
                <w:spacing w:val="4"/>
                <w:sz w:val="20"/>
                <w:szCs w:val="20"/>
              </w:rPr>
              <w:t>的工频电场</w:t>
            </w:r>
            <w:r>
              <w:rPr>
                <w:rFonts w:ascii="Times New Roman" w:hAnsi="Times New Roman" w:eastAsia="Times New Roman" w:cs="Times New Roman"/>
                <w:spacing w:val="4"/>
                <w:sz w:val="20"/>
                <w:szCs w:val="20"/>
              </w:rPr>
              <w:t xml:space="preserve">4000V/m  </w:t>
            </w:r>
            <w:r>
              <w:rPr>
                <w:spacing w:val="4"/>
                <w:sz w:val="20"/>
                <w:szCs w:val="20"/>
              </w:rPr>
              <w:t>，</w:t>
            </w:r>
          </w:p>
          <w:p w14:paraId="2161855D">
            <w:pPr>
              <w:pStyle w:val="9"/>
              <w:spacing w:before="23" w:line="221" w:lineRule="auto"/>
              <w:ind w:left="182"/>
              <w:rPr>
                <w:sz w:val="20"/>
                <w:szCs w:val="20"/>
              </w:rPr>
            </w:pPr>
            <w:r>
              <w:rPr>
                <w:spacing w:val="7"/>
                <w:sz w:val="20"/>
                <w:szCs w:val="20"/>
              </w:rPr>
              <w:t>工频磁场</w:t>
            </w:r>
            <w:r>
              <w:rPr>
                <w:rFonts w:ascii="Times New Roman" w:hAnsi="Times New Roman" w:eastAsia="Times New Roman" w:cs="Times New Roman"/>
                <w:spacing w:val="7"/>
                <w:sz w:val="20"/>
                <w:szCs w:val="20"/>
              </w:rPr>
              <w:t>100μT</w:t>
            </w:r>
            <w:r>
              <w:rPr>
                <w:spacing w:val="7"/>
                <w:sz w:val="20"/>
                <w:szCs w:val="20"/>
              </w:rPr>
              <w:t>评价标</w:t>
            </w:r>
          </w:p>
          <w:p w14:paraId="344C9185">
            <w:pPr>
              <w:pStyle w:val="9"/>
              <w:spacing w:before="34" w:line="229" w:lineRule="auto"/>
              <w:ind w:left="985"/>
              <w:rPr>
                <w:sz w:val="20"/>
                <w:szCs w:val="20"/>
              </w:rPr>
            </w:pPr>
            <w:r>
              <w:rPr>
                <w:spacing w:val="-1"/>
                <w:sz w:val="20"/>
                <w:szCs w:val="20"/>
              </w:rPr>
              <w:t>准。</w:t>
            </w:r>
          </w:p>
        </w:tc>
      </w:tr>
      <w:tr w14:paraId="6B7EE526">
        <w:tblPrEx>
          <w:tblCellMar>
            <w:top w:w="0" w:type="dxa"/>
            <w:left w:w="0" w:type="dxa"/>
            <w:bottom w:w="0" w:type="dxa"/>
            <w:right w:w="0" w:type="dxa"/>
          </w:tblCellMar>
        </w:tblPrEx>
        <w:trPr>
          <w:trHeight w:val="1912" w:hRule="atLeast"/>
        </w:trPr>
        <w:tc>
          <w:tcPr>
            <w:tcW w:w="1815" w:type="dxa"/>
            <w:vAlign w:val="top"/>
          </w:tcPr>
          <w:p w14:paraId="216DFA1B">
            <w:pPr>
              <w:spacing w:line="260" w:lineRule="auto"/>
              <w:rPr>
                <w:rFonts w:ascii="Arial"/>
                <w:sz w:val="21"/>
              </w:rPr>
            </w:pPr>
          </w:p>
          <w:p w14:paraId="711303B4">
            <w:pPr>
              <w:spacing w:line="260" w:lineRule="auto"/>
              <w:rPr>
                <w:rFonts w:ascii="Arial"/>
                <w:sz w:val="21"/>
              </w:rPr>
            </w:pPr>
          </w:p>
          <w:p w14:paraId="22CEEE34">
            <w:pPr>
              <w:spacing w:line="261" w:lineRule="auto"/>
              <w:rPr>
                <w:rFonts w:ascii="Arial"/>
                <w:sz w:val="21"/>
              </w:rPr>
            </w:pPr>
          </w:p>
          <w:p w14:paraId="1CB665EC">
            <w:pPr>
              <w:pStyle w:val="9"/>
              <w:spacing w:before="65" w:line="228" w:lineRule="auto"/>
              <w:ind w:left="493"/>
              <w:outlineLvl w:val="0"/>
              <w:rPr>
                <w:sz w:val="20"/>
                <w:szCs w:val="20"/>
              </w:rPr>
            </w:pPr>
            <w:r>
              <w:rPr>
                <w:spacing w:val="7"/>
                <w:sz w:val="20"/>
                <w:szCs w:val="20"/>
              </w:rPr>
              <w:t>环境风险</w:t>
            </w:r>
          </w:p>
        </w:tc>
        <w:tc>
          <w:tcPr>
            <w:tcW w:w="3195" w:type="dxa"/>
            <w:vAlign w:val="top"/>
          </w:tcPr>
          <w:p w14:paraId="388532B5">
            <w:pPr>
              <w:spacing w:line="322" w:lineRule="auto"/>
              <w:rPr>
                <w:rFonts w:ascii="Arial"/>
                <w:sz w:val="21"/>
              </w:rPr>
            </w:pPr>
          </w:p>
          <w:p w14:paraId="692E3BE2">
            <w:pPr>
              <w:spacing w:line="323" w:lineRule="auto"/>
              <w:rPr>
                <w:rFonts w:ascii="Arial"/>
                <w:sz w:val="21"/>
              </w:rPr>
            </w:pPr>
          </w:p>
          <w:p w14:paraId="2F8E0FFE">
            <w:pPr>
              <w:pStyle w:val="9"/>
              <w:spacing w:before="65" w:line="254" w:lineRule="auto"/>
              <w:ind w:left="551" w:right="232" w:firstLine="103"/>
              <w:rPr>
                <w:sz w:val="20"/>
                <w:szCs w:val="20"/>
              </w:rPr>
            </w:pPr>
            <w:r>
              <w:rPr>
                <w:spacing w:val="9"/>
                <w:sz w:val="20"/>
                <w:szCs w:val="20"/>
              </w:rPr>
              <w:t>施工期不涉及环境风险物</w:t>
            </w:r>
            <w:r>
              <w:rPr>
                <w:spacing w:val="7"/>
                <w:sz w:val="20"/>
                <w:szCs w:val="20"/>
              </w:rPr>
              <w:t>质，无潜在环境风险。</w:t>
            </w:r>
          </w:p>
        </w:tc>
        <w:tc>
          <w:tcPr>
            <w:tcW w:w="2503" w:type="dxa"/>
            <w:vAlign w:val="top"/>
          </w:tcPr>
          <w:p w14:paraId="096AE324">
            <w:pPr>
              <w:spacing w:line="273" w:lineRule="auto"/>
              <w:rPr>
                <w:rFonts w:ascii="Arial"/>
                <w:sz w:val="21"/>
              </w:rPr>
            </w:pPr>
          </w:p>
          <w:p w14:paraId="28CC54D4">
            <w:pPr>
              <w:spacing w:line="273" w:lineRule="auto"/>
              <w:rPr>
                <w:rFonts w:ascii="Arial"/>
                <w:sz w:val="21"/>
              </w:rPr>
            </w:pPr>
          </w:p>
          <w:p w14:paraId="4343F039">
            <w:pPr>
              <w:spacing w:line="274" w:lineRule="auto"/>
              <w:rPr>
                <w:rFonts w:ascii="Arial"/>
                <w:sz w:val="21"/>
              </w:rPr>
            </w:pPr>
          </w:p>
          <w:p w14:paraId="70EC8B73">
            <w:pPr>
              <w:spacing w:before="57" w:line="199" w:lineRule="auto"/>
              <w:ind w:left="143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3793" w:type="dxa"/>
            <w:vAlign w:val="top"/>
          </w:tcPr>
          <w:p w14:paraId="43A58AE6">
            <w:pPr>
              <w:pStyle w:val="9"/>
              <w:spacing w:before="34" w:line="251" w:lineRule="auto"/>
              <w:ind w:left="114" w:right="33" w:firstLine="429"/>
              <w:rPr>
                <w:sz w:val="20"/>
                <w:szCs w:val="20"/>
              </w:rPr>
            </w:pPr>
            <w:r>
              <w:rPr>
                <w:spacing w:val="6"/>
                <w:sz w:val="20"/>
                <w:szCs w:val="20"/>
              </w:rPr>
              <w:t>（</w:t>
            </w:r>
            <w:r>
              <w:rPr>
                <w:rFonts w:ascii="Times New Roman" w:hAnsi="Times New Roman" w:eastAsia="Times New Roman" w:cs="Times New Roman"/>
                <w:spacing w:val="6"/>
                <w:sz w:val="20"/>
                <w:szCs w:val="20"/>
              </w:rPr>
              <w:t>1</w:t>
            </w:r>
            <w:r>
              <w:rPr>
                <w:spacing w:val="6"/>
                <w:sz w:val="20"/>
                <w:szCs w:val="20"/>
              </w:rPr>
              <w:t>）</w:t>
            </w:r>
            <w:r>
              <w:rPr>
                <w:rFonts w:ascii="Times New Roman" w:hAnsi="Times New Roman" w:eastAsia="Times New Roman" w:cs="Times New Roman"/>
                <w:spacing w:val="6"/>
                <w:sz w:val="20"/>
                <w:szCs w:val="20"/>
              </w:rPr>
              <w:t>1</w:t>
            </w:r>
            <w:r>
              <w:rPr>
                <w:spacing w:val="6"/>
                <w:sz w:val="20"/>
                <w:szCs w:val="20"/>
              </w:rPr>
              <w:t>座事故油池，容量为</w:t>
            </w:r>
            <w:r>
              <w:rPr>
                <w:rFonts w:ascii="Times New Roman" w:hAnsi="Times New Roman" w:eastAsia="Times New Roman" w:cs="Times New Roman"/>
                <w:spacing w:val="6"/>
                <w:sz w:val="20"/>
                <w:szCs w:val="20"/>
              </w:rPr>
              <w:t>60m</w:t>
            </w:r>
            <w:r>
              <w:rPr>
                <w:rFonts w:ascii="Times New Roman" w:hAnsi="Times New Roman" w:eastAsia="Times New Roman" w:cs="Times New Roman"/>
                <w:spacing w:val="6"/>
                <w:position w:val="6"/>
                <w:sz w:val="13"/>
                <w:szCs w:val="13"/>
              </w:rPr>
              <w:t xml:space="preserve">3 </w:t>
            </w:r>
            <w:r>
              <w:rPr>
                <w:spacing w:val="6"/>
                <w:sz w:val="20"/>
                <w:szCs w:val="20"/>
              </w:rPr>
              <w:t xml:space="preserve">，渗透系数 </w:t>
            </w:r>
            <w:r>
              <w:rPr>
                <w:rFonts w:ascii="Times New Roman" w:hAnsi="Times New Roman" w:eastAsia="Times New Roman" w:cs="Times New Roman"/>
                <w:spacing w:val="6"/>
                <w:sz w:val="20"/>
                <w:szCs w:val="20"/>
              </w:rPr>
              <w:t xml:space="preserve">≤10 </w:t>
            </w:r>
            <w:r>
              <w:rPr>
                <w:rFonts w:ascii="Times New Roman" w:hAnsi="Times New Roman" w:eastAsia="Times New Roman" w:cs="Times New Roman"/>
                <w:spacing w:val="6"/>
                <w:position w:val="6"/>
                <w:sz w:val="13"/>
                <w:szCs w:val="13"/>
              </w:rPr>
              <w:t>-10</w:t>
            </w:r>
            <w:r>
              <w:rPr>
                <w:rFonts w:ascii="Times New Roman" w:hAnsi="Times New Roman" w:eastAsia="Times New Roman" w:cs="Times New Roman"/>
                <w:sz w:val="20"/>
                <w:szCs w:val="20"/>
              </w:rPr>
              <w:t>cm</w:t>
            </w:r>
            <w:r>
              <w:rPr>
                <w:rFonts w:ascii="Times New Roman" w:hAnsi="Times New Roman" w:eastAsia="Times New Roman" w:cs="Times New Roman"/>
                <w:spacing w:val="6"/>
                <w:sz w:val="20"/>
                <w:szCs w:val="20"/>
              </w:rPr>
              <w:t>/s</w:t>
            </w:r>
            <w:r>
              <w:rPr>
                <w:rFonts w:ascii="Times New Roman" w:hAnsi="Times New Roman" w:eastAsia="Times New Roman" w:cs="Times New Roman"/>
                <w:spacing w:val="-25"/>
                <w:sz w:val="20"/>
                <w:szCs w:val="20"/>
              </w:rPr>
              <w:t xml:space="preserve"> </w:t>
            </w:r>
            <w:r>
              <w:rPr>
                <w:spacing w:val="6"/>
                <w:sz w:val="20"/>
                <w:szCs w:val="20"/>
              </w:rPr>
              <w:t>，事故油暂存于事</w:t>
            </w:r>
            <w:r>
              <w:rPr>
                <w:spacing w:val="2"/>
                <w:sz w:val="20"/>
                <w:szCs w:val="20"/>
              </w:rPr>
              <w:t>故油池，定期由有资质的单位处置回收。</w:t>
            </w:r>
          </w:p>
          <w:p w14:paraId="26BE78C0">
            <w:pPr>
              <w:pStyle w:val="9"/>
              <w:spacing w:before="2" w:line="242" w:lineRule="auto"/>
              <w:ind w:left="112" w:right="104" w:firstLine="430"/>
              <w:rPr>
                <w:sz w:val="20"/>
                <w:szCs w:val="20"/>
              </w:rPr>
            </w:pPr>
            <w:r>
              <w:rPr>
                <w:spacing w:val="14"/>
                <w:sz w:val="20"/>
                <w:szCs w:val="20"/>
              </w:rPr>
              <w:t>（</w:t>
            </w:r>
            <w:r>
              <w:rPr>
                <w:rFonts w:ascii="Times New Roman" w:hAnsi="Times New Roman" w:eastAsia="Times New Roman" w:cs="Times New Roman"/>
                <w:spacing w:val="14"/>
                <w:sz w:val="20"/>
                <w:szCs w:val="20"/>
              </w:rPr>
              <w:t>2</w:t>
            </w:r>
            <w:r>
              <w:rPr>
                <w:spacing w:val="14"/>
                <w:sz w:val="20"/>
                <w:szCs w:val="20"/>
              </w:rPr>
              <w:t>）</w:t>
            </w:r>
            <w:r>
              <w:rPr>
                <w:rFonts w:ascii="Times New Roman" w:hAnsi="Times New Roman" w:eastAsia="Times New Roman" w:cs="Times New Roman"/>
                <w:spacing w:val="14"/>
                <w:sz w:val="20"/>
                <w:szCs w:val="20"/>
              </w:rPr>
              <w:t>1</w:t>
            </w:r>
            <w:r>
              <w:rPr>
                <w:rFonts w:ascii="Times New Roman" w:hAnsi="Times New Roman" w:eastAsia="Times New Roman" w:cs="Times New Roman"/>
                <w:spacing w:val="-16"/>
                <w:sz w:val="20"/>
                <w:szCs w:val="20"/>
              </w:rPr>
              <w:t xml:space="preserve"> </w:t>
            </w:r>
            <w:r>
              <w:rPr>
                <w:spacing w:val="14"/>
                <w:sz w:val="20"/>
                <w:szCs w:val="20"/>
              </w:rPr>
              <w:t>座占地面积为</w:t>
            </w:r>
            <w:r>
              <w:rPr>
                <w:rFonts w:ascii="Times New Roman" w:hAnsi="Times New Roman" w:eastAsia="Times New Roman" w:cs="Times New Roman"/>
                <w:spacing w:val="14"/>
                <w:sz w:val="20"/>
                <w:szCs w:val="20"/>
              </w:rPr>
              <w:t>57m</w:t>
            </w:r>
            <w:r>
              <w:rPr>
                <w:rFonts w:ascii="Times New Roman" w:hAnsi="Times New Roman" w:eastAsia="Times New Roman" w:cs="Times New Roman"/>
                <w:spacing w:val="14"/>
                <w:position w:val="6"/>
                <w:sz w:val="13"/>
                <w:szCs w:val="13"/>
              </w:rPr>
              <w:t xml:space="preserve">2 </w:t>
            </w:r>
            <w:r>
              <w:rPr>
                <w:spacing w:val="14"/>
                <w:sz w:val="20"/>
                <w:szCs w:val="20"/>
              </w:rPr>
              <w:t>的危险</w:t>
            </w:r>
            <w:r>
              <w:rPr>
                <w:spacing w:val="7"/>
                <w:sz w:val="20"/>
                <w:szCs w:val="20"/>
              </w:rPr>
              <w:t>废物暂存间，</w:t>
            </w:r>
            <w:r>
              <w:rPr>
                <w:spacing w:val="-52"/>
                <w:sz w:val="20"/>
                <w:szCs w:val="20"/>
              </w:rPr>
              <w:t xml:space="preserve"> </w:t>
            </w:r>
            <w:r>
              <w:rPr>
                <w:spacing w:val="7"/>
                <w:sz w:val="20"/>
                <w:szCs w:val="20"/>
              </w:rPr>
              <w:t>内设导流沟和收集池，地</w:t>
            </w:r>
            <w:r>
              <w:rPr>
                <w:spacing w:val="10"/>
                <w:sz w:val="20"/>
                <w:szCs w:val="20"/>
              </w:rPr>
              <w:t>面、墙裙、导流沟、收集池的侧壁和底</w:t>
            </w:r>
            <w:r>
              <w:rPr>
                <w:spacing w:val="9"/>
                <w:sz w:val="20"/>
                <w:szCs w:val="20"/>
              </w:rPr>
              <w:t>部按照《危险废物贮存污染控制标准》</w:t>
            </w:r>
          </w:p>
        </w:tc>
        <w:tc>
          <w:tcPr>
            <w:tcW w:w="2377" w:type="dxa"/>
            <w:vAlign w:val="top"/>
          </w:tcPr>
          <w:p w14:paraId="77339ADB">
            <w:pPr>
              <w:spacing w:line="241" w:lineRule="auto"/>
              <w:rPr>
                <w:rFonts w:ascii="Arial"/>
                <w:sz w:val="21"/>
              </w:rPr>
            </w:pPr>
          </w:p>
          <w:p w14:paraId="6C2BD80B">
            <w:pPr>
              <w:pStyle w:val="9"/>
              <w:spacing w:before="65" w:line="251" w:lineRule="auto"/>
              <w:ind w:left="142" w:right="136" w:firstLine="527"/>
              <w:jc w:val="both"/>
              <w:rPr>
                <w:sz w:val="20"/>
                <w:szCs w:val="20"/>
              </w:rPr>
            </w:pPr>
            <w:r>
              <w:rPr>
                <w:spacing w:val="8"/>
                <w:sz w:val="20"/>
                <w:szCs w:val="20"/>
              </w:rPr>
              <w:t>事故废油合理处</w:t>
            </w:r>
            <w:r>
              <w:rPr>
                <w:spacing w:val="9"/>
                <w:sz w:val="20"/>
                <w:szCs w:val="20"/>
              </w:rPr>
              <w:t>置，不外排。危险废物</w:t>
            </w:r>
            <w:r>
              <w:rPr>
                <w:spacing w:val="20"/>
                <w:sz w:val="20"/>
                <w:szCs w:val="20"/>
              </w:rPr>
              <w:t>暂存于危险废物暂存</w:t>
            </w:r>
            <w:r>
              <w:rPr>
                <w:spacing w:val="9"/>
                <w:sz w:val="20"/>
                <w:szCs w:val="20"/>
              </w:rPr>
              <w:t>间，均由有资质单位进</w:t>
            </w:r>
          </w:p>
          <w:p w14:paraId="71B9D6C9">
            <w:pPr>
              <w:pStyle w:val="9"/>
              <w:spacing w:line="227" w:lineRule="auto"/>
              <w:ind w:left="567"/>
              <w:rPr>
                <w:sz w:val="20"/>
                <w:szCs w:val="20"/>
              </w:rPr>
            </w:pPr>
            <w:r>
              <w:rPr>
                <w:spacing w:val="6"/>
                <w:sz w:val="20"/>
                <w:szCs w:val="20"/>
              </w:rPr>
              <w:t>行回收处置。</w:t>
            </w:r>
          </w:p>
        </w:tc>
      </w:tr>
    </w:tbl>
    <w:p w14:paraId="69666AAF">
      <w:pPr>
        <w:pStyle w:val="3"/>
      </w:pPr>
    </w:p>
    <w:p w14:paraId="0F3D7918">
      <w:pPr>
        <w:sectPr>
          <w:footerReference r:id="rId93" w:type="default"/>
          <w:pgSz w:w="16838" w:h="11906"/>
          <w:pgMar w:top="1012" w:right="1727" w:bottom="969" w:left="1422" w:header="0" w:footer="807" w:gutter="0"/>
          <w:cols w:space="720" w:num="1"/>
        </w:sectPr>
      </w:pPr>
    </w:p>
    <w:p w14:paraId="76DEAC25">
      <w:pPr>
        <w:spacing w:before="13"/>
      </w:pPr>
    </w:p>
    <w:p w14:paraId="20E4F0A5">
      <w:pPr>
        <w:spacing w:before="12"/>
      </w:pPr>
    </w:p>
    <w:tbl>
      <w:tblPr>
        <w:tblStyle w:val="8"/>
        <w:tblW w:w="136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15"/>
        <w:gridCol w:w="3195"/>
        <w:gridCol w:w="2503"/>
        <w:gridCol w:w="3793"/>
        <w:gridCol w:w="2377"/>
      </w:tblGrid>
      <w:tr w14:paraId="6E0E2B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0" w:hRule="atLeast"/>
        </w:trPr>
        <w:tc>
          <w:tcPr>
            <w:tcW w:w="1815" w:type="dxa"/>
            <w:vAlign w:val="top"/>
          </w:tcPr>
          <w:p w14:paraId="39C19894">
            <w:pPr>
              <w:rPr>
                <w:rFonts w:ascii="Arial"/>
                <w:sz w:val="21"/>
              </w:rPr>
            </w:pPr>
          </w:p>
        </w:tc>
        <w:tc>
          <w:tcPr>
            <w:tcW w:w="3195" w:type="dxa"/>
            <w:vAlign w:val="top"/>
          </w:tcPr>
          <w:p w14:paraId="02B7A5AA">
            <w:pPr>
              <w:rPr>
                <w:rFonts w:ascii="Arial"/>
                <w:sz w:val="21"/>
              </w:rPr>
            </w:pPr>
          </w:p>
        </w:tc>
        <w:tc>
          <w:tcPr>
            <w:tcW w:w="2503" w:type="dxa"/>
            <w:vAlign w:val="top"/>
          </w:tcPr>
          <w:p w14:paraId="5454E758">
            <w:pPr>
              <w:rPr>
                <w:rFonts w:ascii="Arial"/>
                <w:sz w:val="21"/>
              </w:rPr>
            </w:pPr>
          </w:p>
        </w:tc>
        <w:tc>
          <w:tcPr>
            <w:tcW w:w="3793" w:type="dxa"/>
            <w:vAlign w:val="top"/>
          </w:tcPr>
          <w:p w14:paraId="758B2EA6">
            <w:pPr>
              <w:pStyle w:val="9"/>
              <w:spacing w:before="38" w:line="244" w:lineRule="auto"/>
              <w:ind w:left="107" w:right="59" w:firstLine="6"/>
              <w:jc w:val="both"/>
              <w:rPr>
                <w:sz w:val="20"/>
                <w:szCs w:val="20"/>
              </w:rPr>
            </w:pPr>
            <w:r>
              <w:rPr>
                <w:rFonts w:ascii="Times New Roman" w:hAnsi="Times New Roman" w:eastAsia="Times New Roman" w:cs="Times New Roman"/>
                <w:spacing w:val="8"/>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8"/>
                <w:sz w:val="20"/>
                <w:szCs w:val="20"/>
              </w:rPr>
              <w:t>18597-2023)</w:t>
            </w:r>
            <w:r>
              <w:rPr>
                <w:spacing w:val="8"/>
                <w:sz w:val="20"/>
                <w:szCs w:val="20"/>
              </w:rPr>
              <w:t>中</w:t>
            </w:r>
            <w:r>
              <w:rPr>
                <w:rFonts w:ascii="Times New Roman" w:hAnsi="Times New Roman" w:eastAsia="Times New Roman" w:cs="Times New Roman"/>
                <w:spacing w:val="8"/>
                <w:sz w:val="20"/>
                <w:szCs w:val="20"/>
              </w:rPr>
              <w:t>“</w:t>
            </w:r>
            <w:r>
              <w:rPr>
                <w:rFonts w:ascii="Times New Roman" w:hAnsi="Times New Roman" w:eastAsia="Times New Roman" w:cs="Times New Roman"/>
                <w:spacing w:val="-25"/>
                <w:sz w:val="20"/>
                <w:szCs w:val="20"/>
              </w:rPr>
              <w:t xml:space="preserve"> </w:t>
            </w:r>
            <w:r>
              <w:rPr>
                <w:spacing w:val="8"/>
                <w:sz w:val="20"/>
                <w:szCs w:val="20"/>
              </w:rPr>
              <w:t>基础必须防渗</w:t>
            </w:r>
            <w:r>
              <w:rPr>
                <w:spacing w:val="-58"/>
                <w:sz w:val="20"/>
                <w:szCs w:val="20"/>
              </w:rPr>
              <w:t xml:space="preserve"> </w:t>
            </w:r>
            <w:r>
              <w:rPr>
                <w:spacing w:val="8"/>
                <w:sz w:val="20"/>
                <w:szCs w:val="20"/>
              </w:rPr>
              <w:t>，</w:t>
            </w:r>
            <w:r>
              <w:rPr>
                <w:spacing w:val="-58"/>
                <w:sz w:val="20"/>
                <w:szCs w:val="20"/>
              </w:rPr>
              <w:t xml:space="preserve"> </w:t>
            </w:r>
            <w:r>
              <w:rPr>
                <w:spacing w:val="8"/>
                <w:sz w:val="20"/>
                <w:szCs w:val="20"/>
              </w:rPr>
              <w:t>防</w:t>
            </w:r>
            <w:r>
              <w:rPr>
                <w:spacing w:val="28"/>
                <w:sz w:val="20"/>
                <w:szCs w:val="20"/>
              </w:rPr>
              <w:t>渗层为至少</w:t>
            </w:r>
            <w:r>
              <w:rPr>
                <w:spacing w:val="-43"/>
                <w:sz w:val="20"/>
                <w:szCs w:val="20"/>
              </w:rPr>
              <w:t xml:space="preserve"> </w:t>
            </w:r>
            <w:r>
              <w:rPr>
                <w:rFonts w:ascii="Times New Roman" w:hAnsi="Times New Roman" w:eastAsia="Times New Roman" w:cs="Times New Roman"/>
                <w:spacing w:val="28"/>
                <w:sz w:val="20"/>
                <w:szCs w:val="20"/>
              </w:rPr>
              <w:t>1m</w:t>
            </w:r>
            <w:r>
              <w:rPr>
                <w:spacing w:val="28"/>
                <w:sz w:val="20"/>
                <w:szCs w:val="20"/>
              </w:rPr>
              <w:t>厚粘土层（渗透系数</w:t>
            </w:r>
            <w:r>
              <w:rPr>
                <w:rFonts w:ascii="Times New Roman" w:hAnsi="Times New Roman" w:eastAsia="Times New Roman" w:cs="Times New Roman"/>
                <w:spacing w:val="13"/>
                <w:sz w:val="20"/>
                <w:szCs w:val="20"/>
              </w:rPr>
              <w:t>≤10</w:t>
            </w:r>
            <w:r>
              <w:rPr>
                <w:rFonts w:ascii="Times New Roman" w:hAnsi="Times New Roman" w:eastAsia="Times New Roman" w:cs="Times New Roman"/>
                <w:spacing w:val="13"/>
                <w:position w:val="6"/>
                <w:sz w:val="13"/>
                <w:szCs w:val="13"/>
              </w:rPr>
              <w:t xml:space="preserve">-7  </w:t>
            </w:r>
            <w:r>
              <w:rPr>
                <w:rFonts w:ascii="Times New Roman" w:hAnsi="Times New Roman" w:eastAsia="Times New Roman" w:cs="Times New Roman"/>
                <w:sz w:val="20"/>
                <w:szCs w:val="20"/>
              </w:rPr>
              <w:t>cm</w:t>
            </w:r>
            <w:r>
              <w:rPr>
                <w:rFonts w:ascii="Times New Roman" w:hAnsi="Times New Roman" w:eastAsia="Times New Roman" w:cs="Times New Roman"/>
                <w:spacing w:val="13"/>
                <w:sz w:val="20"/>
                <w:szCs w:val="20"/>
              </w:rPr>
              <w:t>/s</w:t>
            </w:r>
            <w:r>
              <w:rPr>
                <w:spacing w:val="-50"/>
                <w:sz w:val="20"/>
                <w:szCs w:val="20"/>
              </w:rPr>
              <w:t>），</w:t>
            </w:r>
            <w:r>
              <w:rPr>
                <w:spacing w:val="13"/>
                <w:sz w:val="20"/>
                <w:szCs w:val="20"/>
              </w:rPr>
              <w:t>或</w:t>
            </w:r>
            <w:r>
              <w:rPr>
                <w:rFonts w:ascii="Times New Roman" w:hAnsi="Times New Roman" w:eastAsia="Times New Roman" w:cs="Times New Roman"/>
                <w:spacing w:val="13"/>
                <w:sz w:val="20"/>
                <w:szCs w:val="20"/>
              </w:rPr>
              <w:t>2</w:t>
            </w:r>
            <w:r>
              <w:rPr>
                <w:rFonts w:ascii="Times New Roman" w:hAnsi="Times New Roman" w:eastAsia="Times New Roman" w:cs="Times New Roman"/>
                <w:sz w:val="20"/>
                <w:szCs w:val="20"/>
              </w:rPr>
              <w:t>mm</w:t>
            </w:r>
            <w:r>
              <w:rPr>
                <w:spacing w:val="13"/>
                <w:sz w:val="20"/>
                <w:szCs w:val="20"/>
              </w:rPr>
              <w:t>厚高密度聚乙烯，</w:t>
            </w:r>
            <w:r>
              <w:rPr>
                <w:spacing w:val="23"/>
                <w:sz w:val="20"/>
                <w:szCs w:val="20"/>
              </w:rPr>
              <w:t>或至少</w:t>
            </w:r>
            <w:r>
              <w:rPr>
                <w:rFonts w:ascii="Times New Roman" w:hAnsi="Times New Roman" w:eastAsia="Times New Roman" w:cs="Times New Roman"/>
                <w:spacing w:val="23"/>
                <w:sz w:val="20"/>
                <w:szCs w:val="20"/>
              </w:rPr>
              <w:t>2</w:t>
            </w:r>
            <w:r>
              <w:rPr>
                <w:rFonts w:ascii="Times New Roman" w:hAnsi="Times New Roman" w:eastAsia="Times New Roman" w:cs="Times New Roman"/>
                <w:sz w:val="20"/>
                <w:szCs w:val="20"/>
              </w:rPr>
              <w:t>mm</w:t>
            </w:r>
            <w:r>
              <w:rPr>
                <w:spacing w:val="23"/>
                <w:sz w:val="20"/>
                <w:szCs w:val="20"/>
              </w:rPr>
              <w:t>厚的其他人工材料，渗透</w:t>
            </w:r>
            <w:r>
              <w:rPr>
                <w:spacing w:val="12"/>
                <w:sz w:val="20"/>
                <w:szCs w:val="20"/>
              </w:rPr>
              <w:t>系数</w:t>
            </w:r>
            <w:r>
              <w:rPr>
                <w:rFonts w:ascii="Times New Roman" w:hAnsi="Times New Roman" w:eastAsia="Times New Roman" w:cs="Times New Roman"/>
                <w:spacing w:val="12"/>
                <w:sz w:val="20"/>
                <w:szCs w:val="20"/>
              </w:rPr>
              <w:t>≤10</w:t>
            </w:r>
            <w:r>
              <w:rPr>
                <w:rFonts w:ascii="Times New Roman" w:hAnsi="Times New Roman" w:eastAsia="Times New Roman" w:cs="Times New Roman"/>
                <w:spacing w:val="12"/>
                <w:position w:val="6"/>
                <w:sz w:val="13"/>
                <w:szCs w:val="13"/>
              </w:rPr>
              <w:t>-</w:t>
            </w:r>
            <w:r>
              <w:rPr>
                <w:rFonts w:ascii="Times New Roman" w:hAnsi="Times New Roman" w:eastAsia="Times New Roman" w:cs="Times New Roman"/>
                <w:spacing w:val="-1"/>
                <w:position w:val="6"/>
                <w:sz w:val="13"/>
                <w:szCs w:val="13"/>
              </w:rPr>
              <w:t xml:space="preserve"> </w:t>
            </w:r>
            <w:r>
              <w:rPr>
                <w:rFonts w:ascii="Times New Roman" w:hAnsi="Times New Roman" w:eastAsia="Times New Roman" w:cs="Times New Roman"/>
                <w:spacing w:val="12"/>
                <w:position w:val="6"/>
                <w:sz w:val="13"/>
                <w:szCs w:val="13"/>
              </w:rPr>
              <w:t>10</w:t>
            </w:r>
            <w:r>
              <w:rPr>
                <w:rFonts w:ascii="Times New Roman" w:hAnsi="Times New Roman" w:eastAsia="Times New Roman" w:cs="Times New Roman"/>
                <w:sz w:val="20"/>
                <w:szCs w:val="20"/>
              </w:rPr>
              <w:t>cm</w:t>
            </w:r>
            <w:r>
              <w:rPr>
                <w:rFonts w:ascii="Times New Roman" w:hAnsi="Times New Roman" w:eastAsia="Times New Roman" w:cs="Times New Roman"/>
                <w:spacing w:val="12"/>
                <w:sz w:val="20"/>
                <w:szCs w:val="20"/>
              </w:rPr>
              <w:t>/s”</w:t>
            </w:r>
            <w:r>
              <w:rPr>
                <w:spacing w:val="12"/>
                <w:sz w:val="20"/>
                <w:szCs w:val="20"/>
              </w:rPr>
              <w:t>标准进行防渗。</w:t>
            </w:r>
          </w:p>
        </w:tc>
        <w:tc>
          <w:tcPr>
            <w:tcW w:w="2377" w:type="dxa"/>
            <w:vAlign w:val="top"/>
          </w:tcPr>
          <w:p w14:paraId="721CE24C">
            <w:pPr>
              <w:rPr>
                <w:rFonts w:ascii="Arial"/>
                <w:sz w:val="21"/>
              </w:rPr>
            </w:pPr>
          </w:p>
        </w:tc>
      </w:tr>
      <w:tr w14:paraId="3B78D5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25" w:hRule="atLeast"/>
        </w:trPr>
        <w:tc>
          <w:tcPr>
            <w:tcW w:w="1815" w:type="dxa"/>
            <w:vAlign w:val="top"/>
          </w:tcPr>
          <w:p w14:paraId="21CCADD8">
            <w:pPr>
              <w:spacing w:line="296" w:lineRule="auto"/>
              <w:rPr>
                <w:rFonts w:ascii="Arial"/>
                <w:sz w:val="21"/>
              </w:rPr>
            </w:pPr>
          </w:p>
          <w:p w14:paraId="35C01A7F">
            <w:pPr>
              <w:spacing w:line="296" w:lineRule="auto"/>
              <w:rPr>
                <w:rFonts w:ascii="Arial"/>
                <w:sz w:val="21"/>
              </w:rPr>
            </w:pPr>
          </w:p>
          <w:p w14:paraId="24402C4C">
            <w:pPr>
              <w:spacing w:line="297" w:lineRule="auto"/>
              <w:rPr>
                <w:rFonts w:ascii="Arial"/>
                <w:sz w:val="21"/>
              </w:rPr>
            </w:pPr>
          </w:p>
          <w:p w14:paraId="02C90A08">
            <w:pPr>
              <w:spacing w:line="297" w:lineRule="auto"/>
              <w:rPr>
                <w:rFonts w:ascii="Arial"/>
                <w:sz w:val="21"/>
              </w:rPr>
            </w:pPr>
          </w:p>
          <w:p w14:paraId="689659BD">
            <w:pPr>
              <w:pStyle w:val="9"/>
              <w:spacing w:before="65" w:line="228" w:lineRule="auto"/>
              <w:ind w:left="493"/>
              <w:outlineLvl w:val="0"/>
              <w:rPr>
                <w:sz w:val="20"/>
                <w:szCs w:val="20"/>
              </w:rPr>
            </w:pPr>
            <w:r>
              <w:rPr>
                <w:spacing w:val="7"/>
                <w:sz w:val="20"/>
                <w:szCs w:val="20"/>
              </w:rPr>
              <w:t>环境监测</w:t>
            </w:r>
          </w:p>
        </w:tc>
        <w:tc>
          <w:tcPr>
            <w:tcW w:w="3195" w:type="dxa"/>
            <w:vAlign w:val="top"/>
          </w:tcPr>
          <w:p w14:paraId="226C6A22">
            <w:pPr>
              <w:rPr>
                <w:rFonts w:ascii="Arial"/>
                <w:sz w:val="21"/>
              </w:rPr>
            </w:pPr>
          </w:p>
        </w:tc>
        <w:tc>
          <w:tcPr>
            <w:tcW w:w="2503" w:type="dxa"/>
            <w:vAlign w:val="top"/>
          </w:tcPr>
          <w:p w14:paraId="1E4DBCA4">
            <w:pPr>
              <w:rPr>
                <w:rFonts w:ascii="Arial"/>
                <w:sz w:val="21"/>
              </w:rPr>
            </w:pPr>
          </w:p>
        </w:tc>
        <w:tc>
          <w:tcPr>
            <w:tcW w:w="3793" w:type="dxa"/>
            <w:vAlign w:val="top"/>
          </w:tcPr>
          <w:p w14:paraId="2A099153">
            <w:pPr>
              <w:pStyle w:val="9"/>
              <w:spacing w:before="32" w:line="228" w:lineRule="auto"/>
              <w:ind w:left="558"/>
              <w:rPr>
                <w:sz w:val="20"/>
                <w:szCs w:val="20"/>
              </w:rPr>
            </w:pPr>
            <w:r>
              <w:rPr>
                <w:spacing w:val="6"/>
                <w:sz w:val="20"/>
                <w:szCs w:val="20"/>
              </w:rPr>
              <w:t>电磁环境、声环境影响监测：</w:t>
            </w:r>
          </w:p>
          <w:p w14:paraId="7A72C60F">
            <w:pPr>
              <w:pStyle w:val="9"/>
              <w:spacing w:before="27" w:line="251" w:lineRule="auto"/>
              <w:ind w:left="116" w:right="104" w:firstLine="415"/>
              <w:rPr>
                <w:sz w:val="20"/>
                <w:szCs w:val="20"/>
              </w:rPr>
            </w:pPr>
            <w:r>
              <w:rPr>
                <w:spacing w:val="10"/>
                <w:sz w:val="20"/>
                <w:szCs w:val="20"/>
              </w:rPr>
              <w:t>①监测点位布置：可对升压站四周</w:t>
            </w:r>
            <w:r>
              <w:rPr>
                <w:spacing w:val="7"/>
                <w:sz w:val="20"/>
                <w:szCs w:val="20"/>
              </w:rPr>
              <w:t>设置例行监测点。</w:t>
            </w:r>
          </w:p>
          <w:p w14:paraId="77D9B259">
            <w:pPr>
              <w:pStyle w:val="9"/>
              <w:spacing w:line="250" w:lineRule="auto"/>
              <w:ind w:left="114" w:right="104" w:firstLine="417"/>
              <w:rPr>
                <w:sz w:val="20"/>
                <w:szCs w:val="20"/>
              </w:rPr>
            </w:pPr>
            <w:r>
              <w:rPr>
                <w:spacing w:val="10"/>
                <w:sz w:val="20"/>
                <w:szCs w:val="20"/>
              </w:rPr>
              <w:t>②监测项目：工频电场、工频磁场</w:t>
            </w:r>
            <w:r>
              <w:rPr>
                <w:spacing w:val="4"/>
                <w:sz w:val="20"/>
                <w:szCs w:val="20"/>
              </w:rPr>
              <w:t>和噪声。</w:t>
            </w:r>
          </w:p>
          <w:p w14:paraId="2CF41B04">
            <w:pPr>
              <w:pStyle w:val="9"/>
              <w:spacing w:line="251" w:lineRule="auto"/>
              <w:ind w:left="114" w:right="104" w:firstLine="417"/>
              <w:rPr>
                <w:sz w:val="20"/>
                <w:szCs w:val="20"/>
              </w:rPr>
            </w:pPr>
            <w:r>
              <w:rPr>
                <w:spacing w:val="10"/>
                <w:sz w:val="20"/>
                <w:szCs w:val="20"/>
              </w:rPr>
              <w:t>③竣工验收：在各项目运行后，应</w:t>
            </w:r>
            <w:r>
              <w:rPr>
                <w:spacing w:val="7"/>
                <w:sz w:val="20"/>
                <w:szCs w:val="20"/>
              </w:rPr>
              <w:t>开展环境保 护竣工验收。</w:t>
            </w:r>
          </w:p>
          <w:p w14:paraId="122AABEF">
            <w:pPr>
              <w:pStyle w:val="9"/>
              <w:spacing w:before="1" w:line="251" w:lineRule="auto"/>
              <w:ind w:left="117" w:right="104" w:firstLine="414"/>
              <w:rPr>
                <w:sz w:val="20"/>
                <w:szCs w:val="20"/>
              </w:rPr>
            </w:pPr>
            <w:r>
              <w:rPr>
                <w:spacing w:val="10"/>
                <w:sz w:val="20"/>
                <w:szCs w:val="20"/>
              </w:rPr>
              <w:t>④监测频次：在建设项目竣工验收</w:t>
            </w:r>
            <w:r>
              <w:rPr>
                <w:spacing w:val="6"/>
                <w:sz w:val="20"/>
                <w:szCs w:val="20"/>
              </w:rPr>
              <w:t>正式投入后，</w:t>
            </w:r>
          </w:p>
          <w:p w14:paraId="29E81EDB">
            <w:pPr>
              <w:pStyle w:val="9"/>
              <w:spacing w:line="214" w:lineRule="auto"/>
              <w:ind w:left="533"/>
              <w:rPr>
                <w:sz w:val="20"/>
                <w:szCs w:val="20"/>
              </w:rPr>
            </w:pPr>
            <w:r>
              <w:rPr>
                <w:spacing w:val="8"/>
                <w:sz w:val="20"/>
                <w:szCs w:val="20"/>
              </w:rPr>
              <w:t>根据需要，必要时进行再次监测。</w:t>
            </w:r>
          </w:p>
        </w:tc>
        <w:tc>
          <w:tcPr>
            <w:tcW w:w="2377" w:type="dxa"/>
            <w:vAlign w:val="top"/>
          </w:tcPr>
          <w:p w14:paraId="0FCC7603">
            <w:pPr>
              <w:rPr>
                <w:rFonts w:ascii="Arial"/>
                <w:sz w:val="21"/>
              </w:rPr>
            </w:pPr>
          </w:p>
        </w:tc>
      </w:tr>
      <w:tr w14:paraId="3843AF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815" w:type="dxa"/>
            <w:vAlign w:val="top"/>
          </w:tcPr>
          <w:p w14:paraId="64C8E86D">
            <w:pPr>
              <w:pStyle w:val="9"/>
              <w:spacing w:before="72" w:line="220" w:lineRule="auto"/>
              <w:ind w:left="733"/>
              <w:outlineLvl w:val="0"/>
              <w:rPr>
                <w:sz w:val="18"/>
                <w:szCs w:val="18"/>
              </w:rPr>
            </w:pPr>
            <w:r>
              <w:rPr>
                <w:spacing w:val="-4"/>
                <w:sz w:val="18"/>
                <w:szCs w:val="18"/>
              </w:rPr>
              <w:t>其他</w:t>
            </w:r>
          </w:p>
        </w:tc>
        <w:tc>
          <w:tcPr>
            <w:tcW w:w="3195" w:type="dxa"/>
            <w:vAlign w:val="top"/>
          </w:tcPr>
          <w:p w14:paraId="328293FE">
            <w:pPr>
              <w:rPr>
                <w:rFonts w:ascii="Arial"/>
                <w:sz w:val="21"/>
              </w:rPr>
            </w:pPr>
          </w:p>
        </w:tc>
        <w:tc>
          <w:tcPr>
            <w:tcW w:w="2503" w:type="dxa"/>
            <w:vAlign w:val="top"/>
          </w:tcPr>
          <w:p w14:paraId="69659C2D">
            <w:pPr>
              <w:rPr>
                <w:rFonts w:ascii="Arial"/>
                <w:sz w:val="21"/>
              </w:rPr>
            </w:pPr>
          </w:p>
        </w:tc>
        <w:tc>
          <w:tcPr>
            <w:tcW w:w="3793" w:type="dxa"/>
            <w:vAlign w:val="top"/>
          </w:tcPr>
          <w:p w14:paraId="30129F90">
            <w:pPr>
              <w:rPr>
                <w:rFonts w:ascii="Arial"/>
                <w:sz w:val="21"/>
              </w:rPr>
            </w:pPr>
          </w:p>
        </w:tc>
        <w:tc>
          <w:tcPr>
            <w:tcW w:w="2377" w:type="dxa"/>
            <w:vAlign w:val="top"/>
          </w:tcPr>
          <w:p w14:paraId="6850E132">
            <w:pPr>
              <w:rPr>
                <w:rFonts w:ascii="Arial"/>
                <w:sz w:val="21"/>
              </w:rPr>
            </w:pPr>
          </w:p>
        </w:tc>
      </w:tr>
    </w:tbl>
    <w:p w14:paraId="0A21A31A">
      <w:pPr>
        <w:pStyle w:val="3"/>
      </w:pPr>
    </w:p>
    <w:p w14:paraId="58220911">
      <w:pPr>
        <w:sectPr>
          <w:footerReference r:id="rId94" w:type="default"/>
          <w:pgSz w:w="16838" w:h="11906"/>
          <w:pgMar w:top="1012" w:right="1727" w:bottom="969" w:left="1422" w:header="0" w:footer="807" w:gutter="0"/>
          <w:cols w:space="720" w:num="1"/>
        </w:sectPr>
      </w:pPr>
    </w:p>
    <w:p w14:paraId="13293B92">
      <w:pPr>
        <w:spacing w:line="128" w:lineRule="exact"/>
      </w:pPr>
    </w:p>
    <w:tbl>
      <w:tblPr>
        <w:tblStyle w:val="8"/>
        <w:tblW w:w="8526"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526"/>
      </w:tblGrid>
      <w:tr w14:paraId="356DDAC0">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3519" w:hRule="atLeast"/>
        </w:trPr>
        <w:tc>
          <w:tcPr>
            <w:tcW w:w="8526" w:type="dxa"/>
            <w:vAlign w:val="top"/>
          </w:tcPr>
          <w:p w14:paraId="771B0280">
            <w:pPr>
              <w:pStyle w:val="9"/>
              <w:spacing w:before="1" w:line="217" w:lineRule="auto"/>
              <w:ind w:left="117"/>
              <w:outlineLvl w:val="0"/>
              <w:rPr>
                <w:sz w:val="30"/>
                <w:szCs w:val="30"/>
              </w:rPr>
            </w:pPr>
            <w:r>
              <w:rPr>
                <w:b/>
                <w:bCs/>
                <w:spacing w:val="-6"/>
                <w:sz w:val="30"/>
                <w:szCs w:val="30"/>
              </w:rPr>
              <w:t>七、结论</w:t>
            </w:r>
          </w:p>
          <w:p w14:paraId="2153B961">
            <w:pPr>
              <w:pStyle w:val="9"/>
              <w:spacing w:before="173" w:line="362" w:lineRule="auto"/>
              <w:ind w:left="115" w:right="107" w:firstLine="481"/>
              <w:jc w:val="both"/>
            </w:pPr>
            <w:r>
              <w:rPr>
                <w:spacing w:val="-3"/>
              </w:rPr>
              <w:t>本项目建设符合生态分区管控要求，符合国家产业政策，符合</w:t>
            </w:r>
            <w:r>
              <w:rPr>
                <w:spacing w:val="-4"/>
              </w:rPr>
              <w:t>相关行业准入</w:t>
            </w:r>
            <w:r>
              <w:rPr>
                <w:spacing w:val="-3"/>
              </w:rPr>
              <w:t>条件，项目建设选址合理。项目在施工过程中产生的对周围环境的影响，已通过采取各项环保措施控制到最小。运营期在严格落实各项污染防治措施、各项风险防范对策，有效减缓运营期带来的环境污染，有效降低风险事故发生概率的前提</w:t>
            </w:r>
            <w:r>
              <w:rPr>
                <w:spacing w:val="-1"/>
              </w:rPr>
              <w:t>下，从环境保护角度分析，项目建设可行。</w:t>
            </w:r>
          </w:p>
        </w:tc>
      </w:tr>
    </w:tbl>
    <w:p w14:paraId="3D0A73AE">
      <w:pPr>
        <w:pStyle w:val="3"/>
      </w:pPr>
    </w:p>
    <w:p w14:paraId="77F868C1">
      <w:pPr>
        <w:sectPr>
          <w:footerReference r:id="rId95" w:type="default"/>
          <w:pgSz w:w="11906" w:h="16838"/>
          <w:pgMar w:top="1431" w:right="1785" w:bottom="969" w:left="1407" w:header="0" w:footer="807" w:gutter="0"/>
          <w:cols w:space="720" w:num="1"/>
        </w:sectPr>
      </w:pPr>
    </w:p>
    <w:p w14:paraId="2CD45BC5">
      <w:pPr>
        <w:pStyle w:val="3"/>
        <w:spacing w:line="428" w:lineRule="auto"/>
      </w:pPr>
    </w:p>
    <w:p w14:paraId="7CFE2E77">
      <w:pPr>
        <w:spacing w:before="140" w:line="270" w:lineRule="auto"/>
        <w:ind w:left="2265" w:right="335" w:hanging="2145"/>
        <w:outlineLvl w:val="0"/>
        <w:rPr>
          <w:rFonts w:ascii="宋体" w:hAnsi="宋体" w:eastAsia="宋体" w:cs="宋体"/>
          <w:sz w:val="43"/>
          <w:szCs w:val="43"/>
        </w:rPr>
      </w:pPr>
      <w:r>
        <w:rPr>
          <w:rFonts w:ascii="宋体" w:hAnsi="宋体" w:eastAsia="宋体" w:cs="宋体"/>
          <w:b/>
          <w:bCs/>
          <w:spacing w:val="3"/>
          <w:sz w:val="43"/>
          <w:szCs w:val="43"/>
        </w:rPr>
        <w:t>内蒙古霍煤鸿骏铝电有限责任公司夏营地</w:t>
      </w:r>
      <w:r>
        <w:rPr>
          <w:rFonts w:ascii="Times New Roman" w:hAnsi="Times New Roman" w:eastAsia="Times New Roman" w:cs="Times New Roman"/>
          <w:b/>
          <w:bCs/>
          <w:spacing w:val="5"/>
          <w:sz w:val="43"/>
          <w:szCs w:val="43"/>
        </w:rPr>
        <w:t>220</w:t>
      </w:r>
      <w:r>
        <w:rPr>
          <w:rFonts w:ascii="Times New Roman" w:hAnsi="Times New Roman" w:eastAsia="Times New Roman" w:cs="Times New Roman"/>
          <w:b/>
          <w:bCs/>
          <w:sz w:val="43"/>
          <w:szCs w:val="43"/>
        </w:rPr>
        <w:t>kV</w:t>
      </w:r>
      <w:r>
        <w:rPr>
          <w:rFonts w:ascii="Times New Roman" w:hAnsi="Times New Roman" w:eastAsia="Times New Roman" w:cs="Times New Roman"/>
          <w:b/>
          <w:bCs/>
          <w:spacing w:val="5"/>
          <w:sz w:val="43"/>
          <w:szCs w:val="43"/>
        </w:rPr>
        <w:t xml:space="preserve"> </w:t>
      </w:r>
      <w:r>
        <w:rPr>
          <w:rFonts w:ascii="宋体" w:hAnsi="宋体" w:eastAsia="宋体" w:cs="宋体"/>
          <w:b/>
          <w:bCs/>
          <w:spacing w:val="5"/>
          <w:sz w:val="43"/>
          <w:szCs w:val="43"/>
        </w:rPr>
        <w:t>升压站工程</w:t>
      </w:r>
    </w:p>
    <w:p w14:paraId="20C9DC0C">
      <w:pPr>
        <w:pStyle w:val="3"/>
        <w:spacing w:line="252" w:lineRule="auto"/>
      </w:pPr>
    </w:p>
    <w:p w14:paraId="70D193C3">
      <w:pPr>
        <w:pStyle w:val="3"/>
        <w:spacing w:line="252" w:lineRule="auto"/>
      </w:pPr>
    </w:p>
    <w:p w14:paraId="4E3B2384">
      <w:pPr>
        <w:pStyle w:val="3"/>
        <w:spacing w:line="252" w:lineRule="auto"/>
      </w:pPr>
    </w:p>
    <w:p w14:paraId="78958B50">
      <w:pPr>
        <w:pStyle w:val="3"/>
        <w:spacing w:line="252" w:lineRule="auto"/>
      </w:pPr>
    </w:p>
    <w:p w14:paraId="50E22E7E">
      <w:pPr>
        <w:pStyle w:val="3"/>
        <w:spacing w:line="253" w:lineRule="auto"/>
      </w:pPr>
    </w:p>
    <w:p w14:paraId="5E9C9D2D">
      <w:pPr>
        <w:pStyle w:val="3"/>
        <w:spacing w:line="253" w:lineRule="auto"/>
      </w:pPr>
    </w:p>
    <w:p w14:paraId="21A617ED">
      <w:pPr>
        <w:pStyle w:val="3"/>
        <w:spacing w:line="253" w:lineRule="auto"/>
      </w:pPr>
    </w:p>
    <w:p w14:paraId="2DFB1671">
      <w:pPr>
        <w:pStyle w:val="3"/>
        <w:spacing w:line="253" w:lineRule="auto"/>
      </w:pPr>
    </w:p>
    <w:p w14:paraId="7CB2A0B8">
      <w:pPr>
        <w:pStyle w:val="3"/>
        <w:spacing w:line="253" w:lineRule="auto"/>
      </w:pPr>
    </w:p>
    <w:p w14:paraId="3DDA74D3">
      <w:pPr>
        <w:pStyle w:val="3"/>
        <w:spacing w:line="253" w:lineRule="auto"/>
      </w:pPr>
    </w:p>
    <w:p w14:paraId="0E57136B">
      <w:pPr>
        <w:pStyle w:val="3"/>
        <w:spacing w:line="253" w:lineRule="auto"/>
      </w:pPr>
    </w:p>
    <w:p w14:paraId="5EF83E4F">
      <w:pPr>
        <w:pStyle w:val="3"/>
        <w:spacing w:line="253" w:lineRule="auto"/>
      </w:pPr>
    </w:p>
    <w:p w14:paraId="58B2FBEA">
      <w:pPr>
        <w:pStyle w:val="3"/>
        <w:spacing w:line="253" w:lineRule="auto"/>
      </w:pPr>
    </w:p>
    <w:p w14:paraId="063F5E9A">
      <w:pPr>
        <w:pStyle w:val="3"/>
        <w:spacing w:line="253" w:lineRule="auto"/>
      </w:pPr>
    </w:p>
    <w:p w14:paraId="3699AA3C">
      <w:pPr>
        <w:spacing w:before="140" w:line="222" w:lineRule="auto"/>
        <w:ind w:left="1887"/>
        <w:outlineLvl w:val="0"/>
        <w:rPr>
          <w:rFonts w:ascii="宋体" w:hAnsi="宋体" w:eastAsia="宋体" w:cs="宋体"/>
          <w:sz w:val="43"/>
          <w:szCs w:val="43"/>
        </w:rPr>
      </w:pPr>
      <w:r>
        <w:rPr>
          <w:rFonts w:ascii="宋体" w:hAnsi="宋体" w:eastAsia="宋体" w:cs="宋体"/>
          <w:b/>
          <w:bCs/>
          <w:spacing w:val="-1"/>
          <w:sz w:val="43"/>
          <w:szCs w:val="43"/>
        </w:rPr>
        <w:t>电磁环境影响专项评价</w:t>
      </w:r>
    </w:p>
    <w:p w14:paraId="19112C9C">
      <w:pPr>
        <w:pStyle w:val="3"/>
        <w:spacing w:line="248" w:lineRule="auto"/>
      </w:pPr>
    </w:p>
    <w:p w14:paraId="5EAEE8B8">
      <w:pPr>
        <w:pStyle w:val="3"/>
        <w:spacing w:line="248" w:lineRule="auto"/>
      </w:pPr>
    </w:p>
    <w:p w14:paraId="0A809080">
      <w:pPr>
        <w:pStyle w:val="3"/>
        <w:spacing w:line="248" w:lineRule="auto"/>
      </w:pPr>
    </w:p>
    <w:p w14:paraId="7AD84EBA">
      <w:pPr>
        <w:pStyle w:val="3"/>
        <w:spacing w:line="248" w:lineRule="auto"/>
      </w:pPr>
    </w:p>
    <w:p w14:paraId="4C3ECC7B">
      <w:pPr>
        <w:pStyle w:val="3"/>
        <w:spacing w:line="248" w:lineRule="auto"/>
      </w:pPr>
    </w:p>
    <w:p w14:paraId="3B6AB792">
      <w:pPr>
        <w:pStyle w:val="3"/>
        <w:spacing w:line="248" w:lineRule="auto"/>
      </w:pPr>
    </w:p>
    <w:p w14:paraId="104695AE">
      <w:pPr>
        <w:pStyle w:val="3"/>
        <w:spacing w:line="248" w:lineRule="auto"/>
      </w:pPr>
    </w:p>
    <w:p w14:paraId="0D338F12">
      <w:pPr>
        <w:pStyle w:val="3"/>
        <w:spacing w:line="248" w:lineRule="auto"/>
      </w:pPr>
    </w:p>
    <w:p w14:paraId="0E046358">
      <w:pPr>
        <w:pStyle w:val="3"/>
        <w:spacing w:line="248" w:lineRule="auto"/>
      </w:pPr>
    </w:p>
    <w:p w14:paraId="65A82C6B">
      <w:pPr>
        <w:pStyle w:val="3"/>
        <w:spacing w:line="248" w:lineRule="auto"/>
      </w:pPr>
    </w:p>
    <w:p w14:paraId="46D39FE6">
      <w:pPr>
        <w:pStyle w:val="3"/>
        <w:spacing w:line="248" w:lineRule="auto"/>
      </w:pPr>
    </w:p>
    <w:p w14:paraId="0179F711">
      <w:pPr>
        <w:pStyle w:val="3"/>
        <w:spacing w:line="248" w:lineRule="auto"/>
      </w:pPr>
    </w:p>
    <w:p w14:paraId="51AC537C">
      <w:pPr>
        <w:pStyle w:val="3"/>
        <w:spacing w:line="248" w:lineRule="auto"/>
      </w:pPr>
    </w:p>
    <w:p w14:paraId="44F28D81">
      <w:pPr>
        <w:pStyle w:val="3"/>
        <w:spacing w:line="248" w:lineRule="auto"/>
      </w:pPr>
    </w:p>
    <w:p w14:paraId="4A444F9F">
      <w:pPr>
        <w:pStyle w:val="3"/>
        <w:spacing w:line="248" w:lineRule="auto"/>
      </w:pPr>
    </w:p>
    <w:p w14:paraId="1447908A">
      <w:pPr>
        <w:pStyle w:val="3"/>
        <w:spacing w:line="248" w:lineRule="auto"/>
      </w:pPr>
    </w:p>
    <w:p w14:paraId="5C91FD57">
      <w:pPr>
        <w:pStyle w:val="3"/>
        <w:spacing w:line="248" w:lineRule="auto"/>
      </w:pPr>
    </w:p>
    <w:p w14:paraId="2196BA60">
      <w:pPr>
        <w:pStyle w:val="3"/>
        <w:spacing w:line="248" w:lineRule="auto"/>
      </w:pPr>
    </w:p>
    <w:p w14:paraId="5A0B7888">
      <w:pPr>
        <w:pStyle w:val="3"/>
        <w:spacing w:line="249" w:lineRule="auto"/>
      </w:pPr>
    </w:p>
    <w:p w14:paraId="584782B8">
      <w:pPr>
        <w:pStyle w:val="3"/>
        <w:spacing w:line="249" w:lineRule="auto"/>
      </w:pPr>
    </w:p>
    <w:p w14:paraId="6260285B">
      <w:pPr>
        <w:pStyle w:val="3"/>
        <w:spacing w:line="249" w:lineRule="auto"/>
      </w:pPr>
    </w:p>
    <w:p w14:paraId="37AAF0A6">
      <w:pPr>
        <w:pStyle w:val="3"/>
        <w:spacing w:line="249" w:lineRule="auto"/>
      </w:pPr>
    </w:p>
    <w:p w14:paraId="44DE0211">
      <w:pPr>
        <w:pStyle w:val="3"/>
        <w:spacing w:line="249" w:lineRule="auto"/>
      </w:pPr>
    </w:p>
    <w:p w14:paraId="0ECAAB60">
      <w:pPr>
        <w:spacing w:before="101" w:line="225" w:lineRule="auto"/>
        <w:ind w:left="2229"/>
        <w:rPr>
          <w:rFonts w:ascii="宋体" w:hAnsi="宋体" w:eastAsia="宋体" w:cs="宋体"/>
          <w:sz w:val="31"/>
          <w:szCs w:val="31"/>
        </w:rPr>
      </w:pPr>
      <w:r>
        <w:rPr>
          <w:rFonts w:ascii="宋体" w:hAnsi="宋体" w:eastAsia="宋体" w:cs="宋体"/>
          <w:b/>
          <w:bCs/>
          <w:spacing w:val="3"/>
          <w:sz w:val="31"/>
          <w:szCs w:val="31"/>
        </w:rPr>
        <w:t>内蒙古环亚环保咨询有限公司</w:t>
      </w:r>
    </w:p>
    <w:p w14:paraId="3A174A1E">
      <w:pPr>
        <w:pStyle w:val="3"/>
        <w:spacing w:line="263" w:lineRule="auto"/>
      </w:pPr>
    </w:p>
    <w:p w14:paraId="76792E0D">
      <w:pPr>
        <w:spacing w:before="101" w:line="225" w:lineRule="auto"/>
        <w:ind w:left="3432"/>
        <w:rPr>
          <w:rFonts w:ascii="宋体" w:hAnsi="宋体" w:eastAsia="宋体" w:cs="宋体"/>
          <w:sz w:val="31"/>
          <w:szCs w:val="31"/>
        </w:rPr>
      </w:pPr>
      <w:r>
        <w:rPr>
          <w:rFonts w:ascii="Times New Roman" w:hAnsi="Times New Roman" w:eastAsia="Times New Roman" w:cs="Times New Roman"/>
          <w:b/>
          <w:bCs/>
          <w:spacing w:val="-1"/>
          <w:sz w:val="31"/>
          <w:szCs w:val="31"/>
        </w:rPr>
        <w:t>2026</w:t>
      </w:r>
      <w:r>
        <w:rPr>
          <w:rFonts w:ascii="Times New Roman" w:hAnsi="Times New Roman" w:eastAsia="Times New Roman" w:cs="Times New Roman"/>
          <w:b/>
          <w:bCs/>
          <w:spacing w:val="17"/>
          <w:sz w:val="31"/>
          <w:szCs w:val="31"/>
        </w:rPr>
        <w:t xml:space="preserve"> </w:t>
      </w:r>
      <w:r>
        <w:rPr>
          <w:rFonts w:ascii="宋体" w:hAnsi="宋体" w:eastAsia="宋体" w:cs="宋体"/>
          <w:b/>
          <w:bCs/>
          <w:spacing w:val="-1"/>
          <w:sz w:val="31"/>
          <w:szCs w:val="31"/>
        </w:rPr>
        <w:t>年</w:t>
      </w:r>
      <w:r>
        <w:rPr>
          <w:rFonts w:ascii="宋体" w:hAnsi="宋体" w:eastAsia="宋体" w:cs="宋体"/>
          <w:spacing w:val="-63"/>
          <w:sz w:val="31"/>
          <w:szCs w:val="31"/>
        </w:rPr>
        <w:t xml:space="preserve"> </w:t>
      </w:r>
      <w:r>
        <w:rPr>
          <w:rFonts w:ascii="Times New Roman" w:hAnsi="Times New Roman" w:eastAsia="Times New Roman" w:cs="Times New Roman"/>
          <w:b/>
          <w:bCs/>
          <w:spacing w:val="-1"/>
          <w:sz w:val="31"/>
          <w:szCs w:val="31"/>
        </w:rPr>
        <w:t>9</w:t>
      </w:r>
      <w:r>
        <w:rPr>
          <w:rFonts w:ascii="Times New Roman" w:hAnsi="Times New Roman" w:eastAsia="Times New Roman" w:cs="Times New Roman"/>
          <w:b/>
          <w:bCs/>
          <w:spacing w:val="23"/>
          <w:sz w:val="31"/>
          <w:szCs w:val="31"/>
        </w:rPr>
        <w:t xml:space="preserve"> </w:t>
      </w:r>
      <w:r>
        <w:rPr>
          <w:rFonts w:ascii="宋体" w:hAnsi="宋体" w:eastAsia="宋体" w:cs="宋体"/>
          <w:b/>
          <w:bCs/>
          <w:spacing w:val="-1"/>
          <w:sz w:val="31"/>
          <w:szCs w:val="31"/>
        </w:rPr>
        <w:t>月</w:t>
      </w:r>
    </w:p>
    <w:p w14:paraId="0B149F54">
      <w:pPr>
        <w:spacing w:line="225" w:lineRule="auto"/>
        <w:rPr>
          <w:rFonts w:ascii="宋体" w:hAnsi="宋体" w:eastAsia="宋体" w:cs="宋体"/>
          <w:sz w:val="31"/>
          <w:szCs w:val="31"/>
        </w:rPr>
        <w:sectPr>
          <w:footerReference r:id="rId96" w:type="default"/>
          <w:pgSz w:w="11906" w:h="16838"/>
          <w:pgMar w:top="1431" w:right="1785" w:bottom="969" w:left="1785" w:header="0" w:footer="807" w:gutter="0"/>
          <w:cols w:space="720" w:num="1"/>
        </w:sectPr>
      </w:pPr>
    </w:p>
    <w:p w14:paraId="14F17FE2">
      <w:pPr>
        <w:spacing w:before="135" w:line="220" w:lineRule="auto"/>
        <w:ind w:left="32"/>
        <w:outlineLvl w:val="0"/>
        <w:rPr>
          <w:rFonts w:ascii="宋体" w:hAnsi="宋体" w:eastAsia="宋体" w:cs="宋体"/>
          <w:sz w:val="28"/>
          <w:szCs w:val="28"/>
        </w:rPr>
      </w:pPr>
      <w:r>
        <w:rPr>
          <w:rFonts w:ascii="Times New Roman" w:hAnsi="Times New Roman" w:eastAsia="Times New Roman" w:cs="Times New Roman"/>
          <w:b/>
          <w:bCs/>
          <w:spacing w:val="-9"/>
          <w:sz w:val="28"/>
          <w:szCs w:val="28"/>
        </w:rPr>
        <w:t>1</w:t>
      </w:r>
      <w:r>
        <w:rPr>
          <w:rFonts w:ascii="Times New Roman" w:hAnsi="Times New Roman" w:eastAsia="Times New Roman" w:cs="Times New Roman"/>
          <w:b/>
          <w:bCs/>
          <w:spacing w:val="15"/>
          <w:sz w:val="28"/>
          <w:szCs w:val="28"/>
        </w:rPr>
        <w:t xml:space="preserve"> </w:t>
      </w:r>
      <w:r>
        <w:rPr>
          <w:rFonts w:ascii="宋体" w:hAnsi="宋体" w:eastAsia="宋体" w:cs="宋体"/>
          <w:b/>
          <w:bCs/>
          <w:spacing w:val="-9"/>
          <w:sz w:val="28"/>
          <w:szCs w:val="28"/>
        </w:rPr>
        <w:t>项目概况</w:t>
      </w:r>
    </w:p>
    <w:p w14:paraId="01CD224C">
      <w:pPr>
        <w:spacing w:before="171" w:line="358" w:lineRule="auto"/>
        <w:ind w:left="22" w:firstLine="510"/>
        <w:jc w:val="both"/>
        <w:rPr>
          <w:rFonts w:ascii="宋体" w:hAnsi="宋体" w:eastAsia="宋体" w:cs="宋体"/>
          <w:sz w:val="24"/>
          <w:szCs w:val="24"/>
        </w:rPr>
      </w:pPr>
      <w:r>
        <w:rPr>
          <w:rFonts w:ascii="宋体" w:hAnsi="宋体" w:eastAsia="宋体" w:cs="宋体"/>
          <w:spacing w:val="5"/>
          <w:sz w:val="24"/>
          <w:szCs w:val="24"/>
        </w:rPr>
        <w:t>内蒙古霍煤鸿骏铝电有限责任公司夏营地</w:t>
      </w:r>
      <w:r>
        <w:rPr>
          <w:rFonts w:ascii="Times New Roman" w:hAnsi="Times New Roman" w:eastAsia="Times New Roman" w:cs="Times New Roman"/>
          <w:spacing w:val="5"/>
          <w:sz w:val="24"/>
          <w:szCs w:val="24"/>
        </w:rPr>
        <w:t>220</w:t>
      </w:r>
      <w:r>
        <w:rPr>
          <w:rFonts w:ascii="Times New Roman" w:hAnsi="Times New Roman" w:eastAsia="Times New Roman" w:cs="Times New Roman"/>
          <w:sz w:val="24"/>
          <w:szCs w:val="24"/>
        </w:rPr>
        <w:t>kV</w:t>
      </w:r>
      <w:r>
        <w:rPr>
          <w:rFonts w:ascii="宋体" w:hAnsi="宋体" w:eastAsia="宋体" w:cs="宋体"/>
          <w:spacing w:val="5"/>
          <w:sz w:val="24"/>
          <w:szCs w:val="24"/>
        </w:rPr>
        <w:t>升压站工程位于通辽市扎</w:t>
      </w:r>
      <w:r>
        <w:rPr>
          <w:rFonts w:ascii="宋体" w:hAnsi="宋体" w:eastAsia="宋体" w:cs="宋体"/>
          <w:spacing w:val="-3"/>
          <w:sz w:val="24"/>
          <w:szCs w:val="24"/>
        </w:rPr>
        <w:t>鲁特旗格日朝鲁苏木境内，为“内蒙古霍林河循环经济示范工程</w:t>
      </w:r>
      <w:r>
        <w:rPr>
          <w:rFonts w:ascii="Times New Roman" w:hAnsi="Times New Roman" w:eastAsia="Times New Roman" w:cs="Times New Roman"/>
          <w:spacing w:val="-3"/>
          <w:sz w:val="24"/>
          <w:szCs w:val="24"/>
        </w:rPr>
        <w:t>80</w:t>
      </w:r>
      <w:r>
        <w:rPr>
          <w:rFonts w:ascii="宋体" w:hAnsi="宋体" w:eastAsia="宋体" w:cs="宋体"/>
          <w:spacing w:val="-3"/>
          <w:sz w:val="24"/>
          <w:szCs w:val="24"/>
        </w:rPr>
        <w:t>万千瓦就地消</w:t>
      </w:r>
      <w:r>
        <w:rPr>
          <w:rFonts w:ascii="宋体" w:hAnsi="宋体" w:eastAsia="宋体" w:cs="宋体"/>
          <w:spacing w:val="-2"/>
          <w:sz w:val="24"/>
          <w:szCs w:val="24"/>
        </w:rPr>
        <w:t>纳风电示范项目</w:t>
      </w:r>
      <w:r>
        <w:rPr>
          <w:rFonts w:ascii="宋体" w:hAnsi="宋体" w:eastAsia="宋体" w:cs="宋体"/>
          <w:spacing w:val="-88"/>
          <w:sz w:val="24"/>
          <w:szCs w:val="24"/>
        </w:rPr>
        <w:t xml:space="preserve"> </w:t>
      </w:r>
      <w:r>
        <w:rPr>
          <w:rFonts w:ascii="宋体" w:hAnsi="宋体" w:eastAsia="宋体" w:cs="宋体"/>
          <w:spacing w:val="-2"/>
          <w:sz w:val="24"/>
          <w:szCs w:val="24"/>
        </w:rPr>
        <w:t>”及“霍林河循环经济示范</w:t>
      </w:r>
      <w:r>
        <w:rPr>
          <w:rFonts w:ascii="宋体" w:hAnsi="宋体" w:eastAsia="宋体" w:cs="宋体"/>
          <w:spacing w:val="-3"/>
          <w:sz w:val="24"/>
          <w:szCs w:val="24"/>
        </w:rPr>
        <w:t>工程续建（第五期）</w:t>
      </w:r>
      <w:r>
        <w:rPr>
          <w:rFonts w:ascii="Times New Roman" w:hAnsi="Times New Roman" w:eastAsia="Times New Roman" w:cs="Times New Roman"/>
          <w:spacing w:val="-3"/>
          <w:sz w:val="24"/>
          <w:szCs w:val="24"/>
        </w:rPr>
        <w:t xml:space="preserve">200MW  </w:t>
      </w:r>
      <w:r>
        <w:rPr>
          <w:rFonts w:ascii="宋体" w:hAnsi="宋体" w:eastAsia="宋体" w:cs="宋体"/>
          <w:spacing w:val="-3"/>
          <w:sz w:val="24"/>
          <w:szCs w:val="24"/>
        </w:rPr>
        <w:t>风电项</w:t>
      </w:r>
      <w:r>
        <w:rPr>
          <w:rFonts w:ascii="宋体" w:hAnsi="宋体" w:eastAsia="宋体" w:cs="宋体"/>
          <w:spacing w:val="-4"/>
          <w:sz w:val="24"/>
          <w:szCs w:val="24"/>
        </w:rPr>
        <w:t>目</w:t>
      </w:r>
      <w:r>
        <w:rPr>
          <w:rFonts w:ascii="宋体" w:hAnsi="宋体" w:eastAsia="宋体" w:cs="宋体"/>
          <w:spacing w:val="-87"/>
          <w:sz w:val="24"/>
          <w:szCs w:val="24"/>
        </w:rPr>
        <w:t xml:space="preserve"> </w:t>
      </w:r>
      <w:r>
        <w:rPr>
          <w:rFonts w:ascii="宋体" w:hAnsi="宋体" w:eastAsia="宋体" w:cs="宋体"/>
          <w:spacing w:val="-4"/>
          <w:sz w:val="24"/>
          <w:szCs w:val="24"/>
        </w:rPr>
        <w:t>”配套升压站工程，占地面积</w:t>
      </w:r>
      <w:r>
        <w:rPr>
          <w:rFonts w:ascii="Times New Roman" w:hAnsi="Times New Roman" w:eastAsia="Times New Roman" w:cs="Times New Roman"/>
          <w:spacing w:val="-4"/>
          <w:sz w:val="24"/>
          <w:szCs w:val="24"/>
        </w:rPr>
        <w:t>4.</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4"/>
          <w:sz w:val="24"/>
          <w:szCs w:val="24"/>
        </w:rPr>
        <w:t>16hm</w:t>
      </w:r>
      <w:r>
        <w:rPr>
          <w:rFonts w:ascii="Times New Roman" w:hAnsi="Times New Roman" w:eastAsia="Times New Roman" w:cs="Times New Roman"/>
          <w:spacing w:val="-4"/>
          <w:position w:val="8"/>
          <w:sz w:val="15"/>
          <w:szCs w:val="15"/>
        </w:rPr>
        <w:t>2</w:t>
      </w:r>
      <w:r>
        <w:rPr>
          <w:rFonts w:ascii="Times New Roman" w:hAnsi="Times New Roman" w:eastAsia="Times New Roman" w:cs="Times New Roman"/>
          <w:spacing w:val="-8"/>
          <w:position w:val="8"/>
          <w:sz w:val="15"/>
          <w:szCs w:val="15"/>
        </w:rPr>
        <w:t xml:space="preserve"> </w:t>
      </w:r>
      <w:r>
        <w:rPr>
          <w:rFonts w:ascii="宋体" w:hAnsi="宋体" w:eastAsia="宋体" w:cs="宋体"/>
          <w:spacing w:val="-4"/>
          <w:sz w:val="24"/>
          <w:szCs w:val="24"/>
        </w:rPr>
        <w:t>，升压站内主要包含</w:t>
      </w:r>
      <w:r>
        <w:rPr>
          <w:rFonts w:ascii="Times New Roman" w:hAnsi="Times New Roman" w:eastAsia="Times New Roman" w:cs="Times New Roman"/>
          <w:spacing w:val="-4"/>
          <w:sz w:val="24"/>
          <w:szCs w:val="24"/>
        </w:rPr>
        <w:t>4</w:t>
      </w:r>
      <w:r>
        <w:rPr>
          <w:rFonts w:ascii="宋体" w:hAnsi="宋体" w:eastAsia="宋体" w:cs="宋体"/>
          <w:spacing w:val="-4"/>
          <w:sz w:val="24"/>
          <w:szCs w:val="24"/>
        </w:rPr>
        <w:t>台主变压器（分别</w:t>
      </w:r>
      <w:r>
        <w:rPr>
          <w:rFonts w:ascii="宋体" w:hAnsi="宋体" w:eastAsia="宋体" w:cs="宋体"/>
          <w:spacing w:val="2"/>
          <w:sz w:val="24"/>
          <w:szCs w:val="24"/>
        </w:rPr>
        <w:t>为</w:t>
      </w:r>
      <w:r>
        <w:rPr>
          <w:rFonts w:ascii="Times New Roman" w:hAnsi="Times New Roman" w:eastAsia="Times New Roman" w:cs="Times New Roman"/>
          <w:spacing w:val="2"/>
          <w:sz w:val="24"/>
          <w:szCs w:val="24"/>
        </w:rPr>
        <w:t>1#</w:t>
      </w:r>
      <w:r>
        <w:rPr>
          <w:rFonts w:ascii="宋体" w:hAnsi="宋体" w:eastAsia="宋体" w:cs="宋体"/>
          <w:spacing w:val="2"/>
          <w:sz w:val="24"/>
          <w:szCs w:val="24"/>
        </w:rPr>
        <w:t>主变、</w:t>
      </w:r>
      <w:r>
        <w:rPr>
          <w:rFonts w:ascii="Times New Roman" w:hAnsi="Times New Roman" w:eastAsia="Times New Roman" w:cs="Times New Roman"/>
          <w:spacing w:val="2"/>
          <w:sz w:val="24"/>
          <w:szCs w:val="24"/>
        </w:rPr>
        <w:t>2#</w:t>
      </w:r>
      <w:r>
        <w:rPr>
          <w:rFonts w:ascii="宋体" w:hAnsi="宋体" w:eastAsia="宋体" w:cs="宋体"/>
          <w:spacing w:val="2"/>
          <w:sz w:val="24"/>
          <w:szCs w:val="24"/>
        </w:rPr>
        <w:t>主变、</w:t>
      </w:r>
      <w:r>
        <w:rPr>
          <w:rFonts w:ascii="Times New Roman" w:hAnsi="Times New Roman" w:eastAsia="Times New Roman" w:cs="Times New Roman"/>
          <w:spacing w:val="2"/>
          <w:sz w:val="24"/>
          <w:szCs w:val="24"/>
        </w:rPr>
        <w:t>3#</w:t>
      </w:r>
      <w:r>
        <w:rPr>
          <w:rFonts w:ascii="宋体" w:hAnsi="宋体" w:eastAsia="宋体" w:cs="宋体"/>
          <w:spacing w:val="2"/>
          <w:sz w:val="24"/>
          <w:szCs w:val="24"/>
        </w:rPr>
        <w:t>主变、</w:t>
      </w:r>
      <w:r>
        <w:rPr>
          <w:rFonts w:ascii="Times New Roman" w:hAnsi="Times New Roman" w:eastAsia="Times New Roman" w:cs="Times New Roman"/>
          <w:spacing w:val="2"/>
          <w:sz w:val="24"/>
          <w:szCs w:val="24"/>
        </w:rPr>
        <w:t>5#</w:t>
      </w:r>
      <w:r>
        <w:rPr>
          <w:rFonts w:ascii="宋体" w:hAnsi="宋体" w:eastAsia="宋体" w:cs="宋体"/>
          <w:spacing w:val="2"/>
          <w:sz w:val="24"/>
          <w:szCs w:val="24"/>
        </w:rPr>
        <w:t>主变</w:t>
      </w:r>
      <w:r>
        <w:rPr>
          <w:rFonts w:ascii="宋体" w:hAnsi="宋体" w:eastAsia="宋体" w:cs="宋体"/>
          <w:spacing w:val="12"/>
          <w:sz w:val="24"/>
          <w:szCs w:val="24"/>
        </w:rPr>
        <w:t>），</w:t>
      </w:r>
      <w:r>
        <w:rPr>
          <w:rFonts w:ascii="宋体" w:hAnsi="宋体" w:eastAsia="宋体" w:cs="宋体"/>
          <w:spacing w:val="2"/>
          <w:sz w:val="24"/>
          <w:szCs w:val="24"/>
        </w:rPr>
        <w:t>其中</w:t>
      </w:r>
      <w:r>
        <w:rPr>
          <w:rFonts w:ascii="Times New Roman" w:hAnsi="Times New Roman" w:eastAsia="Times New Roman" w:cs="Times New Roman"/>
          <w:spacing w:val="2"/>
          <w:sz w:val="24"/>
          <w:szCs w:val="24"/>
        </w:rPr>
        <w:t>150</w:t>
      </w:r>
      <w:r>
        <w:rPr>
          <w:rFonts w:ascii="Times New Roman" w:hAnsi="Times New Roman" w:eastAsia="Times New Roman" w:cs="Times New Roman"/>
          <w:sz w:val="24"/>
          <w:szCs w:val="24"/>
        </w:rPr>
        <w:t>MVA</w:t>
      </w:r>
      <w:r>
        <w:rPr>
          <w:rFonts w:ascii="宋体" w:hAnsi="宋体" w:eastAsia="宋体" w:cs="宋体"/>
          <w:spacing w:val="2"/>
          <w:sz w:val="24"/>
          <w:szCs w:val="24"/>
        </w:rPr>
        <w:t>主变压器</w:t>
      </w:r>
      <w:r>
        <w:rPr>
          <w:rFonts w:ascii="Times New Roman" w:hAnsi="Times New Roman" w:eastAsia="Times New Roman" w:cs="Times New Roman"/>
          <w:spacing w:val="2"/>
          <w:sz w:val="24"/>
          <w:szCs w:val="24"/>
        </w:rPr>
        <w:t>2</w:t>
      </w:r>
      <w:r>
        <w:rPr>
          <w:rFonts w:ascii="宋体" w:hAnsi="宋体" w:eastAsia="宋体" w:cs="宋体"/>
          <w:spacing w:val="2"/>
          <w:sz w:val="24"/>
          <w:szCs w:val="24"/>
        </w:rPr>
        <w:t>台、</w:t>
      </w:r>
      <w:r>
        <w:rPr>
          <w:rFonts w:ascii="Times New Roman" w:hAnsi="Times New Roman" w:eastAsia="Times New Roman" w:cs="Times New Roman"/>
          <w:spacing w:val="2"/>
          <w:sz w:val="24"/>
          <w:szCs w:val="24"/>
        </w:rPr>
        <w:t>125</w:t>
      </w:r>
      <w:r>
        <w:rPr>
          <w:rFonts w:ascii="Times New Roman" w:hAnsi="Times New Roman" w:eastAsia="Times New Roman" w:cs="Times New Roman"/>
          <w:sz w:val="24"/>
          <w:szCs w:val="24"/>
        </w:rPr>
        <w:t>MVA</w:t>
      </w:r>
      <w:r>
        <w:rPr>
          <w:rFonts w:ascii="宋体" w:hAnsi="宋体" w:eastAsia="宋体" w:cs="宋体"/>
          <w:spacing w:val="-1"/>
          <w:sz w:val="24"/>
          <w:szCs w:val="24"/>
        </w:rPr>
        <w:t>主变压器</w:t>
      </w:r>
      <w:r>
        <w:rPr>
          <w:rFonts w:ascii="Times New Roman" w:hAnsi="Times New Roman" w:eastAsia="Times New Roman" w:cs="Times New Roman"/>
          <w:spacing w:val="-1"/>
          <w:sz w:val="24"/>
          <w:szCs w:val="24"/>
        </w:rPr>
        <w:t>1</w:t>
      </w:r>
      <w:r>
        <w:rPr>
          <w:rFonts w:ascii="宋体" w:hAnsi="宋体" w:eastAsia="宋体" w:cs="宋体"/>
          <w:spacing w:val="-1"/>
          <w:sz w:val="24"/>
          <w:szCs w:val="24"/>
        </w:rPr>
        <w:t>台及</w:t>
      </w:r>
      <w:r>
        <w:rPr>
          <w:rFonts w:ascii="Times New Roman" w:hAnsi="Times New Roman" w:eastAsia="Times New Roman" w:cs="Times New Roman"/>
          <w:spacing w:val="-1"/>
          <w:sz w:val="24"/>
          <w:szCs w:val="24"/>
        </w:rPr>
        <w:t>240MVA</w:t>
      </w:r>
      <w:r>
        <w:rPr>
          <w:rFonts w:ascii="宋体" w:hAnsi="宋体" w:eastAsia="宋体" w:cs="宋体"/>
          <w:spacing w:val="-1"/>
          <w:sz w:val="24"/>
          <w:szCs w:val="24"/>
        </w:rPr>
        <w:t>主变压器</w:t>
      </w:r>
      <w:r>
        <w:rPr>
          <w:rFonts w:ascii="Times New Roman" w:hAnsi="Times New Roman" w:eastAsia="Times New Roman" w:cs="Times New Roman"/>
          <w:spacing w:val="-1"/>
          <w:sz w:val="24"/>
          <w:szCs w:val="24"/>
        </w:rPr>
        <w:t>1</w:t>
      </w:r>
      <w:r>
        <w:rPr>
          <w:rFonts w:ascii="宋体" w:hAnsi="宋体" w:eastAsia="宋体" w:cs="宋体"/>
          <w:spacing w:val="-1"/>
          <w:sz w:val="24"/>
          <w:szCs w:val="24"/>
        </w:rPr>
        <w:t>台，配套建设</w:t>
      </w:r>
      <w:r>
        <w:rPr>
          <w:rFonts w:ascii="Times New Roman" w:hAnsi="Times New Roman" w:eastAsia="Times New Roman" w:cs="Times New Roman"/>
          <w:spacing w:val="-1"/>
          <w:sz w:val="24"/>
          <w:szCs w:val="24"/>
        </w:rPr>
        <w:t>35kV</w:t>
      </w:r>
      <w:r>
        <w:rPr>
          <w:rFonts w:ascii="宋体" w:hAnsi="宋体" w:eastAsia="宋体" w:cs="宋体"/>
          <w:spacing w:val="-1"/>
          <w:sz w:val="24"/>
          <w:szCs w:val="24"/>
        </w:rPr>
        <w:t>配电楼</w:t>
      </w:r>
      <w:r>
        <w:rPr>
          <w:rFonts w:ascii="宋体" w:hAnsi="宋体" w:eastAsia="宋体" w:cs="宋体"/>
          <w:spacing w:val="-2"/>
          <w:sz w:val="24"/>
          <w:szCs w:val="24"/>
        </w:rPr>
        <w:t>、</w:t>
      </w:r>
      <w:r>
        <w:rPr>
          <w:rFonts w:ascii="Times New Roman" w:hAnsi="Times New Roman" w:eastAsia="Times New Roman" w:cs="Times New Roman"/>
          <w:spacing w:val="-2"/>
          <w:sz w:val="24"/>
          <w:szCs w:val="24"/>
        </w:rPr>
        <w:t>SVG</w:t>
      </w:r>
      <w:r>
        <w:rPr>
          <w:rFonts w:ascii="宋体" w:hAnsi="宋体" w:eastAsia="宋体" w:cs="宋体"/>
          <w:spacing w:val="-2"/>
          <w:sz w:val="24"/>
          <w:szCs w:val="24"/>
        </w:rPr>
        <w:t>室、综合楼、</w:t>
      </w:r>
      <w:r>
        <w:rPr>
          <w:rFonts w:ascii="宋体" w:hAnsi="宋体" w:eastAsia="宋体" w:cs="宋体"/>
          <w:spacing w:val="-3"/>
          <w:sz w:val="24"/>
          <w:szCs w:val="24"/>
        </w:rPr>
        <w:t>水泵房、事故油池、危险废物暂存间、附属楼等建构筑物。进站道路依托风场已批道路，长</w:t>
      </w:r>
      <w:r>
        <w:rPr>
          <w:rFonts w:ascii="Times New Roman" w:hAnsi="Times New Roman" w:eastAsia="Times New Roman" w:cs="Times New Roman"/>
          <w:spacing w:val="-3"/>
          <w:sz w:val="24"/>
          <w:szCs w:val="24"/>
        </w:rPr>
        <w:t>543m</w:t>
      </w:r>
      <w:r>
        <w:rPr>
          <w:rFonts w:ascii="Times New Roman" w:hAnsi="Times New Roman" w:eastAsia="Times New Roman" w:cs="Times New Roman"/>
          <w:spacing w:val="-24"/>
          <w:sz w:val="24"/>
          <w:szCs w:val="24"/>
        </w:rPr>
        <w:t xml:space="preserve"> </w:t>
      </w:r>
      <w:r>
        <w:rPr>
          <w:rFonts w:ascii="宋体" w:hAnsi="宋体" w:eastAsia="宋体" w:cs="宋体"/>
          <w:spacing w:val="-3"/>
          <w:sz w:val="24"/>
          <w:szCs w:val="24"/>
        </w:rPr>
        <w:t>，路面宽</w:t>
      </w:r>
      <w:r>
        <w:rPr>
          <w:rFonts w:ascii="Times New Roman" w:hAnsi="Times New Roman" w:eastAsia="Times New Roman" w:cs="Times New Roman"/>
          <w:spacing w:val="-3"/>
          <w:sz w:val="24"/>
          <w:szCs w:val="24"/>
        </w:rPr>
        <w:t>6m</w:t>
      </w:r>
      <w:r>
        <w:rPr>
          <w:rFonts w:ascii="宋体" w:hAnsi="宋体" w:eastAsia="宋体" w:cs="宋体"/>
          <w:spacing w:val="-3"/>
          <w:sz w:val="24"/>
          <w:szCs w:val="24"/>
        </w:rPr>
        <w:t>。</w:t>
      </w:r>
    </w:p>
    <w:p w14:paraId="09527553">
      <w:pPr>
        <w:spacing w:before="1" w:line="220" w:lineRule="auto"/>
        <w:ind w:left="20"/>
        <w:rPr>
          <w:rFonts w:ascii="宋体" w:hAnsi="宋体" w:eastAsia="宋体" w:cs="宋体"/>
          <w:sz w:val="28"/>
          <w:szCs w:val="28"/>
        </w:rPr>
      </w:pPr>
      <w:r>
        <w:rPr>
          <w:rFonts w:ascii="Times New Roman" w:hAnsi="Times New Roman" w:eastAsia="Times New Roman" w:cs="Times New Roman"/>
          <w:b/>
          <w:bCs/>
          <w:spacing w:val="-4"/>
          <w:sz w:val="28"/>
          <w:szCs w:val="28"/>
        </w:rPr>
        <w:t>2</w:t>
      </w:r>
      <w:r>
        <w:rPr>
          <w:rFonts w:ascii="宋体" w:hAnsi="宋体" w:eastAsia="宋体" w:cs="宋体"/>
          <w:b/>
          <w:bCs/>
          <w:spacing w:val="-4"/>
          <w:sz w:val="28"/>
          <w:szCs w:val="28"/>
        </w:rPr>
        <w:t>总则</w:t>
      </w:r>
    </w:p>
    <w:p w14:paraId="38816E72">
      <w:pPr>
        <w:spacing w:before="160" w:line="219" w:lineRule="auto"/>
        <w:ind w:left="19"/>
        <w:outlineLvl w:val="1"/>
        <w:rPr>
          <w:rFonts w:ascii="宋体" w:hAnsi="宋体" w:eastAsia="宋体" w:cs="宋体"/>
          <w:sz w:val="24"/>
          <w:szCs w:val="24"/>
        </w:rPr>
      </w:pPr>
      <w:r>
        <w:rPr>
          <w:rFonts w:ascii="Times New Roman" w:hAnsi="Times New Roman" w:eastAsia="Times New Roman" w:cs="Times New Roman"/>
          <w:b/>
          <w:bCs/>
          <w:spacing w:val="-4"/>
          <w:sz w:val="24"/>
          <w:szCs w:val="24"/>
        </w:rPr>
        <w:t>2.1</w:t>
      </w:r>
      <w:r>
        <w:rPr>
          <w:rFonts w:ascii="Times New Roman" w:hAnsi="Times New Roman" w:eastAsia="Times New Roman" w:cs="Times New Roman"/>
          <w:b/>
          <w:bCs/>
          <w:spacing w:val="13"/>
          <w:sz w:val="24"/>
          <w:szCs w:val="24"/>
        </w:rPr>
        <w:t xml:space="preserve"> </w:t>
      </w:r>
      <w:r>
        <w:rPr>
          <w:rFonts w:ascii="宋体" w:hAnsi="宋体" w:eastAsia="宋体" w:cs="宋体"/>
          <w:b/>
          <w:bCs/>
          <w:spacing w:val="-4"/>
          <w:sz w:val="24"/>
          <w:szCs w:val="24"/>
        </w:rPr>
        <w:t>编制依据</w:t>
      </w:r>
    </w:p>
    <w:p w14:paraId="6C9564B4">
      <w:pPr>
        <w:spacing w:before="177" w:line="219" w:lineRule="auto"/>
        <w:ind w:left="499"/>
        <w:outlineLvl w:val="2"/>
        <w:rPr>
          <w:rFonts w:ascii="宋体" w:hAnsi="宋体" w:eastAsia="宋体" w:cs="宋体"/>
          <w:sz w:val="24"/>
          <w:szCs w:val="24"/>
        </w:rPr>
      </w:pPr>
      <w:r>
        <w:rPr>
          <w:rFonts w:ascii="Times New Roman" w:hAnsi="Times New Roman" w:eastAsia="Times New Roman" w:cs="Times New Roman"/>
          <w:b/>
          <w:bCs/>
          <w:spacing w:val="-2"/>
          <w:sz w:val="24"/>
          <w:szCs w:val="24"/>
        </w:rPr>
        <w:t xml:space="preserve">2.1.1  </w:t>
      </w:r>
      <w:r>
        <w:rPr>
          <w:rFonts w:ascii="宋体" w:hAnsi="宋体" w:eastAsia="宋体" w:cs="宋体"/>
          <w:b/>
          <w:bCs/>
          <w:spacing w:val="-2"/>
          <w:sz w:val="24"/>
          <w:szCs w:val="24"/>
        </w:rPr>
        <w:t>环境保护法律法规</w:t>
      </w:r>
    </w:p>
    <w:p w14:paraId="158B62E9">
      <w:pPr>
        <w:spacing w:before="176" w:line="219" w:lineRule="auto"/>
        <w:ind w:left="514"/>
        <w:rPr>
          <w:rFonts w:ascii="宋体" w:hAnsi="宋体" w:eastAsia="宋体" w:cs="宋体"/>
          <w:sz w:val="24"/>
          <w:szCs w:val="24"/>
        </w:rPr>
      </w:pP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宋体" w:hAnsi="宋体" w:eastAsia="宋体" w:cs="宋体"/>
          <w:spacing w:val="-4"/>
          <w:sz w:val="24"/>
          <w:szCs w:val="24"/>
        </w:rPr>
        <w:t>）《中华人民共和国生态环境法典》（</w:t>
      </w:r>
      <w:r>
        <w:rPr>
          <w:rFonts w:ascii="Times New Roman" w:hAnsi="Times New Roman" w:eastAsia="Times New Roman" w:cs="Times New Roman"/>
          <w:spacing w:val="-4"/>
          <w:sz w:val="24"/>
          <w:szCs w:val="24"/>
        </w:rPr>
        <w:t xml:space="preserve">2026 </w:t>
      </w:r>
      <w:r>
        <w:rPr>
          <w:rFonts w:ascii="宋体" w:hAnsi="宋体" w:eastAsia="宋体" w:cs="宋体"/>
          <w:spacing w:val="-4"/>
          <w:sz w:val="24"/>
          <w:szCs w:val="24"/>
        </w:rPr>
        <w:t>年</w:t>
      </w:r>
      <w:r>
        <w:rPr>
          <w:rFonts w:ascii="宋体" w:hAnsi="宋体" w:eastAsia="宋体" w:cs="宋体"/>
          <w:spacing w:val="-46"/>
          <w:sz w:val="24"/>
          <w:szCs w:val="24"/>
        </w:rPr>
        <w:t xml:space="preserve"> </w:t>
      </w:r>
      <w:r>
        <w:rPr>
          <w:rFonts w:ascii="Times New Roman" w:hAnsi="Times New Roman" w:eastAsia="Times New Roman" w:cs="Times New Roman"/>
          <w:spacing w:val="-4"/>
          <w:sz w:val="24"/>
          <w:szCs w:val="24"/>
        </w:rPr>
        <w:t>8</w:t>
      </w:r>
      <w:r>
        <w:rPr>
          <w:rFonts w:ascii="Times New Roman" w:hAnsi="Times New Roman" w:eastAsia="Times New Roman" w:cs="Times New Roman"/>
          <w:spacing w:val="16"/>
          <w:sz w:val="24"/>
          <w:szCs w:val="24"/>
        </w:rPr>
        <w:t xml:space="preserve"> </w:t>
      </w:r>
      <w:r>
        <w:rPr>
          <w:rFonts w:ascii="宋体" w:hAnsi="宋体" w:eastAsia="宋体" w:cs="宋体"/>
          <w:spacing w:val="-4"/>
          <w:sz w:val="24"/>
          <w:szCs w:val="24"/>
        </w:rPr>
        <w:t>月</w:t>
      </w:r>
      <w:r>
        <w:rPr>
          <w:rFonts w:ascii="宋体" w:hAnsi="宋体" w:eastAsia="宋体" w:cs="宋体"/>
          <w:spacing w:val="-32"/>
          <w:sz w:val="24"/>
          <w:szCs w:val="24"/>
        </w:rPr>
        <w:t xml:space="preserve"> </w:t>
      </w:r>
      <w:r>
        <w:rPr>
          <w:rFonts w:ascii="Times New Roman" w:hAnsi="Times New Roman" w:eastAsia="Times New Roman" w:cs="Times New Roman"/>
          <w:spacing w:val="-4"/>
          <w:sz w:val="24"/>
          <w:szCs w:val="24"/>
        </w:rPr>
        <w:t xml:space="preserve">15 </w:t>
      </w:r>
      <w:r>
        <w:rPr>
          <w:rFonts w:ascii="Times New Roman" w:hAnsi="Times New Roman" w:eastAsia="Times New Roman" w:cs="Times New Roman"/>
          <w:spacing w:val="-5"/>
          <w:sz w:val="24"/>
          <w:szCs w:val="24"/>
        </w:rPr>
        <w:t xml:space="preserve"> </w:t>
      </w:r>
      <w:r>
        <w:rPr>
          <w:rFonts w:ascii="宋体" w:hAnsi="宋体" w:eastAsia="宋体" w:cs="宋体"/>
          <w:spacing w:val="-5"/>
          <w:sz w:val="24"/>
          <w:szCs w:val="24"/>
        </w:rPr>
        <w:t>日实施</w:t>
      </w:r>
      <w:r>
        <w:rPr>
          <w:rFonts w:ascii="宋体" w:hAnsi="宋体" w:eastAsia="宋体" w:cs="宋体"/>
          <w:sz w:val="24"/>
          <w:szCs w:val="24"/>
        </w:rPr>
        <w:t>）；</w:t>
      </w:r>
    </w:p>
    <w:p w14:paraId="5D69FA60">
      <w:pPr>
        <w:spacing w:before="174" w:line="219" w:lineRule="auto"/>
        <w:ind w:left="514"/>
        <w:rPr>
          <w:rFonts w:ascii="宋体" w:hAnsi="宋体" w:eastAsia="宋体" w:cs="宋体"/>
          <w:sz w:val="24"/>
          <w:szCs w:val="24"/>
        </w:rPr>
      </w:pP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宋体" w:hAnsi="宋体" w:eastAsia="宋体" w:cs="宋体"/>
          <w:spacing w:val="-4"/>
          <w:sz w:val="24"/>
          <w:szCs w:val="24"/>
        </w:rPr>
        <w:t>）《中华人民共和国电力法》（</w:t>
      </w:r>
      <w:r>
        <w:rPr>
          <w:rFonts w:ascii="Times New Roman" w:hAnsi="Times New Roman" w:eastAsia="Times New Roman" w:cs="Times New Roman"/>
          <w:spacing w:val="-4"/>
          <w:sz w:val="24"/>
          <w:szCs w:val="24"/>
        </w:rPr>
        <w:t xml:space="preserve">2018 </w:t>
      </w:r>
      <w:r>
        <w:rPr>
          <w:rFonts w:ascii="宋体" w:hAnsi="宋体" w:eastAsia="宋体" w:cs="宋体"/>
          <w:spacing w:val="-4"/>
          <w:sz w:val="24"/>
          <w:szCs w:val="24"/>
        </w:rPr>
        <w:t>年</w:t>
      </w:r>
      <w:r>
        <w:rPr>
          <w:rFonts w:ascii="宋体" w:hAnsi="宋体" w:eastAsia="宋体" w:cs="宋体"/>
          <w:spacing w:val="-32"/>
          <w:sz w:val="24"/>
          <w:szCs w:val="24"/>
        </w:rPr>
        <w:t xml:space="preserve"> </w:t>
      </w:r>
      <w:r>
        <w:rPr>
          <w:rFonts w:ascii="Times New Roman" w:hAnsi="Times New Roman" w:eastAsia="Times New Roman" w:cs="Times New Roman"/>
          <w:spacing w:val="-4"/>
          <w:sz w:val="24"/>
          <w:szCs w:val="24"/>
        </w:rPr>
        <w:t>12</w:t>
      </w:r>
      <w:r>
        <w:rPr>
          <w:rFonts w:ascii="Times New Roman" w:hAnsi="Times New Roman" w:eastAsia="Times New Roman" w:cs="Times New Roman"/>
          <w:spacing w:val="16"/>
          <w:sz w:val="24"/>
          <w:szCs w:val="24"/>
        </w:rPr>
        <w:t xml:space="preserve"> </w:t>
      </w:r>
      <w:r>
        <w:rPr>
          <w:rFonts w:ascii="宋体" w:hAnsi="宋体" w:eastAsia="宋体" w:cs="宋体"/>
          <w:spacing w:val="-4"/>
          <w:sz w:val="24"/>
          <w:szCs w:val="24"/>
        </w:rPr>
        <w:t>月</w:t>
      </w:r>
      <w:r>
        <w:rPr>
          <w:rFonts w:ascii="宋体" w:hAnsi="宋体" w:eastAsia="宋体" w:cs="宋体"/>
          <w:spacing w:val="-55"/>
          <w:sz w:val="24"/>
          <w:szCs w:val="24"/>
        </w:rPr>
        <w:t xml:space="preserve"> </w:t>
      </w:r>
      <w:r>
        <w:rPr>
          <w:rFonts w:ascii="Times New Roman" w:hAnsi="Times New Roman" w:eastAsia="Times New Roman" w:cs="Times New Roman"/>
          <w:spacing w:val="-4"/>
          <w:sz w:val="24"/>
          <w:szCs w:val="24"/>
        </w:rPr>
        <w:t xml:space="preserve">29  </w:t>
      </w:r>
      <w:r>
        <w:rPr>
          <w:rFonts w:ascii="宋体" w:hAnsi="宋体" w:eastAsia="宋体" w:cs="宋体"/>
          <w:spacing w:val="-5"/>
          <w:sz w:val="24"/>
          <w:szCs w:val="24"/>
        </w:rPr>
        <w:t>日修正</w:t>
      </w:r>
      <w:r>
        <w:rPr>
          <w:rFonts w:ascii="宋体" w:hAnsi="宋体" w:eastAsia="宋体" w:cs="宋体"/>
          <w:sz w:val="24"/>
          <w:szCs w:val="24"/>
        </w:rPr>
        <w:t>）；</w:t>
      </w:r>
    </w:p>
    <w:p w14:paraId="53C46AD6">
      <w:pPr>
        <w:spacing w:before="176" w:line="219" w:lineRule="auto"/>
        <w:ind w:left="514"/>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3</w:t>
      </w:r>
      <w:r>
        <w:rPr>
          <w:rFonts w:ascii="宋体" w:hAnsi="宋体" w:eastAsia="宋体" w:cs="宋体"/>
          <w:spacing w:val="-2"/>
          <w:sz w:val="24"/>
          <w:szCs w:val="24"/>
        </w:rPr>
        <w:t>）《电力设施保护条例实施细则》（自</w:t>
      </w:r>
      <w:r>
        <w:rPr>
          <w:rFonts w:ascii="Times New Roman" w:hAnsi="Times New Roman" w:eastAsia="Times New Roman" w:cs="Times New Roman"/>
          <w:spacing w:val="-2"/>
          <w:sz w:val="24"/>
          <w:szCs w:val="24"/>
        </w:rPr>
        <w:t xml:space="preserve">2024 </w:t>
      </w:r>
      <w:r>
        <w:rPr>
          <w:rFonts w:ascii="宋体" w:hAnsi="宋体" w:eastAsia="宋体" w:cs="宋体"/>
          <w:spacing w:val="-2"/>
          <w:sz w:val="24"/>
          <w:szCs w:val="24"/>
        </w:rPr>
        <w:t>年</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3</w:t>
      </w:r>
      <w:r>
        <w:rPr>
          <w:rFonts w:ascii="Times New Roman" w:hAnsi="Times New Roman" w:eastAsia="Times New Roman" w:cs="Times New Roman"/>
          <w:spacing w:val="16"/>
          <w:sz w:val="24"/>
          <w:szCs w:val="24"/>
        </w:rPr>
        <w:t xml:space="preserve"> </w:t>
      </w:r>
      <w:r>
        <w:rPr>
          <w:rFonts w:ascii="宋体" w:hAnsi="宋体" w:eastAsia="宋体" w:cs="宋体"/>
          <w:spacing w:val="-2"/>
          <w:sz w:val="24"/>
          <w:szCs w:val="24"/>
        </w:rPr>
        <w:t>月</w:t>
      </w:r>
      <w:r>
        <w:rPr>
          <w:rFonts w:ascii="宋体" w:hAnsi="宋体" w:eastAsia="宋体" w:cs="宋体"/>
          <w:spacing w:val="-32"/>
          <w:sz w:val="24"/>
          <w:szCs w:val="24"/>
        </w:rPr>
        <w:t xml:space="preserve"> </w:t>
      </w:r>
      <w:r>
        <w:rPr>
          <w:rFonts w:ascii="Times New Roman" w:hAnsi="Times New Roman" w:eastAsia="Times New Roman" w:cs="Times New Roman"/>
          <w:spacing w:val="-3"/>
          <w:sz w:val="24"/>
          <w:szCs w:val="24"/>
        </w:rPr>
        <w:t xml:space="preserve">1  </w:t>
      </w:r>
      <w:r>
        <w:rPr>
          <w:rFonts w:ascii="宋体" w:hAnsi="宋体" w:eastAsia="宋体" w:cs="宋体"/>
          <w:spacing w:val="-3"/>
          <w:sz w:val="24"/>
          <w:szCs w:val="24"/>
        </w:rPr>
        <w:t>日起施行</w:t>
      </w:r>
      <w:r>
        <w:rPr>
          <w:rFonts w:ascii="宋体" w:hAnsi="宋体" w:eastAsia="宋体" w:cs="宋体"/>
          <w:sz w:val="24"/>
          <w:szCs w:val="24"/>
        </w:rPr>
        <w:t>）；</w:t>
      </w:r>
    </w:p>
    <w:p w14:paraId="2E26AD64">
      <w:pPr>
        <w:spacing w:before="176" w:line="219" w:lineRule="auto"/>
        <w:ind w:left="514"/>
        <w:rPr>
          <w:rFonts w:ascii="宋体" w:hAnsi="宋体" w:eastAsia="宋体" w:cs="宋体"/>
          <w:sz w:val="24"/>
          <w:szCs w:val="24"/>
        </w:rPr>
      </w:pP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宋体" w:hAnsi="宋体" w:eastAsia="宋体" w:cs="宋体"/>
          <w:spacing w:val="-4"/>
          <w:sz w:val="24"/>
          <w:szCs w:val="24"/>
        </w:rPr>
        <w:t>）《建设项目环境保护管理条例》（</w:t>
      </w:r>
      <w:r>
        <w:rPr>
          <w:rFonts w:ascii="Times New Roman" w:hAnsi="Times New Roman" w:eastAsia="Times New Roman" w:cs="Times New Roman"/>
          <w:spacing w:val="-4"/>
          <w:sz w:val="24"/>
          <w:szCs w:val="24"/>
        </w:rPr>
        <w:t xml:space="preserve">2017 </w:t>
      </w:r>
      <w:r>
        <w:rPr>
          <w:rFonts w:ascii="宋体" w:hAnsi="宋体" w:eastAsia="宋体" w:cs="宋体"/>
          <w:spacing w:val="-4"/>
          <w:sz w:val="24"/>
          <w:szCs w:val="24"/>
        </w:rPr>
        <w:t>年</w:t>
      </w:r>
      <w:r>
        <w:rPr>
          <w:rFonts w:ascii="宋体" w:hAnsi="宋体" w:eastAsia="宋体" w:cs="宋体"/>
          <w:spacing w:val="-52"/>
          <w:sz w:val="24"/>
          <w:szCs w:val="24"/>
        </w:rPr>
        <w:t xml:space="preserve"> </w:t>
      </w:r>
      <w:r>
        <w:rPr>
          <w:rFonts w:ascii="Times New Roman" w:hAnsi="Times New Roman" w:eastAsia="Times New Roman" w:cs="Times New Roman"/>
          <w:spacing w:val="-4"/>
          <w:sz w:val="24"/>
          <w:szCs w:val="24"/>
        </w:rPr>
        <w:t>7</w:t>
      </w:r>
      <w:r>
        <w:rPr>
          <w:rFonts w:ascii="Times New Roman" w:hAnsi="Times New Roman" w:eastAsia="Times New Roman" w:cs="Times New Roman"/>
          <w:spacing w:val="16"/>
          <w:sz w:val="24"/>
          <w:szCs w:val="24"/>
        </w:rPr>
        <w:t xml:space="preserve"> </w:t>
      </w:r>
      <w:r>
        <w:rPr>
          <w:rFonts w:ascii="宋体" w:hAnsi="宋体" w:eastAsia="宋体" w:cs="宋体"/>
          <w:spacing w:val="-4"/>
          <w:sz w:val="24"/>
          <w:szCs w:val="24"/>
        </w:rPr>
        <w:t>月</w:t>
      </w:r>
      <w:r>
        <w:rPr>
          <w:rFonts w:ascii="宋体" w:hAnsi="宋体" w:eastAsia="宋体" w:cs="宋体"/>
          <w:spacing w:val="-32"/>
          <w:sz w:val="24"/>
          <w:szCs w:val="24"/>
        </w:rPr>
        <w:t xml:space="preserve"> </w:t>
      </w:r>
      <w:r>
        <w:rPr>
          <w:rFonts w:ascii="Times New Roman" w:hAnsi="Times New Roman" w:eastAsia="Times New Roman" w:cs="Times New Roman"/>
          <w:spacing w:val="-4"/>
          <w:sz w:val="24"/>
          <w:szCs w:val="24"/>
        </w:rPr>
        <w:t xml:space="preserve">16  </w:t>
      </w:r>
      <w:r>
        <w:rPr>
          <w:rFonts w:ascii="宋体" w:hAnsi="宋体" w:eastAsia="宋体" w:cs="宋体"/>
          <w:spacing w:val="-4"/>
          <w:sz w:val="24"/>
          <w:szCs w:val="24"/>
        </w:rPr>
        <w:t>日</w:t>
      </w:r>
      <w:r>
        <w:rPr>
          <w:rFonts w:ascii="宋体" w:hAnsi="宋体" w:eastAsia="宋体" w:cs="宋体"/>
          <w:spacing w:val="-5"/>
          <w:sz w:val="24"/>
          <w:szCs w:val="24"/>
        </w:rPr>
        <w:t>修订</w:t>
      </w:r>
      <w:r>
        <w:rPr>
          <w:rFonts w:ascii="宋体" w:hAnsi="宋体" w:eastAsia="宋体" w:cs="宋体"/>
          <w:sz w:val="24"/>
          <w:szCs w:val="24"/>
        </w:rPr>
        <w:t>）；</w:t>
      </w:r>
    </w:p>
    <w:p w14:paraId="21E3B26D">
      <w:pPr>
        <w:spacing w:before="173" w:line="218" w:lineRule="auto"/>
        <w:ind w:left="514"/>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5</w:t>
      </w:r>
      <w:r>
        <w:rPr>
          <w:rFonts w:ascii="宋体" w:hAnsi="宋体" w:eastAsia="宋体" w:cs="宋体"/>
          <w:spacing w:val="-1"/>
          <w:sz w:val="24"/>
          <w:szCs w:val="24"/>
        </w:rPr>
        <w:t>）《建设项目环境影响评价分类管理名录》（</w:t>
      </w:r>
      <w:r>
        <w:rPr>
          <w:rFonts w:ascii="Times New Roman" w:hAnsi="Times New Roman" w:eastAsia="Times New Roman" w:cs="Times New Roman"/>
          <w:spacing w:val="-1"/>
          <w:sz w:val="24"/>
          <w:szCs w:val="24"/>
        </w:rPr>
        <w:t xml:space="preserve">2021 </w:t>
      </w:r>
      <w:r>
        <w:rPr>
          <w:rFonts w:ascii="宋体" w:hAnsi="宋体" w:eastAsia="宋体" w:cs="宋体"/>
          <w:spacing w:val="-1"/>
          <w:sz w:val="24"/>
          <w:szCs w:val="24"/>
        </w:rPr>
        <w:t>年版</w:t>
      </w:r>
      <w:r>
        <w:rPr>
          <w:rFonts w:ascii="宋体" w:hAnsi="宋体" w:eastAsia="宋体" w:cs="宋体"/>
          <w:spacing w:val="3"/>
          <w:sz w:val="24"/>
          <w:szCs w:val="24"/>
        </w:rPr>
        <w:t>）；</w:t>
      </w:r>
    </w:p>
    <w:p w14:paraId="1B59A424">
      <w:pPr>
        <w:spacing w:before="177" w:line="219" w:lineRule="auto"/>
        <w:ind w:left="514"/>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6</w:t>
      </w:r>
      <w:r>
        <w:rPr>
          <w:rFonts w:ascii="宋体" w:hAnsi="宋体" w:eastAsia="宋体" w:cs="宋体"/>
          <w:spacing w:val="-1"/>
          <w:sz w:val="24"/>
          <w:szCs w:val="24"/>
        </w:rPr>
        <w:t>）《产业结构调整指导目录（</w:t>
      </w:r>
      <w:r>
        <w:rPr>
          <w:rFonts w:ascii="Times New Roman" w:hAnsi="Times New Roman" w:eastAsia="Times New Roman" w:cs="Times New Roman"/>
          <w:spacing w:val="-1"/>
          <w:sz w:val="24"/>
          <w:szCs w:val="24"/>
        </w:rPr>
        <w:t xml:space="preserve">2024 </w:t>
      </w:r>
      <w:r>
        <w:rPr>
          <w:rFonts w:ascii="宋体" w:hAnsi="宋体" w:eastAsia="宋体" w:cs="宋体"/>
          <w:spacing w:val="-1"/>
          <w:sz w:val="24"/>
          <w:szCs w:val="24"/>
        </w:rPr>
        <w:t>年本）》；</w:t>
      </w:r>
    </w:p>
    <w:p w14:paraId="439CC46F">
      <w:pPr>
        <w:spacing w:before="177" w:line="219" w:lineRule="auto"/>
        <w:ind w:left="514"/>
        <w:rPr>
          <w:rFonts w:ascii="宋体" w:hAnsi="宋体" w:eastAsia="宋体" w:cs="宋体"/>
          <w:sz w:val="24"/>
          <w:szCs w:val="24"/>
        </w:rPr>
      </w:pPr>
      <w:r>
        <w:rPr>
          <w:rFonts w:ascii="宋体" w:hAnsi="宋体" w:eastAsia="宋体" w:cs="宋体"/>
          <w:spacing w:val="-4"/>
          <w:sz w:val="24"/>
          <w:szCs w:val="24"/>
        </w:rPr>
        <w:t>（</w:t>
      </w:r>
      <w:r>
        <w:rPr>
          <w:rFonts w:ascii="Times New Roman" w:hAnsi="Times New Roman" w:eastAsia="Times New Roman" w:cs="Times New Roman"/>
          <w:spacing w:val="-4"/>
          <w:sz w:val="24"/>
          <w:szCs w:val="24"/>
        </w:rPr>
        <w:t>7</w:t>
      </w:r>
      <w:r>
        <w:rPr>
          <w:rFonts w:ascii="宋体" w:hAnsi="宋体" w:eastAsia="宋体" w:cs="宋体"/>
          <w:spacing w:val="-4"/>
          <w:sz w:val="24"/>
          <w:szCs w:val="24"/>
        </w:rPr>
        <w:t>）《新型能源体系建设“十五五</w:t>
      </w:r>
      <w:r>
        <w:rPr>
          <w:rFonts w:ascii="宋体" w:hAnsi="宋体" w:eastAsia="宋体" w:cs="宋体"/>
          <w:spacing w:val="-88"/>
          <w:sz w:val="24"/>
          <w:szCs w:val="24"/>
        </w:rPr>
        <w:t xml:space="preserve"> </w:t>
      </w:r>
      <w:r>
        <w:rPr>
          <w:rFonts w:ascii="宋体" w:hAnsi="宋体" w:eastAsia="宋体" w:cs="宋体"/>
          <w:spacing w:val="-4"/>
          <w:sz w:val="24"/>
          <w:szCs w:val="24"/>
        </w:rPr>
        <w:t>”规划》（</w:t>
      </w:r>
      <w:r>
        <w:rPr>
          <w:rFonts w:ascii="Times New Roman" w:hAnsi="Times New Roman" w:eastAsia="Times New Roman" w:cs="Times New Roman"/>
          <w:spacing w:val="-4"/>
          <w:sz w:val="24"/>
          <w:szCs w:val="24"/>
        </w:rPr>
        <w:t xml:space="preserve">2026 </w:t>
      </w:r>
      <w:r>
        <w:rPr>
          <w:rFonts w:ascii="宋体" w:hAnsi="宋体" w:eastAsia="宋体" w:cs="宋体"/>
          <w:spacing w:val="-4"/>
          <w:sz w:val="24"/>
          <w:szCs w:val="24"/>
        </w:rPr>
        <w:t>年</w:t>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06</w:t>
      </w:r>
      <w:r>
        <w:rPr>
          <w:rFonts w:ascii="Times New Roman" w:hAnsi="Times New Roman" w:eastAsia="Times New Roman" w:cs="Times New Roman"/>
          <w:spacing w:val="15"/>
          <w:sz w:val="24"/>
          <w:szCs w:val="24"/>
        </w:rPr>
        <w:t xml:space="preserve"> </w:t>
      </w:r>
      <w:r>
        <w:rPr>
          <w:rFonts w:ascii="宋体" w:hAnsi="宋体" w:eastAsia="宋体" w:cs="宋体"/>
          <w:spacing w:val="-4"/>
          <w:sz w:val="24"/>
          <w:szCs w:val="24"/>
        </w:rPr>
        <w:t>月</w:t>
      </w:r>
      <w:r>
        <w:rPr>
          <w:rFonts w:ascii="宋体" w:hAnsi="宋体" w:eastAsia="宋体" w:cs="宋体"/>
          <w:spacing w:val="-32"/>
          <w:sz w:val="24"/>
          <w:szCs w:val="24"/>
        </w:rPr>
        <w:t xml:space="preserve"> </w:t>
      </w:r>
      <w:r>
        <w:rPr>
          <w:rFonts w:ascii="Times New Roman" w:hAnsi="Times New Roman" w:eastAsia="Times New Roman" w:cs="Times New Roman"/>
          <w:spacing w:val="-4"/>
          <w:sz w:val="24"/>
          <w:szCs w:val="24"/>
        </w:rPr>
        <w:t xml:space="preserve">13  </w:t>
      </w:r>
      <w:r>
        <w:rPr>
          <w:rFonts w:ascii="宋体" w:hAnsi="宋体" w:eastAsia="宋体" w:cs="宋体"/>
          <w:spacing w:val="-4"/>
          <w:sz w:val="24"/>
          <w:szCs w:val="24"/>
        </w:rPr>
        <w:t>日</w:t>
      </w:r>
      <w:r>
        <w:rPr>
          <w:rFonts w:ascii="宋体" w:hAnsi="宋体" w:eastAsia="宋体" w:cs="宋体"/>
          <w:spacing w:val="-13"/>
          <w:sz w:val="24"/>
          <w:szCs w:val="24"/>
        </w:rPr>
        <w:t>）；</w:t>
      </w:r>
    </w:p>
    <w:p w14:paraId="07BA4E67">
      <w:pPr>
        <w:spacing w:before="174" w:line="219" w:lineRule="auto"/>
        <w:ind w:left="514"/>
        <w:rPr>
          <w:rFonts w:ascii="宋体" w:hAnsi="宋体" w:eastAsia="宋体" w:cs="宋体"/>
          <w:sz w:val="24"/>
          <w:szCs w:val="24"/>
        </w:rPr>
      </w:pPr>
      <w:r>
        <w:rPr>
          <w:rFonts w:ascii="宋体" w:hAnsi="宋体" w:eastAsia="宋体" w:cs="宋体"/>
          <w:spacing w:val="-5"/>
          <w:sz w:val="24"/>
          <w:szCs w:val="24"/>
        </w:rPr>
        <w:t>（</w:t>
      </w:r>
      <w:r>
        <w:rPr>
          <w:rFonts w:ascii="Times New Roman" w:hAnsi="Times New Roman" w:eastAsia="Times New Roman" w:cs="Times New Roman"/>
          <w:spacing w:val="-5"/>
          <w:sz w:val="24"/>
          <w:szCs w:val="24"/>
        </w:rPr>
        <w:t>8</w:t>
      </w:r>
      <w:r>
        <w:rPr>
          <w:rFonts w:ascii="宋体" w:hAnsi="宋体" w:eastAsia="宋体" w:cs="宋体"/>
          <w:spacing w:val="-5"/>
          <w:sz w:val="24"/>
          <w:szCs w:val="24"/>
        </w:rPr>
        <w:t>）《生态保护“十五五</w:t>
      </w:r>
      <w:r>
        <w:rPr>
          <w:rFonts w:ascii="宋体" w:hAnsi="宋体" w:eastAsia="宋体" w:cs="宋体"/>
          <w:spacing w:val="-70"/>
          <w:sz w:val="24"/>
          <w:szCs w:val="24"/>
        </w:rPr>
        <w:t xml:space="preserve"> </w:t>
      </w:r>
      <w:r>
        <w:rPr>
          <w:rFonts w:ascii="宋体" w:hAnsi="宋体" w:eastAsia="宋体" w:cs="宋体"/>
          <w:spacing w:val="-5"/>
          <w:sz w:val="24"/>
          <w:szCs w:val="24"/>
        </w:rPr>
        <w:t>”规划》（</w:t>
      </w:r>
      <w:r>
        <w:rPr>
          <w:rFonts w:ascii="Times New Roman" w:hAnsi="Times New Roman" w:eastAsia="Times New Roman" w:cs="Times New Roman"/>
          <w:spacing w:val="-5"/>
          <w:sz w:val="24"/>
          <w:szCs w:val="24"/>
        </w:rPr>
        <w:t xml:space="preserve">2026 </w:t>
      </w:r>
      <w:r>
        <w:rPr>
          <w:rFonts w:ascii="宋体" w:hAnsi="宋体" w:eastAsia="宋体" w:cs="宋体"/>
          <w:spacing w:val="-5"/>
          <w:sz w:val="24"/>
          <w:szCs w:val="24"/>
        </w:rPr>
        <w:t>年</w:t>
      </w:r>
      <w:r>
        <w:rPr>
          <w:rFonts w:ascii="宋体" w:hAnsi="宋体" w:eastAsia="宋体" w:cs="宋体"/>
          <w:spacing w:val="-51"/>
          <w:sz w:val="24"/>
          <w:szCs w:val="24"/>
        </w:rPr>
        <w:t xml:space="preserve"> </w:t>
      </w:r>
      <w:r>
        <w:rPr>
          <w:rFonts w:ascii="Times New Roman" w:hAnsi="Times New Roman" w:eastAsia="Times New Roman" w:cs="Times New Roman"/>
          <w:spacing w:val="-5"/>
          <w:sz w:val="24"/>
          <w:szCs w:val="24"/>
        </w:rPr>
        <w:t>08</w:t>
      </w:r>
      <w:r>
        <w:rPr>
          <w:rFonts w:ascii="Times New Roman" w:hAnsi="Times New Roman" w:eastAsia="Times New Roman" w:cs="Times New Roman"/>
          <w:spacing w:val="15"/>
          <w:w w:val="101"/>
          <w:sz w:val="24"/>
          <w:szCs w:val="24"/>
        </w:rPr>
        <w:t xml:space="preserve"> </w:t>
      </w:r>
      <w:r>
        <w:rPr>
          <w:rFonts w:ascii="宋体" w:hAnsi="宋体" w:eastAsia="宋体" w:cs="宋体"/>
          <w:spacing w:val="-5"/>
          <w:sz w:val="24"/>
          <w:szCs w:val="24"/>
        </w:rPr>
        <w:t>月</w:t>
      </w:r>
      <w:r>
        <w:rPr>
          <w:rFonts w:ascii="宋体" w:hAnsi="宋体" w:eastAsia="宋体" w:cs="宋体"/>
          <w:spacing w:val="-52"/>
          <w:sz w:val="24"/>
          <w:szCs w:val="24"/>
        </w:rPr>
        <w:t xml:space="preserve"> </w:t>
      </w:r>
      <w:r>
        <w:rPr>
          <w:rFonts w:ascii="Times New Roman" w:hAnsi="Times New Roman" w:eastAsia="Times New Roman" w:cs="Times New Roman"/>
          <w:spacing w:val="-5"/>
          <w:sz w:val="24"/>
          <w:szCs w:val="24"/>
        </w:rPr>
        <w:t xml:space="preserve">06  </w:t>
      </w:r>
      <w:r>
        <w:rPr>
          <w:rFonts w:ascii="宋体" w:hAnsi="宋体" w:eastAsia="宋体" w:cs="宋体"/>
          <w:spacing w:val="-5"/>
          <w:sz w:val="24"/>
          <w:szCs w:val="24"/>
        </w:rPr>
        <w:t>日）。</w:t>
      </w:r>
    </w:p>
    <w:p w14:paraId="6938DA3A">
      <w:pPr>
        <w:spacing w:before="176" w:line="219" w:lineRule="auto"/>
        <w:ind w:left="499"/>
        <w:outlineLvl w:val="2"/>
        <w:rPr>
          <w:rFonts w:ascii="宋体" w:hAnsi="宋体" w:eastAsia="宋体" w:cs="宋体"/>
          <w:sz w:val="24"/>
          <w:szCs w:val="24"/>
        </w:rPr>
      </w:pPr>
      <w:r>
        <w:rPr>
          <w:rFonts w:ascii="Times New Roman" w:hAnsi="Times New Roman" w:eastAsia="Times New Roman" w:cs="Times New Roman"/>
          <w:b/>
          <w:bCs/>
          <w:spacing w:val="-2"/>
          <w:sz w:val="24"/>
          <w:szCs w:val="24"/>
        </w:rPr>
        <w:t xml:space="preserve">2.1.2  </w:t>
      </w:r>
      <w:r>
        <w:rPr>
          <w:rFonts w:ascii="宋体" w:hAnsi="宋体" w:eastAsia="宋体" w:cs="宋体"/>
          <w:b/>
          <w:bCs/>
          <w:spacing w:val="-2"/>
          <w:sz w:val="24"/>
          <w:szCs w:val="24"/>
        </w:rPr>
        <w:t>地方性法规及规范性文件</w:t>
      </w:r>
    </w:p>
    <w:p w14:paraId="61C9A71C">
      <w:pPr>
        <w:spacing w:before="176" w:line="219" w:lineRule="auto"/>
        <w:jc w:val="right"/>
        <w:rPr>
          <w:rFonts w:ascii="宋体" w:hAnsi="宋体" w:eastAsia="宋体" w:cs="宋体"/>
          <w:sz w:val="24"/>
          <w:szCs w:val="24"/>
        </w:rPr>
      </w:pPr>
      <w:r>
        <w:rPr>
          <w:rFonts w:ascii="宋体" w:hAnsi="宋体" w:eastAsia="宋体" w:cs="宋体"/>
          <w:spacing w:val="-5"/>
          <w:sz w:val="24"/>
          <w:szCs w:val="24"/>
        </w:rPr>
        <w:t>（</w:t>
      </w:r>
      <w:r>
        <w:rPr>
          <w:rFonts w:ascii="Times New Roman" w:hAnsi="Times New Roman" w:eastAsia="Times New Roman" w:cs="Times New Roman"/>
          <w:spacing w:val="-5"/>
          <w:sz w:val="24"/>
          <w:szCs w:val="24"/>
        </w:rPr>
        <w:t>1</w:t>
      </w:r>
      <w:r>
        <w:rPr>
          <w:rFonts w:ascii="宋体" w:hAnsi="宋体" w:eastAsia="宋体" w:cs="宋体"/>
          <w:spacing w:val="-5"/>
          <w:sz w:val="24"/>
          <w:szCs w:val="24"/>
        </w:rPr>
        <w:t>）《内蒙古自治区“十四五</w:t>
      </w:r>
      <w:r>
        <w:rPr>
          <w:rFonts w:ascii="宋体" w:hAnsi="宋体" w:eastAsia="宋体" w:cs="宋体"/>
          <w:spacing w:val="-88"/>
          <w:sz w:val="24"/>
          <w:szCs w:val="24"/>
        </w:rPr>
        <w:t xml:space="preserve"> </w:t>
      </w:r>
      <w:r>
        <w:rPr>
          <w:rFonts w:ascii="宋体" w:hAnsi="宋体" w:eastAsia="宋体" w:cs="宋体"/>
          <w:spacing w:val="-5"/>
          <w:sz w:val="24"/>
          <w:szCs w:val="24"/>
        </w:rPr>
        <w:t>”工业和信息化发展规划》，</w:t>
      </w:r>
      <w:r>
        <w:rPr>
          <w:rFonts w:ascii="Times New Roman" w:hAnsi="Times New Roman" w:eastAsia="Times New Roman" w:cs="Times New Roman"/>
          <w:spacing w:val="-5"/>
          <w:sz w:val="24"/>
          <w:szCs w:val="24"/>
        </w:rPr>
        <w:t>202</w:t>
      </w:r>
      <w:r>
        <w:rPr>
          <w:rFonts w:ascii="Times New Roman" w:hAnsi="Times New Roman" w:eastAsia="Times New Roman" w:cs="Times New Roman"/>
          <w:spacing w:val="-6"/>
          <w:sz w:val="24"/>
          <w:szCs w:val="24"/>
        </w:rPr>
        <w:t xml:space="preserve">1 </w:t>
      </w:r>
      <w:r>
        <w:rPr>
          <w:rFonts w:ascii="宋体" w:hAnsi="宋体" w:eastAsia="宋体" w:cs="宋体"/>
          <w:spacing w:val="-6"/>
          <w:sz w:val="24"/>
          <w:szCs w:val="24"/>
        </w:rPr>
        <w:t>年</w:t>
      </w:r>
      <w:r>
        <w:rPr>
          <w:rFonts w:ascii="宋体" w:hAnsi="宋体" w:eastAsia="宋体" w:cs="宋体"/>
          <w:spacing w:val="-32"/>
          <w:sz w:val="24"/>
          <w:szCs w:val="24"/>
        </w:rPr>
        <w:t xml:space="preserve"> </w:t>
      </w:r>
      <w:r>
        <w:rPr>
          <w:rFonts w:ascii="Times New Roman" w:hAnsi="Times New Roman" w:eastAsia="Times New Roman" w:cs="Times New Roman"/>
          <w:spacing w:val="-6"/>
          <w:sz w:val="24"/>
          <w:szCs w:val="24"/>
        </w:rPr>
        <w:t>10</w:t>
      </w:r>
      <w:r>
        <w:rPr>
          <w:rFonts w:ascii="Times New Roman" w:hAnsi="Times New Roman" w:eastAsia="Times New Roman" w:cs="Times New Roman"/>
          <w:spacing w:val="15"/>
          <w:sz w:val="24"/>
          <w:szCs w:val="24"/>
        </w:rPr>
        <w:t xml:space="preserve"> </w:t>
      </w:r>
      <w:r>
        <w:rPr>
          <w:rFonts w:ascii="宋体" w:hAnsi="宋体" w:eastAsia="宋体" w:cs="宋体"/>
          <w:spacing w:val="-6"/>
          <w:sz w:val="24"/>
          <w:szCs w:val="24"/>
        </w:rPr>
        <w:t>月；</w:t>
      </w:r>
    </w:p>
    <w:p w14:paraId="3F0E34B6">
      <w:pPr>
        <w:spacing w:before="174" w:line="219" w:lineRule="auto"/>
        <w:ind w:left="514"/>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2</w:t>
      </w:r>
      <w:r>
        <w:rPr>
          <w:rFonts w:ascii="宋体" w:hAnsi="宋体" w:eastAsia="宋体" w:cs="宋体"/>
          <w:spacing w:val="-2"/>
          <w:sz w:val="24"/>
          <w:szCs w:val="24"/>
        </w:rPr>
        <w:t>）《内蒙古自治区“十四五</w:t>
      </w:r>
      <w:r>
        <w:rPr>
          <w:rFonts w:ascii="宋体" w:hAnsi="宋体" w:eastAsia="宋体" w:cs="宋体"/>
          <w:spacing w:val="-89"/>
          <w:sz w:val="24"/>
          <w:szCs w:val="24"/>
        </w:rPr>
        <w:t xml:space="preserve"> </w:t>
      </w:r>
      <w:r>
        <w:rPr>
          <w:rFonts w:ascii="宋体" w:hAnsi="宋体" w:eastAsia="宋体" w:cs="宋体"/>
          <w:spacing w:val="-2"/>
          <w:sz w:val="24"/>
          <w:szCs w:val="24"/>
        </w:rPr>
        <w:t>”电力发展规划》</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2022 </w:t>
      </w:r>
      <w:r>
        <w:rPr>
          <w:rFonts w:ascii="宋体" w:hAnsi="宋体" w:eastAsia="宋体" w:cs="宋体"/>
          <w:spacing w:val="-3"/>
          <w:sz w:val="24"/>
          <w:szCs w:val="24"/>
        </w:rPr>
        <w:t>年</w:t>
      </w:r>
      <w:r>
        <w:rPr>
          <w:rFonts w:ascii="宋体" w:hAnsi="宋体" w:eastAsia="宋体" w:cs="宋体"/>
          <w:spacing w:val="-54"/>
          <w:sz w:val="24"/>
          <w:szCs w:val="24"/>
        </w:rPr>
        <w:t xml:space="preserve"> </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15"/>
          <w:sz w:val="24"/>
          <w:szCs w:val="24"/>
        </w:rPr>
        <w:t xml:space="preserve"> </w:t>
      </w:r>
      <w:r>
        <w:rPr>
          <w:rFonts w:ascii="宋体" w:hAnsi="宋体" w:eastAsia="宋体" w:cs="宋体"/>
          <w:spacing w:val="-3"/>
          <w:sz w:val="24"/>
          <w:szCs w:val="24"/>
        </w:rPr>
        <w:t>月；</w:t>
      </w:r>
    </w:p>
    <w:p w14:paraId="4F1E6DCA">
      <w:pPr>
        <w:spacing w:before="174" w:line="354" w:lineRule="auto"/>
        <w:ind w:left="43" w:right="68" w:firstLine="471"/>
        <w:rPr>
          <w:rFonts w:ascii="宋体" w:hAnsi="宋体" w:eastAsia="宋体" w:cs="宋体"/>
          <w:sz w:val="24"/>
          <w:szCs w:val="24"/>
        </w:rPr>
      </w:pPr>
      <w:r>
        <w:rPr>
          <w:rFonts w:ascii="宋体" w:hAnsi="宋体" w:eastAsia="宋体" w:cs="宋体"/>
          <w:sz w:val="24"/>
          <w:szCs w:val="24"/>
        </w:rPr>
        <w:t>（</w:t>
      </w:r>
      <w:r>
        <w:rPr>
          <w:rFonts w:ascii="Times New Roman" w:hAnsi="Times New Roman" w:eastAsia="Times New Roman" w:cs="Times New Roman"/>
          <w:sz w:val="24"/>
          <w:szCs w:val="24"/>
        </w:rPr>
        <w:t>3</w:t>
      </w:r>
      <w:r>
        <w:rPr>
          <w:rFonts w:ascii="宋体" w:hAnsi="宋体" w:eastAsia="宋体" w:cs="宋体"/>
          <w:sz w:val="24"/>
          <w:szCs w:val="24"/>
        </w:rPr>
        <w:t>）《内蒙古自治区党委关于制定国民经济和社会发展第十五个五年规划</w:t>
      </w:r>
      <w:r>
        <w:rPr>
          <w:rFonts w:ascii="宋体" w:hAnsi="宋体" w:eastAsia="宋体" w:cs="宋体"/>
          <w:spacing w:val="-5"/>
          <w:sz w:val="24"/>
          <w:szCs w:val="24"/>
        </w:rPr>
        <w:t>的建议》，</w:t>
      </w:r>
      <w:r>
        <w:rPr>
          <w:rFonts w:ascii="Times New Roman" w:hAnsi="Times New Roman" w:eastAsia="Times New Roman" w:cs="Times New Roman"/>
          <w:spacing w:val="-5"/>
          <w:sz w:val="24"/>
          <w:szCs w:val="24"/>
        </w:rPr>
        <w:t xml:space="preserve">2025 </w:t>
      </w:r>
      <w:r>
        <w:rPr>
          <w:rFonts w:ascii="宋体" w:hAnsi="宋体" w:eastAsia="宋体" w:cs="宋体"/>
          <w:spacing w:val="-5"/>
          <w:sz w:val="24"/>
          <w:szCs w:val="24"/>
        </w:rPr>
        <w:t>年</w:t>
      </w:r>
      <w:r>
        <w:rPr>
          <w:rFonts w:ascii="宋体" w:hAnsi="宋体" w:eastAsia="宋体" w:cs="宋体"/>
          <w:spacing w:val="-20"/>
          <w:sz w:val="24"/>
          <w:szCs w:val="24"/>
        </w:rPr>
        <w:t xml:space="preserve"> </w:t>
      </w:r>
      <w:r>
        <w:rPr>
          <w:rFonts w:ascii="Times New Roman" w:hAnsi="Times New Roman" w:eastAsia="Times New Roman" w:cs="Times New Roman"/>
          <w:spacing w:val="-5"/>
          <w:sz w:val="24"/>
          <w:szCs w:val="24"/>
        </w:rPr>
        <w:t xml:space="preserve">11 </w:t>
      </w:r>
      <w:r>
        <w:rPr>
          <w:rFonts w:ascii="宋体" w:hAnsi="宋体" w:eastAsia="宋体" w:cs="宋体"/>
          <w:spacing w:val="-5"/>
          <w:sz w:val="24"/>
          <w:szCs w:val="24"/>
        </w:rPr>
        <w:t>月；</w:t>
      </w:r>
    </w:p>
    <w:p w14:paraId="08557282">
      <w:pPr>
        <w:spacing w:before="1" w:line="219" w:lineRule="auto"/>
        <w:ind w:left="514"/>
        <w:rPr>
          <w:rFonts w:ascii="宋体" w:hAnsi="宋体" w:eastAsia="宋体" w:cs="宋体"/>
          <w:sz w:val="24"/>
          <w:szCs w:val="24"/>
        </w:rPr>
      </w:pPr>
      <w:r>
        <w:rPr>
          <w:rFonts w:ascii="宋体" w:hAnsi="宋体" w:eastAsia="宋体" w:cs="宋体"/>
          <w:spacing w:val="-4"/>
          <w:sz w:val="24"/>
          <w:szCs w:val="24"/>
        </w:rPr>
        <w:t>（</w:t>
      </w:r>
      <w:r>
        <w:rPr>
          <w:rFonts w:ascii="Times New Roman" w:hAnsi="Times New Roman" w:eastAsia="Times New Roman" w:cs="Times New Roman"/>
          <w:spacing w:val="-4"/>
          <w:sz w:val="24"/>
          <w:szCs w:val="24"/>
        </w:rPr>
        <w:t>4</w:t>
      </w:r>
      <w:r>
        <w:rPr>
          <w:rFonts w:ascii="宋体" w:hAnsi="宋体" w:eastAsia="宋体" w:cs="宋体"/>
          <w:spacing w:val="-4"/>
          <w:sz w:val="24"/>
          <w:szCs w:val="24"/>
        </w:rPr>
        <w:t>）《内蒙古自治区生态环境保护条例》，</w:t>
      </w:r>
      <w:r>
        <w:rPr>
          <w:rFonts w:ascii="Times New Roman" w:hAnsi="Times New Roman" w:eastAsia="Times New Roman" w:cs="Times New Roman"/>
          <w:spacing w:val="-4"/>
          <w:sz w:val="24"/>
          <w:szCs w:val="24"/>
        </w:rPr>
        <w:t xml:space="preserve">2025 </w:t>
      </w:r>
      <w:r>
        <w:rPr>
          <w:rFonts w:ascii="宋体" w:hAnsi="宋体" w:eastAsia="宋体" w:cs="宋体"/>
          <w:spacing w:val="-4"/>
          <w:sz w:val="24"/>
          <w:szCs w:val="24"/>
        </w:rPr>
        <w:t>年</w:t>
      </w:r>
      <w:r>
        <w:rPr>
          <w:rFonts w:ascii="宋体" w:hAnsi="宋体" w:eastAsia="宋体" w:cs="宋体"/>
          <w:spacing w:val="-42"/>
          <w:sz w:val="24"/>
          <w:szCs w:val="24"/>
        </w:rPr>
        <w:t xml:space="preserve"> </w:t>
      </w:r>
      <w:r>
        <w:rPr>
          <w:rFonts w:ascii="Times New Roman" w:hAnsi="Times New Roman" w:eastAsia="Times New Roman" w:cs="Times New Roman"/>
          <w:spacing w:val="-4"/>
          <w:sz w:val="24"/>
          <w:szCs w:val="24"/>
        </w:rPr>
        <w:t>3</w:t>
      </w:r>
      <w:r>
        <w:rPr>
          <w:rFonts w:ascii="Times New Roman" w:hAnsi="Times New Roman" w:eastAsia="Times New Roman" w:cs="Times New Roman"/>
          <w:spacing w:val="16"/>
          <w:sz w:val="24"/>
          <w:szCs w:val="24"/>
        </w:rPr>
        <w:t xml:space="preserve"> </w:t>
      </w:r>
      <w:r>
        <w:rPr>
          <w:rFonts w:ascii="宋体" w:hAnsi="宋体" w:eastAsia="宋体" w:cs="宋体"/>
          <w:spacing w:val="-4"/>
          <w:sz w:val="24"/>
          <w:szCs w:val="24"/>
        </w:rPr>
        <w:t>月</w:t>
      </w:r>
      <w:r>
        <w:rPr>
          <w:rFonts w:ascii="宋体" w:hAnsi="宋体" w:eastAsia="宋体" w:cs="宋体"/>
          <w:spacing w:val="-32"/>
          <w:sz w:val="24"/>
          <w:szCs w:val="24"/>
        </w:rPr>
        <w:t xml:space="preserve"> </w:t>
      </w:r>
      <w:r>
        <w:rPr>
          <w:rFonts w:ascii="Times New Roman" w:hAnsi="Times New Roman" w:eastAsia="Times New Roman" w:cs="Times New Roman"/>
          <w:spacing w:val="-4"/>
          <w:sz w:val="24"/>
          <w:szCs w:val="24"/>
        </w:rPr>
        <w:t xml:space="preserve">1  </w:t>
      </w:r>
      <w:r>
        <w:rPr>
          <w:rFonts w:ascii="宋体" w:hAnsi="宋体" w:eastAsia="宋体" w:cs="宋体"/>
          <w:spacing w:val="-4"/>
          <w:sz w:val="24"/>
          <w:szCs w:val="24"/>
        </w:rPr>
        <w:t>日起施行；</w:t>
      </w:r>
    </w:p>
    <w:p w14:paraId="02A55B38">
      <w:pPr>
        <w:spacing w:before="174" w:line="354" w:lineRule="auto"/>
        <w:ind w:left="23" w:right="68" w:firstLine="491"/>
        <w:rPr>
          <w:rFonts w:ascii="宋体" w:hAnsi="宋体" w:eastAsia="宋体" w:cs="宋体"/>
          <w:sz w:val="24"/>
          <w:szCs w:val="24"/>
        </w:rPr>
      </w:pPr>
      <w:r>
        <w:rPr>
          <w:rFonts w:ascii="宋体" w:hAnsi="宋体" w:eastAsia="宋体" w:cs="宋体"/>
          <w:sz w:val="24"/>
          <w:szCs w:val="24"/>
        </w:rPr>
        <w:t>（</w:t>
      </w:r>
      <w:r>
        <w:rPr>
          <w:rFonts w:ascii="Times New Roman" w:hAnsi="Times New Roman" w:eastAsia="Times New Roman" w:cs="Times New Roman"/>
          <w:sz w:val="24"/>
          <w:szCs w:val="24"/>
        </w:rPr>
        <w:t>5</w:t>
      </w:r>
      <w:r>
        <w:rPr>
          <w:rFonts w:ascii="宋体" w:hAnsi="宋体" w:eastAsia="宋体" w:cs="宋体"/>
          <w:sz w:val="24"/>
          <w:szCs w:val="24"/>
        </w:rPr>
        <w:t>）《内蒙古林草等五部门发布关于实行征占用草原林地分区用途管控的</w:t>
      </w:r>
      <w:r>
        <w:rPr>
          <w:rFonts w:ascii="宋体" w:hAnsi="宋体" w:eastAsia="宋体" w:cs="宋体"/>
          <w:spacing w:val="-3"/>
          <w:sz w:val="24"/>
          <w:szCs w:val="24"/>
        </w:rPr>
        <w:t>通知》；</w:t>
      </w:r>
    </w:p>
    <w:p w14:paraId="4ED4DE0F">
      <w:pPr>
        <w:spacing w:before="1" w:line="219" w:lineRule="auto"/>
        <w:ind w:left="514"/>
        <w:rPr>
          <w:rFonts w:ascii="宋体" w:hAnsi="宋体" w:eastAsia="宋体" w:cs="宋体"/>
          <w:sz w:val="24"/>
          <w:szCs w:val="24"/>
        </w:rPr>
      </w:pPr>
      <w:r>
        <w:rPr>
          <w:rFonts w:ascii="宋体" w:hAnsi="宋体" w:eastAsia="宋体" w:cs="宋体"/>
          <w:spacing w:val="-5"/>
          <w:sz w:val="24"/>
          <w:szCs w:val="24"/>
        </w:rPr>
        <w:t>（</w:t>
      </w:r>
      <w:r>
        <w:rPr>
          <w:rFonts w:ascii="Times New Roman" w:hAnsi="Times New Roman" w:eastAsia="Times New Roman" w:cs="Times New Roman"/>
          <w:spacing w:val="-5"/>
          <w:sz w:val="24"/>
          <w:szCs w:val="24"/>
        </w:rPr>
        <w:t>6</w:t>
      </w:r>
      <w:r>
        <w:rPr>
          <w:rFonts w:ascii="宋体" w:hAnsi="宋体" w:eastAsia="宋体" w:cs="宋体"/>
          <w:spacing w:val="-5"/>
          <w:sz w:val="24"/>
          <w:szCs w:val="24"/>
        </w:rPr>
        <w:t>）《通辽市“十四五</w:t>
      </w:r>
      <w:r>
        <w:rPr>
          <w:rFonts w:ascii="宋体" w:hAnsi="宋体" w:eastAsia="宋体" w:cs="宋体"/>
          <w:spacing w:val="36"/>
          <w:sz w:val="24"/>
          <w:szCs w:val="24"/>
        </w:rPr>
        <w:t xml:space="preserve"> </w:t>
      </w:r>
      <w:r>
        <w:rPr>
          <w:rFonts w:ascii="宋体" w:hAnsi="宋体" w:eastAsia="宋体" w:cs="宋体"/>
          <w:spacing w:val="-5"/>
          <w:sz w:val="24"/>
          <w:szCs w:val="24"/>
        </w:rPr>
        <w:t>”生态环境保护规划》（</w:t>
      </w:r>
      <w:r>
        <w:rPr>
          <w:rFonts w:ascii="Times New Roman" w:hAnsi="Times New Roman" w:eastAsia="Times New Roman" w:cs="Times New Roman"/>
          <w:spacing w:val="-5"/>
          <w:sz w:val="24"/>
          <w:szCs w:val="24"/>
        </w:rPr>
        <w:t xml:space="preserve">2021 </w:t>
      </w:r>
      <w:r>
        <w:rPr>
          <w:rFonts w:ascii="宋体" w:hAnsi="宋体" w:eastAsia="宋体" w:cs="宋体"/>
          <w:spacing w:val="-5"/>
          <w:sz w:val="24"/>
          <w:szCs w:val="24"/>
        </w:rPr>
        <w:t>年</w:t>
      </w:r>
      <w:r>
        <w:rPr>
          <w:rFonts w:ascii="宋体" w:hAnsi="宋体" w:eastAsia="宋体" w:cs="宋体"/>
          <w:spacing w:val="-31"/>
          <w:sz w:val="24"/>
          <w:szCs w:val="24"/>
        </w:rPr>
        <w:t xml:space="preserve"> </w:t>
      </w:r>
      <w:r>
        <w:rPr>
          <w:rFonts w:ascii="Times New Roman" w:hAnsi="Times New Roman" w:eastAsia="Times New Roman" w:cs="Times New Roman"/>
          <w:spacing w:val="-5"/>
          <w:sz w:val="24"/>
          <w:szCs w:val="24"/>
        </w:rPr>
        <w:t>12</w:t>
      </w:r>
      <w:r>
        <w:rPr>
          <w:rFonts w:ascii="Times New Roman" w:hAnsi="Times New Roman" w:eastAsia="Times New Roman" w:cs="Times New Roman"/>
          <w:spacing w:val="15"/>
          <w:sz w:val="24"/>
          <w:szCs w:val="24"/>
        </w:rPr>
        <w:t xml:space="preserve"> </w:t>
      </w:r>
      <w:r>
        <w:rPr>
          <w:rFonts w:ascii="宋体" w:hAnsi="宋体" w:eastAsia="宋体" w:cs="宋体"/>
          <w:spacing w:val="-5"/>
          <w:sz w:val="24"/>
          <w:szCs w:val="24"/>
        </w:rPr>
        <w:t>月</w:t>
      </w:r>
      <w:r>
        <w:rPr>
          <w:rFonts w:ascii="宋体" w:hAnsi="宋体" w:eastAsia="宋体" w:cs="宋体"/>
          <w:spacing w:val="-32"/>
          <w:sz w:val="24"/>
          <w:szCs w:val="24"/>
        </w:rPr>
        <w:t xml:space="preserve"> </w:t>
      </w:r>
      <w:r>
        <w:rPr>
          <w:rFonts w:ascii="Times New Roman" w:hAnsi="Times New Roman" w:eastAsia="Times New Roman" w:cs="Times New Roman"/>
          <w:spacing w:val="-5"/>
          <w:sz w:val="24"/>
          <w:szCs w:val="24"/>
        </w:rPr>
        <w:t xml:space="preserve">14  </w:t>
      </w:r>
      <w:r>
        <w:rPr>
          <w:rFonts w:ascii="宋体" w:hAnsi="宋体" w:eastAsia="宋体" w:cs="宋体"/>
          <w:spacing w:val="-5"/>
          <w:sz w:val="24"/>
          <w:szCs w:val="24"/>
        </w:rPr>
        <w:t>日）。</w:t>
      </w:r>
    </w:p>
    <w:p w14:paraId="315670A1">
      <w:pPr>
        <w:spacing w:line="219" w:lineRule="auto"/>
        <w:rPr>
          <w:rFonts w:ascii="宋体" w:hAnsi="宋体" w:eastAsia="宋体" w:cs="宋体"/>
          <w:sz w:val="24"/>
          <w:szCs w:val="24"/>
        </w:rPr>
        <w:sectPr>
          <w:footerReference r:id="rId97" w:type="default"/>
          <w:pgSz w:w="11906" w:h="16838"/>
          <w:pgMar w:top="1431" w:right="1733" w:bottom="1295" w:left="1785" w:header="0" w:footer="1133" w:gutter="0"/>
          <w:cols w:space="720" w:num="1"/>
        </w:sectPr>
      </w:pPr>
    </w:p>
    <w:p w14:paraId="4BFAA9C6">
      <w:pPr>
        <w:spacing w:before="170" w:line="220" w:lineRule="auto"/>
        <w:ind w:left="499"/>
        <w:outlineLvl w:val="2"/>
        <w:rPr>
          <w:rFonts w:ascii="宋体" w:hAnsi="宋体" w:eastAsia="宋体" w:cs="宋体"/>
          <w:sz w:val="24"/>
          <w:szCs w:val="24"/>
        </w:rPr>
      </w:pPr>
      <w:r>
        <w:rPr>
          <w:rFonts w:ascii="Times New Roman" w:hAnsi="Times New Roman" w:eastAsia="Times New Roman" w:cs="Times New Roman"/>
          <w:b/>
          <w:bCs/>
          <w:spacing w:val="-2"/>
          <w:sz w:val="24"/>
          <w:szCs w:val="24"/>
        </w:rPr>
        <w:t xml:space="preserve">2.1.3 </w:t>
      </w:r>
      <w:r>
        <w:rPr>
          <w:rFonts w:ascii="宋体" w:hAnsi="宋体" w:eastAsia="宋体" w:cs="宋体"/>
          <w:b/>
          <w:bCs/>
          <w:spacing w:val="-2"/>
          <w:sz w:val="24"/>
          <w:szCs w:val="24"/>
        </w:rPr>
        <w:t>环境保护相关的导则和规范</w:t>
      </w:r>
    </w:p>
    <w:p w14:paraId="22E61B39">
      <w:pPr>
        <w:spacing w:before="174" w:line="218" w:lineRule="auto"/>
        <w:ind w:left="514"/>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1</w:t>
      </w:r>
      <w:r>
        <w:rPr>
          <w:rFonts w:ascii="宋体" w:hAnsi="宋体" w:eastAsia="宋体" w:cs="宋体"/>
          <w:spacing w:val="-1"/>
          <w:sz w:val="24"/>
          <w:szCs w:val="24"/>
        </w:rPr>
        <w:t>）《建设项目环境影响评价技术导则 总纲》（</w:t>
      </w:r>
      <w:r>
        <w:rPr>
          <w:rFonts w:ascii="Times New Roman" w:hAnsi="Times New Roman" w:eastAsia="Times New Roman" w:cs="Times New Roman"/>
          <w:spacing w:val="-1"/>
          <w:sz w:val="24"/>
          <w:szCs w:val="24"/>
        </w:rPr>
        <w:t>HJ2.1-2016</w:t>
      </w:r>
      <w:r>
        <w:rPr>
          <w:rFonts w:ascii="宋体" w:hAnsi="宋体" w:eastAsia="宋体" w:cs="宋体"/>
          <w:spacing w:val="5"/>
          <w:sz w:val="24"/>
          <w:szCs w:val="24"/>
        </w:rPr>
        <w:t>）；</w:t>
      </w:r>
    </w:p>
    <w:p w14:paraId="6C11C03A">
      <w:pPr>
        <w:spacing w:before="177" w:line="218" w:lineRule="auto"/>
        <w:ind w:left="514"/>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2</w:t>
      </w:r>
      <w:r>
        <w:rPr>
          <w:rFonts w:ascii="宋体" w:hAnsi="宋体" w:eastAsia="宋体" w:cs="宋体"/>
          <w:spacing w:val="-1"/>
          <w:sz w:val="24"/>
          <w:szCs w:val="24"/>
        </w:rPr>
        <w:t>）《环境影响评价技术导则 输变电》（</w:t>
      </w:r>
      <w:r>
        <w:rPr>
          <w:rFonts w:ascii="Times New Roman" w:hAnsi="Times New Roman" w:eastAsia="Times New Roman" w:cs="Times New Roman"/>
          <w:spacing w:val="-1"/>
          <w:sz w:val="24"/>
          <w:szCs w:val="24"/>
        </w:rPr>
        <w:t>HJ24-2020</w:t>
      </w:r>
      <w:r>
        <w:rPr>
          <w:rFonts w:ascii="宋体" w:hAnsi="宋体" w:eastAsia="宋体" w:cs="宋体"/>
          <w:spacing w:val="3"/>
          <w:sz w:val="24"/>
          <w:szCs w:val="24"/>
        </w:rPr>
        <w:t>）；</w:t>
      </w:r>
    </w:p>
    <w:p w14:paraId="30CB0A50">
      <w:pPr>
        <w:spacing w:before="175" w:line="219" w:lineRule="auto"/>
        <w:ind w:left="514"/>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3</w:t>
      </w:r>
      <w:r>
        <w:rPr>
          <w:rFonts w:ascii="宋体" w:hAnsi="宋体" w:eastAsia="宋体" w:cs="宋体"/>
          <w:spacing w:val="-2"/>
          <w:sz w:val="24"/>
          <w:szCs w:val="24"/>
        </w:rPr>
        <w:t>）《输变电建设项目环境保护技术要求》（</w:t>
      </w:r>
      <w:r>
        <w:rPr>
          <w:rFonts w:ascii="Times New Roman" w:hAnsi="Times New Roman" w:eastAsia="Times New Roman" w:cs="Times New Roman"/>
          <w:spacing w:val="-2"/>
          <w:sz w:val="24"/>
          <w:szCs w:val="24"/>
        </w:rPr>
        <w:t>HJ</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2"/>
          <w:sz w:val="24"/>
          <w:szCs w:val="24"/>
        </w:rPr>
        <w:t>1113</w:t>
      </w:r>
      <w:r>
        <w:rPr>
          <w:rFonts w:ascii="Times New Roman" w:hAnsi="Times New Roman" w:eastAsia="Times New Roman" w:cs="Times New Roman"/>
          <w:spacing w:val="-3"/>
          <w:sz w:val="24"/>
          <w:szCs w:val="24"/>
        </w:rPr>
        <w:t>-2020</w:t>
      </w:r>
      <w:r>
        <w:rPr>
          <w:rFonts w:ascii="宋体" w:hAnsi="宋体" w:eastAsia="宋体" w:cs="宋体"/>
          <w:sz w:val="24"/>
          <w:szCs w:val="24"/>
        </w:rPr>
        <w:t>）；</w:t>
      </w:r>
    </w:p>
    <w:p w14:paraId="38B553A5">
      <w:pPr>
        <w:spacing w:before="176" w:line="219" w:lineRule="auto"/>
        <w:ind w:left="514"/>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4</w:t>
      </w:r>
      <w:r>
        <w:rPr>
          <w:rFonts w:ascii="宋体" w:hAnsi="宋体" w:eastAsia="宋体" w:cs="宋体"/>
          <w:spacing w:val="-1"/>
          <w:sz w:val="24"/>
          <w:szCs w:val="24"/>
        </w:rPr>
        <w:t>）《交流输变电工程电磁环境监测方法（试行）》（</w:t>
      </w:r>
      <w:r>
        <w:rPr>
          <w:rFonts w:ascii="Times New Roman" w:hAnsi="Times New Roman" w:eastAsia="Times New Roman" w:cs="Times New Roman"/>
          <w:spacing w:val="-1"/>
          <w:sz w:val="24"/>
          <w:szCs w:val="24"/>
        </w:rPr>
        <w:t>HJ681-2013</w:t>
      </w:r>
      <w:r>
        <w:rPr>
          <w:rFonts w:ascii="宋体" w:hAnsi="宋体" w:eastAsia="宋体" w:cs="宋体"/>
          <w:spacing w:val="-1"/>
          <w:sz w:val="24"/>
          <w:szCs w:val="24"/>
        </w:rPr>
        <w:t>）。</w:t>
      </w:r>
    </w:p>
    <w:p w14:paraId="5169D894">
      <w:pPr>
        <w:spacing w:before="176" w:line="220" w:lineRule="auto"/>
        <w:ind w:left="499"/>
        <w:outlineLvl w:val="2"/>
        <w:rPr>
          <w:rFonts w:ascii="宋体" w:hAnsi="宋体" w:eastAsia="宋体" w:cs="宋体"/>
          <w:sz w:val="24"/>
          <w:szCs w:val="24"/>
        </w:rPr>
      </w:pPr>
      <w:r>
        <w:rPr>
          <w:rFonts w:ascii="Times New Roman" w:hAnsi="Times New Roman" w:eastAsia="Times New Roman" w:cs="Times New Roman"/>
          <w:b/>
          <w:bCs/>
          <w:spacing w:val="-2"/>
          <w:sz w:val="24"/>
          <w:szCs w:val="24"/>
        </w:rPr>
        <w:t xml:space="preserve">2.1.4  </w:t>
      </w:r>
      <w:r>
        <w:rPr>
          <w:rFonts w:ascii="宋体" w:hAnsi="宋体" w:eastAsia="宋体" w:cs="宋体"/>
          <w:b/>
          <w:bCs/>
          <w:spacing w:val="-2"/>
          <w:sz w:val="24"/>
          <w:szCs w:val="24"/>
        </w:rPr>
        <w:t>环境质量标准和排放标准</w:t>
      </w:r>
    </w:p>
    <w:p w14:paraId="56CB2EBE">
      <w:pPr>
        <w:spacing w:before="173" w:line="219" w:lineRule="auto"/>
        <w:ind w:left="509"/>
        <w:rPr>
          <w:rFonts w:ascii="宋体" w:hAnsi="宋体" w:eastAsia="宋体" w:cs="宋体"/>
          <w:sz w:val="24"/>
          <w:szCs w:val="24"/>
        </w:rPr>
      </w:pPr>
      <w:r>
        <w:rPr>
          <w:rFonts w:ascii="宋体" w:hAnsi="宋体" w:eastAsia="宋体" w:cs="宋体"/>
          <w:spacing w:val="-1"/>
          <w:sz w:val="24"/>
          <w:szCs w:val="24"/>
        </w:rPr>
        <w:t>《电磁环境控制限值》（</w:t>
      </w:r>
      <w:r>
        <w:rPr>
          <w:rFonts w:ascii="Times New Roman" w:hAnsi="Times New Roman" w:eastAsia="Times New Roman" w:cs="Times New Roman"/>
          <w:spacing w:val="-1"/>
          <w:sz w:val="24"/>
          <w:szCs w:val="24"/>
        </w:rPr>
        <w:t>GB8702-2014</w:t>
      </w:r>
      <w:r>
        <w:rPr>
          <w:rFonts w:ascii="宋体" w:hAnsi="宋体" w:eastAsia="宋体" w:cs="宋体"/>
          <w:spacing w:val="2"/>
          <w:sz w:val="24"/>
          <w:szCs w:val="24"/>
        </w:rPr>
        <w:t>）；</w:t>
      </w:r>
    </w:p>
    <w:p w14:paraId="0F0E3A11">
      <w:pPr>
        <w:spacing w:before="175" w:line="220" w:lineRule="auto"/>
        <w:ind w:left="499"/>
        <w:outlineLvl w:val="2"/>
        <w:rPr>
          <w:rFonts w:ascii="宋体" w:hAnsi="宋体" w:eastAsia="宋体" w:cs="宋体"/>
          <w:sz w:val="24"/>
          <w:szCs w:val="24"/>
        </w:rPr>
      </w:pPr>
      <w:r>
        <w:rPr>
          <w:rFonts w:ascii="Times New Roman" w:hAnsi="Times New Roman" w:eastAsia="Times New Roman" w:cs="Times New Roman"/>
          <w:b/>
          <w:bCs/>
          <w:spacing w:val="-3"/>
          <w:sz w:val="24"/>
          <w:szCs w:val="24"/>
        </w:rPr>
        <w:t>2.1.5</w:t>
      </w:r>
      <w:r>
        <w:rPr>
          <w:rFonts w:ascii="Times New Roman" w:hAnsi="Times New Roman" w:eastAsia="Times New Roman" w:cs="Times New Roman"/>
          <w:b/>
          <w:bCs/>
          <w:spacing w:val="6"/>
          <w:sz w:val="24"/>
          <w:szCs w:val="24"/>
        </w:rPr>
        <w:t xml:space="preserve">  </w:t>
      </w:r>
      <w:r>
        <w:rPr>
          <w:rFonts w:ascii="宋体" w:hAnsi="宋体" w:eastAsia="宋体" w:cs="宋体"/>
          <w:b/>
          <w:bCs/>
          <w:spacing w:val="-3"/>
          <w:sz w:val="24"/>
          <w:szCs w:val="24"/>
        </w:rPr>
        <w:t>行业规范</w:t>
      </w:r>
    </w:p>
    <w:p w14:paraId="16CA06FD">
      <w:pPr>
        <w:spacing w:before="175" w:line="219" w:lineRule="auto"/>
        <w:ind w:left="514"/>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1</w:t>
      </w:r>
      <w:r>
        <w:rPr>
          <w:rFonts w:ascii="宋体" w:hAnsi="宋体" w:eastAsia="宋体" w:cs="宋体"/>
          <w:spacing w:val="-1"/>
          <w:sz w:val="24"/>
          <w:szCs w:val="24"/>
        </w:rPr>
        <w:t>）《电力工程电缆设计规范》（</w:t>
      </w:r>
      <w:r>
        <w:rPr>
          <w:rFonts w:ascii="Times New Roman" w:hAnsi="Times New Roman" w:eastAsia="Times New Roman" w:cs="Times New Roman"/>
          <w:spacing w:val="-1"/>
          <w:sz w:val="24"/>
          <w:szCs w:val="24"/>
        </w:rPr>
        <w:t>GB50217-2018</w:t>
      </w:r>
      <w:r>
        <w:rPr>
          <w:rFonts w:ascii="宋体" w:hAnsi="宋体" w:eastAsia="宋体" w:cs="宋体"/>
          <w:spacing w:val="-1"/>
          <w:sz w:val="24"/>
          <w:szCs w:val="24"/>
        </w:rPr>
        <w:t>）</w:t>
      </w:r>
      <w:r>
        <w:rPr>
          <w:rFonts w:ascii="Times New Roman" w:hAnsi="Times New Roman" w:eastAsia="Times New Roman" w:cs="Times New Roman"/>
          <w:spacing w:val="-1"/>
          <w:sz w:val="24"/>
          <w:szCs w:val="24"/>
        </w:rPr>
        <w:t>.</w:t>
      </w:r>
      <w:r>
        <w:rPr>
          <w:rFonts w:ascii="宋体" w:hAnsi="宋体" w:eastAsia="宋体" w:cs="宋体"/>
          <w:spacing w:val="-1"/>
          <w:sz w:val="24"/>
          <w:szCs w:val="24"/>
        </w:rPr>
        <w:t>；</w:t>
      </w:r>
    </w:p>
    <w:p w14:paraId="01199836">
      <w:pPr>
        <w:spacing w:before="174" w:line="219" w:lineRule="auto"/>
        <w:ind w:left="514"/>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2</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220kV~7500kV </w:t>
      </w:r>
      <w:r>
        <w:rPr>
          <w:rFonts w:ascii="宋体" w:hAnsi="宋体" w:eastAsia="宋体" w:cs="宋体"/>
          <w:spacing w:val="-1"/>
          <w:sz w:val="24"/>
          <w:szCs w:val="24"/>
        </w:rPr>
        <w:t>变电站设计技术规程》（</w:t>
      </w:r>
      <w:r>
        <w:rPr>
          <w:rFonts w:ascii="Times New Roman" w:hAnsi="Times New Roman" w:eastAsia="Times New Roman" w:cs="Times New Roman"/>
          <w:spacing w:val="-1"/>
          <w:sz w:val="24"/>
          <w:szCs w:val="24"/>
        </w:rPr>
        <w:t>DL/T5218-2012</w:t>
      </w:r>
      <w:r>
        <w:rPr>
          <w:rFonts w:ascii="宋体" w:hAnsi="宋体" w:eastAsia="宋体" w:cs="宋体"/>
          <w:spacing w:val="-1"/>
          <w:sz w:val="24"/>
          <w:szCs w:val="24"/>
        </w:rPr>
        <w:t>）。</w:t>
      </w:r>
    </w:p>
    <w:p w14:paraId="37DE9E7D">
      <w:pPr>
        <w:spacing w:before="176" w:line="220" w:lineRule="auto"/>
        <w:ind w:left="19"/>
        <w:outlineLvl w:val="1"/>
        <w:rPr>
          <w:rFonts w:ascii="宋体" w:hAnsi="宋体" w:eastAsia="宋体" w:cs="宋体"/>
          <w:sz w:val="24"/>
          <w:szCs w:val="24"/>
        </w:rPr>
      </w:pPr>
      <w:r>
        <w:rPr>
          <w:rFonts w:ascii="Times New Roman" w:hAnsi="Times New Roman" w:eastAsia="Times New Roman" w:cs="Times New Roman"/>
          <w:b/>
          <w:bCs/>
          <w:spacing w:val="-4"/>
          <w:sz w:val="24"/>
          <w:szCs w:val="24"/>
        </w:rPr>
        <w:t>2.2</w:t>
      </w:r>
      <w:r>
        <w:rPr>
          <w:rFonts w:ascii="Times New Roman" w:hAnsi="Times New Roman" w:eastAsia="Times New Roman" w:cs="Times New Roman"/>
          <w:b/>
          <w:bCs/>
          <w:spacing w:val="13"/>
          <w:sz w:val="24"/>
          <w:szCs w:val="24"/>
        </w:rPr>
        <w:t xml:space="preserve"> </w:t>
      </w:r>
      <w:r>
        <w:rPr>
          <w:rFonts w:ascii="宋体" w:hAnsi="宋体" w:eastAsia="宋体" w:cs="宋体"/>
          <w:b/>
          <w:bCs/>
          <w:spacing w:val="-4"/>
          <w:sz w:val="24"/>
          <w:szCs w:val="24"/>
        </w:rPr>
        <w:t>工程资料</w:t>
      </w:r>
    </w:p>
    <w:p w14:paraId="1D4B579F">
      <w:pPr>
        <w:spacing w:before="173" w:line="354" w:lineRule="auto"/>
        <w:ind w:left="27" w:right="13" w:firstLine="487"/>
        <w:rPr>
          <w:rFonts w:ascii="宋体" w:hAnsi="宋体" w:eastAsia="宋体" w:cs="宋体"/>
          <w:sz w:val="24"/>
          <w:szCs w:val="24"/>
        </w:rPr>
      </w:pPr>
      <w:r>
        <w:rPr>
          <w:rFonts w:ascii="宋体" w:hAnsi="宋体" w:eastAsia="宋体" w:cs="宋体"/>
          <w:spacing w:val="-4"/>
          <w:sz w:val="24"/>
          <w:szCs w:val="24"/>
        </w:rPr>
        <w:t>（</w:t>
      </w:r>
      <w:r>
        <w:rPr>
          <w:rFonts w:ascii="Times New Roman" w:hAnsi="Times New Roman" w:eastAsia="Times New Roman" w:cs="Times New Roman"/>
          <w:spacing w:val="-4"/>
          <w:sz w:val="24"/>
          <w:szCs w:val="24"/>
        </w:rPr>
        <w:t>1</w:t>
      </w:r>
      <w:r>
        <w:rPr>
          <w:rFonts w:ascii="宋体" w:hAnsi="宋体" w:eastAsia="宋体" w:cs="宋体"/>
          <w:spacing w:val="-4"/>
          <w:sz w:val="24"/>
          <w:szCs w:val="24"/>
        </w:rPr>
        <w:t>）《内蒙古霍林河循环经济示范工程</w:t>
      </w:r>
      <w:r>
        <w:rPr>
          <w:rFonts w:ascii="宋体" w:hAnsi="宋体" w:eastAsia="宋体" w:cs="宋体"/>
          <w:spacing w:val="-45"/>
          <w:sz w:val="24"/>
          <w:szCs w:val="24"/>
        </w:rPr>
        <w:t xml:space="preserve"> </w:t>
      </w:r>
      <w:r>
        <w:rPr>
          <w:rFonts w:ascii="Times New Roman" w:hAnsi="Times New Roman" w:eastAsia="Times New Roman" w:cs="Times New Roman"/>
          <w:spacing w:val="-4"/>
          <w:sz w:val="24"/>
          <w:szCs w:val="24"/>
        </w:rPr>
        <w:t>80</w:t>
      </w:r>
      <w:r>
        <w:rPr>
          <w:rFonts w:ascii="Times New Roman" w:hAnsi="Times New Roman" w:eastAsia="Times New Roman" w:cs="Times New Roman"/>
          <w:spacing w:val="15"/>
          <w:sz w:val="24"/>
          <w:szCs w:val="24"/>
        </w:rPr>
        <w:t xml:space="preserve"> </w:t>
      </w:r>
      <w:r>
        <w:rPr>
          <w:rFonts w:ascii="宋体" w:hAnsi="宋体" w:eastAsia="宋体" w:cs="宋体"/>
          <w:spacing w:val="-4"/>
          <w:sz w:val="24"/>
          <w:szCs w:val="24"/>
        </w:rPr>
        <w:t>万千瓦就</w:t>
      </w:r>
      <w:r>
        <w:rPr>
          <w:rFonts w:ascii="宋体" w:hAnsi="宋体" w:eastAsia="宋体" w:cs="宋体"/>
          <w:spacing w:val="-5"/>
          <w:sz w:val="24"/>
          <w:szCs w:val="24"/>
        </w:rPr>
        <w:t>地消纳风电示范项目可</w:t>
      </w:r>
      <w:r>
        <w:rPr>
          <w:rFonts w:ascii="宋体" w:hAnsi="宋体" w:eastAsia="宋体" w:cs="宋体"/>
          <w:spacing w:val="-2"/>
          <w:sz w:val="24"/>
          <w:szCs w:val="24"/>
        </w:rPr>
        <w:t>行性研究报告》；</w:t>
      </w:r>
    </w:p>
    <w:p w14:paraId="69F9BE19">
      <w:pPr>
        <w:spacing w:before="2" w:line="353" w:lineRule="auto"/>
        <w:ind w:left="27" w:right="13" w:firstLine="487"/>
        <w:rPr>
          <w:rFonts w:ascii="宋体" w:hAnsi="宋体" w:eastAsia="宋体" w:cs="宋体"/>
          <w:sz w:val="24"/>
          <w:szCs w:val="24"/>
        </w:rPr>
      </w:pPr>
      <w:r>
        <w:rPr>
          <w:rFonts w:ascii="宋体" w:hAnsi="宋体" w:eastAsia="宋体" w:cs="宋体"/>
          <w:spacing w:val="-4"/>
          <w:sz w:val="24"/>
          <w:szCs w:val="24"/>
        </w:rPr>
        <w:t>（</w:t>
      </w:r>
      <w:r>
        <w:rPr>
          <w:rFonts w:ascii="Times New Roman" w:hAnsi="Times New Roman" w:eastAsia="Times New Roman" w:cs="Times New Roman"/>
          <w:spacing w:val="-4"/>
          <w:sz w:val="24"/>
          <w:szCs w:val="24"/>
        </w:rPr>
        <w:t>2</w:t>
      </w:r>
      <w:r>
        <w:rPr>
          <w:rFonts w:ascii="宋体" w:hAnsi="宋体" w:eastAsia="宋体" w:cs="宋体"/>
          <w:spacing w:val="-4"/>
          <w:sz w:val="24"/>
          <w:szCs w:val="24"/>
        </w:rPr>
        <w:t>）《内蒙古霍林河循环经济示范工程</w:t>
      </w:r>
      <w:r>
        <w:rPr>
          <w:rFonts w:ascii="宋体" w:hAnsi="宋体" w:eastAsia="宋体" w:cs="宋体"/>
          <w:spacing w:val="-45"/>
          <w:sz w:val="24"/>
          <w:szCs w:val="24"/>
        </w:rPr>
        <w:t xml:space="preserve"> </w:t>
      </w:r>
      <w:r>
        <w:rPr>
          <w:rFonts w:ascii="Times New Roman" w:hAnsi="Times New Roman" w:eastAsia="Times New Roman" w:cs="Times New Roman"/>
          <w:spacing w:val="-4"/>
          <w:sz w:val="24"/>
          <w:szCs w:val="24"/>
        </w:rPr>
        <w:t>80</w:t>
      </w:r>
      <w:r>
        <w:rPr>
          <w:rFonts w:ascii="Times New Roman" w:hAnsi="Times New Roman" w:eastAsia="Times New Roman" w:cs="Times New Roman"/>
          <w:spacing w:val="15"/>
          <w:sz w:val="24"/>
          <w:szCs w:val="24"/>
        </w:rPr>
        <w:t xml:space="preserve"> </w:t>
      </w:r>
      <w:r>
        <w:rPr>
          <w:rFonts w:ascii="宋体" w:hAnsi="宋体" w:eastAsia="宋体" w:cs="宋体"/>
          <w:spacing w:val="-4"/>
          <w:sz w:val="24"/>
          <w:szCs w:val="24"/>
        </w:rPr>
        <w:t>万千瓦就</w:t>
      </w:r>
      <w:r>
        <w:rPr>
          <w:rFonts w:ascii="宋体" w:hAnsi="宋体" w:eastAsia="宋体" w:cs="宋体"/>
          <w:spacing w:val="-5"/>
          <w:sz w:val="24"/>
          <w:szCs w:val="24"/>
        </w:rPr>
        <w:t>地消纳风电示范项目可</w:t>
      </w:r>
      <w:r>
        <w:rPr>
          <w:rFonts w:ascii="宋体" w:hAnsi="宋体" w:eastAsia="宋体" w:cs="宋体"/>
          <w:spacing w:val="-2"/>
          <w:sz w:val="24"/>
          <w:szCs w:val="24"/>
        </w:rPr>
        <w:t>行性研究报告评审意见》；</w:t>
      </w:r>
    </w:p>
    <w:p w14:paraId="461370CB">
      <w:pPr>
        <w:spacing w:before="1" w:line="354" w:lineRule="auto"/>
        <w:ind w:left="23" w:right="13" w:firstLine="491"/>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3</w:t>
      </w:r>
      <w:r>
        <w:rPr>
          <w:rFonts w:ascii="宋体" w:hAnsi="宋体" w:eastAsia="宋体" w:cs="宋体"/>
          <w:spacing w:val="1"/>
          <w:sz w:val="24"/>
          <w:szCs w:val="24"/>
        </w:rPr>
        <w:t>）《霍林河循环经济示范工程续建（第五期）</w:t>
      </w:r>
      <w:r>
        <w:rPr>
          <w:rFonts w:ascii="Times New Roman" w:hAnsi="Times New Roman" w:eastAsia="Times New Roman" w:cs="Times New Roman"/>
          <w:spacing w:val="1"/>
          <w:sz w:val="24"/>
          <w:szCs w:val="24"/>
        </w:rPr>
        <w:t>200</w:t>
      </w:r>
      <w:r>
        <w:rPr>
          <w:rFonts w:ascii="Times New Roman" w:hAnsi="Times New Roman" w:eastAsia="Times New Roman" w:cs="Times New Roman"/>
          <w:sz w:val="24"/>
          <w:szCs w:val="24"/>
        </w:rPr>
        <w:t>MW</w:t>
      </w:r>
      <w:r>
        <w:rPr>
          <w:rFonts w:ascii="Times New Roman" w:hAnsi="Times New Roman" w:eastAsia="Times New Roman" w:cs="Times New Roman"/>
          <w:spacing w:val="1"/>
          <w:sz w:val="24"/>
          <w:szCs w:val="24"/>
        </w:rPr>
        <w:t xml:space="preserve">  </w:t>
      </w:r>
      <w:r>
        <w:rPr>
          <w:rFonts w:ascii="宋体" w:hAnsi="宋体" w:eastAsia="宋体" w:cs="宋体"/>
          <w:spacing w:val="1"/>
          <w:sz w:val="24"/>
          <w:szCs w:val="24"/>
        </w:rPr>
        <w:t>风电项目可行性</w:t>
      </w:r>
      <w:r>
        <w:rPr>
          <w:rFonts w:ascii="宋体" w:hAnsi="宋体" w:eastAsia="宋体" w:cs="宋体"/>
          <w:spacing w:val="-2"/>
          <w:sz w:val="24"/>
          <w:szCs w:val="24"/>
        </w:rPr>
        <w:t>研究报告》；</w:t>
      </w:r>
    </w:p>
    <w:p w14:paraId="46247726">
      <w:pPr>
        <w:spacing w:before="1" w:line="353" w:lineRule="auto"/>
        <w:ind w:left="23" w:right="13" w:firstLine="491"/>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4</w:t>
      </w:r>
      <w:r>
        <w:rPr>
          <w:rFonts w:ascii="宋体" w:hAnsi="宋体" w:eastAsia="宋体" w:cs="宋体"/>
          <w:spacing w:val="1"/>
          <w:sz w:val="24"/>
          <w:szCs w:val="24"/>
        </w:rPr>
        <w:t>）《霍林河循环经济示范工程续建（第五期）</w:t>
      </w:r>
      <w:r>
        <w:rPr>
          <w:rFonts w:ascii="Times New Roman" w:hAnsi="Times New Roman" w:eastAsia="Times New Roman" w:cs="Times New Roman"/>
          <w:spacing w:val="1"/>
          <w:sz w:val="24"/>
          <w:szCs w:val="24"/>
        </w:rPr>
        <w:t>200</w:t>
      </w:r>
      <w:r>
        <w:rPr>
          <w:rFonts w:ascii="Times New Roman" w:hAnsi="Times New Roman" w:eastAsia="Times New Roman" w:cs="Times New Roman"/>
          <w:sz w:val="24"/>
          <w:szCs w:val="24"/>
        </w:rPr>
        <w:t>MW</w:t>
      </w:r>
      <w:r>
        <w:rPr>
          <w:rFonts w:ascii="Times New Roman" w:hAnsi="Times New Roman" w:eastAsia="Times New Roman" w:cs="Times New Roman"/>
          <w:spacing w:val="1"/>
          <w:sz w:val="24"/>
          <w:szCs w:val="24"/>
        </w:rPr>
        <w:t xml:space="preserve">  </w:t>
      </w:r>
      <w:r>
        <w:rPr>
          <w:rFonts w:ascii="宋体" w:hAnsi="宋体" w:eastAsia="宋体" w:cs="宋体"/>
          <w:spacing w:val="1"/>
          <w:sz w:val="24"/>
          <w:szCs w:val="24"/>
        </w:rPr>
        <w:t>风电项目可行性</w:t>
      </w:r>
      <w:r>
        <w:rPr>
          <w:rFonts w:ascii="宋体" w:hAnsi="宋体" w:eastAsia="宋体" w:cs="宋体"/>
          <w:spacing w:val="-1"/>
          <w:sz w:val="24"/>
          <w:szCs w:val="24"/>
        </w:rPr>
        <w:t>研究报告评审意见》；</w:t>
      </w:r>
    </w:p>
    <w:p w14:paraId="64DE87E8">
      <w:pPr>
        <w:spacing w:before="1" w:line="218" w:lineRule="auto"/>
        <w:ind w:left="514"/>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5</w:t>
      </w:r>
      <w:r>
        <w:rPr>
          <w:rFonts w:ascii="宋体" w:hAnsi="宋体" w:eastAsia="宋体" w:cs="宋体"/>
          <w:spacing w:val="-2"/>
          <w:sz w:val="24"/>
          <w:szCs w:val="24"/>
        </w:rPr>
        <w:t>）建设单位提供的其他工程技术资料。</w:t>
      </w:r>
    </w:p>
    <w:p w14:paraId="4E342DE8">
      <w:pPr>
        <w:spacing w:before="177" w:line="218" w:lineRule="auto"/>
        <w:ind w:left="19"/>
        <w:outlineLvl w:val="1"/>
        <w:rPr>
          <w:rFonts w:ascii="宋体" w:hAnsi="宋体" w:eastAsia="宋体" w:cs="宋体"/>
          <w:sz w:val="24"/>
          <w:szCs w:val="24"/>
        </w:rPr>
      </w:pPr>
      <w:r>
        <w:rPr>
          <w:rFonts w:ascii="Times New Roman" w:hAnsi="Times New Roman" w:eastAsia="Times New Roman" w:cs="Times New Roman"/>
          <w:b/>
          <w:bCs/>
          <w:spacing w:val="-5"/>
          <w:sz w:val="24"/>
          <w:szCs w:val="24"/>
        </w:rPr>
        <w:t>2.3</w:t>
      </w:r>
      <w:r>
        <w:rPr>
          <w:rFonts w:ascii="Times New Roman" w:hAnsi="Times New Roman" w:eastAsia="Times New Roman" w:cs="Times New Roman"/>
          <w:b/>
          <w:bCs/>
          <w:spacing w:val="47"/>
          <w:sz w:val="24"/>
          <w:szCs w:val="24"/>
        </w:rPr>
        <w:t xml:space="preserve"> </w:t>
      </w:r>
      <w:r>
        <w:rPr>
          <w:rFonts w:ascii="宋体" w:hAnsi="宋体" w:eastAsia="宋体" w:cs="宋体"/>
          <w:b/>
          <w:bCs/>
          <w:spacing w:val="-5"/>
          <w:sz w:val="24"/>
          <w:szCs w:val="24"/>
        </w:rPr>
        <w:t>电磁辐射影响评价技术路线</w:t>
      </w:r>
    </w:p>
    <w:p w14:paraId="4B52E778">
      <w:pPr>
        <w:spacing w:before="175" w:line="218" w:lineRule="auto"/>
        <w:ind w:left="504"/>
        <w:rPr>
          <w:rFonts w:ascii="宋体" w:hAnsi="宋体" w:eastAsia="宋体" w:cs="宋体"/>
          <w:sz w:val="24"/>
          <w:szCs w:val="24"/>
        </w:rPr>
      </w:pPr>
      <w:r>
        <w:rPr>
          <w:rFonts w:ascii="宋体" w:hAnsi="宋体" w:eastAsia="宋体" w:cs="宋体"/>
          <w:spacing w:val="-3"/>
          <w:sz w:val="24"/>
          <w:szCs w:val="24"/>
        </w:rPr>
        <w:t>本次电磁辐射影响评价的工作程序见图</w:t>
      </w:r>
      <w:r>
        <w:rPr>
          <w:rFonts w:ascii="宋体" w:hAnsi="宋体" w:eastAsia="宋体" w:cs="宋体"/>
          <w:spacing w:val="-37"/>
          <w:sz w:val="24"/>
          <w:szCs w:val="24"/>
        </w:rPr>
        <w:t xml:space="preserve"> </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3"/>
          <w:sz w:val="24"/>
          <w:szCs w:val="24"/>
        </w:rPr>
        <w:t>1</w:t>
      </w:r>
      <w:r>
        <w:rPr>
          <w:rFonts w:ascii="宋体" w:hAnsi="宋体" w:eastAsia="宋体" w:cs="宋体"/>
          <w:spacing w:val="-3"/>
          <w:sz w:val="24"/>
          <w:szCs w:val="24"/>
        </w:rPr>
        <w:t>。</w:t>
      </w:r>
    </w:p>
    <w:p w14:paraId="4658F9D9">
      <w:pPr>
        <w:spacing w:line="218" w:lineRule="auto"/>
        <w:rPr>
          <w:rFonts w:ascii="宋体" w:hAnsi="宋体" w:eastAsia="宋体" w:cs="宋体"/>
          <w:sz w:val="24"/>
          <w:szCs w:val="24"/>
        </w:rPr>
        <w:sectPr>
          <w:footerReference r:id="rId98" w:type="default"/>
          <w:pgSz w:w="11906" w:h="16838"/>
          <w:pgMar w:top="1431" w:right="1785" w:bottom="1295" w:left="1785" w:header="0" w:footer="1133" w:gutter="0"/>
          <w:cols w:space="720" w:num="1"/>
        </w:sectPr>
      </w:pPr>
    </w:p>
    <w:p w14:paraId="43977A57">
      <w:pPr>
        <w:spacing w:before="8" w:line="11479" w:lineRule="exact"/>
        <w:ind w:firstLine="14"/>
      </w:pPr>
      <w:r>
        <w:rPr>
          <w:position w:val="-229"/>
        </w:rPr>
        <w:drawing>
          <wp:inline distT="0" distB="0" distL="0" distR="0">
            <wp:extent cx="5396230" cy="7289165"/>
            <wp:effectExtent l="0" t="0" r="0" b="0"/>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265"/>
                    <a:stretch>
                      <a:fillRect/>
                    </a:stretch>
                  </pic:blipFill>
                  <pic:spPr>
                    <a:xfrm>
                      <a:off x="0" y="0"/>
                      <a:ext cx="5396484" cy="7289292"/>
                    </a:xfrm>
                    <a:prstGeom prst="rect">
                      <a:avLst/>
                    </a:prstGeom>
                  </pic:spPr>
                </pic:pic>
              </a:graphicData>
            </a:graphic>
          </wp:inline>
        </w:drawing>
      </w:r>
    </w:p>
    <w:p w14:paraId="3ABE1DA3">
      <w:pPr>
        <w:spacing w:before="34" w:line="218" w:lineRule="auto"/>
        <w:ind w:left="2082"/>
        <w:rPr>
          <w:rFonts w:ascii="宋体" w:hAnsi="宋体" w:eastAsia="宋体" w:cs="宋体"/>
          <w:sz w:val="24"/>
          <w:szCs w:val="24"/>
        </w:rPr>
      </w:pPr>
      <w:r>
        <w:rPr>
          <w:rFonts w:ascii="宋体" w:hAnsi="宋体" w:eastAsia="宋体" w:cs="宋体"/>
          <w:b/>
          <w:bCs/>
          <w:spacing w:val="-6"/>
          <w:sz w:val="24"/>
          <w:szCs w:val="24"/>
        </w:rPr>
        <w:t>图</w:t>
      </w:r>
      <w:r>
        <w:rPr>
          <w:rFonts w:ascii="宋体" w:hAnsi="宋体" w:eastAsia="宋体" w:cs="宋体"/>
          <w:spacing w:val="-54"/>
          <w:sz w:val="24"/>
          <w:szCs w:val="24"/>
        </w:rPr>
        <w:t xml:space="preserve"> </w:t>
      </w:r>
      <w:r>
        <w:rPr>
          <w:rFonts w:ascii="Times New Roman" w:hAnsi="Times New Roman" w:eastAsia="Times New Roman" w:cs="Times New Roman"/>
          <w:b/>
          <w:bCs/>
          <w:spacing w:val="-6"/>
          <w:sz w:val="24"/>
          <w:szCs w:val="24"/>
        </w:rPr>
        <w:t>2-1</w:t>
      </w:r>
      <w:r>
        <w:rPr>
          <w:rFonts w:ascii="Times New Roman" w:hAnsi="Times New Roman" w:eastAsia="Times New Roman" w:cs="Times New Roman"/>
          <w:b/>
          <w:bCs/>
          <w:spacing w:val="5"/>
          <w:sz w:val="24"/>
          <w:szCs w:val="24"/>
        </w:rPr>
        <w:t xml:space="preserve">        </w:t>
      </w:r>
      <w:r>
        <w:rPr>
          <w:rFonts w:ascii="宋体" w:hAnsi="宋体" w:eastAsia="宋体" w:cs="宋体"/>
          <w:b/>
          <w:bCs/>
          <w:spacing w:val="-6"/>
          <w:sz w:val="24"/>
          <w:szCs w:val="24"/>
        </w:rPr>
        <w:t>电磁辐射影响评价的工作程序</w:t>
      </w:r>
    </w:p>
    <w:p w14:paraId="490A5ED2">
      <w:pPr>
        <w:spacing w:line="218" w:lineRule="auto"/>
        <w:rPr>
          <w:rFonts w:ascii="宋体" w:hAnsi="宋体" w:eastAsia="宋体" w:cs="宋体"/>
          <w:sz w:val="24"/>
          <w:szCs w:val="24"/>
        </w:rPr>
        <w:sectPr>
          <w:footerReference r:id="rId99" w:type="default"/>
          <w:pgSz w:w="11906" w:h="16838"/>
          <w:pgMar w:top="1431" w:right="1607" w:bottom="1295" w:left="1785" w:header="0" w:footer="1133" w:gutter="0"/>
          <w:cols w:space="720" w:num="1"/>
        </w:sectPr>
      </w:pPr>
    </w:p>
    <w:p w14:paraId="3E320AA8">
      <w:pPr>
        <w:spacing w:before="134" w:line="219" w:lineRule="auto"/>
        <w:ind w:left="117"/>
        <w:outlineLvl w:val="0"/>
        <w:rPr>
          <w:rFonts w:ascii="宋体" w:hAnsi="宋体" w:eastAsia="宋体" w:cs="宋体"/>
          <w:sz w:val="28"/>
          <w:szCs w:val="28"/>
        </w:rPr>
      </w:pPr>
      <w:r>
        <w:rPr>
          <w:rFonts w:ascii="Times New Roman" w:hAnsi="Times New Roman" w:eastAsia="Times New Roman" w:cs="Times New Roman"/>
          <w:b/>
          <w:bCs/>
          <w:spacing w:val="-3"/>
          <w:sz w:val="28"/>
          <w:szCs w:val="28"/>
        </w:rPr>
        <w:t xml:space="preserve">3 </w:t>
      </w:r>
      <w:r>
        <w:rPr>
          <w:rFonts w:ascii="宋体" w:hAnsi="宋体" w:eastAsia="宋体" w:cs="宋体"/>
          <w:b/>
          <w:bCs/>
          <w:spacing w:val="-3"/>
          <w:sz w:val="28"/>
          <w:szCs w:val="28"/>
        </w:rPr>
        <w:t>评价内容</w:t>
      </w:r>
    </w:p>
    <w:p w14:paraId="350DC57F">
      <w:pPr>
        <w:spacing w:before="164" w:line="218" w:lineRule="auto"/>
        <w:ind w:left="116"/>
        <w:outlineLvl w:val="1"/>
        <w:rPr>
          <w:rFonts w:ascii="宋体" w:hAnsi="宋体" w:eastAsia="宋体" w:cs="宋体"/>
          <w:sz w:val="24"/>
          <w:szCs w:val="24"/>
        </w:rPr>
      </w:pPr>
      <w:r>
        <w:rPr>
          <w:rFonts w:ascii="Times New Roman" w:hAnsi="Times New Roman" w:eastAsia="Times New Roman" w:cs="Times New Roman"/>
          <w:b/>
          <w:bCs/>
          <w:spacing w:val="-2"/>
          <w:sz w:val="24"/>
          <w:szCs w:val="24"/>
        </w:rPr>
        <w:t xml:space="preserve">3.1 </w:t>
      </w:r>
      <w:r>
        <w:rPr>
          <w:rFonts w:ascii="宋体" w:hAnsi="宋体" w:eastAsia="宋体" w:cs="宋体"/>
          <w:b/>
          <w:bCs/>
          <w:spacing w:val="-2"/>
          <w:sz w:val="24"/>
          <w:szCs w:val="24"/>
        </w:rPr>
        <w:t>评价因子和评价标准</w:t>
      </w:r>
    </w:p>
    <w:p w14:paraId="6C3F822A">
      <w:pPr>
        <w:spacing w:before="177" w:line="218" w:lineRule="auto"/>
        <w:ind w:left="596"/>
        <w:outlineLvl w:val="2"/>
        <w:rPr>
          <w:rFonts w:ascii="宋体" w:hAnsi="宋体" w:eastAsia="宋体" w:cs="宋体"/>
          <w:sz w:val="24"/>
          <w:szCs w:val="24"/>
        </w:rPr>
      </w:pPr>
      <w:r>
        <w:rPr>
          <w:rFonts w:ascii="Times New Roman" w:hAnsi="Times New Roman" w:eastAsia="Times New Roman" w:cs="Times New Roman"/>
          <w:b/>
          <w:bCs/>
          <w:spacing w:val="-2"/>
          <w:sz w:val="24"/>
          <w:szCs w:val="24"/>
        </w:rPr>
        <w:t xml:space="preserve">3.1.1 </w:t>
      </w:r>
      <w:r>
        <w:rPr>
          <w:rFonts w:ascii="宋体" w:hAnsi="宋体" w:eastAsia="宋体" w:cs="宋体"/>
          <w:b/>
          <w:bCs/>
          <w:spacing w:val="-2"/>
          <w:sz w:val="24"/>
          <w:szCs w:val="24"/>
        </w:rPr>
        <w:t>评价因子</w:t>
      </w:r>
    </w:p>
    <w:p w14:paraId="485021C3">
      <w:pPr>
        <w:spacing w:before="174" w:line="352" w:lineRule="auto"/>
        <w:ind w:left="121" w:right="114" w:firstLine="480"/>
        <w:rPr>
          <w:rFonts w:ascii="宋体" w:hAnsi="宋体" w:eastAsia="宋体" w:cs="宋体"/>
          <w:sz w:val="24"/>
          <w:szCs w:val="24"/>
        </w:rPr>
      </w:pPr>
      <w:r>
        <w:rPr>
          <w:rFonts w:ascii="宋体" w:hAnsi="宋体" w:eastAsia="宋体" w:cs="宋体"/>
          <w:spacing w:val="2"/>
          <w:sz w:val="24"/>
          <w:szCs w:val="24"/>
        </w:rPr>
        <w:t>根据《环境影响评价技术导则 输变电》（</w:t>
      </w:r>
      <w:r>
        <w:rPr>
          <w:rFonts w:ascii="Times New Roman" w:hAnsi="Times New Roman" w:eastAsia="Times New Roman" w:cs="Times New Roman"/>
          <w:sz w:val="24"/>
          <w:szCs w:val="24"/>
        </w:rPr>
        <w:t>HJ</w:t>
      </w:r>
      <w:r>
        <w:rPr>
          <w:rFonts w:ascii="Times New Roman" w:hAnsi="Times New Roman" w:eastAsia="Times New Roman" w:cs="Times New Roman"/>
          <w:spacing w:val="2"/>
          <w:sz w:val="24"/>
          <w:szCs w:val="24"/>
        </w:rPr>
        <w:t xml:space="preserve"> 24-2020</w:t>
      </w:r>
      <w:r>
        <w:rPr>
          <w:rFonts w:ascii="宋体" w:hAnsi="宋体" w:eastAsia="宋体" w:cs="宋体"/>
          <w:spacing w:val="11"/>
          <w:sz w:val="24"/>
          <w:szCs w:val="24"/>
        </w:rPr>
        <w:t>），</w:t>
      </w:r>
      <w:r>
        <w:rPr>
          <w:rFonts w:ascii="宋体" w:hAnsi="宋体" w:eastAsia="宋体" w:cs="宋体"/>
          <w:spacing w:val="2"/>
          <w:sz w:val="24"/>
          <w:szCs w:val="24"/>
        </w:rPr>
        <w:t>本工程</w:t>
      </w:r>
      <w:r>
        <w:rPr>
          <w:rFonts w:ascii="宋体" w:hAnsi="宋体" w:eastAsia="宋体" w:cs="宋体"/>
          <w:spacing w:val="1"/>
          <w:sz w:val="24"/>
          <w:szCs w:val="24"/>
        </w:rPr>
        <w:t>电磁环境</w:t>
      </w:r>
      <w:r>
        <w:rPr>
          <w:rFonts w:ascii="宋体" w:hAnsi="宋体" w:eastAsia="宋体" w:cs="宋体"/>
          <w:spacing w:val="-1"/>
          <w:sz w:val="24"/>
          <w:szCs w:val="24"/>
        </w:rPr>
        <w:t>评价因子为工频电场、工频磁场。</w:t>
      </w:r>
    </w:p>
    <w:p w14:paraId="2346894E">
      <w:pPr>
        <w:spacing w:before="1" w:line="217" w:lineRule="auto"/>
        <w:ind w:left="2317"/>
        <w:rPr>
          <w:rFonts w:ascii="宋体" w:hAnsi="宋体" w:eastAsia="宋体" w:cs="宋体"/>
          <w:sz w:val="24"/>
          <w:szCs w:val="24"/>
        </w:rPr>
      </w:pPr>
      <w:r>
        <w:rPr>
          <w:rFonts w:ascii="宋体" w:hAnsi="宋体" w:eastAsia="宋体" w:cs="宋体"/>
          <w:b/>
          <w:bCs/>
          <w:spacing w:val="-2"/>
          <w:sz w:val="24"/>
          <w:szCs w:val="24"/>
        </w:rPr>
        <w:t>表</w:t>
      </w:r>
      <w:r>
        <w:rPr>
          <w:rFonts w:ascii="宋体" w:hAnsi="宋体" w:eastAsia="宋体" w:cs="宋体"/>
          <w:spacing w:val="-45"/>
          <w:sz w:val="24"/>
          <w:szCs w:val="24"/>
        </w:rPr>
        <w:t xml:space="preserve"> </w:t>
      </w:r>
      <w:r>
        <w:rPr>
          <w:rFonts w:ascii="宋体" w:hAnsi="宋体" w:eastAsia="宋体" w:cs="宋体"/>
          <w:b/>
          <w:bCs/>
          <w:spacing w:val="-2"/>
          <w:sz w:val="24"/>
          <w:szCs w:val="24"/>
        </w:rPr>
        <w:t>3-</w:t>
      </w:r>
      <w:r>
        <w:rPr>
          <w:rFonts w:ascii="Times New Roman" w:hAnsi="Times New Roman" w:eastAsia="Times New Roman" w:cs="Times New Roman"/>
          <w:b/>
          <w:bCs/>
          <w:spacing w:val="-2"/>
          <w:sz w:val="24"/>
          <w:szCs w:val="24"/>
        </w:rPr>
        <w:t xml:space="preserve">1      </w:t>
      </w:r>
      <w:r>
        <w:rPr>
          <w:rFonts w:ascii="宋体" w:hAnsi="宋体" w:eastAsia="宋体" w:cs="宋体"/>
          <w:b/>
          <w:bCs/>
          <w:spacing w:val="-2"/>
          <w:sz w:val="24"/>
          <w:szCs w:val="24"/>
        </w:rPr>
        <w:t>本项目电磁环境评价</w:t>
      </w:r>
      <w:r>
        <w:rPr>
          <w:rFonts w:ascii="宋体" w:hAnsi="宋体" w:eastAsia="宋体" w:cs="宋体"/>
          <w:b/>
          <w:bCs/>
          <w:spacing w:val="-3"/>
          <w:sz w:val="24"/>
          <w:szCs w:val="24"/>
        </w:rPr>
        <w:t>因子一览表</w:t>
      </w:r>
    </w:p>
    <w:p w14:paraId="1B7BE1F5">
      <w:pPr>
        <w:spacing w:line="147" w:lineRule="exact"/>
      </w:pPr>
    </w:p>
    <w:tbl>
      <w:tblPr>
        <w:tblStyle w:val="8"/>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21"/>
        <w:gridCol w:w="1429"/>
        <w:gridCol w:w="1799"/>
        <w:gridCol w:w="1289"/>
        <w:gridCol w:w="1639"/>
        <w:gridCol w:w="1249"/>
      </w:tblGrid>
      <w:tr w14:paraId="3070EFC9">
        <w:tblPrEx>
          <w:tblCellMar>
            <w:top w:w="0" w:type="dxa"/>
            <w:left w:w="0" w:type="dxa"/>
            <w:bottom w:w="0" w:type="dxa"/>
            <w:right w:w="0" w:type="dxa"/>
          </w:tblCellMar>
        </w:tblPrEx>
        <w:trPr>
          <w:trHeight w:val="348" w:hRule="atLeast"/>
        </w:trPr>
        <w:tc>
          <w:tcPr>
            <w:tcW w:w="1121" w:type="dxa"/>
            <w:vAlign w:val="top"/>
          </w:tcPr>
          <w:p w14:paraId="5B8AA4F3">
            <w:pPr>
              <w:pStyle w:val="9"/>
              <w:spacing w:before="68" w:line="226" w:lineRule="auto"/>
              <w:ind w:left="143"/>
              <w:rPr>
                <w:sz w:val="20"/>
                <w:szCs w:val="20"/>
              </w:rPr>
            </w:pPr>
            <w:r>
              <w:rPr>
                <w:b/>
                <w:bCs/>
                <w:spacing w:val="6"/>
                <w:sz w:val="20"/>
                <w:szCs w:val="20"/>
              </w:rPr>
              <w:t>评价阶段</w:t>
            </w:r>
          </w:p>
        </w:tc>
        <w:tc>
          <w:tcPr>
            <w:tcW w:w="1429" w:type="dxa"/>
            <w:vAlign w:val="top"/>
          </w:tcPr>
          <w:p w14:paraId="2A726DEF">
            <w:pPr>
              <w:pStyle w:val="9"/>
              <w:spacing w:before="68" w:line="226" w:lineRule="auto"/>
              <w:ind w:left="294"/>
              <w:rPr>
                <w:sz w:val="20"/>
                <w:szCs w:val="20"/>
              </w:rPr>
            </w:pPr>
            <w:r>
              <w:rPr>
                <w:b/>
                <w:bCs/>
                <w:spacing w:val="6"/>
                <w:sz w:val="20"/>
                <w:szCs w:val="20"/>
              </w:rPr>
              <w:t>评价项目</w:t>
            </w:r>
          </w:p>
        </w:tc>
        <w:tc>
          <w:tcPr>
            <w:tcW w:w="1799" w:type="dxa"/>
            <w:vAlign w:val="top"/>
          </w:tcPr>
          <w:p w14:paraId="693445F7">
            <w:pPr>
              <w:pStyle w:val="9"/>
              <w:spacing w:before="68" w:line="226" w:lineRule="auto"/>
              <w:ind w:left="272"/>
              <w:rPr>
                <w:sz w:val="20"/>
                <w:szCs w:val="20"/>
              </w:rPr>
            </w:pPr>
            <w:r>
              <w:rPr>
                <w:b/>
                <w:bCs/>
                <w:spacing w:val="6"/>
                <w:sz w:val="20"/>
                <w:szCs w:val="20"/>
              </w:rPr>
              <w:t>现状评价因子</w:t>
            </w:r>
          </w:p>
        </w:tc>
        <w:tc>
          <w:tcPr>
            <w:tcW w:w="1289" w:type="dxa"/>
            <w:vAlign w:val="top"/>
          </w:tcPr>
          <w:p w14:paraId="6236AE0F">
            <w:pPr>
              <w:pStyle w:val="9"/>
              <w:spacing w:before="69" w:line="228" w:lineRule="auto"/>
              <w:ind w:left="441"/>
              <w:rPr>
                <w:sz w:val="20"/>
                <w:szCs w:val="20"/>
              </w:rPr>
            </w:pPr>
            <w:r>
              <w:rPr>
                <w:b/>
                <w:bCs/>
                <w:spacing w:val="3"/>
                <w:sz w:val="20"/>
                <w:szCs w:val="20"/>
              </w:rPr>
              <w:t>单位</w:t>
            </w:r>
          </w:p>
        </w:tc>
        <w:tc>
          <w:tcPr>
            <w:tcW w:w="1639" w:type="dxa"/>
            <w:vAlign w:val="top"/>
          </w:tcPr>
          <w:p w14:paraId="7BBB6ECD">
            <w:pPr>
              <w:pStyle w:val="9"/>
              <w:spacing w:before="68" w:line="226" w:lineRule="auto"/>
              <w:ind w:left="196"/>
              <w:rPr>
                <w:sz w:val="20"/>
                <w:szCs w:val="20"/>
              </w:rPr>
            </w:pPr>
            <w:r>
              <w:rPr>
                <w:b/>
                <w:bCs/>
                <w:spacing w:val="6"/>
                <w:sz w:val="20"/>
                <w:szCs w:val="20"/>
              </w:rPr>
              <w:t>预测评价因子</w:t>
            </w:r>
          </w:p>
        </w:tc>
        <w:tc>
          <w:tcPr>
            <w:tcW w:w="1249" w:type="dxa"/>
            <w:vAlign w:val="top"/>
          </w:tcPr>
          <w:p w14:paraId="71D1646A">
            <w:pPr>
              <w:pStyle w:val="9"/>
              <w:spacing w:before="69" w:line="228" w:lineRule="auto"/>
              <w:ind w:left="419"/>
              <w:rPr>
                <w:sz w:val="20"/>
                <w:szCs w:val="20"/>
              </w:rPr>
            </w:pPr>
            <w:r>
              <w:rPr>
                <w:b/>
                <w:bCs/>
                <w:spacing w:val="3"/>
                <w:sz w:val="20"/>
                <w:szCs w:val="20"/>
              </w:rPr>
              <w:t>单位</w:t>
            </w:r>
          </w:p>
        </w:tc>
      </w:tr>
      <w:tr w14:paraId="122B2C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1121" w:type="dxa"/>
            <w:vMerge w:val="restart"/>
            <w:tcBorders>
              <w:bottom w:val="nil"/>
            </w:tcBorders>
            <w:vAlign w:val="top"/>
          </w:tcPr>
          <w:p w14:paraId="31A01756">
            <w:pPr>
              <w:pStyle w:val="9"/>
              <w:spacing w:before="241" w:line="228" w:lineRule="auto"/>
              <w:ind w:left="250"/>
              <w:rPr>
                <w:sz w:val="20"/>
                <w:szCs w:val="20"/>
              </w:rPr>
            </w:pPr>
            <w:r>
              <w:rPr>
                <w:spacing w:val="6"/>
                <w:sz w:val="20"/>
                <w:szCs w:val="20"/>
              </w:rPr>
              <w:t>运营期</w:t>
            </w:r>
          </w:p>
        </w:tc>
        <w:tc>
          <w:tcPr>
            <w:tcW w:w="1429" w:type="dxa"/>
            <w:vMerge w:val="restart"/>
            <w:tcBorders>
              <w:bottom w:val="nil"/>
            </w:tcBorders>
            <w:vAlign w:val="top"/>
          </w:tcPr>
          <w:p w14:paraId="6E3F129F">
            <w:pPr>
              <w:pStyle w:val="9"/>
              <w:spacing w:before="241" w:line="228" w:lineRule="auto"/>
              <w:ind w:left="322"/>
              <w:rPr>
                <w:sz w:val="20"/>
                <w:szCs w:val="20"/>
              </w:rPr>
            </w:pPr>
            <w:r>
              <w:rPr>
                <w:spacing w:val="1"/>
                <w:sz w:val="20"/>
                <w:szCs w:val="20"/>
              </w:rPr>
              <w:t>电磁环境</w:t>
            </w:r>
          </w:p>
        </w:tc>
        <w:tc>
          <w:tcPr>
            <w:tcW w:w="1799" w:type="dxa"/>
            <w:vAlign w:val="top"/>
          </w:tcPr>
          <w:p w14:paraId="2E313B38">
            <w:pPr>
              <w:pStyle w:val="9"/>
              <w:spacing w:before="66" w:line="228" w:lineRule="auto"/>
              <w:ind w:left="486"/>
              <w:rPr>
                <w:sz w:val="20"/>
                <w:szCs w:val="20"/>
              </w:rPr>
            </w:pPr>
            <w:r>
              <w:rPr>
                <w:spacing w:val="6"/>
                <w:sz w:val="20"/>
                <w:szCs w:val="20"/>
              </w:rPr>
              <w:t>工频电场</w:t>
            </w:r>
          </w:p>
        </w:tc>
        <w:tc>
          <w:tcPr>
            <w:tcW w:w="1289" w:type="dxa"/>
            <w:vAlign w:val="top"/>
          </w:tcPr>
          <w:p w14:paraId="4B63AFA2">
            <w:pPr>
              <w:spacing w:before="98" w:line="199" w:lineRule="auto"/>
              <w:ind w:left="457"/>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V/m</w:t>
            </w:r>
          </w:p>
        </w:tc>
        <w:tc>
          <w:tcPr>
            <w:tcW w:w="1639" w:type="dxa"/>
            <w:vAlign w:val="top"/>
          </w:tcPr>
          <w:p w14:paraId="2A7D3CE9">
            <w:pPr>
              <w:pStyle w:val="9"/>
              <w:spacing w:before="66" w:line="228" w:lineRule="auto"/>
              <w:ind w:left="408"/>
              <w:rPr>
                <w:sz w:val="20"/>
                <w:szCs w:val="20"/>
              </w:rPr>
            </w:pPr>
            <w:r>
              <w:rPr>
                <w:spacing w:val="6"/>
                <w:sz w:val="20"/>
                <w:szCs w:val="20"/>
              </w:rPr>
              <w:t>工频电场</w:t>
            </w:r>
          </w:p>
        </w:tc>
        <w:tc>
          <w:tcPr>
            <w:tcW w:w="1249" w:type="dxa"/>
            <w:vAlign w:val="top"/>
          </w:tcPr>
          <w:p w14:paraId="3FC75F35">
            <w:pPr>
              <w:spacing w:before="98" w:line="199" w:lineRule="auto"/>
              <w:ind w:left="43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V/m</w:t>
            </w:r>
          </w:p>
        </w:tc>
      </w:tr>
      <w:tr w14:paraId="729006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1121" w:type="dxa"/>
            <w:vMerge w:val="continue"/>
            <w:tcBorders>
              <w:top w:val="nil"/>
            </w:tcBorders>
            <w:vAlign w:val="top"/>
          </w:tcPr>
          <w:p w14:paraId="73388316">
            <w:pPr>
              <w:rPr>
                <w:rFonts w:ascii="Arial"/>
                <w:sz w:val="21"/>
              </w:rPr>
            </w:pPr>
          </w:p>
        </w:tc>
        <w:tc>
          <w:tcPr>
            <w:tcW w:w="1429" w:type="dxa"/>
            <w:vMerge w:val="continue"/>
            <w:tcBorders>
              <w:top w:val="nil"/>
            </w:tcBorders>
            <w:vAlign w:val="top"/>
          </w:tcPr>
          <w:p w14:paraId="44B15C15">
            <w:pPr>
              <w:rPr>
                <w:rFonts w:ascii="Arial"/>
                <w:sz w:val="21"/>
              </w:rPr>
            </w:pPr>
          </w:p>
        </w:tc>
        <w:tc>
          <w:tcPr>
            <w:tcW w:w="1799" w:type="dxa"/>
            <w:vAlign w:val="top"/>
          </w:tcPr>
          <w:p w14:paraId="18BF1B86">
            <w:pPr>
              <w:pStyle w:val="9"/>
              <w:spacing w:before="68" w:line="228" w:lineRule="auto"/>
              <w:ind w:left="486"/>
              <w:rPr>
                <w:sz w:val="20"/>
                <w:szCs w:val="20"/>
              </w:rPr>
            </w:pPr>
            <w:r>
              <w:rPr>
                <w:spacing w:val="6"/>
                <w:sz w:val="20"/>
                <w:szCs w:val="20"/>
              </w:rPr>
              <w:t>工频磁场</w:t>
            </w:r>
          </w:p>
        </w:tc>
        <w:tc>
          <w:tcPr>
            <w:tcW w:w="1289" w:type="dxa"/>
            <w:vAlign w:val="top"/>
          </w:tcPr>
          <w:p w14:paraId="1474BCB1">
            <w:pPr>
              <w:spacing w:before="107" w:line="194" w:lineRule="auto"/>
              <w:ind w:left="53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μT</w:t>
            </w:r>
          </w:p>
        </w:tc>
        <w:tc>
          <w:tcPr>
            <w:tcW w:w="1639" w:type="dxa"/>
            <w:vAlign w:val="top"/>
          </w:tcPr>
          <w:p w14:paraId="26E7D710">
            <w:pPr>
              <w:pStyle w:val="9"/>
              <w:spacing w:before="68" w:line="228" w:lineRule="auto"/>
              <w:ind w:left="408"/>
              <w:rPr>
                <w:sz w:val="20"/>
                <w:szCs w:val="20"/>
              </w:rPr>
            </w:pPr>
            <w:r>
              <w:rPr>
                <w:spacing w:val="6"/>
                <w:sz w:val="20"/>
                <w:szCs w:val="20"/>
              </w:rPr>
              <w:t>工频磁场</w:t>
            </w:r>
          </w:p>
        </w:tc>
        <w:tc>
          <w:tcPr>
            <w:tcW w:w="1249" w:type="dxa"/>
            <w:vAlign w:val="top"/>
          </w:tcPr>
          <w:p w14:paraId="385B056B">
            <w:pPr>
              <w:spacing w:before="107" w:line="194" w:lineRule="auto"/>
              <w:ind w:left="51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μT</w:t>
            </w:r>
          </w:p>
        </w:tc>
      </w:tr>
    </w:tbl>
    <w:p w14:paraId="0C53F58C">
      <w:pPr>
        <w:spacing w:before="161" w:line="218" w:lineRule="auto"/>
        <w:ind w:left="596"/>
        <w:outlineLvl w:val="2"/>
        <w:rPr>
          <w:rFonts w:ascii="宋体" w:hAnsi="宋体" w:eastAsia="宋体" w:cs="宋体"/>
          <w:sz w:val="24"/>
          <w:szCs w:val="24"/>
        </w:rPr>
      </w:pPr>
      <w:r>
        <w:rPr>
          <w:rFonts w:ascii="Times New Roman" w:hAnsi="Times New Roman" w:eastAsia="Times New Roman" w:cs="Times New Roman"/>
          <w:b/>
          <w:bCs/>
          <w:spacing w:val="-2"/>
          <w:sz w:val="24"/>
          <w:szCs w:val="24"/>
        </w:rPr>
        <w:t xml:space="preserve">3.1.2 </w:t>
      </w:r>
      <w:r>
        <w:rPr>
          <w:rFonts w:ascii="宋体" w:hAnsi="宋体" w:eastAsia="宋体" w:cs="宋体"/>
          <w:b/>
          <w:bCs/>
          <w:spacing w:val="-2"/>
          <w:sz w:val="24"/>
          <w:szCs w:val="24"/>
        </w:rPr>
        <w:t>评价标准</w:t>
      </w:r>
    </w:p>
    <w:p w14:paraId="380DC366">
      <w:pPr>
        <w:spacing w:before="177" w:line="352" w:lineRule="auto"/>
        <w:ind w:left="125" w:right="50" w:firstLine="479"/>
        <w:jc w:val="both"/>
        <w:rPr>
          <w:rFonts w:ascii="宋体" w:hAnsi="宋体" w:eastAsia="宋体" w:cs="宋体"/>
          <w:sz w:val="24"/>
          <w:szCs w:val="24"/>
        </w:rPr>
      </w:pPr>
      <w:r>
        <w:rPr>
          <w:rFonts w:ascii="宋体" w:hAnsi="宋体" w:eastAsia="宋体" w:cs="宋体"/>
          <w:spacing w:val="-6"/>
          <w:sz w:val="24"/>
          <w:szCs w:val="24"/>
        </w:rPr>
        <w:t>依据《电磁环境控制限值》（</w:t>
      </w:r>
      <w:r>
        <w:rPr>
          <w:rFonts w:ascii="Times New Roman" w:hAnsi="Times New Roman" w:eastAsia="Times New Roman" w:cs="Times New Roman"/>
          <w:spacing w:val="-6"/>
          <w:sz w:val="24"/>
          <w:szCs w:val="24"/>
        </w:rPr>
        <w:t>GB</w:t>
      </w:r>
      <w:r>
        <w:rPr>
          <w:rFonts w:ascii="Times New Roman" w:hAnsi="Times New Roman" w:eastAsia="Times New Roman" w:cs="Times New Roman"/>
          <w:spacing w:val="16"/>
          <w:sz w:val="24"/>
          <w:szCs w:val="24"/>
        </w:rPr>
        <w:t xml:space="preserve"> </w:t>
      </w:r>
      <w:r>
        <w:rPr>
          <w:rFonts w:ascii="Times New Roman" w:hAnsi="Times New Roman" w:eastAsia="Times New Roman" w:cs="Times New Roman"/>
          <w:spacing w:val="-6"/>
          <w:sz w:val="24"/>
          <w:szCs w:val="24"/>
        </w:rPr>
        <w:t>8702-2014</w:t>
      </w:r>
      <w:r>
        <w:rPr>
          <w:rFonts w:ascii="宋体" w:hAnsi="宋体" w:eastAsia="宋体" w:cs="宋体"/>
          <w:spacing w:val="-6"/>
          <w:sz w:val="24"/>
          <w:szCs w:val="24"/>
        </w:rPr>
        <w:t>）表</w:t>
      </w:r>
      <w:r>
        <w:rPr>
          <w:rFonts w:ascii="宋体" w:hAnsi="宋体" w:eastAsia="宋体" w:cs="宋体"/>
          <w:spacing w:val="-32"/>
          <w:sz w:val="24"/>
          <w:szCs w:val="24"/>
        </w:rPr>
        <w:t xml:space="preserve"> </w:t>
      </w:r>
      <w:r>
        <w:rPr>
          <w:rFonts w:ascii="Times New Roman" w:hAnsi="Times New Roman" w:eastAsia="Times New Roman" w:cs="Times New Roman"/>
          <w:spacing w:val="-6"/>
          <w:sz w:val="24"/>
          <w:szCs w:val="24"/>
        </w:rPr>
        <w:t>1“</w:t>
      </w:r>
      <w:r>
        <w:rPr>
          <w:rFonts w:ascii="Times New Roman" w:hAnsi="Times New Roman" w:eastAsia="Times New Roman" w:cs="Times New Roman"/>
          <w:spacing w:val="-44"/>
          <w:sz w:val="24"/>
          <w:szCs w:val="24"/>
        </w:rPr>
        <w:t xml:space="preserve"> </w:t>
      </w:r>
      <w:r>
        <w:rPr>
          <w:rFonts w:ascii="宋体" w:hAnsi="宋体" w:eastAsia="宋体" w:cs="宋体"/>
          <w:spacing w:val="-6"/>
          <w:sz w:val="24"/>
          <w:szCs w:val="24"/>
        </w:rPr>
        <w:t>公</w:t>
      </w:r>
      <w:r>
        <w:rPr>
          <w:rFonts w:ascii="宋体" w:hAnsi="宋体" w:eastAsia="宋体" w:cs="宋体"/>
          <w:spacing w:val="-7"/>
          <w:sz w:val="24"/>
          <w:szCs w:val="24"/>
        </w:rPr>
        <w:t>众曝露控制限值</w:t>
      </w:r>
      <w:r>
        <w:rPr>
          <w:rFonts w:ascii="Times New Roman" w:hAnsi="Times New Roman" w:eastAsia="Times New Roman" w:cs="Times New Roman"/>
          <w:spacing w:val="-7"/>
          <w:sz w:val="24"/>
          <w:szCs w:val="24"/>
        </w:rPr>
        <w:t>”</w:t>
      </w:r>
      <w:r>
        <w:rPr>
          <w:rFonts w:ascii="宋体" w:hAnsi="宋体" w:eastAsia="宋体" w:cs="宋体"/>
          <w:spacing w:val="-7"/>
          <w:sz w:val="24"/>
          <w:szCs w:val="24"/>
        </w:rPr>
        <w:t>规定，</w:t>
      </w:r>
      <w:r>
        <w:rPr>
          <w:rFonts w:ascii="宋体" w:hAnsi="宋体" w:eastAsia="宋体" w:cs="宋体"/>
          <w:spacing w:val="-3"/>
          <w:sz w:val="24"/>
          <w:szCs w:val="24"/>
        </w:rPr>
        <w:t>为控制本工程工频电场、磁场所致公众曝露，环境中电场强度公众曝露控制</w:t>
      </w:r>
      <w:r>
        <w:rPr>
          <w:rFonts w:ascii="宋体" w:hAnsi="宋体" w:eastAsia="宋体" w:cs="宋体"/>
          <w:spacing w:val="-4"/>
          <w:sz w:val="24"/>
          <w:szCs w:val="24"/>
        </w:rPr>
        <w:t>限值为</w:t>
      </w:r>
      <w:r>
        <w:rPr>
          <w:rFonts w:ascii="宋体" w:hAnsi="宋体" w:eastAsia="宋体" w:cs="宋体"/>
          <w:spacing w:val="-38"/>
          <w:sz w:val="24"/>
          <w:szCs w:val="24"/>
        </w:rPr>
        <w:t xml:space="preserve"> </w:t>
      </w:r>
      <w:r>
        <w:rPr>
          <w:rFonts w:ascii="Times New Roman" w:hAnsi="Times New Roman" w:eastAsia="Times New Roman" w:cs="Times New Roman"/>
          <w:spacing w:val="-4"/>
          <w:sz w:val="24"/>
          <w:szCs w:val="24"/>
        </w:rPr>
        <w:t>4kV/m</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，磁感应强度控制限值为</w:t>
      </w:r>
      <w:r>
        <w:rPr>
          <w:rFonts w:ascii="宋体" w:hAnsi="宋体" w:eastAsia="宋体" w:cs="宋体"/>
          <w:spacing w:val="-32"/>
          <w:sz w:val="24"/>
          <w:szCs w:val="24"/>
        </w:rPr>
        <w:t xml:space="preserve"> </w:t>
      </w:r>
      <w:r>
        <w:rPr>
          <w:rFonts w:ascii="Times New Roman" w:hAnsi="Times New Roman" w:eastAsia="Times New Roman" w:cs="Times New Roman"/>
          <w:spacing w:val="-4"/>
          <w:sz w:val="24"/>
          <w:szCs w:val="24"/>
        </w:rPr>
        <w:t>100μT</w:t>
      </w:r>
      <w:r>
        <w:rPr>
          <w:rFonts w:ascii="宋体" w:hAnsi="宋体" w:eastAsia="宋体" w:cs="宋体"/>
          <w:spacing w:val="-4"/>
          <w:sz w:val="24"/>
          <w:szCs w:val="24"/>
        </w:rPr>
        <w:t>。</w:t>
      </w:r>
    </w:p>
    <w:p w14:paraId="7DD5DCA9">
      <w:pPr>
        <w:spacing w:before="2" w:line="217" w:lineRule="auto"/>
        <w:ind w:left="2314"/>
        <w:rPr>
          <w:rFonts w:ascii="宋体" w:hAnsi="宋体" w:eastAsia="宋体" w:cs="宋体"/>
          <w:sz w:val="24"/>
          <w:szCs w:val="24"/>
        </w:rPr>
      </w:pPr>
      <w:r>
        <w:rPr>
          <w:rFonts w:ascii="宋体" w:hAnsi="宋体" w:eastAsia="宋体" w:cs="宋体"/>
          <w:b/>
          <w:bCs/>
          <w:spacing w:val="-3"/>
          <w:sz w:val="24"/>
          <w:szCs w:val="24"/>
        </w:rPr>
        <w:t>表</w:t>
      </w:r>
      <w:r>
        <w:rPr>
          <w:rFonts w:ascii="宋体" w:hAnsi="宋体" w:eastAsia="宋体" w:cs="宋体"/>
          <w:spacing w:val="-35"/>
          <w:sz w:val="24"/>
          <w:szCs w:val="24"/>
        </w:rPr>
        <w:t xml:space="preserve"> </w:t>
      </w:r>
      <w:r>
        <w:rPr>
          <w:rFonts w:ascii="宋体" w:hAnsi="宋体" w:eastAsia="宋体" w:cs="宋体"/>
          <w:b/>
          <w:bCs/>
          <w:spacing w:val="-3"/>
          <w:sz w:val="24"/>
          <w:szCs w:val="24"/>
        </w:rPr>
        <w:t>3-2</w:t>
      </w:r>
      <w:r>
        <w:rPr>
          <w:rFonts w:ascii="宋体" w:hAnsi="宋体" w:eastAsia="宋体" w:cs="宋体"/>
          <w:spacing w:val="-3"/>
          <w:sz w:val="24"/>
          <w:szCs w:val="24"/>
        </w:rPr>
        <w:t xml:space="preserve">   </w:t>
      </w:r>
      <w:r>
        <w:rPr>
          <w:rFonts w:ascii="宋体" w:hAnsi="宋体" w:eastAsia="宋体" w:cs="宋体"/>
          <w:b/>
          <w:bCs/>
          <w:spacing w:val="-3"/>
          <w:sz w:val="24"/>
          <w:szCs w:val="24"/>
        </w:rPr>
        <w:t>本项目电磁环境评价标准一览表</w:t>
      </w:r>
    </w:p>
    <w:p w14:paraId="2DEA9645">
      <w:pPr>
        <w:spacing w:line="149" w:lineRule="exact"/>
      </w:pPr>
    </w:p>
    <w:tbl>
      <w:tblPr>
        <w:tblStyle w:val="8"/>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8"/>
        <w:gridCol w:w="3504"/>
        <w:gridCol w:w="1910"/>
        <w:gridCol w:w="1914"/>
      </w:tblGrid>
      <w:tr w14:paraId="74746B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1198" w:type="dxa"/>
            <w:vAlign w:val="top"/>
          </w:tcPr>
          <w:p w14:paraId="152FE547">
            <w:pPr>
              <w:pStyle w:val="9"/>
              <w:spacing w:before="69" w:line="226" w:lineRule="auto"/>
              <w:ind w:left="182"/>
              <w:rPr>
                <w:sz w:val="20"/>
                <w:szCs w:val="20"/>
              </w:rPr>
            </w:pPr>
            <w:r>
              <w:rPr>
                <w:b/>
                <w:bCs/>
                <w:spacing w:val="6"/>
                <w:sz w:val="20"/>
                <w:szCs w:val="20"/>
              </w:rPr>
              <w:t>评价要素</w:t>
            </w:r>
          </w:p>
        </w:tc>
        <w:tc>
          <w:tcPr>
            <w:tcW w:w="3504" w:type="dxa"/>
            <w:vAlign w:val="top"/>
          </w:tcPr>
          <w:p w14:paraId="2238B70E">
            <w:pPr>
              <w:pStyle w:val="9"/>
              <w:spacing w:before="68" w:line="228" w:lineRule="auto"/>
              <w:ind w:left="1334"/>
              <w:rPr>
                <w:sz w:val="20"/>
                <w:szCs w:val="20"/>
              </w:rPr>
            </w:pPr>
            <w:r>
              <w:rPr>
                <w:b/>
                <w:bCs/>
                <w:spacing w:val="6"/>
                <w:sz w:val="20"/>
                <w:szCs w:val="20"/>
              </w:rPr>
              <w:t>执行标准</w:t>
            </w:r>
          </w:p>
        </w:tc>
        <w:tc>
          <w:tcPr>
            <w:tcW w:w="1910" w:type="dxa"/>
            <w:vAlign w:val="top"/>
          </w:tcPr>
          <w:p w14:paraId="2F219A6A">
            <w:pPr>
              <w:pStyle w:val="9"/>
              <w:spacing w:before="69" w:line="226" w:lineRule="auto"/>
              <w:ind w:left="539"/>
              <w:rPr>
                <w:sz w:val="20"/>
                <w:szCs w:val="20"/>
              </w:rPr>
            </w:pPr>
            <w:r>
              <w:rPr>
                <w:b/>
                <w:bCs/>
                <w:spacing w:val="6"/>
                <w:sz w:val="20"/>
                <w:szCs w:val="20"/>
              </w:rPr>
              <w:t>评价因子</w:t>
            </w:r>
          </w:p>
        </w:tc>
        <w:tc>
          <w:tcPr>
            <w:tcW w:w="1914" w:type="dxa"/>
            <w:vAlign w:val="top"/>
          </w:tcPr>
          <w:p w14:paraId="28AA05F4">
            <w:pPr>
              <w:pStyle w:val="9"/>
              <w:spacing w:before="68" w:line="228" w:lineRule="auto"/>
              <w:ind w:left="766"/>
              <w:rPr>
                <w:sz w:val="20"/>
                <w:szCs w:val="20"/>
              </w:rPr>
            </w:pPr>
            <w:r>
              <w:rPr>
                <w:b/>
                <w:bCs/>
                <w:spacing w:val="-4"/>
                <w:sz w:val="20"/>
                <w:szCs w:val="20"/>
              </w:rPr>
              <w:t>限值</w:t>
            </w:r>
          </w:p>
        </w:tc>
      </w:tr>
      <w:tr w14:paraId="086336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1198" w:type="dxa"/>
            <w:vMerge w:val="restart"/>
            <w:tcBorders>
              <w:bottom w:val="nil"/>
            </w:tcBorders>
            <w:vAlign w:val="top"/>
          </w:tcPr>
          <w:p w14:paraId="2713E97D">
            <w:pPr>
              <w:pStyle w:val="9"/>
              <w:spacing w:before="241" w:line="228" w:lineRule="auto"/>
              <w:ind w:left="210"/>
              <w:rPr>
                <w:sz w:val="20"/>
                <w:szCs w:val="20"/>
              </w:rPr>
            </w:pPr>
            <w:r>
              <w:rPr>
                <w:spacing w:val="1"/>
                <w:sz w:val="20"/>
                <w:szCs w:val="20"/>
              </w:rPr>
              <w:t>电磁环境</w:t>
            </w:r>
          </w:p>
        </w:tc>
        <w:tc>
          <w:tcPr>
            <w:tcW w:w="3504" w:type="dxa"/>
            <w:vMerge w:val="restart"/>
            <w:tcBorders>
              <w:bottom w:val="nil"/>
            </w:tcBorders>
            <w:vAlign w:val="top"/>
          </w:tcPr>
          <w:p w14:paraId="7079ED01">
            <w:pPr>
              <w:pStyle w:val="9"/>
              <w:spacing w:before="104" w:line="258" w:lineRule="auto"/>
              <w:ind w:left="955" w:right="716" w:hanging="244"/>
              <w:rPr>
                <w:sz w:val="20"/>
                <w:szCs w:val="20"/>
              </w:rPr>
            </w:pPr>
            <w:r>
              <w:rPr>
                <w:spacing w:val="7"/>
                <w:sz w:val="20"/>
                <w:szCs w:val="20"/>
              </w:rPr>
              <w:t>《电磁环境控制限值》</w:t>
            </w:r>
            <w:r>
              <w:rPr>
                <w:sz w:val="20"/>
                <w:szCs w:val="20"/>
              </w:rPr>
              <w:t xml:space="preserve"> </w:t>
            </w:r>
            <w:r>
              <w:rPr>
                <w:spacing w:val="4"/>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4"/>
                <w:sz w:val="20"/>
                <w:szCs w:val="20"/>
              </w:rPr>
              <w:t>8702-2014</w:t>
            </w:r>
            <w:r>
              <w:rPr>
                <w:spacing w:val="4"/>
                <w:sz w:val="20"/>
                <w:szCs w:val="20"/>
              </w:rPr>
              <w:t>）</w:t>
            </w:r>
          </w:p>
        </w:tc>
        <w:tc>
          <w:tcPr>
            <w:tcW w:w="1910" w:type="dxa"/>
            <w:vAlign w:val="top"/>
          </w:tcPr>
          <w:p w14:paraId="67BCCCD0">
            <w:pPr>
              <w:pStyle w:val="9"/>
              <w:spacing w:before="66" w:line="228" w:lineRule="auto"/>
              <w:ind w:left="542"/>
              <w:rPr>
                <w:sz w:val="20"/>
                <w:szCs w:val="20"/>
              </w:rPr>
            </w:pPr>
            <w:r>
              <w:rPr>
                <w:spacing w:val="6"/>
                <w:sz w:val="20"/>
                <w:szCs w:val="20"/>
              </w:rPr>
              <w:t>工频电场</w:t>
            </w:r>
          </w:p>
        </w:tc>
        <w:tc>
          <w:tcPr>
            <w:tcW w:w="1914" w:type="dxa"/>
            <w:vAlign w:val="top"/>
          </w:tcPr>
          <w:p w14:paraId="022ABC63">
            <w:pPr>
              <w:spacing w:before="98" w:line="199" w:lineRule="auto"/>
              <w:ind w:left="55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4000V/m</w:t>
            </w:r>
          </w:p>
        </w:tc>
      </w:tr>
      <w:tr w14:paraId="2AD220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1198" w:type="dxa"/>
            <w:vMerge w:val="continue"/>
            <w:tcBorders>
              <w:top w:val="nil"/>
            </w:tcBorders>
            <w:vAlign w:val="top"/>
          </w:tcPr>
          <w:p w14:paraId="6871E717">
            <w:pPr>
              <w:rPr>
                <w:rFonts w:ascii="Arial"/>
                <w:sz w:val="21"/>
              </w:rPr>
            </w:pPr>
          </w:p>
        </w:tc>
        <w:tc>
          <w:tcPr>
            <w:tcW w:w="3504" w:type="dxa"/>
            <w:vMerge w:val="continue"/>
            <w:tcBorders>
              <w:top w:val="nil"/>
            </w:tcBorders>
            <w:vAlign w:val="top"/>
          </w:tcPr>
          <w:p w14:paraId="2DD7F6AE">
            <w:pPr>
              <w:rPr>
                <w:rFonts w:ascii="Arial"/>
                <w:sz w:val="21"/>
              </w:rPr>
            </w:pPr>
          </w:p>
        </w:tc>
        <w:tc>
          <w:tcPr>
            <w:tcW w:w="1910" w:type="dxa"/>
            <w:vAlign w:val="top"/>
          </w:tcPr>
          <w:p w14:paraId="6F64E58E">
            <w:pPr>
              <w:pStyle w:val="9"/>
              <w:spacing w:before="66" w:line="228" w:lineRule="auto"/>
              <w:ind w:left="542"/>
              <w:rPr>
                <w:sz w:val="20"/>
                <w:szCs w:val="20"/>
              </w:rPr>
            </w:pPr>
            <w:r>
              <w:rPr>
                <w:spacing w:val="6"/>
                <w:sz w:val="20"/>
                <w:szCs w:val="20"/>
              </w:rPr>
              <w:t>工频磁场</w:t>
            </w:r>
          </w:p>
        </w:tc>
        <w:tc>
          <w:tcPr>
            <w:tcW w:w="1914" w:type="dxa"/>
            <w:vAlign w:val="top"/>
          </w:tcPr>
          <w:p w14:paraId="45FF399F">
            <w:pPr>
              <w:spacing w:before="104" w:line="197" w:lineRule="auto"/>
              <w:ind w:left="701"/>
              <w:rPr>
                <w:rFonts w:ascii="Times New Roman" w:hAnsi="Times New Roman" w:eastAsia="Times New Roman" w:cs="Times New Roman"/>
                <w:sz w:val="20"/>
                <w:szCs w:val="20"/>
              </w:rPr>
            </w:pPr>
            <w:r>
              <w:rPr>
                <w:rFonts w:ascii="Times New Roman" w:hAnsi="Times New Roman" w:eastAsia="Times New Roman" w:cs="Times New Roman"/>
                <w:sz w:val="20"/>
                <w:szCs w:val="20"/>
              </w:rPr>
              <w:t>100μT</w:t>
            </w:r>
          </w:p>
        </w:tc>
      </w:tr>
    </w:tbl>
    <w:p w14:paraId="02C4C0D1">
      <w:pPr>
        <w:spacing w:before="161" w:line="218" w:lineRule="auto"/>
        <w:ind w:left="116"/>
        <w:outlineLvl w:val="1"/>
        <w:rPr>
          <w:rFonts w:ascii="宋体" w:hAnsi="宋体" w:eastAsia="宋体" w:cs="宋体"/>
          <w:sz w:val="24"/>
          <w:szCs w:val="24"/>
        </w:rPr>
      </w:pPr>
      <w:r>
        <w:rPr>
          <w:rFonts w:ascii="Times New Roman" w:hAnsi="Times New Roman" w:eastAsia="Times New Roman" w:cs="Times New Roman"/>
          <w:b/>
          <w:bCs/>
          <w:spacing w:val="-2"/>
          <w:sz w:val="24"/>
          <w:szCs w:val="24"/>
        </w:rPr>
        <w:t xml:space="preserve">3.2 </w:t>
      </w:r>
      <w:r>
        <w:rPr>
          <w:rFonts w:ascii="宋体" w:hAnsi="宋体" w:eastAsia="宋体" w:cs="宋体"/>
          <w:b/>
          <w:bCs/>
          <w:spacing w:val="-2"/>
          <w:sz w:val="24"/>
          <w:szCs w:val="24"/>
        </w:rPr>
        <w:t>评价工作等级</w:t>
      </w:r>
    </w:p>
    <w:p w14:paraId="5EA7076D">
      <w:pPr>
        <w:spacing w:before="177" w:line="354" w:lineRule="auto"/>
        <w:ind w:left="117" w:right="153" w:firstLine="484"/>
        <w:rPr>
          <w:rFonts w:ascii="宋体" w:hAnsi="宋体" w:eastAsia="宋体" w:cs="宋体"/>
          <w:sz w:val="24"/>
          <w:szCs w:val="24"/>
        </w:rPr>
      </w:pPr>
      <w:r>
        <w:rPr>
          <w:rFonts w:ascii="宋体" w:hAnsi="宋体" w:eastAsia="宋体" w:cs="宋体"/>
          <w:spacing w:val="-1"/>
          <w:sz w:val="24"/>
          <w:szCs w:val="24"/>
        </w:rPr>
        <w:t>根据《环境影响评价技术导则  输变电》（</w:t>
      </w:r>
      <w:r>
        <w:rPr>
          <w:rFonts w:ascii="Times New Roman" w:hAnsi="Times New Roman" w:eastAsia="Times New Roman" w:cs="Times New Roman"/>
          <w:spacing w:val="-1"/>
          <w:sz w:val="24"/>
          <w:szCs w:val="24"/>
        </w:rPr>
        <w:t>HJ24-2020</w:t>
      </w:r>
      <w:r>
        <w:rPr>
          <w:rFonts w:ascii="宋体" w:hAnsi="宋体" w:eastAsia="宋体" w:cs="宋体"/>
          <w:spacing w:val="12"/>
          <w:sz w:val="24"/>
          <w:szCs w:val="24"/>
        </w:rPr>
        <w:t>），</w:t>
      </w:r>
      <w:r>
        <w:rPr>
          <w:rFonts w:ascii="宋体" w:hAnsi="宋体" w:eastAsia="宋体" w:cs="宋体"/>
          <w:spacing w:val="-1"/>
          <w:sz w:val="24"/>
          <w:szCs w:val="24"/>
        </w:rPr>
        <w:t>本项目升压站为</w:t>
      </w:r>
      <w:r>
        <w:rPr>
          <w:rFonts w:ascii="Times New Roman" w:hAnsi="Times New Roman" w:eastAsia="Times New Roman" w:cs="Times New Roman"/>
          <w:sz w:val="24"/>
          <w:szCs w:val="24"/>
        </w:rPr>
        <w:t xml:space="preserve">220kV </w:t>
      </w:r>
      <w:r>
        <w:rPr>
          <w:rFonts w:ascii="宋体" w:hAnsi="宋体" w:eastAsia="宋体" w:cs="宋体"/>
          <w:sz w:val="24"/>
          <w:szCs w:val="24"/>
        </w:rPr>
        <w:t>户外站。因此，本项目电磁环境影响评价工</w:t>
      </w:r>
      <w:r>
        <w:rPr>
          <w:rFonts w:ascii="宋体" w:hAnsi="宋体" w:eastAsia="宋体" w:cs="宋体"/>
          <w:spacing w:val="-1"/>
          <w:sz w:val="24"/>
          <w:szCs w:val="24"/>
        </w:rPr>
        <w:t>作等级为二级。</w:t>
      </w:r>
    </w:p>
    <w:p w14:paraId="5DB2784C">
      <w:pPr>
        <w:spacing w:before="1" w:line="217" w:lineRule="auto"/>
        <w:ind w:left="116"/>
        <w:outlineLvl w:val="1"/>
        <w:rPr>
          <w:rFonts w:ascii="宋体" w:hAnsi="宋体" w:eastAsia="宋体" w:cs="宋体"/>
          <w:sz w:val="24"/>
          <w:szCs w:val="24"/>
        </w:rPr>
      </w:pPr>
      <w:r>
        <w:rPr>
          <w:rFonts w:ascii="Times New Roman" w:hAnsi="Times New Roman" w:eastAsia="Times New Roman" w:cs="Times New Roman"/>
          <w:b/>
          <w:bCs/>
          <w:spacing w:val="-2"/>
          <w:sz w:val="24"/>
          <w:szCs w:val="24"/>
        </w:rPr>
        <w:t xml:space="preserve">3.3 </w:t>
      </w:r>
      <w:r>
        <w:rPr>
          <w:rFonts w:ascii="宋体" w:hAnsi="宋体" w:eastAsia="宋体" w:cs="宋体"/>
          <w:b/>
          <w:bCs/>
          <w:spacing w:val="-2"/>
          <w:sz w:val="24"/>
          <w:szCs w:val="24"/>
        </w:rPr>
        <w:t>评价范围</w:t>
      </w:r>
    </w:p>
    <w:p w14:paraId="5ECDDAC0">
      <w:pPr>
        <w:spacing w:before="177" w:line="218" w:lineRule="auto"/>
        <w:ind w:left="597"/>
        <w:rPr>
          <w:rFonts w:ascii="宋体" w:hAnsi="宋体" w:eastAsia="宋体" w:cs="宋体"/>
          <w:sz w:val="24"/>
          <w:szCs w:val="24"/>
        </w:rPr>
      </w:pPr>
      <w:r>
        <w:rPr>
          <w:rFonts w:ascii="Times New Roman" w:hAnsi="Times New Roman" w:eastAsia="Times New Roman" w:cs="Times New Roman"/>
          <w:spacing w:val="-1"/>
          <w:sz w:val="24"/>
          <w:szCs w:val="24"/>
        </w:rPr>
        <w:t xml:space="preserve">220kV </w:t>
      </w:r>
      <w:r>
        <w:rPr>
          <w:rFonts w:ascii="宋体" w:hAnsi="宋体" w:eastAsia="宋体" w:cs="宋体"/>
          <w:spacing w:val="-1"/>
          <w:sz w:val="24"/>
          <w:szCs w:val="24"/>
        </w:rPr>
        <w:t>升压站电磁环境影响评价范围为站界外</w:t>
      </w:r>
      <w:r>
        <w:rPr>
          <w:rFonts w:ascii="宋体" w:hAnsi="宋体" w:eastAsia="宋体" w:cs="宋体"/>
          <w:spacing w:val="-40"/>
          <w:sz w:val="24"/>
          <w:szCs w:val="24"/>
        </w:rPr>
        <w:t xml:space="preserve"> </w:t>
      </w:r>
      <w:r>
        <w:rPr>
          <w:rFonts w:ascii="Times New Roman" w:hAnsi="Times New Roman" w:eastAsia="Times New Roman" w:cs="Times New Roman"/>
          <w:spacing w:val="-1"/>
          <w:sz w:val="24"/>
          <w:szCs w:val="24"/>
        </w:rPr>
        <w:t>40m</w:t>
      </w:r>
      <w:r>
        <w:rPr>
          <w:rFonts w:ascii="宋体" w:hAnsi="宋体" w:eastAsia="宋体" w:cs="宋体"/>
          <w:spacing w:val="-1"/>
          <w:sz w:val="24"/>
          <w:szCs w:val="24"/>
        </w:rPr>
        <w:t>。</w:t>
      </w:r>
    </w:p>
    <w:p w14:paraId="536EBD00">
      <w:pPr>
        <w:spacing w:before="178" w:line="220" w:lineRule="auto"/>
        <w:ind w:left="116"/>
        <w:outlineLvl w:val="1"/>
        <w:rPr>
          <w:rFonts w:ascii="宋体" w:hAnsi="宋体" w:eastAsia="宋体" w:cs="宋体"/>
          <w:sz w:val="24"/>
          <w:szCs w:val="24"/>
        </w:rPr>
      </w:pPr>
      <w:r>
        <w:rPr>
          <w:rFonts w:ascii="Times New Roman" w:hAnsi="Times New Roman" w:eastAsia="Times New Roman" w:cs="Times New Roman"/>
          <w:b/>
          <w:bCs/>
          <w:spacing w:val="-5"/>
          <w:sz w:val="24"/>
          <w:szCs w:val="24"/>
        </w:rPr>
        <w:t>3.4</w:t>
      </w:r>
      <w:r>
        <w:rPr>
          <w:rFonts w:ascii="Times New Roman" w:hAnsi="Times New Roman" w:eastAsia="Times New Roman" w:cs="Times New Roman"/>
          <w:b/>
          <w:bCs/>
          <w:spacing w:val="37"/>
          <w:sz w:val="24"/>
          <w:szCs w:val="24"/>
        </w:rPr>
        <w:t xml:space="preserve"> </w:t>
      </w:r>
      <w:r>
        <w:rPr>
          <w:rFonts w:ascii="宋体" w:hAnsi="宋体" w:eastAsia="宋体" w:cs="宋体"/>
          <w:b/>
          <w:bCs/>
          <w:spacing w:val="-5"/>
          <w:sz w:val="24"/>
          <w:szCs w:val="24"/>
        </w:rPr>
        <w:t>电磁环境保护目标</w:t>
      </w:r>
    </w:p>
    <w:p w14:paraId="3832D163">
      <w:pPr>
        <w:spacing w:before="171" w:line="356" w:lineRule="auto"/>
        <w:ind w:left="121" w:right="32" w:firstLine="509"/>
        <w:jc w:val="both"/>
        <w:rPr>
          <w:rFonts w:ascii="宋体" w:hAnsi="宋体" w:eastAsia="宋体" w:cs="宋体"/>
          <w:sz w:val="24"/>
          <w:szCs w:val="24"/>
        </w:rPr>
      </w:pPr>
      <w:r>
        <w:rPr>
          <w:rFonts w:ascii="宋体" w:hAnsi="宋体" w:eastAsia="宋体" w:cs="宋体"/>
          <w:spacing w:val="-5"/>
          <w:sz w:val="24"/>
          <w:szCs w:val="24"/>
        </w:rPr>
        <w:t>电磁环境保护目标为</w:t>
      </w:r>
      <w:r>
        <w:rPr>
          <w:rFonts w:ascii="宋体" w:hAnsi="宋体" w:eastAsia="宋体" w:cs="宋体"/>
          <w:spacing w:val="-55"/>
          <w:sz w:val="24"/>
          <w:szCs w:val="24"/>
        </w:rPr>
        <w:t xml:space="preserve"> </w:t>
      </w:r>
      <w:r>
        <w:rPr>
          <w:rFonts w:ascii="Times New Roman" w:hAnsi="Times New Roman" w:eastAsia="Times New Roman" w:cs="Times New Roman"/>
          <w:spacing w:val="-5"/>
          <w:sz w:val="24"/>
          <w:szCs w:val="24"/>
        </w:rPr>
        <w:t xml:space="preserve">220kV </w:t>
      </w:r>
      <w:r>
        <w:rPr>
          <w:rFonts w:ascii="宋体" w:hAnsi="宋体" w:eastAsia="宋体" w:cs="宋体"/>
          <w:spacing w:val="-5"/>
          <w:sz w:val="24"/>
          <w:szCs w:val="24"/>
        </w:rPr>
        <w:t>升压站场界外</w:t>
      </w:r>
      <w:r>
        <w:rPr>
          <w:rFonts w:ascii="宋体" w:hAnsi="宋体" w:eastAsia="宋体" w:cs="宋体"/>
          <w:spacing w:val="-56"/>
          <w:sz w:val="24"/>
          <w:szCs w:val="24"/>
        </w:rPr>
        <w:t xml:space="preserve"> </w:t>
      </w:r>
      <w:r>
        <w:rPr>
          <w:rFonts w:ascii="Times New Roman" w:hAnsi="Times New Roman" w:eastAsia="Times New Roman" w:cs="Times New Roman"/>
          <w:spacing w:val="-5"/>
          <w:sz w:val="24"/>
          <w:szCs w:val="24"/>
        </w:rPr>
        <w:t>40m</w:t>
      </w:r>
      <w:r>
        <w:rPr>
          <w:rFonts w:ascii="Times New Roman" w:hAnsi="Times New Roman" w:eastAsia="Times New Roman" w:cs="Times New Roman"/>
          <w:spacing w:val="16"/>
          <w:sz w:val="24"/>
          <w:szCs w:val="24"/>
        </w:rPr>
        <w:t xml:space="preserve"> </w:t>
      </w:r>
      <w:r>
        <w:rPr>
          <w:rFonts w:ascii="宋体" w:hAnsi="宋体" w:eastAsia="宋体" w:cs="宋体"/>
          <w:spacing w:val="-5"/>
          <w:sz w:val="24"/>
          <w:szCs w:val="24"/>
        </w:rPr>
        <w:t>范</w:t>
      </w:r>
      <w:r>
        <w:rPr>
          <w:rFonts w:ascii="宋体" w:hAnsi="宋体" w:eastAsia="宋体" w:cs="宋体"/>
          <w:spacing w:val="-6"/>
          <w:sz w:val="24"/>
          <w:szCs w:val="24"/>
        </w:rPr>
        <w:t>围内的住宅、学校、医院、</w:t>
      </w:r>
      <w:r>
        <w:rPr>
          <w:rFonts w:ascii="宋体" w:hAnsi="宋体" w:eastAsia="宋体" w:cs="宋体"/>
          <w:spacing w:val="-3"/>
          <w:sz w:val="24"/>
          <w:szCs w:val="24"/>
        </w:rPr>
        <w:t>办公楼、工厂等有公众居住、工作或学习的建筑物等电磁环境保护目标。根据现</w:t>
      </w:r>
      <w:r>
        <w:rPr>
          <w:rFonts w:ascii="宋体" w:hAnsi="宋体" w:eastAsia="宋体" w:cs="宋体"/>
          <w:spacing w:val="-1"/>
          <w:sz w:val="24"/>
          <w:szCs w:val="24"/>
        </w:rPr>
        <w:t>场调查，本工程</w:t>
      </w:r>
      <w:r>
        <w:rPr>
          <w:rFonts w:ascii="宋体" w:hAnsi="宋体" w:eastAsia="宋体" w:cs="宋体"/>
          <w:spacing w:val="-55"/>
          <w:sz w:val="24"/>
          <w:szCs w:val="24"/>
        </w:rPr>
        <w:t xml:space="preserve"> </w:t>
      </w:r>
      <w:r>
        <w:rPr>
          <w:rFonts w:ascii="Times New Roman" w:hAnsi="Times New Roman" w:eastAsia="Times New Roman" w:cs="Times New Roman"/>
          <w:spacing w:val="-1"/>
          <w:sz w:val="24"/>
          <w:szCs w:val="24"/>
        </w:rPr>
        <w:t xml:space="preserve">220kV </w:t>
      </w:r>
      <w:r>
        <w:rPr>
          <w:rFonts w:ascii="宋体" w:hAnsi="宋体" w:eastAsia="宋体" w:cs="宋体"/>
          <w:spacing w:val="-1"/>
          <w:sz w:val="24"/>
          <w:szCs w:val="24"/>
        </w:rPr>
        <w:t>升压站场界外</w:t>
      </w:r>
      <w:r>
        <w:rPr>
          <w:rFonts w:ascii="宋体" w:hAnsi="宋体" w:eastAsia="宋体" w:cs="宋体"/>
          <w:spacing w:val="-56"/>
          <w:sz w:val="24"/>
          <w:szCs w:val="24"/>
        </w:rPr>
        <w:t xml:space="preserve"> </w:t>
      </w:r>
      <w:r>
        <w:rPr>
          <w:rFonts w:ascii="Times New Roman" w:hAnsi="Times New Roman" w:eastAsia="Times New Roman" w:cs="Times New Roman"/>
          <w:spacing w:val="-1"/>
          <w:sz w:val="24"/>
          <w:szCs w:val="24"/>
        </w:rPr>
        <w:t>40m</w:t>
      </w:r>
      <w:r>
        <w:rPr>
          <w:rFonts w:ascii="Times New Roman" w:hAnsi="Times New Roman" w:eastAsia="Times New Roman" w:cs="Times New Roman"/>
          <w:spacing w:val="16"/>
          <w:w w:val="101"/>
          <w:sz w:val="24"/>
          <w:szCs w:val="24"/>
        </w:rPr>
        <w:t xml:space="preserve"> </w:t>
      </w:r>
      <w:r>
        <w:rPr>
          <w:rFonts w:ascii="宋体" w:hAnsi="宋体" w:eastAsia="宋体" w:cs="宋体"/>
          <w:spacing w:val="-1"/>
          <w:sz w:val="24"/>
          <w:szCs w:val="24"/>
        </w:rPr>
        <w:t>范围内无电磁环境保护目标。</w:t>
      </w:r>
    </w:p>
    <w:p w14:paraId="231599E4">
      <w:pPr>
        <w:spacing w:line="356" w:lineRule="auto"/>
        <w:rPr>
          <w:rFonts w:ascii="宋体" w:hAnsi="宋体" w:eastAsia="宋体" w:cs="宋体"/>
          <w:sz w:val="24"/>
          <w:szCs w:val="24"/>
        </w:rPr>
        <w:sectPr>
          <w:footerReference r:id="rId100" w:type="default"/>
          <w:pgSz w:w="11906" w:h="16838"/>
          <w:pgMar w:top="1431" w:right="1687" w:bottom="1295" w:left="1687" w:header="0" w:footer="1133" w:gutter="0"/>
          <w:cols w:space="720" w:num="1"/>
        </w:sectPr>
      </w:pPr>
    </w:p>
    <w:p w14:paraId="7370BA6E">
      <w:pPr>
        <w:spacing w:before="134" w:line="219" w:lineRule="auto"/>
        <w:ind w:left="362"/>
        <w:outlineLvl w:val="0"/>
        <w:rPr>
          <w:rFonts w:ascii="宋体" w:hAnsi="宋体" w:eastAsia="宋体" w:cs="宋体"/>
          <w:sz w:val="28"/>
          <w:szCs w:val="28"/>
        </w:rPr>
      </w:pPr>
      <w:r>
        <w:rPr>
          <w:rFonts w:ascii="Times New Roman" w:hAnsi="Times New Roman" w:eastAsia="Times New Roman" w:cs="Times New Roman"/>
          <w:b/>
          <w:bCs/>
          <w:spacing w:val="-8"/>
          <w:sz w:val="28"/>
          <w:szCs w:val="28"/>
        </w:rPr>
        <w:t>4</w:t>
      </w:r>
      <w:r>
        <w:rPr>
          <w:rFonts w:ascii="Times New Roman" w:hAnsi="Times New Roman" w:eastAsia="Times New Roman" w:cs="Times New Roman"/>
          <w:b/>
          <w:bCs/>
          <w:spacing w:val="48"/>
          <w:sz w:val="28"/>
          <w:szCs w:val="28"/>
        </w:rPr>
        <w:t xml:space="preserve"> </w:t>
      </w:r>
      <w:r>
        <w:rPr>
          <w:rFonts w:ascii="宋体" w:hAnsi="宋体" w:eastAsia="宋体" w:cs="宋体"/>
          <w:b/>
          <w:bCs/>
          <w:spacing w:val="-8"/>
          <w:sz w:val="28"/>
          <w:szCs w:val="28"/>
        </w:rPr>
        <w:t>电磁环境现状评价</w:t>
      </w:r>
    </w:p>
    <w:p w14:paraId="1BABBB1C">
      <w:pPr>
        <w:spacing w:before="163" w:line="354" w:lineRule="auto"/>
        <w:ind w:left="364" w:right="354" w:firstLine="482"/>
        <w:rPr>
          <w:rFonts w:ascii="宋体" w:hAnsi="宋体" w:eastAsia="宋体" w:cs="宋体"/>
          <w:sz w:val="24"/>
          <w:szCs w:val="24"/>
        </w:rPr>
      </w:pPr>
      <w:r>
        <w:rPr>
          <w:rFonts w:ascii="宋体" w:hAnsi="宋体" w:eastAsia="宋体" w:cs="宋体"/>
          <w:spacing w:val="-3"/>
          <w:sz w:val="24"/>
          <w:szCs w:val="24"/>
        </w:rPr>
        <w:t>为了解本项目所在区域的电磁环境质量现状，本次评价委</w:t>
      </w:r>
      <w:r>
        <w:rPr>
          <w:rFonts w:ascii="宋体" w:hAnsi="宋体" w:eastAsia="宋体" w:cs="宋体"/>
          <w:spacing w:val="-4"/>
          <w:sz w:val="24"/>
          <w:szCs w:val="24"/>
        </w:rPr>
        <w:t>托内蒙古肆合环境</w:t>
      </w:r>
      <w:r>
        <w:rPr>
          <w:rFonts w:ascii="宋体" w:hAnsi="宋体" w:eastAsia="宋体" w:cs="宋体"/>
          <w:sz w:val="24"/>
          <w:szCs w:val="24"/>
        </w:rPr>
        <w:t>检测有限公司于</w:t>
      </w:r>
      <w:r>
        <w:rPr>
          <w:rFonts w:ascii="Times New Roman" w:hAnsi="Times New Roman" w:eastAsia="Times New Roman" w:cs="Times New Roman"/>
          <w:sz w:val="24"/>
          <w:szCs w:val="24"/>
        </w:rPr>
        <w:t>2026</w:t>
      </w:r>
      <w:r>
        <w:rPr>
          <w:rFonts w:ascii="宋体" w:hAnsi="宋体" w:eastAsia="宋体" w:cs="宋体"/>
          <w:sz w:val="24"/>
          <w:szCs w:val="24"/>
        </w:rPr>
        <w:t>年</w:t>
      </w:r>
      <w:r>
        <w:rPr>
          <w:rFonts w:ascii="Times New Roman" w:hAnsi="Times New Roman" w:eastAsia="Times New Roman" w:cs="Times New Roman"/>
          <w:sz w:val="24"/>
          <w:szCs w:val="24"/>
        </w:rPr>
        <w:t>7</w:t>
      </w:r>
      <w:r>
        <w:rPr>
          <w:rFonts w:ascii="宋体" w:hAnsi="宋体" w:eastAsia="宋体" w:cs="宋体"/>
          <w:sz w:val="24"/>
          <w:szCs w:val="24"/>
        </w:rPr>
        <w:t>月</w:t>
      </w:r>
      <w:r>
        <w:rPr>
          <w:rFonts w:ascii="Times New Roman" w:hAnsi="Times New Roman" w:eastAsia="Times New Roman" w:cs="Times New Roman"/>
          <w:sz w:val="24"/>
          <w:szCs w:val="24"/>
        </w:rPr>
        <w:t>19</w:t>
      </w:r>
      <w:r>
        <w:rPr>
          <w:rFonts w:ascii="宋体" w:hAnsi="宋体" w:eastAsia="宋体" w:cs="宋体"/>
          <w:sz w:val="24"/>
          <w:szCs w:val="24"/>
        </w:rPr>
        <w:t>日对项目区域周边电</w:t>
      </w:r>
      <w:r>
        <w:rPr>
          <w:rFonts w:ascii="宋体" w:hAnsi="宋体" w:eastAsia="宋体" w:cs="宋体"/>
          <w:spacing w:val="-1"/>
          <w:sz w:val="24"/>
          <w:szCs w:val="24"/>
        </w:rPr>
        <w:t>磁环境进行了现状监测。</w:t>
      </w:r>
    </w:p>
    <w:p w14:paraId="538BBEC6">
      <w:pPr>
        <w:spacing w:before="3" w:line="353" w:lineRule="auto"/>
        <w:ind w:left="366" w:right="354" w:firstLine="479"/>
        <w:jc w:val="both"/>
        <w:rPr>
          <w:rFonts w:ascii="宋体" w:hAnsi="宋体" w:eastAsia="宋体" w:cs="宋体"/>
          <w:sz w:val="24"/>
          <w:szCs w:val="24"/>
        </w:rPr>
      </w:pPr>
      <w:r>
        <w:rPr>
          <w:rFonts w:ascii="宋体" w:hAnsi="宋体" w:eastAsia="宋体" w:cs="宋体"/>
          <w:spacing w:val="-3"/>
          <w:sz w:val="24"/>
          <w:szCs w:val="24"/>
        </w:rPr>
        <w:t>本次监测对象为已建</w:t>
      </w:r>
      <w:r>
        <w:rPr>
          <w:rFonts w:ascii="Times New Roman" w:hAnsi="Times New Roman" w:eastAsia="Times New Roman" w:cs="Times New Roman"/>
          <w:spacing w:val="-3"/>
          <w:sz w:val="24"/>
          <w:szCs w:val="24"/>
        </w:rPr>
        <w:t>220kV</w:t>
      </w:r>
      <w:r>
        <w:rPr>
          <w:rFonts w:ascii="宋体" w:hAnsi="宋体" w:eastAsia="宋体" w:cs="宋体"/>
          <w:spacing w:val="-3"/>
          <w:sz w:val="24"/>
          <w:szCs w:val="24"/>
        </w:rPr>
        <w:t>升压站围墙外四周</w:t>
      </w:r>
      <w:r>
        <w:rPr>
          <w:rFonts w:ascii="Times New Roman" w:hAnsi="Times New Roman" w:eastAsia="Times New Roman" w:cs="Times New Roman"/>
          <w:spacing w:val="-3"/>
          <w:sz w:val="24"/>
          <w:szCs w:val="24"/>
        </w:rPr>
        <w:t>5m</w:t>
      </w:r>
      <w:r>
        <w:rPr>
          <w:rFonts w:ascii="宋体" w:hAnsi="宋体" w:eastAsia="宋体" w:cs="宋体"/>
          <w:spacing w:val="-3"/>
          <w:sz w:val="24"/>
          <w:szCs w:val="24"/>
        </w:rPr>
        <w:t>进行布点。本工程电磁环境现状检测点位及布点方法、检测方法和检测仪器、检测结果详见电磁环境影响专项评价。</w:t>
      </w:r>
    </w:p>
    <w:p w14:paraId="26365C04">
      <w:pPr>
        <w:spacing w:line="220" w:lineRule="auto"/>
        <w:ind w:left="361"/>
        <w:outlineLvl w:val="1"/>
        <w:rPr>
          <w:rFonts w:ascii="宋体" w:hAnsi="宋体" w:eastAsia="宋体" w:cs="宋体"/>
          <w:sz w:val="24"/>
          <w:szCs w:val="24"/>
        </w:rPr>
      </w:pPr>
      <w:r>
        <w:rPr>
          <w:rFonts w:ascii="Times New Roman" w:hAnsi="Times New Roman" w:eastAsia="Times New Roman" w:cs="Times New Roman"/>
          <w:b/>
          <w:bCs/>
          <w:spacing w:val="-2"/>
          <w:sz w:val="24"/>
          <w:szCs w:val="24"/>
        </w:rPr>
        <w:t xml:space="preserve">4.1 </w:t>
      </w:r>
      <w:r>
        <w:rPr>
          <w:rFonts w:ascii="宋体" w:hAnsi="宋体" w:eastAsia="宋体" w:cs="宋体"/>
          <w:b/>
          <w:bCs/>
          <w:spacing w:val="-2"/>
          <w:sz w:val="24"/>
          <w:szCs w:val="24"/>
        </w:rPr>
        <w:t>监测因子</w:t>
      </w:r>
    </w:p>
    <w:p w14:paraId="76233370">
      <w:pPr>
        <w:spacing w:before="174" w:line="220" w:lineRule="auto"/>
        <w:ind w:left="847"/>
        <w:rPr>
          <w:rFonts w:ascii="宋体" w:hAnsi="宋体" w:eastAsia="宋体" w:cs="宋体"/>
          <w:sz w:val="24"/>
          <w:szCs w:val="24"/>
        </w:rPr>
      </w:pPr>
      <w:r>
        <w:rPr>
          <w:rFonts w:ascii="宋体" w:hAnsi="宋体" w:eastAsia="宋体" w:cs="宋体"/>
          <w:spacing w:val="-2"/>
          <w:sz w:val="24"/>
          <w:szCs w:val="24"/>
        </w:rPr>
        <w:t>工频电场、工频磁场。</w:t>
      </w:r>
    </w:p>
    <w:p w14:paraId="5E9B4147">
      <w:pPr>
        <w:spacing w:before="174" w:line="219" w:lineRule="auto"/>
        <w:ind w:left="361"/>
        <w:outlineLvl w:val="1"/>
        <w:rPr>
          <w:rFonts w:ascii="宋体" w:hAnsi="宋体" w:eastAsia="宋体" w:cs="宋体"/>
          <w:sz w:val="24"/>
          <w:szCs w:val="24"/>
        </w:rPr>
      </w:pPr>
      <w:r>
        <w:rPr>
          <w:rFonts w:ascii="Times New Roman" w:hAnsi="Times New Roman" w:eastAsia="Times New Roman" w:cs="Times New Roman"/>
          <w:b/>
          <w:bCs/>
          <w:spacing w:val="-2"/>
          <w:sz w:val="24"/>
          <w:szCs w:val="24"/>
        </w:rPr>
        <w:t xml:space="preserve">4.2 </w:t>
      </w:r>
      <w:r>
        <w:rPr>
          <w:rFonts w:ascii="宋体" w:hAnsi="宋体" w:eastAsia="宋体" w:cs="宋体"/>
          <w:b/>
          <w:bCs/>
          <w:spacing w:val="-2"/>
          <w:sz w:val="24"/>
          <w:szCs w:val="24"/>
        </w:rPr>
        <w:t>监测点位及布点方法</w:t>
      </w:r>
    </w:p>
    <w:p w14:paraId="0180059D">
      <w:pPr>
        <w:spacing w:before="173" w:line="347" w:lineRule="auto"/>
        <w:ind w:left="365" w:right="354" w:firstLine="480"/>
        <w:jc w:val="both"/>
        <w:rPr>
          <w:rFonts w:ascii="宋体" w:hAnsi="宋体" w:eastAsia="宋体" w:cs="宋体"/>
          <w:sz w:val="24"/>
          <w:szCs w:val="24"/>
        </w:rPr>
      </w:pPr>
      <w:r>
        <w:rPr>
          <w:rFonts w:ascii="宋体" w:hAnsi="宋体" w:eastAsia="宋体" w:cs="宋体"/>
          <w:spacing w:val="1"/>
          <w:sz w:val="24"/>
          <w:szCs w:val="24"/>
        </w:rPr>
        <w:t>本次现状评价在已建</w:t>
      </w:r>
      <w:r>
        <w:rPr>
          <w:rFonts w:ascii="宋体" w:hAnsi="宋体" w:eastAsia="宋体" w:cs="宋体"/>
          <w:spacing w:val="-37"/>
          <w:sz w:val="24"/>
          <w:szCs w:val="24"/>
        </w:rPr>
        <w:t xml:space="preserve"> </w:t>
      </w:r>
      <w:r>
        <w:rPr>
          <w:rFonts w:ascii="Times New Roman" w:hAnsi="Times New Roman" w:eastAsia="Times New Roman" w:cs="Times New Roman"/>
          <w:spacing w:val="1"/>
          <w:sz w:val="24"/>
          <w:szCs w:val="24"/>
        </w:rPr>
        <w:t>220</w:t>
      </w:r>
      <w:r>
        <w:rPr>
          <w:rFonts w:ascii="Times New Roman" w:hAnsi="Times New Roman" w:eastAsia="Times New Roman" w:cs="Times New Roman"/>
          <w:sz w:val="24"/>
          <w:szCs w:val="24"/>
        </w:rPr>
        <w:t>kV</w:t>
      </w:r>
      <w:r>
        <w:rPr>
          <w:rFonts w:ascii="Times New Roman" w:hAnsi="Times New Roman" w:eastAsia="Times New Roman" w:cs="Times New Roman"/>
          <w:spacing w:val="1"/>
          <w:sz w:val="24"/>
          <w:szCs w:val="24"/>
        </w:rPr>
        <w:t xml:space="preserve"> </w:t>
      </w:r>
      <w:r>
        <w:rPr>
          <w:rFonts w:ascii="宋体" w:hAnsi="宋体" w:eastAsia="宋体" w:cs="宋体"/>
          <w:spacing w:val="1"/>
          <w:sz w:val="24"/>
          <w:szCs w:val="24"/>
        </w:rPr>
        <w:t>升压站四周设</w:t>
      </w:r>
      <w:r>
        <w:rPr>
          <w:rFonts w:ascii="宋体" w:hAnsi="宋体" w:eastAsia="宋体" w:cs="宋体"/>
          <w:spacing w:val="-56"/>
          <w:sz w:val="24"/>
          <w:szCs w:val="24"/>
        </w:rPr>
        <w:t xml:space="preserve"> </w:t>
      </w:r>
      <w:r>
        <w:rPr>
          <w:rFonts w:ascii="Times New Roman" w:hAnsi="Times New Roman" w:eastAsia="Times New Roman" w:cs="Times New Roman"/>
          <w:spacing w:val="1"/>
          <w:sz w:val="24"/>
          <w:szCs w:val="24"/>
        </w:rPr>
        <w:t>4</w:t>
      </w:r>
      <w:r>
        <w:rPr>
          <w:rFonts w:ascii="Times New Roman" w:hAnsi="Times New Roman" w:eastAsia="Times New Roman" w:cs="Times New Roman"/>
          <w:spacing w:val="19"/>
          <w:sz w:val="24"/>
          <w:szCs w:val="24"/>
        </w:rPr>
        <w:t xml:space="preserve"> </w:t>
      </w:r>
      <w:r>
        <w:rPr>
          <w:rFonts w:ascii="宋体" w:hAnsi="宋体" w:eastAsia="宋体" w:cs="宋体"/>
          <w:spacing w:val="1"/>
          <w:sz w:val="24"/>
          <w:szCs w:val="24"/>
        </w:rPr>
        <w:t>处监测点，升压站周边最近敏</w:t>
      </w:r>
      <w:r>
        <w:rPr>
          <w:rFonts w:ascii="宋体" w:hAnsi="宋体" w:eastAsia="宋体" w:cs="宋体"/>
          <w:spacing w:val="-4"/>
          <w:sz w:val="24"/>
          <w:szCs w:val="24"/>
        </w:rPr>
        <w:t>感目标设</w:t>
      </w:r>
      <w:r>
        <w:rPr>
          <w:rFonts w:ascii="宋体" w:hAnsi="宋体" w:eastAsia="宋体" w:cs="宋体"/>
          <w:spacing w:val="-32"/>
          <w:sz w:val="24"/>
          <w:szCs w:val="24"/>
        </w:rPr>
        <w:t xml:space="preserve"> </w:t>
      </w:r>
      <w:r>
        <w:rPr>
          <w:rFonts w:ascii="Times New Roman" w:hAnsi="Times New Roman" w:eastAsia="Times New Roman" w:cs="Times New Roman"/>
          <w:spacing w:val="-4"/>
          <w:sz w:val="24"/>
          <w:szCs w:val="24"/>
        </w:rPr>
        <w:t>1</w:t>
      </w:r>
      <w:r>
        <w:rPr>
          <w:rFonts w:ascii="Times New Roman" w:hAnsi="Times New Roman" w:eastAsia="Times New Roman" w:cs="Times New Roman"/>
          <w:spacing w:val="15"/>
          <w:sz w:val="24"/>
          <w:szCs w:val="24"/>
        </w:rPr>
        <w:t xml:space="preserve"> </w:t>
      </w:r>
      <w:r>
        <w:rPr>
          <w:rFonts w:ascii="宋体" w:hAnsi="宋体" w:eastAsia="宋体" w:cs="宋体"/>
          <w:spacing w:val="-4"/>
          <w:sz w:val="24"/>
          <w:szCs w:val="24"/>
        </w:rPr>
        <w:t>处监测点，均为常规监测点。工频电场、工频磁场</w:t>
      </w:r>
      <w:r>
        <w:rPr>
          <w:rFonts w:ascii="宋体" w:hAnsi="宋体" w:eastAsia="宋体" w:cs="宋体"/>
          <w:spacing w:val="-5"/>
          <w:sz w:val="24"/>
          <w:szCs w:val="24"/>
        </w:rPr>
        <w:t>监测点高度距地面</w:t>
      </w:r>
      <w:r>
        <w:rPr>
          <w:rFonts w:ascii="Times New Roman" w:hAnsi="Times New Roman" w:eastAsia="Times New Roman" w:cs="Times New Roman"/>
          <w:spacing w:val="-3"/>
          <w:sz w:val="24"/>
          <w:szCs w:val="24"/>
        </w:rPr>
        <w:t>1.5m</w:t>
      </w:r>
      <w:r>
        <w:rPr>
          <w:rFonts w:ascii="宋体" w:hAnsi="宋体" w:eastAsia="宋体" w:cs="宋体"/>
          <w:spacing w:val="-3"/>
          <w:sz w:val="24"/>
          <w:szCs w:val="24"/>
        </w:rPr>
        <w:t>。</w:t>
      </w:r>
    </w:p>
    <w:p w14:paraId="6FA0AF1B">
      <w:pPr>
        <w:spacing w:before="28" w:line="219" w:lineRule="auto"/>
        <w:ind w:left="361"/>
        <w:outlineLvl w:val="1"/>
        <w:rPr>
          <w:rFonts w:ascii="宋体" w:hAnsi="宋体" w:eastAsia="宋体" w:cs="宋体"/>
          <w:sz w:val="24"/>
          <w:szCs w:val="24"/>
        </w:rPr>
      </w:pPr>
      <w:r>
        <w:rPr>
          <w:rFonts w:ascii="Times New Roman" w:hAnsi="Times New Roman" w:eastAsia="Times New Roman" w:cs="Times New Roman"/>
          <w:b/>
          <w:bCs/>
          <w:spacing w:val="-2"/>
          <w:sz w:val="24"/>
          <w:szCs w:val="24"/>
        </w:rPr>
        <w:t xml:space="preserve">4.3 </w:t>
      </w:r>
      <w:r>
        <w:rPr>
          <w:rFonts w:ascii="宋体" w:hAnsi="宋体" w:eastAsia="宋体" w:cs="宋体"/>
          <w:b/>
          <w:bCs/>
          <w:spacing w:val="-2"/>
          <w:sz w:val="24"/>
          <w:szCs w:val="24"/>
        </w:rPr>
        <w:t>监测频次</w:t>
      </w:r>
    </w:p>
    <w:p w14:paraId="30395E62">
      <w:pPr>
        <w:spacing w:before="175" w:line="357" w:lineRule="auto"/>
        <w:ind w:left="367" w:right="356" w:firstLine="477"/>
        <w:rPr>
          <w:rFonts w:ascii="宋体" w:hAnsi="宋体" w:eastAsia="宋体" w:cs="宋体"/>
          <w:sz w:val="24"/>
          <w:szCs w:val="24"/>
        </w:rPr>
      </w:pPr>
      <w:r>
        <w:rPr>
          <w:rFonts w:ascii="宋体" w:hAnsi="宋体" w:eastAsia="宋体" w:cs="宋体"/>
          <w:spacing w:val="-1"/>
          <w:sz w:val="24"/>
          <w:szCs w:val="24"/>
        </w:rPr>
        <w:t>每个测点连续测</w:t>
      </w:r>
      <w:r>
        <w:rPr>
          <w:rFonts w:ascii="宋体" w:hAnsi="宋体" w:eastAsia="宋体" w:cs="宋体"/>
          <w:spacing w:val="-48"/>
          <w:sz w:val="24"/>
          <w:szCs w:val="24"/>
        </w:rPr>
        <w:t xml:space="preserve"> </w:t>
      </w:r>
      <w:r>
        <w:rPr>
          <w:rFonts w:ascii="Times New Roman" w:hAnsi="Times New Roman" w:eastAsia="Times New Roman" w:cs="Times New Roman"/>
          <w:spacing w:val="-1"/>
          <w:sz w:val="24"/>
          <w:szCs w:val="24"/>
        </w:rPr>
        <w:t>5</w:t>
      </w:r>
      <w:r>
        <w:rPr>
          <w:rFonts w:ascii="Times New Roman" w:hAnsi="Times New Roman" w:eastAsia="Times New Roman" w:cs="Times New Roman"/>
          <w:spacing w:val="16"/>
          <w:sz w:val="24"/>
          <w:szCs w:val="24"/>
        </w:rPr>
        <w:t xml:space="preserve"> </w:t>
      </w:r>
      <w:r>
        <w:rPr>
          <w:rFonts w:ascii="宋体" w:hAnsi="宋体" w:eastAsia="宋体" w:cs="宋体"/>
          <w:spacing w:val="-1"/>
          <w:sz w:val="24"/>
          <w:szCs w:val="24"/>
        </w:rPr>
        <w:t>次，每次测量时间不应小于</w:t>
      </w:r>
      <w:r>
        <w:rPr>
          <w:rFonts w:ascii="宋体" w:hAnsi="宋体" w:eastAsia="宋体" w:cs="宋体"/>
          <w:spacing w:val="-30"/>
          <w:sz w:val="24"/>
          <w:szCs w:val="24"/>
        </w:rPr>
        <w:t xml:space="preserve"> </w:t>
      </w:r>
      <w:r>
        <w:rPr>
          <w:rFonts w:ascii="Times New Roman" w:hAnsi="Times New Roman" w:eastAsia="Times New Roman" w:cs="Times New Roman"/>
          <w:spacing w:val="-1"/>
          <w:sz w:val="24"/>
          <w:szCs w:val="24"/>
        </w:rPr>
        <w:t xml:space="preserve">15 </w:t>
      </w:r>
      <w:r>
        <w:rPr>
          <w:rFonts w:ascii="宋体" w:hAnsi="宋体" w:eastAsia="宋体" w:cs="宋体"/>
          <w:spacing w:val="-2"/>
          <w:sz w:val="24"/>
          <w:szCs w:val="24"/>
        </w:rPr>
        <w:t>秒，并读取稳定状态的最</w:t>
      </w:r>
      <w:r>
        <w:rPr>
          <w:rFonts w:ascii="宋体" w:hAnsi="宋体" w:eastAsia="宋体" w:cs="宋体"/>
          <w:spacing w:val="-5"/>
          <w:sz w:val="24"/>
          <w:szCs w:val="24"/>
        </w:rPr>
        <w:t>大值。</w:t>
      </w:r>
    </w:p>
    <w:p w14:paraId="260BD28C">
      <w:pPr>
        <w:spacing w:before="2" w:line="219" w:lineRule="auto"/>
        <w:ind w:left="363"/>
        <w:outlineLvl w:val="2"/>
        <w:rPr>
          <w:rFonts w:ascii="宋体" w:hAnsi="宋体" w:eastAsia="宋体" w:cs="宋体"/>
          <w:sz w:val="24"/>
          <w:szCs w:val="24"/>
        </w:rPr>
      </w:pPr>
      <w:r>
        <w:rPr>
          <w:rFonts w:ascii="宋体" w:hAnsi="宋体" w:eastAsia="宋体" w:cs="宋体"/>
          <w:b/>
          <w:bCs/>
          <w:spacing w:val="-4"/>
          <w:sz w:val="24"/>
          <w:szCs w:val="24"/>
        </w:rPr>
        <w:t>4.4</w:t>
      </w:r>
      <w:r>
        <w:rPr>
          <w:rFonts w:ascii="宋体" w:hAnsi="宋体" w:eastAsia="宋体" w:cs="宋体"/>
          <w:spacing w:val="-49"/>
          <w:sz w:val="24"/>
          <w:szCs w:val="24"/>
        </w:rPr>
        <w:t xml:space="preserve"> </w:t>
      </w:r>
      <w:r>
        <w:rPr>
          <w:rFonts w:ascii="宋体" w:hAnsi="宋体" w:eastAsia="宋体" w:cs="宋体"/>
          <w:b/>
          <w:bCs/>
          <w:spacing w:val="-4"/>
          <w:sz w:val="24"/>
          <w:szCs w:val="24"/>
        </w:rPr>
        <w:t>监测仪器设备</w:t>
      </w:r>
    </w:p>
    <w:p w14:paraId="797E0A44">
      <w:pPr>
        <w:spacing w:before="183" w:line="219" w:lineRule="auto"/>
        <w:ind w:left="2941"/>
        <w:rPr>
          <w:rFonts w:ascii="宋体" w:hAnsi="宋体" w:eastAsia="宋体" w:cs="宋体"/>
          <w:sz w:val="24"/>
          <w:szCs w:val="24"/>
        </w:rPr>
      </w:pPr>
      <w:r>
        <w:rPr>
          <w:rFonts w:ascii="宋体" w:hAnsi="宋体" w:eastAsia="宋体" w:cs="宋体"/>
          <w:b/>
          <w:bCs/>
          <w:spacing w:val="-2"/>
          <w:sz w:val="24"/>
          <w:szCs w:val="24"/>
        </w:rPr>
        <w:t>表</w:t>
      </w:r>
      <w:r>
        <w:rPr>
          <w:rFonts w:ascii="宋体" w:hAnsi="宋体" w:eastAsia="宋体" w:cs="宋体"/>
          <w:spacing w:val="-51"/>
          <w:sz w:val="24"/>
          <w:szCs w:val="24"/>
        </w:rPr>
        <w:t xml:space="preserve"> </w:t>
      </w:r>
      <w:r>
        <w:rPr>
          <w:rFonts w:ascii="Times New Roman" w:hAnsi="Times New Roman" w:eastAsia="Times New Roman" w:cs="Times New Roman"/>
          <w:b/>
          <w:bCs/>
          <w:spacing w:val="-2"/>
          <w:sz w:val="24"/>
          <w:szCs w:val="24"/>
        </w:rPr>
        <w:t xml:space="preserve">4-1      </w:t>
      </w:r>
      <w:r>
        <w:rPr>
          <w:rFonts w:ascii="宋体" w:hAnsi="宋体" w:eastAsia="宋体" w:cs="宋体"/>
          <w:b/>
          <w:bCs/>
          <w:spacing w:val="-2"/>
          <w:sz w:val="24"/>
          <w:szCs w:val="24"/>
        </w:rPr>
        <w:t>监测仪器设备一览表</w:t>
      </w:r>
    </w:p>
    <w:p w14:paraId="481A16D5">
      <w:pPr>
        <w:spacing w:line="16" w:lineRule="exact"/>
      </w:pPr>
    </w:p>
    <w:tbl>
      <w:tblPr>
        <w:tblStyle w:val="8"/>
        <w:tblW w:w="901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7"/>
        <w:gridCol w:w="1074"/>
        <w:gridCol w:w="990"/>
        <w:gridCol w:w="2029"/>
        <w:gridCol w:w="2047"/>
        <w:gridCol w:w="1195"/>
        <w:gridCol w:w="1198"/>
      </w:tblGrid>
      <w:tr w14:paraId="460778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4" w:hRule="atLeast"/>
        </w:trPr>
        <w:tc>
          <w:tcPr>
            <w:tcW w:w="477" w:type="dxa"/>
            <w:vAlign w:val="top"/>
          </w:tcPr>
          <w:p w14:paraId="15CFB6B3">
            <w:pPr>
              <w:pStyle w:val="9"/>
              <w:spacing w:before="285" w:line="229" w:lineRule="auto"/>
              <w:ind w:left="21"/>
              <w:rPr>
                <w:sz w:val="20"/>
                <w:szCs w:val="20"/>
              </w:rPr>
            </w:pPr>
            <w:r>
              <w:rPr>
                <w:spacing w:val="11"/>
                <w:sz w:val="20"/>
                <w:szCs w:val="20"/>
              </w:rPr>
              <w:t>序号</w:t>
            </w:r>
          </w:p>
        </w:tc>
        <w:tc>
          <w:tcPr>
            <w:tcW w:w="1074" w:type="dxa"/>
            <w:vAlign w:val="top"/>
          </w:tcPr>
          <w:p w14:paraId="4BEB19DB">
            <w:pPr>
              <w:pStyle w:val="9"/>
              <w:spacing w:before="284" w:line="228" w:lineRule="auto"/>
              <w:ind w:left="92"/>
              <w:rPr>
                <w:sz w:val="20"/>
                <w:szCs w:val="20"/>
              </w:rPr>
            </w:pPr>
            <w:r>
              <w:rPr>
                <w:spacing w:val="18"/>
                <w:sz w:val="20"/>
                <w:szCs w:val="20"/>
              </w:rPr>
              <w:t>检测类别</w:t>
            </w:r>
          </w:p>
        </w:tc>
        <w:tc>
          <w:tcPr>
            <w:tcW w:w="990" w:type="dxa"/>
            <w:vAlign w:val="top"/>
          </w:tcPr>
          <w:p w14:paraId="65A7510E">
            <w:pPr>
              <w:pStyle w:val="9"/>
              <w:spacing w:before="284" w:line="228" w:lineRule="auto"/>
              <w:ind w:left="60"/>
              <w:rPr>
                <w:sz w:val="20"/>
                <w:szCs w:val="20"/>
              </w:rPr>
            </w:pPr>
            <w:r>
              <w:rPr>
                <w:spacing w:val="17"/>
                <w:sz w:val="20"/>
                <w:szCs w:val="20"/>
              </w:rPr>
              <w:t>检测项目</w:t>
            </w:r>
          </w:p>
        </w:tc>
        <w:tc>
          <w:tcPr>
            <w:tcW w:w="2029" w:type="dxa"/>
            <w:vAlign w:val="top"/>
          </w:tcPr>
          <w:p w14:paraId="41BE8B24">
            <w:pPr>
              <w:pStyle w:val="9"/>
              <w:spacing w:before="284" w:line="228" w:lineRule="auto"/>
              <w:ind w:left="123"/>
              <w:rPr>
                <w:sz w:val="20"/>
                <w:szCs w:val="20"/>
              </w:rPr>
            </w:pPr>
            <w:r>
              <w:rPr>
                <w:spacing w:val="18"/>
                <w:sz w:val="20"/>
                <w:szCs w:val="20"/>
              </w:rPr>
              <w:t>检测标准（方法）</w:t>
            </w:r>
          </w:p>
        </w:tc>
        <w:tc>
          <w:tcPr>
            <w:tcW w:w="2047" w:type="dxa"/>
            <w:vAlign w:val="top"/>
          </w:tcPr>
          <w:p w14:paraId="001018E3">
            <w:pPr>
              <w:pStyle w:val="9"/>
              <w:spacing w:before="150" w:line="228" w:lineRule="auto"/>
              <w:ind w:left="58"/>
              <w:rPr>
                <w:sz w:val="20"/>
                <w:szCs w:val="20"/>
              </w:rPr>
            </w:pPr>
            <w:r>
              <w:rPr>
                <w:spacing w:val="14"/>
                <w:sz w:val="20"/>
                <w:szCs w:val="20"/>
              </w:rPr>
              <w:t>仪器设备、型号及编</w:t>
            </w:r>
          </w:p>
          <w:p w14:paraId="07DCD1EB">
            <w:pPr>
              <w:pStyle w:val="9"/>
              <w:spacing w:before="24" w:line="229" w:lineRule="auto"/>
              <w:ind w:left="927"/>
              <w:rPr>
                <w:sz w:val="20"/>
                <w:szCs w:val="20"/>
              </w:rPr>
            </w:pPr>
            <w:r>
              <w:rPr>
                <w:sz w:val="20"/>
                <w:szCs w:val="20"/>
              </w:rPr>
              <w:t>号</w:t>
            </w:r>
          </w:p>
        </w:tc>
        <w:tc>
          <w:tcPr>
            <w:tcW w:w="1195" w:type="dxa"/>
            <w:vAlign w:val="top"/>
          </w:tcPr>
          <w:p w14:paraId="4E2A9F5C">
            <w:pPr>
              <w:pStyle w:val="9"/>
              <w:spacing w:before="285" w:line="228" w:lineRule="auto"/>
              <w:ind w:left="157"/>
              <w:rPr>
                <w:sz w:val="20"/>
                <w:szCs w:val="20"/>
              </w:rPr>
            </w:pPr>
            <w:r>
              <w:rPr>
                <w:spacing w:val="17"/>
                <w:sz w:val="20"/>
                <w:szCs w:val="20"/>
              </w:rPr>
              <w:t>校准日期</w:t>
            </w:r>
          </w:p>
        </w:tc>
        <w:tc>
          <w:tcPr>
            <w:tcW w:w="1198" w:type="dxa"/>
            <w:vAlign w:val="top"/>
          </w:tcPr>
          <w:p w14:paraId="7EBE2942">
            <w:pPr>
              <w:pStyle w:val="9"/>
              <w:spacing w:before="285" w:line="228" w:lineRule="auto"/>
              <w:ind w:left="270"/>
              <w:rPr>
                <w:sz w:val="20"/>
                <w:szCs w:val="20"/>
              </w:rPr>
            </w:pPr>
            <w:r>
              <w:rPr>
                <w:spacing w:val="16"/>
                <w:sz w:val="20"/>
                <w:szCs w:val="20"/>
              </w:rPr>
              <w:t>有效期</w:t>
            </w:r>
          </w:p>
        </w:tc>
      </w:tr>
      <w:tr w14:paraId="2D21A2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9" w:hRule="atLeast"/>
        </w:trPr>
        <w:tc>
          <w:tcPr>
            <w:tcW w:w="477" w:type="dxa"/>
            <w:vMerge w:val="restart"/>
            <w:tcBorders>
              <w:bottom w:val="nil"/>
            </w:tcBorders>
            <w:vAlign w:val="top"/>
          </w:tcPr>
          <w:p w14:paraId="452190F6">
            <w:pPr>
              <w:spacing w:line="283" w:lineRule="auto"/>
              <w:rPr>
                <w:rFonts w:ascii="Arial"/>
                <w:sz w:val="21"/>
              </w:rPr>
            </w:pPr>
          </w:p>
          <w:p w14:paraId="3A8753F6">
            <w:pPr>
              <w:spacing w:line="283" w:lineRule="auto"/>
              <w:rPr>
                <w:rFonts w:ascii="Arial"/>
                <w:sz w:val="21"/>
              </w:rPr>
            </w:pPr>
          </w:p>
          <w:p w14:paraId="38718D35">
            <w:pPr>
              <w:spacing w:line="283" w:lineRule="auto"/>
              <w:rPr>
                <w:rFonts w:ascii="Arial"/>
                <w:sz w:val="21"/>
              </w:rPr>
            </w:pPr>
          </w:p>
          <w:p w14:paraId="11AB6B34">
            <w:pPr>
              <w:spacing w:line="284" w:lineRule="auto"/>
              <w:rPr>
                <w:rFonts w:ascii="Arial"/>
                <w:sz w:val="21"/>
              </w:rPr>
            </w:pPr>
          </w:p>
          <w:p w14:paraId="594CEEA7">
            <w:pPr>
              <w:spacing w:before="57" w:line="195" w:lineRule="auto"/>
              <w:ind w:left="206"/>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074" w:type="dxa"/>
            <w:vMerge w:val="restart"/>
            <w:tcBorders>
              <w:bottom w:val="nil"/>
            </w:tcBorders>
            <w:vAlign w:val="top"/>
          </w:tcPr>
          <w:p w14:paraId="0961F4F1">
            <w:pPr>
              <w:spacing w:line="272" w:lineRule="auto"/>
              <w:rPr>
                <w:rFonts w:ascii="Arial"/>
                <w:sz w:val="21"/>
              </w:rPr>
            </w:pPr>
          </w:p>
          <w:p w14:paraId="4BD2774A">
            <w:pPr>
              <w:spacing w:line="272" w:lineRule="auto"/>
              <w:rPr>
                <w:rFonts w:ascii="Arial"/>
                <w:sz w:val="21"/>
              </w:rPr>
            </w:pPr>
          </w:p>
          <w:p w14:paraId="01FE10F6">
            <w:pPr>
              <w:spacing w:line="272" w:lineRule="auto"/>
              <w:rPr>
                <w:rFonts w:ascii="Arial"/>
                <w:sz w:val="21"/>
              </w:rPr>
            </w:pPr>
          </w:p>
          <w:p w14:paraId="16D29484">
            <w:pPr>
              <w:spacing w:line="273" w:lineRule="auto"/>
              <w:rPr>
                <w:rFonts w:ascii="Arial"/>
                <w:sz w:val="21"/>
              </w:rPr>
            </w:pPr>
          </w:p>
          <w:p w14:paraId="031A5D72">
            <w:pPr>
              <w:pStyle w:val="9"/>
              <w:spacing w:before="65" w:line="228" w:lineRule="auto"/>
              <w:ind w:left="182"/>
              <w:rPr>
                <w:sz w:val="20"/>
                <w:szCs w:val="20"/>
              </w:rPr>
            </w:pPr>
            <w:r>
              <w:rPr>
                <w:spacing w:val="-10"/>
                <w:sz w:val="20"/>
                <w:szCs w:val="20"/>
              </w:rPr>
              <w:t>电磁辐射</w:t>
            </w:r>
          </w:p>
        </w:tc>
        <w:tc>
          <w:tcPr>
            <w:tcW w:w="990" w:type="dxa"/>
            <w:vAlign w:val="top"/>
          </w:tcPr>
          <w:p w14:paraId="180EC3DA">
            <w:pPr>
              <w:spacing w:line="396" w:lineRule="auto"/>
              <w:rPr>
                <w:rFonts w:ascii="Arial"/>
                <w:sz w:val="21"/>
              </w:rPr>
            </w:pPr>
          </w:p>
          <w:p w14:paraId="00B53F20">
            <w:pPr>
              <w:pStyle w:val="9"/>
              <w:spacing w:before="65" w:line="228" w:lineRule="auto"/>
              <w:ind w:left="62"/>
              <w:rPr>
                <w:sz w:val="20"/>
                <w:szCs w:val="20"/>
              </w:rPr>
            </w:pPr>
            <w:r>
              <w:rPr>
                <w:spacing w:val="16"/>
                <w:sz w:val="20"/>
                <w:szCs w:val="20"/>
              </w:rPr>
              <w:t>工频电场</w:t>
            </w:r>
          </w:p>
        </w:tc>
        <w:tc>
          <w:tcPr>
            <w:tcW w:w="2029" w:type="dxa"/>
            <w:vAlign w:val="top"/>
          </w:tcPr>
          <w:p w14:paraId="7F6122D1">
            <w:pPr>
              <w:pStyle w:val="9"/>
              <w:spacing w:before="192" w:line="250" w:lineRule="auto"/>
              <w:ind w:left="171" w:right="36" w:hanging="124"/>
              <w:rPr>
                <w:sz w:val="20"/>
                <w:szCs w:val="20"/>
              </w:rPr>
            </w:pPr>
            <w:r>
              <w:rPr>
                <w:spacing w:val="15"/>
                <w:sz w:val="20"/>
                <w:szCs w:val="20"/>
              </w:rPr>
              <w:t>《交流输变电工程电</w:t>
            </w:r>
            <w:r>
              <w:rPr>
                <w:spacing w:val="9"/>
                <w:sz w:val="20"/>
                <w:szCs w:val="20"/>
              </w:rPr>
              <w:t>磁环境监测方法》</w:t>
            </w:r>
          </w:p>
          <w:p w14:paraId="5871D7CF">
            <w:pPr>
              <w:pStyle w:val="9"/>
              <w:spacing w:before="1" w:line="220" w:lineRule="auto"/>
              <w:ind w:left="265"/>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w:t>
            </w:r>
            <w:r>
              <w:rPr>
                <w:spacing w:val="8"/>
                <w:sz w:val="20"/>
                <w:szCs w:val="20"/>
              </w:rPr>
              <w:t>试行</w:t>
            </w:r>
            <w:r>
              <w:rPr>
                <w:rFonts w:ascii="Times New Roman" w:hAnsi="Times New Roman" w:eastAsia="Times New Roman" w:cs="Times New Roman"/>
                <w:spacing w:val="8"/>
                <w:sz w:val="20"/>
                <w:szCs w:val="20"/>
              </w:rPr>
              <w:t>)</w:t>
            </w:r>
            <w:r>
              <w:rPr>
                <w:rFonts w:ascii="Times New Roman" w:hAnsi="Times New Roman" w:eastAsia="Times New Roman" w:cs="Times New Roman"/>
                <w:sz w:val="20"/>
                <w:szCs w:val="20"/>
              </w:rPr>
              <w:t>HJ</w:t>
            </w:r>
            <w:r>
              <w:rPr>
                <w:rFonts w:ascii="Times New Roman" w:hAnsi="Times New Roman" w:eastAsia="Times New Roman" w:cs="Times New Roman"/>
                <w:spacing w:val="8"/>
                <w:sz w:val="20"/>
                <w:szCs w:val="20"/>
              </w:rPr>
              <w:t>681-2013</w:t>
            </w:r>
          </w:p>
        </w:tc>
        <w:tc>
          <w:tcPr>
            <w:tcW w:w="2047" w:type="dxa"/>
            <w:vMerge w:val="restart"/>
            <w:tcBorders>
              <w:bottom w:val="nil"/>
            </w:tcBorders>
            <w:vAlign w:val="top"/>
          </w:tcPr>
          <w:p w14:paraId="2C81B2EF">
            <w:pPr>
              <w:spacing w:line="282" w:lineRule="auto"/>
              <w:rPr>
                <w:rFonts w:ascii="Arial"/>
                <w:sz w:val="21"/>
              </w:rPr>
            </w:pPr>
          </w:p>
          <w:p w14:paraId="1F6A9A99">
            <w:pPr>
              <w:spacing w:line="283" w:lineRule="auto"/>
              <w:rPr>
                <w:rFonts w:ascii="Arial"/>
                <w:sz w:val="21"/>
              </w:rPr>
            </w:pPr>
          </w:p>
          <w:p w14:paraId="70C96819">
            <w:pPr>
              <w:spacing w:line="283" w:lineRule="auto"/>
              <w:rPr>
                <w:rFonts w:ascii="Arial"/>
                <w:sz w:val="21"/>
              </w:rPr>
            </w:pPr>
          </w:p>
          <w:p w14:paraId="1C6B1DAA">
            <w:pPr>
              <w:pStyle w:val="9"/>
              <w:spacing w:before="65" w:line="228" w:lineRule="auto"/>
              <w:ind w:left="693"/>
              <w:rPr>
                <w:sz w:val="20"/>
                <w:szCs w:val="20"/>
              </w:rPr>
            </w:pPr>
            <w:r>
              <w:rPr>
                <w:spacing w:val="16"/>
                <w:sz w:val="20"/>
                <w:szCs w:val="20"/>
              </w:rPr>
              <w:t>场强仪</w:t>
            </w:r>
          </w:p>
          <w:p w14:paraId="5A1B3EFB">
            <w:pPr>
              <w:spacing w:before="46" w:line="195" w:lineRule="auto"/>
              <w:ind w:left="437"/>
              <w:rPr>
                <w:rFonts w:ascii="Times New Roman" w:hAnsi="Times New Roman" w:eastAsia="Times New Roman" w:cs="Times New Roman"/>
                <w:sz w:val="20"/>
                <w:szCs w:val="20"/>
              </w:rPr>
            </w:pPr>
            <w:r>
              <w:rPr>
                <w:rFonts w:ascii="Times New Roman" w:hAnsi="Times New Roman" w:eastAsia="Times New Roman" w:cs="Times New Roman"/>
                <w:sz w:val="20"/>
                <w:szCs w:val="20"/>
              </w:rPr>
              <w:t>BHYT</w:t>
            </w:r>
            <w:r>
              <w:rPr>
                <w:rFonts w:ascii="Times New Roman" w:hAnsi="Times New Roman" w:eastAsia="Times New Roman" w:cs="Times New Roman"/>
                <w:spacing w:val="16"/>
                <w:sz w:val="20"/>
                <w:szCs w:val="20"/>
              </w:rPr>
              <w:t>2010B</w:t>
            </w:r>
          </w:p>
          <w:p w14:paraId="01758855">
            <w:pPr>
              <w:spacing w:before="53" w:line="195" w:lineRule="auto"/>
              <w:ind w:left="571"/>
              <w:rPr>
                <w:rFonts w:ascii="Times New Roman" w:hAnsi="Times New Roman" w:eastAsia="Times New Roman" w:cs="Times New Roman"/>
                <w:sz w:val="20"/>
                <w:szCs w:val="20"/>
              </w:rPr>
            </w:pPr>
            <w:r>
              <w:rPr>
                <w:rFonts w:ascii="Times New Roman" w:hAnsi="Times New Roman" w:eastAsia="Times New Roman" w:cs="Times New Roman"/>
                <w:sz w:val="20"/>
                <w:szCs w:val="20"/>
              </w:rPr>
              <w:t>SH</w:t>
            </w:r>
            <w:r>
              <w:rPr>
                <w:rFonts w:ascii="Times New Roman" w:hAnsi="Times New Roman" w:eastAsia="Times New Roman" w:cs="Times New Roman"/>
                <w:spacing w:val="8"/>
                <w:sz w:val="20"/>
                <w:szCs w:val="20"/>
              </w:rPr>
              <w:t>013001</w:t>
            </w:r>
          </w:p>
        </w:tc>
        <w:tc>
          <w:tcPr>
            <w:tcW w:w="1195" w:type="dxa"/>
            <w:vMerge w:val="restart"/>
            <w:tcBorders>
              <w:bottom w:val="nil"/>
            </w:tcBorders>
            <w:vAlign w:val="top"/>
          </w:tcPr>
          <w:p w14:paraId="4EB0411E">
            <w:pPr>
              <w:spacing w:line="283" w:lineRule="auto"/>
              <w:rPr>
                <w:rFonts w:ascii="Arial"/>
                <w:sz w:val="21"/>
              </w:rPr>
            </w:pPr>
          </w:p>
          <w:p w14:paraId="5E261CD6">
            <w:pPr>
              <w:spacing w:line="283" w:lineRule="auto"/>
              <w:rPr>
                <w:rFonts w:ascii="Arial"/>
                <w:sz w:val="21"/>
              </w:rPr>
            </w:pPr>
          </w:p>
          <w:p w14:paraId="55356D75">
            <w:pPr>
              <w:spacing w:line="283" w:lineRule="auto"/>
              <w:rPr>
                <w:rFonts w:ascii="Arial"/>
                <w:sz w:val="21"/>
              </w:rPr>
            </w:pPr>
          </w:p>
          <w:p w14:paraId="6C2115FB">
            <w:pPr>
              <w:spacing w:line="284" w:lineRule="auto"/>
              <w:rPr>
                <w:rFonts w:ascii="Arial"/>
                <w:sz w:val="21"/>
              </w:rPr>
            </w:pPr>
          </w:p>
          <w:p w14:paraId="23142D61">
            <w:pPr>
              <w:spacing w:before="57" w:line="195" w:lineRule="auto"/>
              <w:ind w:left="193"/>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2025.07.21</w:t>
            </w:r>
          </w:p>
        </w:tc>
        <w:tc>
          <w:tcPr>
            <w:tcW w:w="1198" w:type="dxa"/>
            <w:vMerge w:val="restart"/>
            <w:tcBorders>
              <w:bottom w:val="nil"/>
            </w:tcBorders>
            <w:vAlign w:val="top"/>
          </w:tcPr>
          <w:p w14:paraId="2E2AAE5D">
            <w:pPr>
              <w:spacing w:line="283" w:lineRule="auto"/>
              <w:rPr>
                <w:rFonts w:ascii="Arial"/>
                <w:sz w:val="21"/>
              </w:rPr>
            </w:pPr>
          </w:p>
          <w:p w14:paraId="59D6D5BF">
            <w:pPr>
              <w:spacing w:line="283" w:lineRule="auto"/>
              <w:rPr>
                <w:rFonts w:ascii="Arial"/>
                <w:sz w:val="21"/>
              </w:rPr>
            </w:pPr>
          </w:p>
          <w:p w14:paraId="5C1C3B35">
            <w:pPr>
              <w:spacing w:line="283" w:lineRule="auto"/>
              <w:rPr>
                <w:rFonts w:ascii="Arial"/>
                <w:sz w:val="21"/>
              </w:rPr>
            </w:pPr>
          </w:p>
          <w:p w14:paraId="1E26B509">
            <w:pPr>
              <w:spacing w:line="284" w:lineRule="auto"/>
              <w:rPr>
                <w:rFonts w:ascii="Arial"/>
                <w:sz w:val="21"/>
              </w:rPr>
            </w:pPr>
          </w:p>
          <w:p w14:paraId="5B97A6A4">
            <w:pPr>
              <w:spacing w:before="57" w:line="195" w:lineRule="auto"/>
              <w:ind w:left="193"/>
              <w:rPr>
                <w:rFonts w:ascii="Times New Roman" w:hAnsi="Times New Roman" w:eastAsia="Times New Roman" w:cs="Times New Roman"/>
                <w:sz w:val="20"/>
                <w:szCs w:val="20"/>
              </w:rPr>
            </w:pPr>
            <w:r>
              <w:rPr>
                <w:rFonts w:ascii="Times New Roman" w:hAnsi="Times New Roman" w:eastAsia="Times New Roman" w:cs="Times New Roman"/>
                <w:spacing w:val="-7"/>
                <w:sz w:val="20"/>
                <w:szCs w:val="20"/>
              </w:rPr>
              <w:t>2026.07.20</w:t>
            </w:r>
          </w:p>
        </w:tc>
      </w:tr>
      <w:tr w14:paraId="719024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9" w:hRule="atLeast"/>
        </w:trPr>
        <w:tc>
          <w:tcPr>
            <w:tcW w:w="477" w:type="dxa"/>
            <w:vMerge w:val="continue"/>
            <w:tcBorders>
              <w:top w:val="nil"/>
            </w:tcBorders>
            <w:vAlign w:val="top"/>
          </w:tcPr>
          <w:p w14:paraId="034254A7">
            <w:pPr>
              <w:rPr>
                <w:rFonts w:ascii="Arial"/>
                <w:sz w:val="21"/>
              </w:rPr>
            </w:pPr>
          </w:p>
        </w:tc>
        <w:tc>
          <w:tcPr>
            <w:tcW w:w="1074" w:type="dxa"/>
            <w:vMerge w:val="continue"/>
            <w:tcBorders>
              <w:top w:val="nil"/>
            </w:tcBorders>
            <w:vAlign w:val="top"/>
          </w:tcPr>
          <w:p w14:paraId="56D2BD6B">
            <w:pPr>
              <w:rPr>
                <w:rFonts w:ascii="Arial"/>
                <w:sz w:val="21"/>
              </w:rPr>
            </w:pPr>
          </w:p>
        </w:tc>
        <w:tc>
          <w:tcPr>
            <w:tcW w:w="990" w:type="dxa"/>
            <w:vAlign w:val="top"/>
          </w:tcPr>
          <w:p w14:paraId="17CC8439">
            <w:pPr>
              <w:pStyle w:val="9"/>
              <w:spacing w:before="171" w:line="228" w:lineRule="auto"/>
              <w:ind w:left="58"/>
              <w:rPr>
                <w:sz w:val="20"/>
                <w:szCs w:val="20"/>
              </w:rPr>
            </w:pPr>
            <w:r>
              <w:rPr>
                <w:spacing w:val="16"/>
                <w:sz w:val="20"/>
                <w:szCs w:val="20"/>
              </w:rPr>
              <w:t>工频磁场</w:t>
            </w:r>
          </w:p>
          <w:p w14:paraId="20AC7DE7">
            <w:pPr>
              <w:pStyle w:val="9"/>
              <w:spacing w:before="23" w:line="221" w:lineRule="auto"/>
              <w:ind w:left="118"/>
              <w:rPr>
                <w:sz w:val="20"/>
                <w:szCs w:val="20"/>
              </w:rPr>
            </w:pPr>
            <w:r>
              <w:rPr>
                <w:rFonts w:ascii="Times New Roman" w:hAnsi="Times New Roman" w:eastAsia="Times New Roman" w:cs="Times New Roman"/>
                <w:spacing w:val="11"/>
                <w:sz w:val="20"/>
                <w:szCs w:val="20"/>
              </w:rPr>
              <w:t>(</w:t>
            </w:r>
            <w:r>
              <w:rPr>
                <w:spacing w:val="11"/>
                <w:sz w:val="20"/>
                <w:szCs w:val="20"/>
              </w:rPr>
              <w:t>工频磁</w:t>
            </w:r>
          </w:p>
          <w:p w14:paraId="437C4508">
            <w:pPr>
              <w:pStyle w:val="9"/>
              <w:spacing w:before="35" w:line="258" w:lineRule="auto"/>
              <w:ind w:left="356" w:right="142" w:hanging="211"/>
              <w:rPr>
                <w:rFonts w:ascii="Times New Roman" w:hAnsi="Times New Roman" w:eastAsia="Times New Roman" w:cs="Times New Roman"/>
                <w:sz w:val="20"/>
                <w:szCs w:val="20"/>
              </w:rPr>
            </w:pPr>
            <w:r>
              <w:rPr>
                <w:spacing w:val="16"/>
                <w:sz w:val="20"/>
                <w:szCs w:val="20"/>
              </w:rPr>
              <w:t>感</w:t>
            </w:r>
            <w:r>
              <w:rPr>
                <w:spacing w:val="-53"/>
                <w:sz w:val="20"/>
                <w:szCs w:val="20"/>
              </w:rPr>
              <w:t xml:space="preserve"> </w:t>
            </w:r>
            <w:r>
              <w:rPr>
                <w:spacing w:val="16"/>
                <w:sz w:val="20"/>
                <w:szCs w:val="20"/>
              </w:rPr>
              <w:t>应强</w:t>
            </w:r>
            <w:r>
              <w:rPr>
                <w:spacing w:val="4"/>
                <w:sz w:val="20"/>
                <w:szCs w:val="20"/>
              </w:rPr>
              <w:t>度</w:t>
            </w:r>
            <w:r>
              <w:rPr>
                <w:rFonts w:ascii="Times New Roman" w:hAnsi="Times New Roman" w:eastAsia="Times New Roman" w:cs="Times New Roman"/>
                <w:spacing w:val="4"/>
                <w:sz w:val="20"/>
                <w:szCs w:val="20"/>
              </w:rPr>
              <w:t>)</w:t>
            </w:r>
          </w:p>
        </w:tc>
        <w:tc>
          <w:tcPr>
            <w:tcW w:w="2029" w:type="dxa"/>
            <w:vAlign w:val="top"/>
          </w:tcPr>
          <w:p w14:paraId="39A0CBAC">
            <w:pPr>
              <w:spacing w:line="252" w:lineRule="auto"/>
              <w:rPr>
                <w:rFonts w:ascii="Arial"/>
                <w:sz w:val="21"/>
              </w:rPr>
            </w:pPr>
          </w:p>
          <w:p w14:paraId="44C0BEB1">
            <w:pPr>
              <w:pStyle w:val="9"/>
              <w:spacing w:before="65" w:line="250" w:lineRule="auto"/>
              <w:ind w:left="171" w:right="36" w:hanging="124"/>
              <w:rPr>
                <w:sz w:val="20"/>
                <w:szCs w:val="20"/>
              </w:rPr>
            </w:pPr>
            <w:r>
              <w:rPr>
                <w:spacing w:val="15"/>
                <w:sz w:val="20"/>
                <w:szCs w:val="20"/>
              </w:rPr>
              <w:t>《交流输变电工程电</w:t>
            </w:r>
            <w:r>
              <w:rPr>
                <w:spacing w:val="9"/>
                <w:sz w:val="20"/>
                <w:szCs w:val="20"/>
              </w:rPr>
              <w:t>磁环境监测方法》</w:t>
            </w:r>
          </w:p>
          <w:p w14:paraId="3F5B9180">
            <w:pPr>
              <w:pStyle w:val="9"/>
              <w:spacing w:before="1" w:line="220" w:lineRule="auto"/>
              <w:ind w:left="253"/>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w:t>
            </w:r>
            <w:r>
              <w:rPr>
                <w:spacing w:val="8"/>
                <w:sz w:val="20"/>
                <w:szCs w:val="20"/>
              </w:rPr>
              <w:t>试行</w:t>
            </w:r>
            <w:r>
              <w:rPr>
                <w:rFonts w:ascii="Times New Roman" w:hAnsi="Times New Roman" w:eastAsia="Times New Roman" w:cs="Times New Roman"/>
                <w:spacing w:val="8"/>
                <w:sz w:val="20"/>
                <w:szCs w:val="20"/>
              </w:rPr>
              <w:t>)</w:t>
            </w:r>
            <w:r>
              <w:rPr>
                <w:rFonts w:ascii="Times New Roman" w:hAnsi="Times New Roman" w:eastAsia="Times New Roman" w:cs="Times New Roman"/>
                <w:sz w:val="20"/>
                <w:szCs w:val="20"/>
              </w:rPr>
              <w:t>HJ</w:t>
            </w:r>
            <w:r>
              <w:rPr>
                <w:rFonts w:ascii="Times New Roman" w:hAnsi="Times New Roman" w:eastAsia="Times New Roman" w:cs="Times New Roman"/>
                <w:spacing w:val="8"/>
                <w:sz w:val="20"/>
                <w:szCs w:val="20"/>
              </w:rPr>
              <w:t>681-2013</w:t>
            </w:r>
          </w:p>
        </w:tc>
        <w:tc>
          <w:tcPr>
            <w:tcW w:w="2047" w:type="dxa"/>
            <w:vMerge w:val="continue"/>
            <w:tcBorders>
              <w:top w:val="nil"/>
            </w:tcBorders>
            <w:vAlign w:val="top"/>
          </w:tcPr>
          <w:p w14:paraId="7EFBCC5D">
            <w:pPr>
              <w:rPr>
                <w:rFonts w:ascii="Arial"/>
                <w:sz w:val="21"/>
              </w:rPr>
            </w:pPr>
          </w:p>
        </w:tc>
        <w:tc>
          <w:tcPr>
            <w:tcW w:w="1195" w:type="dxa"/>
            <w:vMerge w:val="continue"/>
            <w:tcBorders>
              <w:top w:val="nil"/>
            </w:tcBorders>
            <w:vAlign w:val="top"/>
          </w:tcPr>
          <w:p w14:paraId="68ADDEE2">
            <w:pPr>
              <w:rPr>
                <w:rFonts w:ascii="Arial"/>
                <w:sz w:val="21"/>
              </w:rPr>
            </w:pPr>
          </w:p>
        </w:tc>
        <w:tc>
          <w:tcPr>
            <w:tcW w:w="1198" w:type="dxa"/>
            <w:vMerge w:val="continue"/>
            <w:tcBorders>
              <w:top w:val="nil"/>
            </w:tcBorders>
            <w:vAlign w:val="top"/>
          </w:tcPr>
          <w:p w14:paraId="2D334283">
            <w:pPr>
              <w:rPr>
                <w:rFonts w:ascii="Arial"/>
                <w:sz w:val="21"/>
              </w:rPr>
            </w:pPr>
          </w:p>
        </w:tc>
      </w:tr>
    </w:tbl>
    <w:p w14:paraId="1B620F0F">
      <w:pPr>
        <w:spacing w:before="163" w:line="220" w:lineRule="auto"/>
        <w:ind w:left="363"/>
        <w:outlineLvl w:val="1"/>
        <w:rPr>
          <w:rFonts w:ascii="宋体" w:hAnsi="宋体" w:eastAsia="宋体" w:cs="宋体"/>
          <w:sz w:val="24"/>
          <w:szCs w:val="24"/>
        </w:rPr>
      </w:pPr>
      <w:r>
        <w:rPr>
          <w:rFonts w:ascii="宋体" w:hAnsi="宋体" w:eastAsia="宋体" w:cs="宋体"/>
          <w:b/>
          <w:bCs/>
          <w:spacing w:val="-5"/>
          <w:sz w:val="24"/>
          <w:szCs w:val="24"/>
        </w:rPr>
        <w:t>4.5</w:t>
      </w:r>
      <w:r>
        <w:rPr>
          <w:rFonts w:ascii="宋体" w:hAnsi="宋体" w:eastAsia="宋体" w:cs="宋体"/>
          <w:spacing w:val="-48"/>
          <w:sz w:val="24"/>
          <w:szCs w:val="24"/>
        </w:rPr>
        <w:t xml:space="preserve"> </w:t>
      </w:r>
      <w:r>
        <w:rPr>
          <w:rFonts w:ascii="宋体" w:hAnsi="宋体" w:eastAsia="宋体" w:cs="宋体"/>
          <w:b/>
          <w:bCs/>
          <w:spacing w:val="-5"/>
          <w:sz w:val="24"/>
          <w:szCs w:val="24"/>
        </w:rPr>
        <w:t>监测工况</w:t>
      </w:r>
    </w:p>
    <w:p w14:paraId="6DD55972">
      <w:pPr>
        <w:spacing w:before="183" w:line="219" w:lineRule="auto"/>
        <w:ind w:left="3303"/>
        <w:rPr>
          <w:rFonts w:ascii="宋体" w:hAnsi="宋体" w:eastAsia="宋体" w:cs="宋体"/>
          <w:sz w:val="24"/>
          <w:szCs w:val="24"/>
        </w:rPr>
      </w:pPr>
      <w:r>
        <w:rPr>
          <w:rFonts w:ascii="宋体" w:hAnsi="宋体" w:eastAsia="宋体" w:cs="宋体"/>
          <w:b/>
          <w:bCs/>
          <w:spacing w:val="-2"/>
          <w:sz w:val="24"/>
          <w:szCs w:val="24"/>
        </w:rPr>
        <w:t>表</w:t>
      </w:r>
      <w:r>
        <w:rPr>
          <w:rFonts w:ascii="宋体" w:hAnsi="宋体" w:eastAsia="宋体" w:cs="宋体"/>
          <w:spacing w:val="-51"/>
          <w:sz w:val="24"/>
          <w:szCs w:val="24"/>
        </w:rPr>
        <w:t xml:space="preserve"> </w:t>
      </w:r>
      <w:r>
        <w:rPr>
          <w:rFonts w:ascii="Times New Roman" w:hAnsi="Times New Roman" w:eastAsia="Times New Roman" w:cs="Times New Roman"/>
          <w:b/>
          <w:bCs/>
          <w:spacing w:val="-2"/>
          <w:sz w:val="24"/>
          <w:szCs w:val="24"/>
        </w:rPr>
        <w:t xml:space="preserve">4-2      </w:t>
      </w:r>
      <w:r>
        <w:rPr>
          <w:rFonts w:ascii="宋体" w:hAnsi="宋体" w:eastAsia="宋体" w:cs="宋体"/>
          <w:b/>
          <w:bCs/>
          <w:spacing w:val="-2"/>
          <w:sz w:val="24"/>
          <w:szCs w:val="24"/>
        </w:rPr>
        <w:t>监测工况条件</w:t>
      </w:r>
    </w:p>
    <w:p w14:paraId="14B93694">
      <w:pPr>
        <w:spacing w:line="143" w:lineRule="auto"/>
        <w:rPr>
          <w:rFonts w:ascii="Arial"/>
          <w:sz w:val="2"/>
        </w:rPr>
      </w:pPr>
    </w:p>
    <w:tbl>
      <w:tblPr>
        <w:tblStyle w:val="8"/>
        <w:tblW w:w="8525" w:type="dxa"/>
        <w:tblInd w:w="24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61"/>
        <w:gridCol w:w="1725"/>
        <w:gridCol w:w="1725"/>
        <w:gridCol w:w="1504"/>
        <w:gridCol w:w="1510"/>
      </w:tblGrid>
      <w:tr w14:paraId="21A822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8525" w:type="dxa"/>
            <w:gridSpan w:val="5"/>
            <w:vAlign w:val="top"/>
          </w:tcPr>
          <w:p w14:paraId="3F946EE4">
            <w:pPr>
              <w:pStyle w:val="9"/>
              <w:spacing w:before="200" w:line="233" w:lineRule="auto"/>
              <w:ind w:left="4049"/>
              <w:rPr>
                <w:sz w:val="20"/>
                <w:szCs w:val="20"/>
              </w:rPr>
            </w:pPr>
            <w:r>
              <w:rPr>
                <w:rFonts w:ascii="Times New Roman" w:hAnsi="Times New Roman" w:eastAsia="Times New Roman" w:cs="Times New Roman"/>
                <w:spacing w:val="-5"/>
                <w:sz w:val="20"/>
                <w:szCs w:val="20"/>
              </w:rPr>
              <w:t>19</w:t>
            </w:r>
            <w:r>
              <w:rPr>
                <w:rFonts w:ascii="Times New Roman" w:hAnsi="Times New Roman" w:eastAsia="Times New Roman" w:cs="Times New Roman"/>
                <w:spacing w:val="45"/>
                <w:w w:val="101"/>
                <w:sz w:val="20"/>
                <w:szCs w:val="20"/>
              </w:rPr>
              <w:t xml:space="preserve"> </w:t>
            </w:r>
            <w:r>
              <w:rPr>
                <w:spacing w:val="-5"/>
                <w:sz w:val="20"/>
                <w:szCs w:val="20"/>
              </w:rPr>
              <w:t>日</w:t>
            </w:r>
          </w:p>
        </w:tc>
      </w:tr>
      <w:tr w14:paraId="6C584C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2061" w:type="dxa"/>
            <w:vAlign w:val="top"/>
          </w:tcPr>
          <w:p w14:paraId="5F46F85E">
            <w:pPr>
              <w:pStyle w:val="9"/>
              <w:spacing w:before="198" w:line="228" w:lineRule="auto"/>
              <w:ind w:left="829"/>
              <w:rPr>
                <w:sz w:val="20"/>
                <w:szCs w:val="20"/>
              </w:rPr>
            </w:pPr>
            <w:r>
              <w:rPr>
                <w:spacing w:val="3"/>
                <w:sz w:val="20"/>
                <w:szCs w:val="20"/>
              </w:rPr>
              <w:t>项目</w:t>
            </w:r>
          </w:p>
        </w:tc>
        <w:tc>
          <w:tcPr>
            <w:tcW w:w="1725" w:type="dxa"/>
            <w:vAlign w:val="top"/>
          </w:tcPr>
          <w:p w14:paraId="3DE01EC2">
            <w:pPr>
              <w:pStyle w:val="9"/>
              <w:spacing w:before="133" w:line="231" w:lineRule="auto"/>
              <w:ind w:left="683"/>
              <w:rPr>
                <w:sz w:val="20"/>
                <w:szCs w:val="20"/>
              </w:rPr>
            </w:pPr>
            <w:r>
              <w:rPr>
                <w:spacing w:val="-8"/>
                <w:sz w:val="20"/>
                <w:szCs w:val="20"/>
              </w:rPr>
              <w:t>电流</w:t>
            </w:r>
          </w:p>
        </w:tc>
        <w:tc>
          <w:tcPr>
            <w:tcW w:w="1725" w:type="dxa"/>
            <w:vAlign w:val="top"/>
          </w:tcPr>
          <w:p w14:paraId="27893C78">
            <w:pPr>
              <w:pStyle w:val="9"/>
              <w:spacing w:before="133" w:line="231" w:lineRule="auto"/>
              <w:ind w:left="684"/>
              <w:rPr>
                <w:sz w:val="20"/>
                <w:szCs w:val="20"/>
              </w:rPr>
            </w:pPr>
            <w:r>
              <w:rPr>
                <w:spacing w:val="-8"/>
                <w:sz w:val="20"/>
                <w:szCs w:val="20"/>
              </w:rPr>
              <w:t>电压</w:t>
            </w:r>
          </w:p>
        </w:tc>
        <w:tc>
          <w:tcPr>
            <w:tcW w:w="1504" w:type="dxa"/>
            <w:vAlign w:val="top"/>
          </w:tcPr>
          <w:p w14:paraId="748ABEDF">
            <w:pPr>
              <w:pStyle w:val="9"/>
              <w:spacing w:before="133" w:line="228" w:lineRule="auto"/>
              <w:ind w:left="550"/>
              <w:rPr>
                <w:sz w:val="20"/>
                <w:szCs w:val="20"/>
              </w:rPr>
            </w:pPr>
            <w:r>
              <w:rPr>
                <w:spacing w:val="4"/>
                <w:sz w:val="20"/>
                <w:szCs w:val="20"/>
              </w:rPr>
              <w:t>有功</w:t>
            </w:r>
          </w:p>
        </w:tc>
        <w:tc>
          <w:tcPr>
            <w:tcW w:w="1510" w:type="dxa"/>
            <w:vAlign w:val="top"/>
          </w:tcPr>
          <w:p w14:paraId="326CDBCA">
            <w:pPr>
              <w:pStyle w:val="9"/>
              <w:spacing w:before="133" w:line="228" w:lineRule="auto"/>
              <w:ind w:left="552"/>
              <w:rPr>
                <w:sz w:val="20"/>
                <w:szCs w:val="20"/>
              </w:rPr>
            </w:pPr>
            <w:r>
              <w:rPr>
                <w:spacing w:val="3"/>
                <w:sz w:val="20"/>
                <w:szCs w:val="20"/>
              </w:rPr>
              <w:t>无功</w:t>
            </w:r>
          </w:p>
        </w:tc>
      </w:tr>
      <w:tr w14:paraId="55FCDA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2061" w:type="dxa"/>
            <w:vAlign w:val="top"/>
          </w:tcPr>
          <w:p w14:paraId="02A6834C">
            <w:pPr>
              <w:pStyle w:val="9"/>
              <w:spacing w:before="134" w:line="229" w:lineRule="auto"/>
              <w:ind w:left="660"/>
              <w:rPr>
                <w:sz w:val="20"/>
                <w:szCs w:val="20"/>
              </w:rPr>
            </w:pPr>
            <w:r>
              <w:rPr>
                <w:rFonts w:ascii="Times New Roman" w:hAnsi="Times New Roman" w:eastAsia="Times New Roman" w:cs="Times New Roman"/>
                <w:spacing w:val="-2"/>
                <w:sz w:val="20"/>
                <w:szCs w:val="20"/>
              </w:rPr>
              <w:t>1</w:t>
            </w:r>
            <w:r>
              <w:rPr>
                <w:rFonts w:ascii="Times New Roman" w:hAnsi="Times New Roman" w:eastAsia="Times New Roman" w:cs="Times New Roman"/>
                <w:spacing w:val="17"/>
                <w:w w:val="101"/>
                <w:sz w:val="20"/>
                <w:szCs w:val="20"/>
              </w:rPr>
              <w:t xml:space="preserve"> </w:t>
            </w:r>
            <w:r>
              <w:rPr>
                <w:spacing w:val="-2"/>
                <w:sz w:val="20"/>
                <w:szCs w:val="20"/>
              </w:rPr>
              <w:t>号主变</w:t>
            </w:r>
          </w:p>
        </w:tc>
        <w:tc>
          <w:tcPr>
            <w:tcW w:w="1725" w:type="dxa"/>
            <w:vAlign w:val="top"/>
          </w:tcPr>
          <w:p w14:paraId="46B5164C">
            <w:pPr>
              <w:spacing w:before="170" w:line="195" w:lineRule="auto"/>
              <w:ind w:left="62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72.69</w:t>
            </w:r>
          </w:p>
        </w:tc>
        <w:tc>
          <w:tcPr>
            <w:tcW w:w="1725" w:type="dxa"/>
            <w:vAlign w:val="top"/>
          </w:tcPr>
          <w:p w14:paraId="3EA7B50D">
            <w:pPr>
              <w:spacing w:before="170" w:line="195" w:lineRule="auto"/>
              <w:ind w:left="57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229.45</w:t>
            </w:r>
          </w:p>
        </w:tc>
        <w:tc>
          <w:tcPr>
            <w:tcW w:w="1504" w:type="dxa"/>
            <w:vAlign w:val="top"/>
          </w:tcPr>
          <w:p w14:paraId="7812B840">
            <w:pPr>
              <w:spacing w:before="170" w:line="195" w:lineRule="auto"/>
              <w:ind w:left="51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24.22</w:t>
            </w:r>
          </w:p>
        </w:tc>
        <w:tc>
          <w:tcPr>
            <w:tcW w:w="1510" w:type="dxa"/>
            <w:vAlign w:val="top"/>
          </w:tcPr>
          <w:p w14:paraId="77BE36E8">
            <w:pPr>
              <w:spacing w:before="170" w:line="195" w:lineRule="auto"/>
              <w:ind w:left="58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8.85</w:t>
            </w:r>
          </w:p>
        </w:tc>
      </w:tr>
    </w:tbl>
    <w:p w14:paraId="15C011F7">
      <w:pPr>
        <w:pStyle w:val="3"/>
      </w:pPr>
    </w:p>
    <w:p w14:paraId="451DB8DF">
      <w:pPr>
        <w:sectPr>
          <w:footerReference r:id="rId101" w:type="default"/>
          <w:pgSz w:w="11906" w:h="16838"/>
          <w:pgMar w:top="1431" w:right="1445" w:bottom="1295" w:left="1444" w:header="0" w:footer="1133" w:gutter="0"/>
          <w:cols w:space="720" w:num="1"/>
        </w:sectPr>
      </w:pPr>
    </w:p>
    <w:p w14:paraId="7B359981">
      <w:pPr>
        <w:spacing w:line="91" w:lineRule="auto"/>
        <w:rPr>
          <w:rFonts w:ascii="Arial"/>
          <w:sz w:val="2"/>
        </w:rPr>
      </w:pPr>
    </w:p>
    <w:tbl>
      <w:tblPr>
        <w:tblStyle w:val="8"/>
        <w:tblW w:w="8525" w:type="dxa"/>
        <w:tblInd w:w="13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61"/>
        <w:gridCol w:w="1725"/>
        <w:gridCol w:w="1725"/>
        <w:gridCol w:w="1504"/>
        <w:gridCol w:w="1510"/>
      </w:tblGrid>
      <w:tr w14:paraId="795CB1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2061" w:type="dxa"/>
            <w:vAlign w:val="top"/>
          </w:tcPr>
          <w:p w14:paraId="1EC8BA5A">
            <w:pPr>
              <w:pStyle w:val="9"/>
              <w:spacing w:before="135" w:line="229" w:lineRule="auto"/>
              <w:ind w:left="640"/>
              <w:rPr>
                <w:sz w:val="20"/>
                <w:szCs w:val="20"/>
              </w:rPr>
            </w:pPr>
            <w:r>
              <w:rPr>
                <w:rFonts w:ascii="Times New Roman" w:hAnsi="Times New Roman" w:eastAsia="Times New Roman" w:cs="Times New Roman"/>
                <w:spacing w:val="3"/>
                <w:sz w:val="20"/>
                <w:szCs w:val="20"/>
              </w:rPr>
              <w:t>2</w:t>
            </w:r>
            <w:r>
              <w:rPr>
                <w:rFonts w:ascii="Times New Roman" w:hAnsi="Times New Roman" w:eastAsia="Times New Roman" w:cs="Times New Roman"/>
                <w:spacing w:val="17"/>
                <w:w w:val="101"/>
                <w:sz w:val="20"/>
                <w:szCs w:val="20"/>
              </w:rPr>
              <w:t xml:space="preserve"> </w:t>
            </w:r>
            <w:r>
              <w:rPr>
                <w:spacing w:val="3"/>
                <w:sz w:val="20"/>
                <w:szCs w:val="20"/>
              </w:rPr>
              <w:t>号主变</w:t>
            </w:r>
          </w:p>
        </w:tc>
        <w:tc>
          <w:tcPr>
            <w:tcW w:w="1725" w:type="dxa"/>
            <w:vAlign w:val="top"/>
          </w:tcPr>
          <w:p w14:paraId="2CBF2200">
            <w:pPr>
              <w:spacing w:before="171" w:line="195" w:lineRule="auto"/>
              <w:ind w:left="68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90.</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p>
        </w:tc>
        <w:tc>
          <w:tcPr>
            <w:tcW w:w="1725" w:type="dxa"/>
            <w:vAlign w:val="top"/>
          </w:tcPr>
          <w:p w14:paraId="3238DFD0">
            <w:pPr>
              <w:spacing w:before="171" w:line="195" w:lineRule="auto"/>
              <w:ind w:left="57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229.48</w:t>
            </w:r>
          </w:p>
        </w:tc>
        <w:tc>
          <w:tcPr>
            <w:tcW w:w="1504" w:type="dxa"/>
            <w:vAlign w:val="top"/>
          </w:tcPr>
          <w:p w14:paraId="2E65F421">
            <w:pPr>
              <w:spacing w:before="171" w:line="195" w:lineRule="auto"/>
              <w:ind w:left="52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31.64</w:t>
            </w:r>
          </w:p>
        </w:tc>
        <w:tc>
          <w:tcPr>
            <w:tcW w:w="1510" w:type="dxa"/>
            <w:vAlign w:val="top"/>
          </w:tcPr>
          <w:p w14:paraId="7F88C3EB">
            <w:pPr>
              <w:spacing w:before="171" w:line="195" w:lineRule="auto"/>
              <w:ind w:left="57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5.92</w:t>
            </w:r>
          </w:p>
        </w:tc>
      </w:tr>
      <w:tr w14:paraId="6F645E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2061" w:type="dxa"/>
            <w:vAlign w:val="top"/>
          </w:tcPr>
          <w:p w14:paraId="1B2966A8">
            <w:pPr>
              <w:pStyle w:val="9"/>
              <w:spacing w:before="132" w:line="229" w:lineRule="auto"/>
              <w:ind w:left="644"/>
              <w:rPr>
                <w:sz w:val="20"/>
                <w:szCs w:val="20"/>
              </w:rPr>
            </w:pPr>
            <w:r>
              <w:rPr>
                <w:rFonts w:ascii="Times New Roman" w:hAnsi="Times New Roman" w:eastAsia="Times New Roman" w:cs="Times New Roman"/>
                <w:spacing w:val="2"/>
                <w:sz w:val="20"/>
                <w:szCs w:val="20"/>
              </w:rPr>
              <w:t>3</w:t>
            </w:r>
            <w:r>
              <w:rPr>
                <w:rFonts w:ascii="Times New Roman" w:hAnsi="Times New Roman" w:eastAsia="Times New Roman" w:cs="Times New Roman"/>
                <w:spacing w:val="17"/>
                <w:sz w:val="20"/>
                <w:szCs w:val="20"/>
              </w:rPr>
              <w:t xml:space="preserve"> </w:t>
            </w:r>
            <w:r>
              <w:rPr>
                <w:spacing w:val="2"/>
                <w:sz w:val="20"/>
                <w:szCs w:val="20"/>
              </w:rPr>
              <w:t>号主变</w:t>
            </w:r>
          </w:p>
        </w:tc>
        <w:tc>
          <w:tcPr>
            <w:tcW w:w="1725" w:type="dxa"/>
            <w:vAlign w:val="top"/>
          </w:tcPr>
          <w:p w14:paraId="5284ED08">
            <w:pPr>
              <w:spacing w:before="168" w:line="195" w:lineRule="auto"/>
              <w:ind w:left="625"/>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46.26</w:t>
            </w:r>
          </w:p>
        </w:tc>
        <w:tc>
          <w:tcPr>
            <w:tcW w:w="1725" w:type="dxa"/>
            <w:vAlign w:val="top"/>
          </w:tcPr>
          <w:p w14:paraId="1762E513">
            <w:pPr>
              <w:spacing w:before="168" w:line="195" w:lineRule="auto"/>
              <w:ind w:left="57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229.93</w:t>
            </w:r>
          </w:p>
        </w:tc>
        <w:tc>
          <w:tcPr>
            <w:tcW w:w="1504" w:type="dxa"/>
            <w:vAlign w:val="top"/>
          </w:tcPr>
          <w:p w14:paraId="0B6358DB">
            <w:pPr>
              <w:spacing w:before="168" w:line="195" w:lineRule="auto"/>
              <w:ind w:left="53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17.33</w:t>
            </w:r>
          </w:p>
        </w:tc>
        <w:tc>
          <w:tcPr>
            <w:tcW w:w="1510" w:type="dxa"/>
            <w:vAlign w:val="top"/>
          </w:tcPr>
          <w:p w14:paraId="2428F0F1">
            <w:pPr>
              <w:spacing w:before="168" w:line="195" w:lineRule="auto"/>
              <w:ind w:left="57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2.23</w:t>
            </w:r>
          </w:p>
        </w:tc>
      </w:tr>
      <w:tr w14:paraId="172F7C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2061" w:type="dxa"/>
            <w:vAlign w:val="top"/>
          </w:tcPr>
          <w:p w14:paraId="703E8771">
            <w:pPr>
              <w:pStyle w:val="9"/>
              <w:spacing w:before="134" w:line="229" w:lineRule="auto"/>
              <w:ind w:left="645"/>
              <w:rPr>
                <w:sz w:val="20"/>
                <w:szCs w:val="20"/>
              </w:rPr>
            </w:pPr>
            <w:r>
              <w:rPr>
                <w:rFonts w:ascii="Times New Roman" w:hAnsi="Times New Roman" w:eastAsia="Times New Roman" w:cs="Times New Roman"/>
                <w:spacing w:val="2"/>
                <w:sz w:val="20"/>
                <w:szCs w:val="20"/>
              </w:rPr>
              <w:t>5</w:t>
            </w:r>
            <w:r>
              <w:rPr>
                <w:rFonts w:ascii="Times New Roman" w:hAnsi="Times New Roman" w:eastAsia="Times New Roman" w:cs="Times New Roman"/>
                <w:spacing w:val="15"/>
                <w:w w:val="101"/>
                <w:sz w:val="20"/>
                <w:szCs w:val="20"/>
              </w:rPr>
              <w:t xml:space="preserve"> </w:t>
            </w:r>
            <w:r>
              <w:rPr>
                <w:spacing w:val="2"/>
                <w:sz w:val="20"/>
                <w:szCs w:val="20"/>
              </w:rPr>
              <w:t>号主变</w:t>
            </w:r>
          </w:p>
        </w:tc>
        <w:tc>
          <w:tcPr>
            <w:tcW w:w="1725" w:type="dxa"/>
            <w:vAlign w:val="top"/>
          </w:tcPr>
          <w:p w14:paraId="25F3C0BB">
            <w:pPr>
              <w:spacing w:before="170" w:line="195" w:lineRule="auto"/>
              <w:ind w:left="596"/>
              <w:rPr>
                <w:rFonts w:ascii="Times New Roman" w:hAnsi="Times New Roman" w:eastAsia="Times New Roman" w:cs="Times New Roman"/>
                <w:sz w:val="20"/>
                <w:szCs w:val="20"/>
              </w:rPr>
            </w:pPr>
            <w:r>
              <w:rPr>
                <w:rFonts w:ascii="Times New Roman" w:hAnsi="Times New Roman" w:eastAsia="Times New Roman" w:cs="Times New Roman"/>
                <w:sz w:val="20"/>
                <w:szCs w:val="20"/>
              </w:rPr>
              <w:t>115.77</w:t>
            </w:r>
          </w:p>
        </w:tc>
        <w:tc>
          <w:tcPr>
            <w:tcW w:w="1725" w:type="dxa"/>
            <w:vAlign w:val="top"/>
          </w:tcPr>
          <w:p w14:paraId="13B67F93">
            <w:pPr>
              <w:spacing w:before="170" w:line="195" w:lineRule="auto"/>
              <w:ind w:left="57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229.79</w:t>
            </w:r>
          </w:p>
        </w:tc>
        <w:tc>
          <w:tcPr>
            <w:tcW w:w="1504" w:type="dxa"/>
            <w:vAlign w:val="top"/>
          </w:tcPr>
          <w:p w14:paraId="36D88F2F">
            <w:pPr>
              <w:spacing w:before="170" w:line="195" w:lineRule="auto"/>
              <w:ind w:left="56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40.9</w:t>
            </w:r>
          </w:p>
        </w:tc>
        <w:tc>
          <w:tcPr>
            <w:tcW w:w="1510" w:type="dxa"/>
            <w:vAlign w:val="top"/>
          </w:tcPr>
          <w:p w14:paraId="60C9B64A">
            <w:pPr>
              <w:spacing w:before="170" w:line="195" w:lineRule="auto"/>
              <w:ind w:left="54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11.23</w:t>
            </w:r>
          </w:p>
        </w:tc>
      </w:tr>
    </w:tbl>
    <w:p w14:paraId="354BEC44">
      <w:pPr>
        <w:spacing w:before="162" w:line="220" w:lineRule="auto"/>
        <w:ind w:left="254"/>
        <w:outlineLvl w:val="1"/>
        <w:rPr>
          <w:rFonts w:ascii="宋体" w:hAnsi="宋体" w:eastAsia="宋体" w:cs="宋体"/>
          <w:sz w:val="24"/>
          <w:szCs w:val="24"/>
        </w:rPr>
      </w:pPr>
      <w:r>
        <w:rPr>
          <w:rFonts w:ascii="宋体" w:hAnsi="宋体" w:eastAsia="宋体" w:cs="宋体"/>
          <w:b/>
          <w:bCs/>
          <w:spacing w:val="-5"/>
          <w:sz w:val="24"/>
          <w:szCs w:val="24"/>
        </w:rPr>
        <w:t>4.6</w:t>
      </w:r>
      <w:r>
        <w:rPr>
          <w:rFonts w:ascii="宋体" w:hAnsi="宋体" w:eastAsia="宋体" w:cs="宋体"/>
          <w:spacing w:val="-48"/>
          <w:sz w:val="24"/>
          <w:szCs w:val="24"/>
        </w:rPr>
        <w:t xml:space="preserve"> </w:t>
      </w:r>
      <w:r>
        <w:rPr>
          <w:rFonts w:ascii="宋体" w:hAnsi="宋体" w:eastAsia="宋体" w:cs="宋体"/>
          <w:b/>
          <w:bCs/>
          <w:spacing w:val="-5"/>
          <w:sz w:val="24"/>
          <w:szCs w:val="24"/>
        </w:rPr>
        <w:t>监测结果</w:t>
      </w:r>
    </w:p>
    <w:p w14:paraId="724F883B">
      <w:pPr>
        <w:spacing w:before="175" w:line="219" w:lineRule="auto"/>
        <w:ind w:left="763"/>
        <w:rPr>
          <w:rFonts w:ascii="宋体" w:hAnsi="宋体" w:eastAsia="宋体" w:cs="宋体"/>
          <w:sz w:val="24"/>
          <w:szCs w:val="24"/>
        </w:rPr>
      </w:pPr>
      <w:r>
        <w:rPr>
          <w:rFonts w:ascii="宋体" w:hAnsi="宋体" w:eastAsia="宋体" w:cs="宋体"/>
          <w:spacing w:val="-3"/>
          <w:sz w:val="24"/>
          <w:szCs w:val="24"/>
        </w:rPr>
        <w:t>电磁辐射监测点位和监测结果见表</w:t>
      </w:r>
      <w:r>
        <w:rPr>
          <w:rFonts w:ascii="宋体" w:hAnsi="宋体" w:eastAsia="宋体" w:cs="宋体"/>
          <w:spacing w:val="-43"/>
          <w:sz w:val="24"/>
          <w:szCs w:val="24"/>
        </w:rPr>
        <w:t xml:space="preserve"> </w:t>
      </w:r>
      <w:r>
        <w:rPr>
          <w:rFonts w:ascii="Times New Roman" w:hAnsi="Times New Roman" w:eastAsia="Times New Roman" w:cs="Times New Roman"/>
          <w:spacing w:val="-3"/>
          <w:sz w:val="24"/>
          <w:szCs w:val="24"/>
        </w:rPr>
        <w:t>4-3</w:t>
      </w:r>
      <w:r>
        <w:rPr>
          <w:rFonts w:ascii="宋体" w:hAnsi="宋体" w:eastAsia="宋体" w:cs="宋体"/>
          <w:spacing w:val="-3"/>
          <w:sz w:val="24"/>
          <w:szCs w:val="24"/>
        </w:rPr>
        <w:t>。</w:t>
      </w:r>
    </w:p>
    <w:p w14:paraId="352BB90E">
      <w:pPr>
        <w:spacing w:before="175" w:line="220" w:lineRule="auto"/>
        <w:ind w:left="3043"/>
        <w:rPr>
          <w:rFonts w:ascii="宋体" w:hAnsi="宋体" w:eastAsia="宋体" w:cs="宋体"/>
          <w:sz w:val="24"/>
          <w:szCs w:val="24"/>
        </w:rPr>
      </w:pPr>
      <w:r>
        <w:rPr>
          <w:rFonts w:ascii="宋体" w:hAnsi="宋体" w:eastAsia="宋体" w:cs="宋体"/>
          <w:b/>
          <w:bCs/>
          <w:spacing w:val="-2"/>
          <w:sz w:val="24"/>
          <w:szCs w:val="24"/>
        </w:rPr>
        <w:t>表</w:t>
      </w:r>
      <w:r>
        <w:rPr>
          <w:rFonts w:ascii="Times New Roman" w:hAnsi="Times New Roman" w:eastAsia="Times New Roman" w:cs="Times New Roman"/>
          <w:b/>
          <w:bCs/>
          <w:spacing w:val="-2"/>
          <w:sz w:val="24"/>
          <w:szCs w:val="24"/>
        </w:rPr>
        <w:t xml:space="preserve">4-3        </w:t>
      </w:r>
      <w:r>
        <w:rPr>
          <w:rFonts w:ascii="宋体" w:hAnsi="宋体" w:eastAsia="宋体" w:cs="宋体"/>
          <w:b/>
          <w:bCs/>
          <w:spacing w:val="-2"/>
          <w:sz w:val="24"/>
          <w:szCs w:val="24"/>
        </w:rPr>
        <w:t>监测点位及监测结果</w:t>
      </w:r>
    </w:p>
    <w:p w14:paraId="61813AF9">
      <w:pPr>
        <w:spacing w:line="111" w:lineRule="auto"/>
        <w:rPr>
          <w:rFonts w:ascii="Arial"/>
          <w:sz w:val="2"/>
        </w:rPr>
      </w:pPr>
    </w:p>
    <w:tbl>
      <w:tblPr>
        <w:tblStyle w:val="8"/>
        <w:tblW w:w="879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82"/>
        <w:gridCol w:w="3145"/>
        <w:gridCol w:w="2118"/>
        <w:gridCol w:w="1646"/>
      </w:tblGrid>
      <w:tr w14:paraId="49C090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1882" w:type="dxa"/>
            <w:vAlign w:val="top"/>
          </w:tcPr>
          <w:p w14:paraId="2A183817">
            <w:pPr>
              <w:pStyle w:val="9"/>
              <w:spacing w:before="101" w:line="228" w:lineRule="auto"/>
              <w:ind w:left="527"/>
              <w:rPr>
                <w:sz w:val="20"/>
                <w:szCs w:val="20"/>
              </w:rPr>
            </w:pPr>
            <w:r>
              <w:rPr>
                <w:spacing w:val="7"/>
                <w:sz w:val="20"/>
                <w:szCs w:val="20"/>
              </w:rPr>
              <w:t>检测点位</w:t>
            </w:r>
          </w:p>
        </w:tc>
        <w:tc>
          <w:tcPr>
            <w:tcW w:w="3145" w:type="dxa"/>
            <w:vAlign w:val="top"/>
          </w:tcPr>
          <w:p w14:paraId="00772633">
            <w:pPr>
              <w:pStyle w:val="9"/>
              <w:spacing w:before="101" w:line="228" w:lineRule="auto"/>
              <w:ind w:left="1158"/>
              <w:rPr>
                <w:sz w:val="20"/>
                <w:szCs w:val="20"/>
              </w:rPr>
            </w:pPr>
            <w:r>
              <w:rPr>
                <w:spacing w:val="7"/>
                <w:sz w:val="20"/>
                <w:szCs w:val="20"/>
              </w:rPr>
              <w:t>检测因子</w:t>
            </w:r>
          </w:p>
        </w:tc>
        <w:tc>
          <w:tcPr>
            <w:tcW w:w="2118" w:type="dxa"/>
            <w:vAlign w:val="top"/>
          </w:tcPr>
          <w:p w14:paraId="6D91A411">
            <w:pPr>
              <w:pStyle w:val="9"/>
              <w:spacing w:before="101" w:line="228" w:lineRule="auto"/>
              <w:ind w:left="645"/>
              <w:rPr>
                <w:sz w:val="20"/>
                <w:szCs w:val="20"/>
              </w:rPr>
            </w:pPr>
            <w:r>
              <w:rPr>
                <w:spacing w:val="7"/>
                <w:sz w:val="20"/>
                <w:szCs w:val="20"/>
              </w:rPr>
              <w:t>检测结果</w:t>
            </w:r>
          </w:p>
        </w:tc>
        <w:tc>
          <w:tcPr>
            <w:tcW w:w="1646" w:type="dxa"/>
            <w:vAlign w:val="top"/>
          </w:tcPr>
          <w:p w14:paraId="5B76C5E7">
            <w:pPr>
              <w:pStyle w:val="9"/>
              <w:spacing w:before="101" w:line="228" w:lineRule="auto"/>
              <w:ind w:left="410"/>
              <w:rPr>
                <w:sz w:val="20"/>
                <w:szCs w:val="20"/>
              </w:rPr>
            </w:pPr>
            <w:r>
              <w:rPr>
                <w:spacing w:val="7"/>
                <w:sz w:val="20"/>
                <w:szCs w:val="20"/>
              </w:rPr>
              <w:t>标准限值</w:t>
            </w:r>
          </w:p>
        </w:tc>
      </w:tr>
      <w:tr w14:paraId="65D079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1882" w:type="dxa"/>
            <w:vMerge w:val="restart"/>
            <w:tcBorders>
              <w:bottom w:val="nil"/>
            </w:tcBorders>
            <w:vAlign w:val="top"/>
          </w:tcPr>
          <w:p w14:paraId="683137A9">
            <w:pPr>
              <w:pStyle w:val="9"/>
              <w:spacing w:before="178" w:line="252" w:lineRule="auto"/>
              <w:ind w:left="422" w:right="203" w:hanging="208"/>
              <w:rPr>
                <w:rFonts w:ascii="Times New Roman" w:hAnsi="Times New Roman" w:eastAsia="Times New Roman" w:cs="Times New Roman"/>
                <w:sz w:val="20"/>
                <w:szCs w:val="20"/>
              </w:rPr>
            </w:pPr>
            <w:r>
              <w:rPr>
                <w:spacing w:val="8"/>
                <w:sz w:val="20"/>
                <w:szCs w:val="20"/>
              </w:rPr>
              <w:t>升压站北侧围墙</w:t>
            </w:r>
            <w:r>
              <w:rPr>
                <w:spacing w:val="-4"/>
                <w:sz w:val="20"/>
                <w:szCs w:val="20"/>
              </w:rPr>
              <w:t>外</w:t>
            </w:r>
            <w:r>
              <w:rPr>
                <w:spacing w:val="-34"/>
                <w:sz w:val="20"/>
                <w:szCs w:val="20"/>
              </w:rPr>
              <w:t xml:space="preserve"> </w:t>
            </w:r>
            <w:r>
              <w:rPr>
                <w:rFonts w:ascii="Times New Roman" w:hAnsi="Times New Roman" w:eastAsia="Times New Roman" w:cs="Times New Roman"/>
                <w:spacing w:val="-4"/>
                <w:sz w:val="20"/>
                <w:szCs w:val="20"/>
              </w:rPr>
              <w:t>5m</w:t>
            </w:r>
            <w:r>
              <w:rPr>
                <w:rFonts w:ascii="Times New Roman" w:hAnsi="Times New Roman" w:eastAsia="Times New Roman" w:cs="Times New Roman"/>
                <w:spacing w:val="16"/>
                <w:w w:val="101"/>
                <w:sz w:val="20"/>
                <w:szCs w:val="20"/>
              </w:rPr>
              <w:t xml:space="preserve"> </w:t>
            </w:r>
            <w:r>
              <w:rPr>
                <w:spacing w:val="-4"/>
                <w:sz w:val="20"/>
                <w:szCs w:val="20"/>
              </w:rPr>
              <w:t>处</w:t>
            </w:r>
            <w:r>
              <w:rPr>
                <w:spacing w:val="-23"/>
                <w:sz w:val="20"/>
                <w:szCs w:val="20"/>
              </w:rPr>
              <w:t xml:space="preserve"> </w:t>
            </w:r>
            <w:r>
              <w:rPr>
                <w:rFonts w:ascii="Times New Roman" w:hAnsi="Times New Roman" w:eastAsia="Times New Roman" w:cs="Times New Roman"/>
                <w:spacing w:val="-4"/>
                <w:sz w:val="20"/>
                <w:szCs w:val="20"/>
              </w:rPr>
              <w:t>1#</w:t>
            </w:r>
          </w:p>
        </w:tc>
        <w:tc>
          <w:tcPr>
            <w:tcW w:w="3145" w:type="dxa"/>
            <w:vAlign w:val="top"/>
          </w:tcPr>
          <w:p w14:paraId="5562FBA2">
            <w:pPr>
              <w:pStyle w:val="9"/>
              <w:spacing w:before="99" w:line="228" w:lineRule="auto"/>
              <w:ind w:left="949"/>
              <w:rPr>
                <w:sz w:val="20"/>
                <w:szCs w:val="20"/>
              </w:rPr>
            </w:pPr>
            <w:r>
              <w:rPr>
                <w:spacing w:val="7"/>
                <w:sz w:val="20"/>
                <w:szCs w:val="20"/>
              </w:rPr>
              <w:t>工频电场强度</w:t>
            </w:r>
          </w:p>
        </w:tc>
        <w:tc>
          <w:tcPr>
            <w:tcW w:w="2118" w:type="dxa"/>
            <w:vAlign w:val="top"/>
          </w:tcPr>
          <w:p w14:paraId="4A3A1581">
            <w:pPr>
              <w:spacing w:before="125" w:line="213" w:lineRule="auto"/>
              <w:ind w:left="673"/>
              <w:rPr>
                <w:rFonts w:ascii="Times New Roman" w:hAnsi="Times New Roman" w:eastAsia="Times New Roman" w:cs="Times New Roman"/>
                <w:sz w:val="20"/>
                <w:szCs w:val="20"/>
              </w:rPr>
            </w:pPr>
            <w:r>
              <w:rPr>
                <w:rFonts w:ascii="Times New Roman" w:hAnsi="Times New Roman" w:eastAsia="Times New Roman" w:cs="Times New Roman"/>
                <w:spacing w:val="1"/>
                <w:sz w:val="19"/>
                <w:szCs w:val="19"/>
              </w:rPr>
              <w:t>105.8</w:t>
            </w:r>
            <w:r>
              <w:rPr>
                <w:rFonts w:ascii="Times New Roman" w:hAnsi="Times New Roman" w:eastAsia="Times New Roman" w:cs="Times New Roman"/>
                <w:spacing w:val="1"/>
                <w:sz w:val="20"/>
                <w:szCs w:val="20"/>
              </w:rPr>
              <w:t>V/m</w:t>
            </w:r>
          </w:p>
        </w:tc>
        <w:tc>
          <w:tcPr>
            <w:tcW w:w="1646" w:type="dxa"/>
            <w:vAlign w:val="top"/>
          </w:tcPr>
          <w:p w14:paraId="031198BB">
            <w:pPr>
              <w:spacing w:before="131" w:line="199" w:lineRule="auto"/>
              <w:ind w:left="42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4000V/m</w:t>
            </w:r>
          </w:p>
        </w:tc>
      </w:tr>
      <w:tr w14:paraId="373877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1882" w:type="dxa"/>
            <w:vMerge w:val="continue"/>
            <w:tcBorders>
              <w:top w:val="nil"/>
            </w:tcBorders>
            <w:vAlign w:val="top"/>
          </w:tcPr>
          <w:p w14:paraId="2F3917E9">
            <w:pPr>
              <w:rPr>
                <w:rFonts w:ascii="Arial"/>
                <w:sz w:val="21"/>
              </w:rPr>
            </w:pPr>
          </w:p>
        </w:tc>
        <w:tc>
          <w:tcPr>
            <w:tcW w:w="3145" w:type="dxa"/>
            <w:vAlign w:val="top"/>
          </w:tcPr>
          <w:p w14:paraId="622999DE">
            <w:pPr>
              <w:pStyle w:val="9"/>
              <w:spacing w:before="107" w:line="228" w:lineRule="auto"/>
              <w:ind w:left="846"/>
              <w:rPr>
                <w:sz w:val="20"/>
                <w:szCs w:val="20"/>
              </w:rPr>
            </w:pPr>
            <w:r>
              <w:rPr>
                <w:spacing w:val="8"/>
                <w:sz w:val="20"/>
                <w:szCs w:val="20"/>
              </w:rPr>
              <w:t>工频磁感应强度</w:t>
            </w:r>
          </w:p>
        </w:tc>
        <w:tc>
          <w:tcPr>
            <w:tcW w:w="2118" w:type="dxa"/>
            <w:vAlign w:val="top"/>
          </w:tcPr>
          <w:p w14:paraId="4469C116">
            <w:pPr>
              <w:spacing w:before="134" w:line="215" w:lineRule="auto"/>
              <w:ind w:left="714"/>
              <w:rPr>
                <w:rFonts w:ascii="Times New Roman" w:hAnsi="Times New Roman" w:eastAsia="Times New Roman" w:cs="Times New Roman"/>
                <w:sz w:val="20"/>
                <w:szCs w:val="20"/>
              </w:rPr>
            </w:pPr>
            <w:r>
              <w:rPr>
                <w:rFonts w:ascii="Times New Roman" w:hAnsi="Times New Roman" w:eastAsia="Times New Roman" w:cs="Times New Roman"/>
                <w:spacing w:val="2"/>
                <w:sz w:val="19"/>
                <w:szCs w:val="19"/>
              </w:rPr>
              <w:t>0.372</w:t>
            </w:r>
            <w:r>
              <w:rPr>
                <w:rFonts w:ascii="Times New Roman" w:hAnsi="Times New Roman" w:eastAsia="Times New Roman" w:cs="Times New Roman"/>
                <w:spacing w:val="-28"/>
                <w:sz w:val="19"/>
                <w:szCs w:val="19"/>
              </w:rPr>
              <w:t xml:space="preserve"> </w:t>
            </w:r>
            <w:r>
              <w:rPr>
                <w:rFonts w:ascii="Times New Roman" w:hAnsi="Times New Roman" w:eastAsia="Times New Roman" w:cs="Times New Roman"/>
                <w:spacing w:val="2"/>
                <w:sz w:val="20"/>
                <w:szCs w:val="20"/>
              </w:rPr>
              <w:t>μT</w:t>
            </w:r>
          </w:p>
        </w:tc>
        <w:tc>
          <w:tcPr>
            <w:tcW w:w="1646" w:type="dxa"/>
            <w:vAlign w:val="top"/>
          </w:tcPr>
          <w:p w14:paraId="5E4A3978">
            <w:pPr>
              <w:spacing w:before="144" w:line="197" w:lineRule="auto"/>
              <w:ind w:left="567"/>
              <w:rPr>
                <w:rFonts w:ascii="Times New Roman" w:hAnsi="Times New Roman" w:eastAsia="Times New Roman" w:cs="Times New Roman"/>
                <w:sz w:val="20"/>
                <w:szCs w:val="20"/>
              </w:rPr>
            </w:pPr>
            <w:r>
              <w:rPr>
                <w:rFonts w:ascii="Times New Roman" w:hAnsi="Times New Roman" w:eastAsia="Times New Roman" w:cs="Times New Roman"/>
                <w:sz w:val="20"/>
                <w:szCs w:val="20"/>
              </w:rPr>
              <w:t>100μT</w:t>
            </w:r>
          </w:p>
        </w:tc>
      </w:tr>
      <w:tr w14:paraId="05175B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1882" w:type="dxa"/>
            <w:vMerge w:val="restart"/>
            <w:tcBorders>
              <w:bottom w:val="nil"/>
            </w:tcBorders>
            <w:vAlign w:val="top"/>
          </w:tcPr>
          <w:p w14:paraId="03436F8E">
            <w:pPr>
              <w:pStyle w:val="9"/>
              <w:spacing w:before="180" w:line="254" w:lineRule="auto"/>
              <w:ind w:left="422" w:right="203" w:hanging="208"/>
              <w:rPr>
                <w:rFonts w:ascii="Times New Roman" w:hAnsi="Times New Roman" w:eastAsia="Times New Roman" w:cs="Times New Roman"/>
                <w:sz w:val="20"/>
                <w:szCs w:val="20"/>
              </w:rPr>
            </w:pPr>
            <w:r>
              <w:rPr>
                <w:spacing w:val="8"/>
                <w:sz w:val="20"/>
                <w:szCs w:val="20"/>
              </w:rPr>
              <w:t>升压站西侧围墙</w:t>
            </w:r>
            <w:r>
              <w:rPr>
                <w:sz w:val="20"/>
                <w:szCs w:val="20"/>
              </w:rPr>
              <w:t>外</w:t>
            </w:r>
            <w:r>
              <w:rPr>
                <w:spacing w:val="-37"/>
                <w:sz w:val="20"/>
                <w:szCs w:val="20"/>
              </w:rPr>
              <w:t xml:space="preserve"> </w:t>
            </w:r>
            <w:r>
              <w:rPr>
                <w:rFonts w:ascii="Times New Roman" w:hAnsi="Times New Roman" w:eastAsia="Times New Roman" w:cs="Times New Roman"/>
                <w:sz w:val="20"/>
                <w:szCs w:val="20"/>
              </w:rPr>
              <w:t>5m</w:t>
            </w:r>
            <w:r>
              <w:rPr>
                <w:rFonts w:ascii="Times New Roman" w:hAnsi="Times New Roman" w:eastAsia="Times New Roman" w:cs="Times New Roman"/>
                <w:spacing w:val="16"/>
                <w:sz w:val="20"/>
                <w:szCs w:val="20"/>
              </w:rPr>
              <w:t xml:space="preserve"> </w:t>
            </w:r>
            <w:r>
              <w:rPr>
                <w:sz w:val="20"/>
                <w:szCs w:val="20"/>
              </w:rPr>
              <w:t>处</w:t>
            </w:r>
            <w:r>
              <w:rPr>
                <w:spacing w:val="-44"/>
                <w:sz w:val="20"/>
                <w:szCs w:val="20"/>
              </w:rPr>
              <w:t xml:space="preserve"> </w:t>
            </w:r>
            <w:r>
              <w:rPr>
                <w:rFonts w:ascii="Times New Roman" w:hAnsi="Times New Roman" w:eastAsia="Times New Roman" w:cs="Times New Roman"/>
                <w:sz w:val="20"/>
                <w:szCs w:val="20"/>
              </w:rPr>
              <w:t>2#</w:t>
            </w:r>
          </w:p>
        </w:tc>
        <w:tc>
          <w:tcPr>
            <w:tcW w:w="3145" w:type="dxa"/>
            <w:vAlign w:val="top"/>
          </w:tcPr>
          <w:p w14:paraId="750E7900">
            <w:pPr>
              <w:pStyle w:val="9"/>
              <w:spacing w:before="100" w:line="228" w:lineRule="auto"/>
              <w:ind w:left="949"/>
              <w:rPr>
                <w:sz w:val="20"/>
                <w:szCs w:val="20"/>
              </w:rPr>
            </w:pPr>
            <w:r>
              <w:rPr>
                <w:spacing w:val="7"/>
                <w:sz w:val="20"/>
                <w:szCs w:val="20"/>
              </w:rPr>
              <w:t>工频电场强度</w:t>
            </w:r>
          </w:p>
        </w:tc>
        <w:tc>
          <w:tcPr>
            <w:tcW w:w="2118" w:type="dxa"/>
            <w:vAlign w:val="top"/>
          </w:tcPr>
          <w:p w14:paraId="18076E6F">
            <w:pPr>
              <w:spacing w:before="129" w:line="210" w:lineRule="auto"/>
              <w:ind w:left="673"/>
              <w:rPr>
                <w:rFonts w:ascii="Times New Roman" w:hAnsi="Times New Roman" w:eastAsia="Times New Roman" w:cs="Times New Roman"/>
                <w:sz w:val="20"/>
                <w:szCs w:val="20"/>
              </w:rPr>
            </w:pPr>
            <w:r>
              <w:rPr>
                <w:rFonts w:ascii="Times New Roman" w:hAnsi="Times New Roman" w:eastAsia="Times New Roman" w:cs="Times New Roman"/>
                <w:spacing w:val="1"/>
                <w:sz w:val="19"/>
                <w:szCs w:val="19"/>
              </w:rPr>
              <w:t>135.6</w:t>
            </w:r>
            <w:r>
              <w:rPr>
                <w:rFonts w:ascii="Times New Roman" w:hAnsi="Times New Roman" w:eastAsia="Times New Roman" w:cs="Times New Roman"/>
                <w:spacing w:val="1"/>
                <w:sz w:val="20"/>
                <w:szCs w:val="20"/>
              </w:rPr>
              <w:t>V/m</w:t>
            </w:r>
          </w:p>
        </w:tc>
        <w:tc>
          <w:tcPr>
            <w:tcW w:w="1646" w:type="dxa"/>
            <w:vAlign w:val="top"/>
          </w:tcPr>
          <w:p w14:paraId="281607DD">
            <w:pPr>
              <w:spacing w:before="132" w:line="199" w:lineRule="auto"/>
              <w:ind w:left="42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4000V/m</w:t>
            </w:r>
          </w:p>
        </w:tc>
      </w:tr>
      <w:tr w14:paraId="1B8EE1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1882" w:type="dxa"/>
            <w:vMerge w:val="continue"/>
            <w:tcBorders>
              <w:top w:val="nil"/>
            </w:tcBorders>
            <w:vAlign w:val="top"/>
          </w:tcPr>
          <w:p w14:paraId="57241BDC">
            <w:pPr>
              <w:rPr>
                <w:rFonts w:ascii="Arial"/>
                <w:sz w:val="21"/>
              </w:rPr>
            </w:pPr>
          </w:p>
        </w:tc>
        <w:tc>
          <w:tcPr>
            <w:tcW w:w="3145" w:type="dxa"/>
            <w:vAlign w:val="top"/>
          </w:tcPr>
          <w:p w14:paraId="6F18D1E0">
            <w:pPr>
              <w:pStyle w:val="9"/>
              <w:spacing w:before="109" w:line="228" w:lineRule="auto"/>
              <w:ind w:left="846"/>
              <w:rPr>
                <w:sz w:val="20"/>
                <w:szCs w:val="20"/>
              </w:rPr>
            </w:pPr>
            <w:r>
              <w:rPr>
                <w:spacing w:val="8"/>
                <w:sz w:val="20"/>
                <w:szCs w:val="20"/>
              </w:rPr>
              <w:t>工频磁感应强度</w:t>
            </w:r>
          </w:p>
        </w:tc>
        <w:tc>
          <w:tcPr>
            <w:tcW w:w="2118" w:type="dxa"/>
            <w:vAlign w:val="top"/>
          </w:tcPr>
          <w:p w14:paraId="7D866DC9">
            <w:pPr>
              <w:spacing w:before="135" w:line="215" w:lineRule="auto"/>
              <w:ind w:left="714"/>
              <w:rPr>
                <w:rFonts w:ascii="Times New Roman" w:hAnsi="Times New Roman" w:eastAsia="Times New Roman" w:cs="Times New Roman"/>
                <w:sz w:val="20"/>
                <w:szCs w:val="20"/>
              </w:rPr>
            </w:pPr>
            <w:r>
              <w:rPr>
                <w:rFonts w:ascii="Times New Roman" w:hAnsi="Times New Roman" w:eastAsia="Times New Roman" w:cs="Times New Roman"/>
                <w:spacing w:val="2"/>
                <w:sz w:val="19"/>
                <w:szCs w:val="19"/>
              </w:rPr>
              <w:t>0.085</w:t>
            </w:r>
            <w:r>
              <w:rPr>
                <w:rFonts w:ascii="Times New Roman" w:hAnsi="Times New Roman" w:eastAsia="Times New Roman" w:cs="Times New Roman"/>
                <w:spacing w:val="-28"/>
                <w:sz w:val="19"/>
                <w:szCs w:val="19"/>
              </w:rPr>
              <w:t xml:space="preserve"> </w:t>
            </w:r>
            <w:r>
              <w:rPr>
                <w:rFonts w:ascii="Times New Roman" w:hAnsi="Times New Roman" w:eastAsia="Times New Roman" w:cs="Times New Roman"/>
                <w:spacing w:val="2"/>
                <w:sz w:val="20"/>
                <w:szCs w:val="20"/>
              </w:rPr>
              <w:t>μT</w:t>
            </w:r>
          </w:p>
        </w:tc>
        <w:tc>
          <w:tcPr>
            <w:tcW w:w="1646" w:type="dxa"/>
            <w:vAlign w:val="top"/>
          </w:tcPr>
          <w:p w14:paraId="2942C9E2">
            <w:pPr>
              <w:spacing w:before="145" w:line="197" w:lineRule="auto"/>
              <w:ind w:left="567"/>
              <w:rPr>
                <w:rFonts w:ascii="Times New Roman" w:hAnsi="Times New Roman" w:eastAsia="Times New Roman" w:cs="Times New Roman"/>
                <w:sz w:val="20"/>
                <w:szCs w:val="20"/>
              </w:rPr>
            </w:pPr>
            <w:r>
              <w:rPr>
                <w:rFonts w:ascii="Times New Roman" w:hAnsi="Times New Roman" w:eastAsia="Times New Roman" w:cs="Times New Roman"/>
                <w:sz w:val="20"/>
                <w:szCs w:val="20"/>
              </w:rPr>
              <w:t>100μT</w:t>
            </w:r>
          </w:p>
        </w:tc>
      </w:tr>
      <w:tr w14:paraId="18FF0A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1882" w:type="dxa"/>
            <w:vMerge w:val="restart"/>
            <w:tcBorders>
              <w:bottom w:val="nil"/>
            </w:tcBorders>
            <w:vAlign w:val="top"/>
          </w:tcPr>
          <w:p w14:paraId="27ABC1B8">
            <w:pPr>
              <w:pStyle w:val="9"/>
              <w:spacing w:before="182" w:line="252" w:lineRule="auto"/>
              <w:ind w:left="422" w:right="203" w:hanging="208"/>
              <w:rPr>
                <w:rFonts w:ascii="Times New Roman" w:hAnsi="Times New Roman" w:eastAsia="Times New Roman" w:cs="Times New Roman"/>
                <w:sz w:val="20"/>
                <w:szCs w:val="20"/>
              </w:rPr>
            </w:pPr>
            <w:r>
              <w:rPr>
                <w:spacing w:val="8"/>
                <w:sz w:val="20"/>
                <w:szCs w:val="20"/>
              </w:rPr>
              <w:t>升压站南侧围墙</w:t>
            </w:r>
            <w:r>
              <w:rPr>
                <w:spacing w:val="-1"/>
                <w:sz w:val="20"/>
                <w:szCs w:val="20"/>
              </w:rPr>
              <w:t>外</w:t>
            </w:r>
            <w:r>
              <w:rPr>
                <w:spacing w:val="-36"/>
                <w:sz w:val="20"/>
                <w:szCs w:val="20"/>
              </w:rPr>
              <w:t xml:space="preserve"> </w:t>
            </w:r>
            <w:r>
              <w:rPr>
                <w:rFonts w:ascii="Times New Roman" w:hAnsi="Times New Roman" w:eastAsia="Times New Roman" w:cs="Times New Roman"/>
                <w:spacing w:val="-1"/>
                <w:sz w:val="20"/>
                <w:szCs w:val="20"/>
              </w:rPr>
              <w:t>5m</w:t>
            </w:r>
            <w:r>
              <w:rPr>
                <w:rFonts w:ascii="Times New Roman" w:hAnsi="Times New Roman" w:eastAsia="Times New Roman" w:cs="Times New Roman"/>
                <w:spacing w:val="16"/>
                <w:w w:val="101"/>
                <w:sz w:val="20"/>
                <w:szCs w:val="20"/>
              </w:rPr>
              <w:t xml:space="preserve"> </w:t>
            </w:r>
            <w:r>
              <w:rPr>
                <w:spacing w:val="-1"/>
                <w:sz w:val="20"/>
                <w:szCs w:val="20"/>
              </w:rPr>
              <w:t>处</w:t>
            </w:r>
            <w:r>
              <w:rPr>
                <w:spacing w:val="-39"/>
                <w:sz w:val="20"/>
                <w:szCs w:val="20"/>
              </w:rPr>
              <w:t xml:space="preserve"> </w:t>
            </w:r>
            <w:r>
              <w:rPr>
                <w:rFonts w:ascii="Times New Roman" w:hAnsi="Times New Roman" w:eastAsia="Times New Roman" w:cs="Times New Roman"/>
                <w:spacing w:val="-1"/>
                <w:sz w:val="20"/>
                <w:szCs w:val="20"/>
              </w:rPr>
              <w:t>3#</w:t>
            </w:r>
          </w:p>
        </w:tc>
        <w:tc>
          <w:tcPr>
            <w:tcW w:w="3145" w:type="dxa"/>
            <w:vAlign w:val="top"/>
          </w:tcPr>
          <w:p w14:paraId="1D7A6939">
            <w:pPr>
              <w:pStyle w:val="9"/>
              <w:spacing w:before="101" w:line="228" w:lineRule="auto"/>
              <w:ind w:left="949"/>
              <w:rPr>
                <w:sz w:val="20"/>
                <w:szCs w:val="20"/>
              </w:rPr>
            </w:pPr>
            <w:r>
              <w:rPr>
                <w:spacing w:val="7"/>
                <w:sz w:val="20"/>
                <w:szCs w:val="20"/>
              </w:rPr>
              <w:t>工频电场强度</w:t>
            </w:r>
          </w:p>
        </w:tc>
        <w:tc>
          <w:tcPr>
            <w:tcW w:w="2118" w:type="dxa"/>
            <w:vAlign w:val="top"/>
          </w:tcPr>
          <w:p w14:paraId="046087B0">
            <w:pPr>
              <w:spacing w:before="128" w:line="213" w:lineRule="auto"/>
              <w:ind w:left="673"/>
              <w:rPr>
                <w:rFonts w:ascii="Times New Roman" w:hAnsi="Times New Roman" w:eastAsia="Times New Roman" w:cs="Times New Roman"/>
                <w:sz w:val="20"/>
                <w:szCs w:val="20"/>
              </w:rPr>
            </w:pPr>
            <w:r>
              <w:rPr>
                <w:rFonts w:ascii="Times New Roman" w:hAnsi="Times New Roman" w:eastAsia="Times New Roman" w:cs="Times New Roman"/>
                <w:spacing w:val="1"/>
                <w:sz w:val="19"/>
                <w:szCs w:val="19"/>
              </w:rPr>
              <w:t>142.6</w:t>
            </w:r>
            <w:r>
              <w:rPr>
                <w:rFonts w:ascii="Times New Roman" w:hAnsi="Times New Roman" w:eastAsia="Times New Roman" w:cs="Times New Roman"/>
                <w:spacing w:val="1"/>
                <w:sz w:val="20"/>
                <w:szCs w:val="20"/>
              </w:rPr>
              <w:t>V/m</w:t>
            </w:r>
          </w:p>
        </w:tc>
        <w:tc>
          <w:tcPr>
            <w:tcW w:w="1646" w:type="dxa"/>
            <w:vAlign w:val="top"/>
          </w:tcPr>
          <w:p w14:paraId="0222CAA7">
            <w:pPr>
              <w:spacing w:before="135" w:line="199" w:lineRule="auto"/>
              <w:ind w:left="42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4000V/m</w:t>
            </w:r>
          </w:p>
        </w:tc>
      </w:tr>
      <w:tr w14:paraId="4BA8BE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6" w:hRule="atLeast"/>
        </w:trPr>
        <w:tc>
          <w:tcPr>
            <w:tcW w:w="1882" w:type="dxa"/>
            <w:vMerge w:val="continue"/>
            <w:tcBorders>
              <w:top w:val="nil"/>
            </w:tcBorders>
            <w:vAlign w:val="top"/>
          </w:tcPr>
          <w:p w14:paraId="3982223E">
            <w:pPr>
              <w:rPr>
                <w:rFonts w:ascii="Arial"/>
                <w:sz w:val="21"/>
              </w:rPr>
            </w:pPr>
          </w:p>
        </w:tc>
        <w:tc>
          <w:tcPr>
            <w:tcW w:w="3145" w:type="dxa"/>
            <w:vAlign w:val="top"/>
          </w:tcPr>
          <w:p w14:paraId="7A6E4EB7">
            <w:pPr>
              <w:pStyle w:val="9"/>
              <w:spacing w:before="109" w:line="228" w:lineRule="auto"/>
              <w:ind w:left="846"/>
              <w:rPr>
                <w:sz w:val="20"/>
                <w:szCs w:val="20"/>
              </w:rPr>
            </w:pPr>
            <w:r>
              <w:rPr>
                <w:spacing w:val="8"/>
                <w:sz w:val="20"/>
                <w:szCs w:val="20"/>
              </w:rPr>
              <w:t>工频磁感应强度</w:t>
            </w:r>
          </w:p>
        </w:tc>
        <w:tc>
          <w:tcPr>
            <w:tcW w:w="2118" w:type="dxa"/>
            <w:vAlign w:val="top"/>
          </w:tcPr>
          <w:p w14:paraId="2A750895">
            <w:pPr>
              <w:spacing w:before="138" w:line="212" w:lineRule="auto"/>
              <w:ind w:left="714"/>
              <w:rPr>
                <w:rFonts w:ascii="Times New Roman" w:hAnsi="Times New Roman" w:eastAsia="Times New Roman" w:cs="Times New Roman"/>
                <w:sz w:val="20"/>
                <w:szCs w:val="20"/>
              </w:rPr>
            </w:pPr>
            <w:r>
              <w:rPr>
                <w:rFonts w:ascii="Times New Roman" w:hAnsi="Times New Roman" w:eastAsia="Times New Roman" w:cs="Times New Roman"/>
                <w:spacing w:val="2"/>
                <w:sz w:val="19"/>
                <w:szCs w:val="19"/>
              </w:rPr>
              <w:t>0.093</w:t>
            </w:r>
            <w:r>
              <w:rPr>
                <w:rFonts w:ascii="Times New Roman" w:hAnsi="Times New Roman" w:eastAsia="Times New Roman" w:cs="Times New Roman"/>
                <w:spacing w:val="-28"/>
                <w:sz w:val="19"/>
                <w:szCs w:val="19"/>
              </w:rPr>
              <w:t xml:space="preserve"> </w:t>
            </w:r>
            <w:r>
              <w:rPr>
                <w:rFonts w:ascii="Times New Roman" w:hAnsi="Times New Roman" w:eastAsia="Times New Roman" w:cs="Times New Roman"/>
                <w:spacing w:val="2"/>
                <w:sz w:val="20"/>
                <w:szCs w:val="20"/>
              </w:rPr>
              <w:t>μT</w:t>
            </w:r>
          </w:p>
        </w:tc>
        <w:tc>
          <w:tcPr>
            <w:tcW w:w="1646" w:type="dxa"/>
            <w:vAlign w:val="top"/>
          </w:tcPr>
          <w:p w14:paraId="39E6A33A">
            <w:pPr>
              <w:spacing w:before="145" w:line="197" w:lineRule="auto"/>
              <w:ind w:left="567"/>
              <w:rPr>
                <w:rFonts w:ascii="Times New Roman" w:hAnsi="Times New Roman" w:eastAsia="Times New Roman" w:cs="Times New Roman"/>
                <w:sz w:val="20"/>
                <w:szCs w:val="20"/>
              </w:rPr>
            </w:pPr>
            <w:r>
              <w:rPr>
                <w:rFonts w:ascii="Times New Roman" w:hAnsi="Times New Roman" w:eastAsia="Times New Roman" w:cs="Times New Roman"/>
                <w:sz w:val="20"/>
                <w:szCs w:val="20"/>
              </w:rPr>
              <w:t>100μT</w:t>
            </w:r>
          </w:p>
        </w:tc>
      </w:tr>
      <w:tr w14:paraId="47099B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1882" w:type="dxa"/>
            <w:vMerge w:val="restart"/>
            <w:tcBorders>
              <w:bottom w:val="nil"/>
            </w:tcBorders>
            <w:vAlign w:val="top"/>
          </w:tcPr>
          <w:p w14:paraId="44A9197E">
            <w:pPr>
              <w:pStyle w:val="9"/>
              <w:spacing w:before="182" w:line="252" w:lineRule="auto"/>
              <w:ind w:left="422" w:right="203" w:hanging="208"/>
              <w:rPr>
                <w:rFonts w:ascii="Times New Roman" w:hAnsi="Times New Roman" w:eastAsia="Times New Roman" w:cs="Times New Roman"/>
                <w:sz w:val="20"/>
                <w:szCs w:val="20"/>
              </w:rPr>
            </w:pPr>
            <w:r>
              <w:rPr>
                <w:spacing w:val="8"/>
                <w:sz w:val="20"/>
                <w:szCs w:val="20"/>
              </w:rPr>
              <w:t>升压站东侧围墙</w:t>
            </w:r>
            <w:r>
              <w:rPr>
                <w:sz w:val="20"/>
                <w:szCs w:val="20"/>
              </w:rPr>
              <w:t>外</w:t>
            </w:r>
            <w:r>
              <w:rPr>
                <w:spacing w:val="-36"/>
                <w:sz w:val="20"/>
                <w:szCs w:val="20"/>
              </w:rPr>
              <w:t xml:space="preserve"> </w:t>
            </w:r>
            <w:r>
              <w:rPr>
                <w:rFonts w:ascii="Times New Roman" w:hAnsi="Times New Roman" w:eastAsia="Times New Roman" w:cs="Times New Roman"/>
                <w:sz w:val="20"/>
                <w:szCs w:val="20"/>
              </w:rPr>
              <w:t>5m</w:t>
            </w:r>
            <w:r>
              <w:rPr>
                <w:rFonts w:ascii="Times New Roman" w:hAnsi="Times New Roman" w:eastAsia="Times New Roman" w:cs="Times New Roman"/>
                <w:spacing w:val="16"/>
                <w:sz w:val="20"/>
                <w:szCs w:val="20"/>
              </w:rPr>
              <w:t xml:space="preserve"> </w:t>
            </w:r>
            <w:r>
              <w:rPr>
                <w:sz w:val="20"/>
                <w:szCs w:val="20"/>
              </w:rPr>
              <w:t>处</w:t>
            </w:r>
            <w:r>
              <w:rPr>
                <w:spacing w:val="-45"/>
                <w:sz w:val="20"/>
                <w:szCs w:val="20"/>
              </w:rPr>
              <w:t xml:space="preserve"> </w:t>
            </w:r>
            <w:r>
              <w:rPr>
                <w:rFonts w:ascii="Times New Roman" w:hAnsi="Times New Roman" w:eastAsia="Times New Roman" w:cs="Times New Roman"/>
                <w:sz w:val="20"/>
                <w:szCs w:val="20"/>
              </w:rPr>
              <w:t>4#</w:t>
            </w:r>
          </w:p>
        </w:tc>
        <w:tc>
          <w:tcPr>
            <w:tcW w:w="3145" w:type="dxa"/>
            <w:vAlign w:val="top"/>
          </w:tcPr>
          <w:p w14:paraId="1136E98D">
            <w:pPr>
              <w:pStyle w:val="9"/>
              <w:spacing w:before="103" w:line="228" w:lineRule="auto"/>
              <w:ind w:left="949"/>
              <w:rPr>
                <w:sz w:val="20"/>
                <w:szCs w:val="20"/>
              </w:rPr>
            </w:pPr>
            <w:r>
              <w:rPr>
                <w:spacing w:val="7"/>
                <w:sz w:val="20"/>
                <w:szCs w:val="20"/>
              </w:rPr>
              <w:t>工频电场强度</w:t>
            </w:r>
          </w:p>
        </w:tc>
        <w:tc>
          <w:tcPr>
            <w:tcW w:w="2118" w:type="dxa"/>
            <w:vAlign w:val="top"/>
          </w:tcPr>
          <w:p w14:paraId="29AC6C5D">
            <w:pPr>
              <w:spacing w:before="129" w:line="213" w:lineRule="auto"/>
              <w:ind w:left="651"/>
              <w:rPr>
                <w:rFonts w:ascii="Times New Roman" w:hAnsi="Times New Roman" w:eastAsia="Times New Roman" w:cs="Times New Roman"/>
                <w:sz w:val="20"/>
                <w:szCs w:val="20"/>
              </w:rPr>
            </w:pPr>
            <w:r>
              <w:rPr>
                <w:rFonts w:ascii="Times New Roman" w:hAnsi="Times New Roman" w:eastAsia="Times New Roman" w:cs="Times New Roman"/>
                <w:spacing w:val="4"/>
                <w:sz w:val="19"/>
                <w:szCs w:val="19"/>
              </w:rPr>
              <w:t>691.9</w:t>
            </w:r>
            <w:r>
              <w:rPr>
                <w:rFonts w:ascii="Times New Roman" w:hAnsi="Times New Roman" w:eastAsia="Times New Roman" w:cs="Times New Roman"/>
                <w:spacing w:val="4"/>
                <w:sz w:val="20"/>
                <w:szCs w:val="20"/>
              </w:rPr>
              <w:t>V/m</w:t>
            </w:r>
          </w:p>
        </w:tc>
        <w:tc>
          <w:tcPr>
            <w:tcW w:w="1646" w:type="dxa"/>
            <w:vAlign w:val="top"/>
          </w:tcPr>
          <w:p w14:paraId="35C1D653">
            <w:pPr>
              <w:spacing w:before="135" w:line="199" w:lineRule="auto"/>
              <w:ind w:left="42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4000V/m</w:t>
            </w:r>
          </w:p>
        </w:tc>
      </w:tr>
      <w:tr w14:paraId="703E2D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1882" w:type="dxa"/>
            <w:vMerge w:val="continue"/>
            <w:tcBorders>
              <w:top w:val="nil"/>
            </w:tcBorders>
            <w:vAlign w:val="top"/>
          </w:tcPr>
          <w:p w14:paraId="59BEC1D1">
            <w:pPr>
              <w:rPr>
                <w:rFonts w:ascii="Arial"/>
                <w:sz w:val="21"/>
              </w:rPr>
            </w:pPr>
          </w:p>
        </w:tc>
        <w:tc>
          <w:tcPr>
            <w:tcW w:w="3145" w:type="dxa"/>
            <w:vAlign w:val="top"/>
          </w:tcPr>
          <w:p w14:paraId="7530CB90">
            <w:pPr>
              <w:pStyle w:val="9"/>
              <w:spacing w:before="110" w:line="228" w:lineRule="auto"/>
              <w:ind w:left="846"/>
              <w:rPr>
                <w:sz w:val="20"/>
                <w:szCs w:val="20"/>
              </w:rPr>
            </w:pPr>
            <w:r>
              <w:rPr>
                <w:spacing w:val="8"/>
                <w:sz w:val="20"/>
                <w:szCs w:val="20"/>
              </w:rPr>
              <w:t>工频磁感应强度</w:t>
            </w:r>
          </w:p>
        </w:tc>
        <w:tc>
          <w:tcPr>
            <w:tcW w:w="2118" w:type="dxa"/>
            <w:vAlign w:val="top"/>
          </w:tcPr>
          <w:p w14:paraId="455B5A90">
            <w:pPr>
              <w:spacing w:before="137" w:line="215" w:lineRule="auto"/>
              <w:ind w:left="714"/>
              <w:rPr>
                <w:rFonts w:ascii="Times New Roman" w:hAnsi="Times New Roman" w:eastAsia="Times New Roman" w:cs="Times New Roman"/>
                <w:sz w:val="20"/>
                <w:szCs w:val="20"/>
              </w:rPr>
            </w:pPr>
            <w:r>
              <w:rPr>
                <w:rFonts w:ascii="Times New Roman" w:hAnsi="Times New Roman" w:eastAsia="Times New Roman" w:cs="Times New Roman"/>
                <w:spacing w:val="-2"/>
                <w:sz w:val="19"/>
                <w:szCs w:val="19"/>
              </w:rPr>
              <w:t>0.</w:t>
            </w:r>
            <w:r>
              <w:rPr>
                <w:rFonts w:ascii="Times New Roman" w:hAnsi="Times New Roman" w:eastAsia="Times New Roman" w:cs="Times New Roman"/>
                <w:spacing w:val="-16"/>
                <w:sz w:val="19"/>
                <w:szCs w:val="19"/>
              </w:rPr>
              <w:t xml:space="preserve"> </w:t>
            </w:r>
            <w:r>
              <w:rPr>
                <w:rFonts w:ascii="Times New Roman" w:hAnsi="Times New Roman" w:eastAsia="Times New Roman" w:cs="Times New Roman"/>
                <w:spacing w:val="-2"/>
                <w:sz w:val="19"/>
                <w:szCs w:val="19"/>
              </w:rPr>
              <w:t>181</w:t>
            </w:r>
            <w:r>
              <w:rPr>
                <w:rFonts w:ascii="Times New Roman" w:hAnsi="Times New Roman" w:eastAsia="Times New Roman" w:cs="Times New Roman"/>
                <w:spacing w:val="-32"/>
                <w:sz w:val="19"/>
                <w:szCs w:val="19"/>
              </w:rPr>
              <w:t xml:space="preserve"> </w:t>
            </w:r>
            <w:r>
              <w:rPr>
                <w:rFonts w:ascii="Times New Roman" w:hAnsi="Times New Roman" w:eastAsia="Times New Roman" w:cs="Times New Roman"/>
                <w:spacing w:val="-2"/>
                <w:sz w:val="20"/>
                <w:szCs w:val="20"/>
              </w:rPr>
              <w:t>μT</w:t>
            </w:r>
          </w:p>
        </w:tc>
        <w:tc>
          <w:tcPr>
            <w:tcW w:w="1646" w:type="dxa"/>
            <w:vAlign w:val="top"/>
          </w:tcPr>
          <w:p w14:paraId="65FD2BCD">
            <w:pPr>
              <w:spacing w:before="147" w:line="197" w:lineRule="auto"/>
              <w:ind w:left="567"/>
              <w:rPr>
                <w:rFonts w:ascii="Times New Roman" w:hAnsi="Times New Roman" w:eastAsia="Times New Roman" w:cs="Times New Roman"/>
                <w:sz w:val="20"/>
                <w:szCs w:val="20"/>
              </w:rPr>
            </w:pPr>
            <w:r>
              <w:rPr>
                <w:rFonts w:ascii="Times New Roman" w:hAnsi="Times New Roman" w:eastAsia="Times New Roman" w:cs="Times New Roman"/>
                <w:sz w:val="20"/>
                <w:szCs w:val="20"/>
              </w:rPr>
              <w:t>100μT</w:t>
            </w:r>
          </w:p>
        </w:tc>
      </w:tr>
    </w:tbl>
    <w:p w14:paraId="78DF93EB">
      <w:pPr>
        <w:spacing w:before="162" w:line="218" w:lineRule="auto"/>
        <w:ind w:left="251"/>
        <w:outlineLvl w:val="1"/>
        <w:rPr>
          <w:rFonts w:ascii="宋体" w:hAnsi="宋体" w:eastAsia="宋体" w:cs="宋体"/>
          <w:sz w:val="24"/>
          <w:szCs w:val="24"/>
        </w:rPr>
      </w:pPr>
      <w:r>
        <w:rPr>
          <w:rFonts w:ascii="Times New Roman" w:hAnsi="Times New Roman" w:eastAsia="Times New Roman" w:cs="Times New Roman"/>
          <w:b/>
          <w:bCs/>
          <w:spacing w:val="-6"/>
          <w:sz w:val="24"/>
          <w:szCs w:val="24"/>
        </w:rPr>
        <w:t>4.7</w:t>
      </w:r>
      <w:r>
        <w:rPr>
          <w:rFonts w:ascii="Times New Roman" w:hAnsi="Times New Roman" w:eastAsia="Times New Roman" w:cs="Times New Roman"/>
          <w:b/>
          <w:bCs/>
          <w:spacing w:val="46"/>
          <w:sz w:val="24"/>
          <w:szCs w:val="24"/>
        </w:rPr>
        <w:t xml:space="preserve"> </w:t>
      </w:r>
      <w:r>
        <w:rPr>
          <w:rFonts w:ascii="宋体" w:hAnsi="宋体" w:eastAsia="宋体" w:cs="宋体"/>
          <w:b/>
          <w:bCs/>
          <w:spacing w:val="-6"/>
          <w:sz w:val="24"/>
          <w:szCs w:val="24"/>
        </w:rPr>
        <w:t>电磁环境现状评价</w:t>
      </w:r>
    </w:p>
    <w:p w14:paraId="530988C0">
      <w:pPr>
        <w:spacing w:before="175" w:line="353" w:lineRule="auto"/>
        <w:ind w:left="254" w:right="244" w:firstLine="480"/>
        <w:jc w:val="both"/>
        <w:rPr>
          <w:rFonts w:ascii="宋体" w:hAnsi="宋体" w:eastAsia="宋体" w:cs="宋体"/>
          <w:sz w:val="24"/>
          <w:szCs w:val="24"/>
        </w:rPr>
      </w:pPr>
      <w:r>
        <w:rPr>
          <w:rFonts w:ascii="宋体" w:hAnsi="宋体" w:eastAsia="宋体" w:cs="宋体"/>
          <w:spacing w:val="-3"/>
          <w:sz w:val="24"/>
          <w:szCs w:val="24"/>
        </w:rPr>
        <w:t>通过环境质量现状监测，监测期间建设单位为正常运行状态，夏营地</w:t>
      </w:r>
      <w:r>
        <w:rPr>
          <w:rFonts w:ascii="宋体" w:hAnsi="宋体" w:eastAsia="宋体" w:cs="宋体"/>
          <w:spacing w:val="-55"/>
          <w:sz w:val="24"/>
          <w:szCs w:val="24"/>
        </w:rPr>
        <w:t xml:space="preserve"> </w:t>
      </w:r>
      <w:r>
        <w:rPr>
          <w:rFonts w:ascii="Times New Roman" w:hAnsi="Times New Roman" w:eastAsia="Times New Roman" w:cs="Times New Roman"/>
          <w:spacing w:val="-3"/>
          <w:sz w:val="24"/>
          <w:szCs w:val="24"/>
        </w:rPr>
        <w:t>220kV</w:t>
      </w:r>
      <w:r>
        <w:rPr>
          <w:rFonts w:ascii="宋体" w:hAnsi="宋体" w:eastAsia="宋体" w:cs="宋体"/>
          <w:spacing w:val="6"/>
          <w:sz w:val="24"/>
          <w:szCs w:val="24"/>
        </w:rPr>
        <w:t>升压站现状监测点工频电场强度为</w:t>
      </w:r>
      <w:r>
        <w:rPr>
          <w:rFonts w:ascii="宋体" w:hAnsi="宋体" w:eastAsia="宋体" w:cs="宋体"/>
          <w:spacing w:val="-5"/>
          <w:sz w:val="24"/>
          <w:szCs w:val="24"/>
        </w:rPr>
        <w:t xml:space="preserve"> </w:t>
      </w:r>
      <w:r>
        <w:rPr>
          <w:rFonts w:ascii="Times New Roman" w:hAnsi="Times New Roman" w:eastAsia="Times New Roman" w:cs="Times New Roman"/>
          <w:spacing w:val="6"/>
          <w:sz w:val="24"/>
          <w:szCs w:val="24"/>
        </w:rPr>
        <w:t>105.8V/m~691.9 V/m</w:t>
      </w:r>
      <w:r>
        <w:rPr>
          <w:rFonts w:ascii="Times New Roman" w:hAnsi="Times New Roman" w:eastAsia="Times New Roman" w:cs="Times New Roman"/>
          <w:spacing w:val="-16"/>
          <w:sz w:val="24"/>
          <w:szCs w:val="24"/>
        </w:rPr>
        <w:t xml:space="preserve"> </w:t>
      </w:r>
      <w:r>
        <w:rPr>
          <w:rFonts w:ascii="宋体" w:hAnsi="宋体" w:eastAsia="宋体" w:cs="宋体"/>
          <w:spacing w:val="6"/>
          <w:sz w:val="24"/>
          <w:szCs w:val="24"/>
        </w:rPr>
        <w:t>，工频磁感应强度为</w:t>
      </w:r>
      <w:r>
        <w:rPr>
          <w:rFonts w:ascii="Times New Roman" w:hAnsi="Times New Roman" w:eastAsia="Times New Roman" w:cs="Times New Roman"/>
          <w:spacing w:val="-3"/>
          <w:sz w:val="24"/>
          <w:szCs w:val="24"/>
        </w:rPr>
        <w:t>0.085μT~0.372µT</w:t>
      </w:r>
      <w:r>
        <w:rPr>
          <w:rFonts w:ascii="宋体" w:hAnsi="宋体" w:eastAsia="宋体" w:cs="宋体"/>
          <w:spacing w:val="-3"/>
          <w:sz w:val="24"/>
          <w:szCs w:val="24"/>
        </w:rPr>
        <w:t>，均小于《电磁环境控制限值》（</w:t>
      </w:r>
      <w:r>
        <w:rPr>
          <w:rFonts w:ascii="Times New Roman" w:hAnsi="Times New Roman" w:eastAsia="Times New Roman" w:cs="Times New Roman"/>
          <w:spacing w:val="-3"/>
          <w:sz w:val="24"/>
          <w:szCs w:val="24"/>
        </w:rPr>
        <w:t>GB8702-2014</w:t>
      </w:r>
      <w:r>
        <w:rPr>
          <w:rFonts w:ascii="宋体" w:hAnsi="宋体" w:eastAsia="宋体" w:cs="宋体"/>
          <w:spacing w:val="-3"/>
          <w:sz w:val="24"/>
          <w:szCs w:val="24"/>
        </w:rPr>
        <w:t>）中工频电场强</w:t>
      </w:r>
      <w:r>
        <w:rPr>
          <w:rFonts w:ascii="宋体" w:hAnsi="宋体" w:eastAsia="宋体" w:cs="宋体"/>
          <w:spacing w:val="-2"/>
          <w:sz w:val="24"/>
          <w:szCs w:val="24"/>
        </w:rPr>
        <w:t>度</w:t>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4000V/m</w:t>
      </w:r>
      <w:r>
        <w:rPr>
          <w:rFonts w:ascii="Times New Roman" w:hAnsi="Times New Roman" w:eastAsia="Times New Roman" w:cs="Times New Roman"/>
          <w:spacing w:val="-36"/>
          <w:sz w:val="24"/>
          <w:szCs w:val="24"/>
        </w:rPr>
        <w:t xml:space="preserve"> </w:t>
      </w:r>
      <w:r>
        <w:rPr>
          <w:rFonts w:ascii="宋体" w:hAnsi="宋体" w:eastAsia="宋体" w:cs="宋体"/>
          <w:spacing w:val="-2"/>
          <w:sz w:val="24"/>
          <w:szCs w:val="24"/>
        </w:rPr>
        <w:t>、工频磁感应强度</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100μТ</w:t>
      </w:r>
      <w:r>
        <w:rPr>
          <w:rFonts w:ascii="宋体" w:hAnsi="宋体" w:eastAsia="宋体" w:cs="宋体"/>
          <w:spacing w:val="-2"/>
          <w:sz w:val="24"/>
          <w:szCs w:val="24"/>
        </w:rPr>
        <w:t>的公众曝露控制限值要求。</w:t>
      </w:r>
    </w:p>
    <w:p w14:paraId="15B2727D">
      <w:pPr>
        <w:spacing w:before="14" w:line="218" w:lineRule="auto"/>
        <w:ind w:left="253"/>
        <w:outlineLvl w:val="1"/>
        <w:rPr>
          <w:rFonts w:ascii="宋体" w:hAnsi="宋体" w:eastAsia="宋体" w:cs="宋体"/>
          <w:sz w:val="24"/>
          <w:szCs w:val="24"/>
        </w:rPr>
      </w:pPr>
      <w:r>
        <w:rPr>
          <w:rFonts w:ascii="Times New Roman" w:hAnsi="Times New Roman" w:eastAsia="Times New Roman" w:cs="Times New Roman"/>
          <w:b/>
          <w:bCs/>
          <w:spacing w:val="-3"/>
          <w:sz w:val="24"/>
          <w:szCs w:val="24"/>
        </w:rPr>
        <w:t xml:space="preserve">5  </w:t>
      </w:r>
      <w:r>
        <w:rPr>
          <w:rFonts w:ascii="宋体" w:hAnsi="宋体" w:eastAsia="宋体" w:cs="宋体"/>
          <w:b/>
          <w:bCs/>
          <w:spacing w:val="-3"/>
          <w:sz w:val="24"/>
          <w:szCs w:val="24"/>
        </w:rPr>
        <w:t>预测评价内容</w:t>
      </w:r>
    </w:p>
    <w:p w14:paraId="10AEB4E7">
      <w:pPr>
        <w:spacing w:before="194" w:line="218" w:lineRule="auto"/>
        <w:ind w:left="736"/>
        <w:rPr>
          <w:rFonts w:ascii="宋体" w:hAnsi="宋体" w:eastAsia="宋体" w:cs="宋体"/>
          <w:sz w:val="24"/>
          <w:szCs w:val="24"/>
        </w:rPr>
      </w:pPr>
      <w:r>
        <w:rPr>
          <w:rFonts w:ascii="宋体" w:hAnsi="宋体" w:eastAsia="宋体" w:cs="宋体"/>
          <w:spacing w:val="-1"/>
          <w:sz w:val="24"/>
          <w:szCs w:val="24"/>
        </w:rPr>
        <w:t>本次升压站结合类比和现状监测进行评价</w:t>
      </w:r>
    </w:p>
    <w:p w14:paraId="2544A53D">
      <w:pPr>
        <w:spacing w:before="197" w:line="219" w:lineRule="auto"/>
        <w:ind w:left="733"/>
        <w:rPr>
          <w:rFonts w:ascii="宋体" w:hAnsi="宋体" w:eastAsia="宋体" w:cs="宋体"/>
          <w:sz w:val="24"/>
          <w:szCs w:val="24"/>
        </w:rPr>
      </w:pPr>
      <w:r>
        <w:rPr>
          <w:rFonts w:ascii="Times New Roman" w:hAnsi="Times New Roman" w:eastAsia="Times New Roman" w:cs="Times New Roman"/>
          <w:b/>
          <w:bCs/>
          <w:spacing w:val="-2"/>
          <w:sz w:val="24"/>
          <w:szCs w:val="24"/>
        </w:rPr>
        <w:t xml:space="preserve">5.1 </w:t>
      </w:r>
      <w:r>
        <w:rPr>
          <w:rFonts w:ascii="宋体" w:hAnsi="宋体" w:eastAsia="宋体" w:cs="宋体"/>
          <w:b/>
          <w:bCs/>
          <w:spacing w:val="-2"/>
          <w:sz w:val="24"/>
          <w:szCs w:val="24"/>
        </w:rPr>
        <w:t>类比监测分析</w:t>
      </w:r>
    </w:p>
    <w:p w14:paraId="48C9E4D1">
      <w:pPr>
        <w:spacing w:before="196" w:line="369" w:lineRule="auto"/>
        <w:ind w:left="256" w:right="244" w:firstLine="479"/>
        <w:rPr>
          <w:rFonts w:ascii="宋体" w:hAnsi="宋体" w:eastAsia="宋体" w:cs="宋体"/>
          <w:sz w:val="24"/>
          <w:szCs w:val="24"/>
        </w:rPr>
      </w:pPr>
      <w:r>
        <w:rPr>
          <w:rFonts w:ascii="宋体" w:hAnsi="宋体" w:eastAsia="宋体" w:cs="宋体"/>
          <w:spacing w:val="-1"/>
          <w:sz w:val="24"/>
          <w:szCs w:val="24"/>
        </w:rPr>
        <w:t>根据《环境影响评价技术导则输变电》（</w:t>
      </w:r>
      <w:r>
        <w:rPr>
          <w:rFonts w:ascii="Times New Roman" w:hAnsi="Times New Roman" w:eastAsia="Times New Roman" w:cs="Times New Roman"/>
          <w:spacing w:val="-1"/>
          <w:sz w:val="24"/>
          <w:szCs w:val="24"/>
        </w:rPr>
        <w:t>HJ 24-2020</w:t>
      </w:r>
      <w:r>
        <w:rPr>
          <w:rFonts w:ascii="宋体" w:hAnsi="宋体" w:eastAsia="宋体" w:cs="宋体"/>
          <w:spacing w:val="-1"/>
          <w:sz w:val="24"/>
          <w:szCs w:val="24"/>
        </w:rPr>
        <w:t>）的要求，进行类比监</w:t>
      </w:r>
      <w:r>
        <w:rPr>
          <w:rFonts w:ascii="宋体" w:hAnsi="宋体" w:eastAsia="宋体" w:cs="宋体"/>
          <w:spacing w:val="-2"/>
          <w:sz w:val="24"/>
          <w:szCs w:val="24"/>
        </w:rPr>
        <w:t>测的方式进行。</w:t>
      </w:r>
    </w:p>
    <w:p w14:paraId="1A5F7626">
      <w:pPr>
        <w:spacing w:line="219" w:lineRule="auto"/>
        <w:ind w:left="746"/>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）类比对象选择</w:t>
      </w:r>
    </w:p>
    <w:p w14:paraId="01B58667">
      <w:pPr>
        <w:spacing w:before="195" w:line="370" w:lineRule="auto"/>
        <w:ind w:left="254" w:right="209" w:firstLine="482"/>
        <w:rPr>
          <w:rFonts w:ascii="宋体" w:hAnsi="宋体" w:eastAsia="宋体" w:cs="宋体"/>
          <w:sz w:val="24"/>
          <w:szCs w:val="24"/>
        </w:rPr>
      </w:pPr>
      <w:r>
        <w:rPr>
          <w:rFonts w:ascii="宋体" w:hAnsi="宋体" w:eastAsia="宋体" w:cs="宋体"/>
          <w:spacing w:val="-3"/>
          <w:sz w:val="24"/>
          <w:szCs w:val="24"/>
        </w:rPr>
        <w:t>升压站的电磁环境影响主要由站内各种高压电气设备产生，</w:t>
      </w:r>
      <w:r>
        <w:rPr>
          <w:rFonts w:ascii="宋体" w:hAnsi="宋体" w:eastAsia="宋体" w:cs="宋体"/>
          <w:spacing w:val="-4"/>
          <w:sz w:val="24"/>
          <w:szCs w:val="24"/>
        </w:rPr>
        <w:t>本项目夏营地升</w:t>
      </w:r>
      <w:r>
        <w:rPr>
          <w:rFonts w:ascii="宋体" w:hAnsi="宋体" w:eastAsia="宋体" w:cs="宋体"/>
          <w:spacing w:val="-8"/>
          <w:sz w:val="24"/>
          <w:szCs w:val="24"/>
        </w:rPr>
        <w:t>压站已建</w:t>
      </w:r>
      <w:r>
        <w:rPr>
          <w:rFonts w:ascii="宋体" w:hAnsi="宋体" w:eastAsia="宋体" w:cs="宋体"/>
          <w:spacing w:val="-48"/>
          <w:sz w:val="24"/>
          <w:szCs w:val="24"/>
        </w:rPr>
        <w:t xml:space="preserve"> </w:t>
      </w:r>
      <w:r>
        <w:rPr>
          <w:rFonts w:ascii="Times New Roman" w:hAnsi="Times New Roman" w:eastAsia="Times New Roman" w:cs="Times New Roman"/>
          <w:spacing w:val="-8"/>
          <w:sz w:val="24"/>
          <w:szCs w:val="24"/>
        </w:rPr>
        <w:t>2</w:t>
      </w:r>
      <w:r>
        <w:rPr>
          <w:rFonts w:ascii="Times New Roman" w:hAnsi="Times New Roman" w:eastAsia="Times New Roman" w:cs="Times New Roman"/>
          <w:spacing w:val="28"/>
          <w:sz w:val="24"/>
          <w:szCs w:val="24"/>
        </w:rPr>
        <w:t xml:space="preserve"> </w:t>
      </w:r>
      <w:r>
        <w:rPr>
          <w:rFonts w:ascii="宋体" w:hAnsi="宋体" w:eastAsia="宋体" w:cs="宋体"/>
          <w:spacing w:val="-8"/>
          <w:sz w:val="24"/>
          <w:szCs w:val="24"/>
        </w:rPr>
        <w:t>台容量为</w:t>
      </w:r>
      <w:r>
        <w:rPr>
          <w:rFonts w:ascii="宋体" w:hAnsi="宋体" w:eastAsia="宋体" w:cs="宋体"/>
          <w:spacing w:val="-32"/>
          <w:sz w:val="24"/>
          <w:szCs w:val="24"/>
        </w:rPr>
        <w:t xml:space="preserve"> </w:t>
      </w:r>
      <w:r>
        <w:rPr>
          <w:rFonts w:ascii="Times New Roman" w:hAnsi="Times New Roman" w:eastAsia="Times New Roman" w:cs="Times New Roman"/>
          <w:spacing w:val="-8"/>
          <w:sz w:val="24"/>
          <w:szCs w:val="24"/>
        </w:rPr>
        <w:t xml:space="preserve">150MVA </w:t>
      </w:r>
      <w:r>
        <w:rPr>
          <w:rFonts w:ascii="宋体" w:hAnsi="宋体" w:eastAsia="宋体" w:cs="宋体"/>
          <w:spacing w:val="-8"/>
          <w:sz w:val="24"/>
          <w:szCs w:val="24"/>
        </w:rPr>
        <w:t>主变压器，</w:t>
      </w:r>
      <w:r>
        <w:rPr>
          <w:rFonts w:ascii="Times New Roman" w:hAnsi="Times New Roman" w:eastAsia="Times New Roman" w:cs="Times New Roman"/>
          <w:spacing w:val="-8"/>
          <w:sz w:val="24"/>
          <w:szCs w:val="24"/>
        </w:rPr>
        <w:t>1</w:t>
      </w:r>
      <w:r>
        <w:rPr>
          <w:rFonts w:ascii="Times New Roman" w:hAnsi="Times New Roman" w:eastAsia="Times New Roman" w:cs="Times New Roman"/>
          <w:spacing w:val="28"/>
          <w:sz w:val="24"/>
          <w:szCs w:val="24"/>
        </w:rPr>
        <w:t xml:space="preserve"> </w:t>
      </w:r>
      <w:r>
        <w:rPr>
          <w:rFonts w:ascii="宋体" w:hAnsi="宋体" w:eastAsia="宋体" w:cs="宋体"/>
          <w:spacing w:val="-8"/>
          <w:sz w:val="24"/>
          <w:szCs w:val="24"/>
        </w:rPr>
        <w:t>台</w:t>
      </w:r>
      <w:r>
        <w:rPr>
          <w:rFonts w:ascii="宋体" w:hAnsi="宋体" w:eastAsia="宋体" w:cs="宋体"/>
          <w:spacing w:val="-32"/>
          <w:sz w:val="24"/>
          <w:szCs w:val="24"/>
        </w:rPr>
        <w:t xml:space="preserve"> </w:t>
      </w:r>
      <w:r>
        <w:rPr>
          <w:rFonts w:ascii="Times New Roman" w:hAnsi="Times New Roman" w:eastAsia="Times New Roman" w:cs="Times New Roman"/>
          <w:spacing w:val="-8"/>
          <w:sz w:val="24"/>
          <w:szCs w:val="24"/>
        </w:rPr>
        <w:t>125MVA</w:t>
      </w:r>
      <w:r>
        <w:rPr>
          <w:rFonts w:ascii="Times New Roman" w:hAnsi="Times New Roman" w:eastAsia="Times New Roman" w:cs="Times New Roman"/>
          <w:spacing w:val="13"/>
          <w:sz w:val="24"/>
          <w:szCs w:val="24"/>
        </w:rPr>
        <w:t xml:space="preserve"> </w:t>
      </w:r>
      <w:r>
        <w:rPr>
          <w:rFonts w:ascii="宋体" w:hAnsi="宋体" w:eastAsia="宋体" w:cs="宋体"/>
          <w:spacing w:val="-8"/>
          <w:sz w:val="24"/>
          <w:szCs w:val="24"/>
        </w:rPr>
        <w:t>主变压器，</w:t>
      </w:r>
      <w:r>
        <w:rPr>
          <w:rFonts w:ascii="Times New Roman" w:hAnsi="Times New Roman" w:eastAsia="Times New Roman" w:cs="Times New Roman"/>
          <w:spacing w:val="-8"/>
          <w:sz w:val="24"/>
          <w:szCs w:val="24"/>
        </w:rPr>
        <w:t>1</w:t>
      </w:r>
      <w:r>
        <w:rPr>
          <w:rFonts w:ascii="Times New Roman" w:hAnsi="Times New Roman" w:eastAsia="Times New Roman" w:cs="Times New Roman"/>
          <w:spacing w:val="28"/>
          <w:w w:val="101"/>
          <w:sz w:val="24"/>
          <w:szCs w:val="24"/>
        </w:rPr>
        <w:t xml:space="preserve"> </w:t>
      </w:r>
      <w:r>
        <w:rPr>
          <w:rFonts w:ascii="宋体" w:hAnsi="宋体" w:eastAsia="宋体" w:cs="宋体"/>
          <w:spacing w:val="-8"/>
          <w:sz w:val="24"/>
          <w:szCs w:val="24"/>
        </w:rPr>
        <w:t>台</w:t>
      </w:r>
      <w:r>
        <w:rPr>
          <w:rFonts w:ascii="宋体" w:hAnsi="宋体" w:eastAsia="宋体" w:cs="宋体"/>
          <w:spacing w:val="-55"/>
          <w:sz w:val="24"/>
          <w:szCs w:val="24"/>
        </w:rPr>
        <w:t xml:space="preserve"> </w:t>
      </w:r>
      <w:r>
        <w:rPr>
          <w:rFonts w:ascii="Times New Roman" w:hAnsi="Times New Roman" w:eastAsia="Times New Roman" w:cs="Times New Roman"/>
          <w:spacing w:val="-8"/>
          <w:sz w:val="24"/>
          <w:szCs w:val="24"/>
        </w:rPr>
        <w:t>240MVA</w:t>
      </w:r>
      <w:r>
        <w:rPr>
          <w:rFonts w:ascii="宋体" w:hAnsi="宋体" w:eastAsia="宋体" w:cs="宋体"/>
          <w:spacing w:val="-3"/>
          <w:sz w:val="24"/>
          <w:szCs w:val="24"/>
        </w:rPr>
        <w:t>主变压器，共</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4</w:t>
      </w:r>
      <w:r>
        <w:rPr>
          <w:rFonts w:ascii="Times New Roman" w:hAnsi="Times New Roman" w:eastAsia="Times New Roman" w:cs="Times New Roman"/>
          <w:spacing w:val="28"/>
          <w:sz w:val="24"/>
          <w:szCs w:val="24"/>
        </w:rPr>
        <w:t xml:space="preserve"> </w:t>
      </w:r>
      <w:r>
        <w:rPr>
          <w:rFonts w:ascii="宋体" w:hAnsi="宋体" w:eastAsia="宋体" w:cs="宋体"/>
          <w:spacing w:val="-3"/>
          <w:sz w:val="24"/>
          <w:szCs w:val="24"/>
        </w:rPr>
        <w:t>台主变压器。为预测本项目升压站运行后周围电磁环境的影响，</w:t>
      </w:r>
      <w:r>
        <w:rPr>
          <w:rFonts w:ascii="宋体" w:hAnsi="宋体" w:eastAsia="宋体" w:cs="宋体"/>
          <w:spacing w:val="2"/>
          <w:sz w:val="24"/>
          <w:szCs w:val="24"/>
        </w:rPr>
        <w:t>选择了已运行的乌兰察布丰镇工业园区（润字）</w:t>
      </w:r>
      <w:r>
        <w:rPr>
          <w:rFonts w:ascii="Times New Roman" w:hAnsi="Times New Roman" w:eastAsia="Times New Roman" w:cs="Times New Roman"/>
          <w:spacing w:val="2"/>
          <w:sz w:val="24"/>
          <w:szCs w:val="24"/>
        </w:rPr>
        <w:t>220</w:t>
      </w:r>
      <w:r>
        <w:rPr>
          <w:rFonts w:ascii="Times New Roman" w:hAnsi="Times New Roman" w:eastAsia="Times New Roman" w:cs="Times New Roman"/>
          <w:sz w:val="24"/>
          <w:szCs w:val="24"/>
        </w:rPr>
        <w:t>kV</w:t>
      </w:r>
      <w:r>
        <w:rPr>
          <w:rFonts w:ascii="Times New Roman" w:hAnsi="Times New Roman" w:eastAsia="Times New Roman" w:cs="Times New Roman"/>
          <w:spacing w:val="2"/>
          <w:sz w:val="24"/>
          <w:szCs w:val="24"/>
        </w:rPr>
        <w:t xml:space="preserve">  </w:t>
      </w:r>
      <w:r>
        <w:rPr>
          <w:rFonts w:ascii="宋体" w:hAnsi="宋体" w:eastAsia="宋体" w:cs="宋体"/>
          <w:spacing w:val="2"/>
          <w:sz w:val="24"/>
          <w:szCs w:val="24"/>
        </w:rPr>
        <w:t>变电站作为类比监测对</w:t>
      </w:r>
    </w:p>
    <w:p w14:paraId="4BB04FD4">
      <w:pPr>
        <w:spacing w:line="370" w:lineRule="auto"/>
        <w:rPr>
          <w:rFonts w:ascii="宋体" w:hAnsi="宋体" w:eastAsia="宋体" w:cs="宋体"/>
          <w:sz w:val="24"/>
          <w:szCs w:val="24"/>
        </w:rPr>
        <w:sectPr>
          <w:footerReference r:id="rId102" w:type="default"/>
          <w:pgSz w:w="11906" w:h="16838"/>
          <w:pgMar w:top="1431" w:right="1555" w:bottom="1295" w:left="1554" w:header="0" w:footer="1133" w:gutter="0"/>
          <w:cols w:space="720" w:num="1"/>
        </w:sectPr>
      </w:pPr>
    </w:p>
    <w:p w14:paraId="6126E7AA">
      <w:pPr>
        <w:spacing w:before="188" w:line="219" w:lineRule="auto"/>
        <w:ind w:left="130"/>
        <w:rPr>
          <w:rFonts w:ascii="宋体" w:hAnsi="宋体" w:eastAsia="宋体" w:cs="宋体"/>
          <w:sz w:val="24"/>
          <w:szCs w:val="24"/>
        </w:rPr>
      </w:pPr>
      <w:r>
        <w:rPr>
          <w:rFonts w:ascii="宋体" w:hAnsi="宋体" w:eastAsia="宋体" w:cs="宋体"/>
          <w:spacing w:val="-9"/>
          <w:sz w:val="24"/>
          <w:szCs w:val="24"/>
        </w:rPr>
        <w:t>象。</w:t>
      </w:r>
    </w:p>
    <w:p w14:paraId="0BE0E033">
      <w:pPr>
        <w:spacing w:before="195" w:line="369" w:lineRule="auto"/>
        <w:ind w:left="150" w:right="112" w:firstLine="452"/>
        <w:rPr>
          <w:rFonts w:ascii="宋体" w:hAnsi="宋体" w:eastAsia="宋体" w:cs="宋体"/>
          <w:sz w:val="24"/>
          <w:szCs w:val="24"/>
        </w:rPr>
      </w:pPr>
      <w:r>
        <w:rPr>
          <w:rFonts w:ascii="宋体" w:hAnsi="宋体" w:eastAsia="宋体" w:cs="宋体"/>
          <w:spacing w:val="1"/>
          <w:sz w:val="24"/>
          <w:szCs w:val="24"/>
        </w:rPr>
        <w:t>本工程</w:t>
      </w:r>
      <w:r>
        <w:rPr>
          <w:rFonts w:ascii="宋体" w:hAnsi="宋体" w:eastAsia="宋体" w:cs="宋体"/>
          <w:spacing w:val="-52"/>
          <w:sz w:val="24"/>
          <w:szCs w:val="24"/>
        </w:rPr>
        <w:t xml:space="preserve"> </w:t>
      </w:r>
      <w:r>
        <w:rPr>
          <w:rFonts w:ascii="Times New Roman" w:hAnsi="Times New Roman" w:eastAsia="Times New Roman" w:cs="Times New Roman"/>
          <w:spacing w:val="1"/>
          <w:sz w:val="24"/>
          <w:szCs w:val="24"/>
        </w:rPr>
        <w:t>220</w:t>
      </w:r>
      <w:r>
        <w:rPr>
          <w:rFonts w:ascii="Times New Roman" w:hAnsi="Times New Roman" w:eastAsia="Times New Roman" w:cs="Times New Roman"/>
          <w:sz w:val="24"/>
          <w:szCs w:val="24"/>
        </w:rPr>
        <w:t>kV</w:t>
      </w:r>
      <w:r>
        <w:rPr>
          <w:rFonts w:ascii="Times New Roman" w:hAnsi="Times New Roman" w:eastAsia="Times New Roman" w:cs="Times New Roman"/>
          <w:spacing w:val="1"/>
          <w:sz w:val="24"/>
          <w:szCs w:val="24"/>
        </w:rPr>
        <w:t xml:space="preserve"> </w:t>
      </w:r>
      <w:r>
        <w:rPr>
          <w:rFonts w:ascii="宋体" w:hAnsi="宋体" w:eastAsia="宋体" w:cs="宋体"/>
          <w:spacing w:val="1"/>
          <w:sz w:val="24"/>
          <w:szCs w:val="24"/>
        </w:rPr>
        <w:t>升压站与现运行的乌兰察布丰</w:t>
      </w:r>
      <w:r>
        <w:rPr>
          <w:rFonts w:ascii="宋体" w:hAnsi="宋体" w:eastAsia="宋体" w:cs="宋体"/>
          <w:sz w:val="24"/>
          <w:szCs w:val="24"/>
        </w:rPr>
        <w:t>镇工业园区（润字）</w:t>
      </w:r>
      <w:r>
        <w:rPr>
          <w:rFonts w:ascii="Times New Roman" w:hAnsi="Times New Roman" w:eastAsia="Times New Roman" w:cs="Times New Roman"/>
          <w:sz w:val="24"/>
          <w:szCs w:val="24"/>
        </w:rPr>
        <w:t xml:space="preserve">220kV  </w:t>
      </w:r>
      <w:r>
        <w:rPr>
          <w:rFonts w:ascii="宋体" w:hAnsi="宋体" w:eastAsia="宋体" w:cs="宋体"/>
          <w:sz w:val="24"/>
          <w:szCs w:val="24"/>
        </w:rPr>
        <w:t>变</w:t>
      </w:r>
      <w:r>
        <w:rPr>
          <w:rFonts w:ascii="宋体" w:hAnsi="宋体" w:eastAsia="宋体" w:cs="宋体"/>
          <w:spacing w:val="-6"/>
          <w:sz w:val="24"/>
          <w:szCs w:val="24"/>
        </w:rPr>
        <w:t>电站各项指标对比见表</w:t>
      </w:r>
      <w:r>
        <w:rPr>
          <w:rFonts w:ascii="宋体" w:hAnsi="宋体" w:eastAsia="宋体" w:cs="宋体"/>
          <w:spacing w:val="-43"/>
          <w:sz w:val="24"/>
          <w:szCs w:val="24"/>
        </w:rPr>
        <w:t xml:space="preserve"> </w:t>
      </w:r>
      <w:r>
        <w:rPr>
          <w:rFonts w:ascii="Times New Roman" w:hAnsi="Times New Roman" w:eastAsia="Times New Roman" w:cs="Times New Roman"/>
          <w:spacing w:val="-6"/>
          <w:sz w:val="24"/>
          <w:szCs w:val="24"/>
        </w:rPr>
        <w:t>5-</w:t>
      </w:r>
      <w:r>
        <w:rPr>
          <w:rFonts w:ascii="Times New Roman" w:hAnsi="Times New Roman" w:eastAsia="Times New Roman" w:cs="Times New Roman"/>
          <w:spacing w:val="-33"/>
          <w:sz w:val="24"/>
          <w:szCs w:val="24"/>
        </w:rPr>
        <w:t xml:space="preserve"> </w:t>
      </w:r>
      <w:r>
        <w:rPr>
          <w:rFonts w:ascii="Times New Roman" w:hAnsi="Times New Roman" w:eastAsia="Times New Roman" w:cs="Times New Roman"/>
          <w:spacing w:val="-6"/>
          <w:sz w:val="24"/>
          <w:szCs w:val="24"/>
        </w:rPr>
        <w:t>1</w:t>
      </w:r>
      <w:r>
        <w:rPr>
          <w:rFonts w:ascii="宋体" w:hAnsi="宋体" w:eastAsia="宋体" w:cs="宋体"/>
          <w:spacing w:val="-6"/>
          <w:sz w:val="24"/>
          <w:szCs w:val="24"/>
        </w:rPr>
        <w:t>。</w:t>
      </w:r>
    </w:p>
    <w:p w14:paraId="34653E5F">
      <w:pPr>
        <w:spacing w:line="219" w:lineRule="auto"/>
        <w:ind w:left="2698"/>
        <w:rPr>
          <w:rFonts w:ascii="宋体" w:hAnsi="宋体" w:eastAsia="宋体" w:cs="宋体"/>
          <w:sz w:val="24"/>
          <w:szCs w:val="24"/>
        </w:rPr>
      </w:pPr>
      <w:r>
        <w:rPr>
          <w:rFonts w:ascii="宋体" w:hAnsi="宋体" w:eastAsia="宋体" w:cs="宋体"/>
          <w:b/>
          <w:bCs/>
          <w:spacing w:val="-2"/>
          <w:sz w:val="24"/>
          <w:szCs w:val="24"/>
        </w:rPr>
        <w:t>表</w:t>
      </w:r>
      <w:r>
        <w:rPr>
          <w:rFonts w:ascii="宋体" w:hAnsi="宋体" w:eastAsia="宋体" w:cs="宋体"/>
          <w:spacing w:val="-51"/>
          <w:sz w:val="24"/>
          <w:szCs w:val="24"/>
        </w:rPr>
        <w:t xml:space="preserve"> </w:t>
      </w:r>
      <w:r>
        <w:rPr>
          <w:rFonts w:ascii="Times New Roman" w:hAnsi="Times New Roman" w:eastAsia="Times New Roman" w:cs="Times New Roman"/>
          <w:b/>
          <w:bCs/>
          <w:spacing w:val="-2"/>
          <w:sz w:val="24"/>
          <w:szCs w:val="24"/>
        </w:rPr>
        <w:t xml:space="preserve">5-1      </w:t>
      </w:r>
      <w:r>
        <w:rPr>
          <w:rFonts w:ascii="宋体" w:hAnsi="宋体" w:eastAsia="宋体" w:cs="宋体"/>
          <w:b/>
          <w:bCs/>
          <w:spacing w:val="-2"/>
          <w:sz w:val="24"/>
          <w:szCs w:val="24"/>
        </w:rPr>
        <w:t>主要技术指标对比表</w:t>
      </w:r>
    </w:p>
    <w:p w14:paraId="1E4086C5">
      <w:pPr>
        <w:spacing w:line="16" w:lineRule="exact"/>
      </w:pPr>
    </w:p>
    <w:tbl>
      <w:tblPr>
        <w:tblStyle w:val="8"/>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05"/>
        <w:gridCol w:w="3792"/>
        <w:gridCol w:w="3029"/>
      </w:tblGrid>
      <w:tr w14:paraId="78009C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705" w:type="dxa"/>
            <w:vAlign w:val="top"/>
          </w:tcPr>
          <w:p w14:paraId="6F3A2A1B">
            <w:pPr>
              <w:pStyle w:val="9"/>
              <w:spacing w:before="172" w:line="228" w:lineRule="auto"/>
              <w:ind w:left="436"/>
              <w:rPr>
                <w:sz w:val="20"/>
                <w:szCs w:val="20"/>
              </w:rPr>
            </w:pPr>
            <w:r>
              <w:rPr>
                <w:spacing w:val="7"/>
                <w:sz w:val="20"/>
                <w:szCs w:val="20"/>
              </w:rPr>
              <w:t>对比项目</w:t>
            </w:r>
          </w:p>
        </w:tc>
        <w:tc>
          <w:tcPr>
            <w:tcW w:w="3792" w:type="dxa"/>
            <w:vAlign w:val="top"/>
          </w:tcPr>
          <w:p w14:paraId="238390D9">
            <w:pPr>
              <w:pStyle w:val="9"/>
              <w:spacing w:before="171" w:line="227" w:lineRule="auto"/>
              <w:ind w:left="934"/>
              <w:rPr>
                <w:sz w:val="20"/>
                <w:szCs w:val="20"/>
              </w:rPr>
            </w:pPr>
            <w:r>
              <w:rPr>
                <w:spacing w:val="13"/>
                <w:sz w:val="20"/>
                <w:szCs w:val="20"/>
              </w:rPr>
              <w:t>本项目</w:t>
            </w:r>
            <w:r>
              <w:rPr>
                <w:rFonts w:ascii="Times New Roman" w:hAnsi="Times New Roman" w:eastAsia="Times New Roman" w:cs="Times New Roman"/>
                <w:spacing w:val="13"/>
                <w:sz w:val="20"/>
                <w:szCs w:val="20"/>
              </w:rPr>
              <w:t>220</w:t>
            </w:r>
            <w:r>
              <w:rPr>
                <w:rFonts w:ascii="Times New Roman" w:hAnsi="Times New Roman" w:eastAsia="Times New Roman" w:cs="Times New Roman"/>
                <w:sz w:val="20"/>
                <w:szCs w:val="20"/>
              </w:rPr>
              <w:t>kV</w:t>
            </w:r>
            <w:r>
              <w:rPr>
                <w:rFonts w:ascii="Times New Roman" w:hAnsi="Times New Roman" w:eastAsia="Times New Roman" w:cs="Times New Roman"/>
                <w:spacing w:val="13"/>
                <w:sz w:val="20"/>
                <w:szCs w:val="20"/>
              </w:rPr>
              <w:t xml:space="preserve"> </w:t>
            </w:r>
            <w:r>
              <w:rPr>
                <w:spacing w:val="13"/>
                <w:sz w:val="20"/>
                <w:szCs w:val="20"/>
              </w:rPr>
              <w:t>升压站</w:t>
            </w:r>
          </w:p>
        </w:tc>
        <w:tc>
          <w:tcPr>
            <w:tcW w:w="3029" w:type="dxa"/>
            <w:vAlign w:val="top"/>
          </w:tcPr>
          <w:p w14:paraId="6EEDFC68">
            <w:pPr>
              <w:pStyle w:val="9"/>
              <w:spacing w:before="37" w:line="234" w:lineRule="auto"/>
              <w:ind w:left="127" w:right="21" w:hanging="11"/>
              <w:rPr>
                <w:sz w:val="20"/>
                <w:szCs w:val="20"/>
              </w:rPr>
            </w:pPr>
            <w:r>
              <w:rPr>
                <w:spacing w:val="6"/>
                <w:sz w:val="20"/>
                <w:szCs w:val="20"/>
              </w:rPr>
              <w:t>乌兰察布丰镇工业园区（润字）</w:t>
            </w:r>
            <w:r>
              <w:rPr>
                <w:sz w:val="20"/>
                <w:szCs w:val="20"/>
              </w:rPr>
              <w:t xml:space="preserve"> </w:t>
            </w:r>
            <w:r>
              <w:rPr>
                <w:rFonts w:ascii="Times New Roman" w:hAnsi="Times New Roman" w:eastAsia="Times New Roman" w:cs="Times New Roman"/>
                <w:spacing w:val="7"/>
                <w:sz w:val="20"/>
                <w:szCs w:val="20"/>
              </w:rPr>
              <w:t>220</w:t>
            </w:r>
            <w:r>
              <w:rPr>
                <w:rFonts w:ascii="Times New Roman" w:hAnsi="Times New Roman" w:eastAsia="Times New Roman" w:cs="Times New Roman"/>
                <w:sz w:val="20"/>
                <w:szCs w:val="20"/>
              </w:rPr>
              <w:t>kV</w:t>
            </w:r>
            <w:r>
              <w:rPr>
                <w:rFonts w:ascii="Times New Roman" w:hAnsi="Times New Roman" w:eastAsia="Times New Roman" w:cs="Times New Roman"/>
                <w:spacing w:val="7"/>
                <w:sz w:val="20"/>
                <w:szCs w:val="20"/>
              </w:rPr>
              <w:t xml:space="preserve">  </w:t>
            </w:r>
            <w:r>
              <w:rPr>
                <w:spacing w:val="7"/>
                <w:sz w:val="20"/>
                <w:szCs w:val="20"/>
              </w:rPr>
              <w:t>变电站（类比变电站）</w:t>
            </w:r>
          </w:p>
        </w:tc>
      </w:tr>
      <w:tr w14:paraId="4D606E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705" w:type="dxa"/>
            <w:vAlign w:val="top"/>
          </w:tcPr>
          <w:p w14:paraId="66C61FD1">
            <w:pPr>
              <w:pStyle w:val="9"/>
              <w:spacing w:before="29" w:line="218" w:lineRule="auto"/>
              <w:ind w:left="462"/>
              <w:rPr>
                <w:sz w:val="20"/>
                <w:szCs w:val="20"/>
              </w:rPr>
            </w:pPr>
            <w:r>
              <w:rPr>
                <w:spacing w:val="1"/>
                <w:sz w:val="20"/>
                <w:szCs w:val="20"/>
              </w:rPr>
              <w:t>电压等级</w:t>
            </w:r>
          </w:p>
        </w:tc>
        <w:tc>
          <w:tcPr>
            <w:tcW w:w="3792" w:type="dxa"/>
            <w:vAlign w:val="top"/>
          </w:tcPr>
          <w:p w14:paraId="50D05F17">
            <w:pPr>
              <w:spacing w:before="62" w:line="199" w:lineRule="auto"/>
              <w:ind w:left="1476"/>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220/35</w:t>
            </w:r>
            <w:r>
              <w:rPr>
                <w:rFonts w:ascii="Times New Roman" w:hAnsi="Times New Roman" w:eastAsia="Times New Roman" w:cs="Times New Roman"/>
                <w:sz w:val="20"/>
                <w:szCs w:val="20"/>
              </w:rPr>
              <w:t>kV</w:t>
            </w:r>
          </w:p>
        </w:tc>
        <w:tc>
          <w:tcPr>
            <w:tcW w:w="3029" w:type="dxa"/>
            <w:vAlign w:val="top"/>
          </w:tcPr>
          <w:p w14:paraId="7AEECC0A">
            <w:pPr>
              <w:spacing w:before="62" w:line="199" w:lineRule="auto"/>
              <w:ind w:left="1095"/>
              <w:rPr>
                <w:rFonts w:ascii="Times New Roman" w:hAnsi="Times New Roman" w:eastAsia="Times New Roman" w:cs="Times New Roman"/>
                <w:sz w:val="20"/>
                <w:szCs w:val="20"/>
              </w:rPr>
            </w:pPr>
            <w:r>
              <w:rPr>
                <w:rFonts w:ascii="Times New Roman" w:hAnsi="Times New Roman" w:eastAsia="Times New Roman" w:cs="Times New Roman"/>
                <w:spacing w:val="5"/>
                <w:sz w:val="20"/>
                <w:szCs w:val="20"/>
              </w:rPr>
              <w:t>220/35</w:t>
            </w:r>
            <w:r>
              <w:rPr>
                <w:rFonts w:ascii="Times New Roman" w:hAnsi="Times New Roman" w:eastAsia="Times New Roman" w:cs="Times New Roman"/>
                <w:sz w:val="20"/>
                <w:szCs w:val="20"/>
              </w:rPr>
              <w:t>kV</w:t>
            </w:r>
          </w:p>
        </w:tc>
      </w:tr>
      <w:tr w14:paraId="7E4F74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705" w:type="dxa"/>
            <w:vAlign w:val="top"/>
          </w:tcPr>
          <w:p w14:paraId="1B02AA94">
            <w:pPr>
              <w:pStyle w:val="9"/>
              <w:spacing w:before="32" w:line="216" w:lineRule="auto"/>
              <w:ind w:left="437"/>
              <w:rPr>
                <w:sz w:val="20"/>
                <w:szCs w:val="20"/>
              </w:rPr>
            </w:pPr>
            <w:r>
              <w:rPr>
                <w:spacing w:val="7"/>
                <w:sz w:val="20"/>
                <w:szCs w:val="20"/>
              </w:rPr>
              <w:t>布置方式</w:t>
            </w:r>
          </w:p>
        </w:tc>
        <w:tc>
          <w:tcPr>
            <w:tcW w:w="3792" w:type="dxa"/>
            <w:vAlign w:val="top"/>
          </w:tcPr>
          <w:p w14:paraId="08F863A4">
            <w:pPr>
              <w:pStyle w:val="9"/>
              <w:spacing w:before="32" w:line="216" w:lineRule="auto"/>
              <w:ind w:left="1481"/>
              <w:rPr>
                <w:sz w:val="20"/>
                <w:szCs w:val="20"/>
              </w:rPr>
            </w:pPr>
            <w:r>
              <w:rPr>
                <w:spacing w:val="7"/>
                <w:sz w:val="20"/>
                <w:szCs w:val="20"/>
              </w:rPr>
              <w:t>户外布置</w:t>
            </w:r>
          </w:p>
        </w:tc>
        <w:tc>
          <w:tcPr>
            <w:tcW w:w="3029" w:type="dxa"/>
            <w:vAlign w:val="top"/>
          </w:tcPr>
          <w:p w14:paraId="4143DD6C">
            <w:pPr>
              <w:pStyle w:val="9"/>
              <w:spacing w:before="32" w:line="216" w:lineRule="auto"/>
              <w:ind w:left="1099"/>
              <w:rPr>
                <w:sz w:val="20"/>
                <w:szCs w:val="20"/>
              </w:rPr>
            </w:pPr>
            <w:r>
              <w:rPr>
                <w:spacing w:val="7"/>
                <w:sz w:val="20"/>
                <w:szCs w:val="20"/>
              </w:rPr>
              <w:t>户外布置</w:t>
            </w:r>
          </w:p>
        </w:tc>
      </w:tr>
      <w:tr w14:paraId="57F743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1705" w:type="dxa"/>
            <w:vAlign w:val="top"/>
          </w:tcPr>
          <w:p w14:paraId="6DBE0947">
            <w:pPr>
              <w:pStyle w:val="9"/>
              <w:spacing w:before="34" w:line="215" w:lineRule="auto"/>
              <w:ind w:left="437"/>
              <w:rPr>
                <w:sz w:val="20"/>
                <w:szCs w:val="20"/>
              </w:rPr>
            </w:pPr>
            <w:r>
              <w:rPr>
                <w:spacing w:val="7"/>
                <w:sz w:val="20"/>
                <w:szCs w:val="20"/>
              </w:rPr>
              <w:t>配电装置</w:t>
            </w:r>
          </w:p>
        </w:tc>
        <w:tc>
          <w:tcPr>
            <w:tcW w:w="3792" w:type="dxa"/>
            <w:vAlign w:val="top"/>
          </w:tcPr>
          <w:p w14:paraId="6552E82C">
            <w:pPr>
              <w:pStyle w:val="9"/>
              <w:spacing w:before="34" w:line="215" w:lineRule="auto"/>
              <w:ind w:left="735"/>
              <w:rPr>
                <w:sz w:val="20"/>
                <w:szCs w:val="20"/>
              </w:rPr>
            </w:pPr>
            <w:r>
              <w:rPr>
                <w:spacing w:val="15"/>
                <w:sz w:val="20"/>
                <w:szCs w:val="20"/>
              </w:rPr>
              <w:t>屋内</w:t>
            </w:r>
            <w:r>
              <w:rPr>
                <w:rFonts w:ascii="Times New Roman" w:hAnsi="Times New Roman" w:eastAsia="Times New Roman" w:cs="Times New Roman"/>
                <w:sz w:val="20"/>
                <w:szCs w:val="20"/>
              </w:rPr>
              <w:t>GIS</w:t>
            </w:r>
            <w:r>
              <w:rPr>
                <w:rFonts w:ascii="Times New Roman" w:hAnsi="Times New Roman" w:eastAsia="Times New Roman" w:cs="Times New Roman"/>
                <w:spacing w:val="15"/>
                <w:sz w:val="20"/>
                <w:szCs w:val="20"/>
              </w:rPr>
              <w:t xml:space="preserve"> </w:t>
            </w:r>
            <w:r>
              <w:rPr>
                <w:spacing w:val="15"/>
                <w:sz w:val="20"/>
                <w:szCs w:val="20"/>
              </w:rPr>
              <w:t>布置，架空出线</w:t>
            </w:r>
          </w:p>
        </w:tc>
        <w:tc>
          <w:tcPr>
            <w:tcW w:w="3029" w:type="dxa"/>
            <w:vAlign w:val="top"/>
          </w:tcPr>
          <w:p w14:paraId="713FDC00">
            <w:pPr>
              <w:pStyle w:val="9"/>
              <w:spacing w:before="34" w:line="215" w:lineRule="auto"/>
              <w:ind w:left="354"/>
              <w:rPr>
                <w:sz w:val="20"/>
                <w:szCs w:val="20"/>
              </w:rPr>
            </w:pPr>
            <w:r>
              <w:rPr>
                <w:spacing w:val="15"/>
                <w:sz w:val="20"/>
                <w:szCs w:val="20"/>
              </w:rPr>
              <w:t>屋内</w:t>
            </w:r>
            <w:r>
              <w:rPr>
                <w:rFonts w:ascii="Times New Roman" w:hAnsi="Times New Roman" w:eastAsia="Times New Roman" w:cs="Times New Roman"/>
                <w:sz w:val="20"/>
                <w:szCs w:val="20"/>
              </w:rPr>
              <w:t>GIS</w:t>
            </w:r>
            <w:r>
              <w:rPr>
                <w:rFonts w:ascii="Times New Roman" w:hAnsi="Times New Roman" w:eastAsia="Times New Roman" w:cs="Times New Roman"/>
                <w:spacing w:val="15"/>
                <w:sz w:val="20"/>
                <w:szCs w:val="20"/>
              </w:rPr>
              <w:t xml:space="preserve"> </w:t>
            </w:r>
            <w:r>
              <w:rPr>
                <w:spacing w:val="15"/>
                <w:sz w:val="20"/>
                <w:szCs w:val="20"/>
              </w:rPr>
              <w:t>布置，架空出线</w:t>
            </w:r>
          </w:p>
        </w:tc>
      </w:tr>
      <w:tr w14:paraId="2FE742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1705" w:type="dxa"/>
            <w:vAlign w:val="top"/>
          </w:tcPr>
          <w:p w14:paraId="34432D93">
            <w:pPr>
              <w:pStyle w:val="9"/>
              <w:spacing w:before="31" w:line="216" w:lineRule="auto"/>
              <w:ind w:left="150"/>
              <w:rPr>
                <w:sz w:val="20"/>
                <w:szCs w:val="20"/>
              </w:rPr>
            </w:pPr>
            <w:r>
              <w:rPr>
                <w:spacing w:val="2"/>
                <w:sz w:val="20"/>
                <w:szCs w:val="20"/>
              </w:rPr>
              <w:t>占地面积（</w:t>
            </w:r>
            <w:r>
              <w:rPr>
                <w:rFonts w:ascii="Times New Roman" w:hAnsi="Times New Roman" w:eastAsia="Times New Roman" w:cs="Times New Roman"/>
                <w:spacing w:val="2"/>
                <w:sz w:val="20"/>
                <w:szCs w:val="20"/>
              </w:rPr>
              <w:t>m</w:t>
            </w:r>
            <w:r>
              <w:rPr>
                <w:rFonts w:ascii="Times New Roman" w:hAnsi="Times New Roman" w:eastAsia="Times New Roman" w:cs="Times New Roman"/>
                <w:spacing w:val="2"/>
                <w:sz w:val="13"/>
                <w:szCs w:val="13"/>
              </w:rPr>
              <w:t>2</w:t>
            </w:r>
            <w:r>
              <w:rPr>
                <w:spacing w:val="2"/>
                <w:sz w:val="20"/>
                <w:szCs w:val="20"/>
              </w:rPr>
              <w:t>）</w:t>
            </w:r>
          </w:p>
        </w:tc>
        <w:tc>
          <w:tcPr>
            <w:tcW w:w="3792" w:type="dxa"/>
            <w:vAlign w:val="top"/>
          </w:tcPr>
          <w:p w14:paraId="3E8866E2">
            <w:pPr>
              <w:spacing w:before="68" w:line="195" w:lineRule="auto"/>
              <w:ind w:left="163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41600</w:t>
            </w:r>
          </w:p>
        </w:tc>
        <w:tc>
          <w:tcPr>
            <w:tcW w:w="3029" w:type="dxa"/>
            <w:vAlign w:val="top"/>
          </w:tcPr>
          <w:p w14:paraId="0E795312">
            <w:pPr>
              <w:spacing w:before="68" w:line="195" w:lineRule="auto"/>
              <w:ind w:left="1273"/>
              <w:rPr>
                <w:rFonts w:ascii="Times New Roman" w:hAnsi="Times New Roman" w:eastAsia="Times New Roman" w:cs="Times New Roman"/>
                <w:sz w:val="20"/>
                <w:szCs w:val="20"/>
              </w:rPr>
            </w:pPr>
            <w:r>
              <w:rPr>
                <w:rFonts w:ascii="Times New Roman" w:hAnsi="Times New Roman" w:eastAsia="Times New Roman" w:cs="Times New Roman"/>
                <w:sz w:val="20"/>
                <w:szCs w:val="20"/>
              </w:rPr>
              <w:t>13581</w:t>
            </w:r>
          </w:p>
        </w:tc>
      </w:tr>
      <w:tr w14:paraId="602824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1705" w:type="dxa"/>
            <w:vAlign w:val="top"/>
          </w:tcPr>
          <w:p w14:paraId="383333E3">
            <w:pPr>
              <w:pStyle w:val="9"/>
              <w:spacing w:before="171" w:line="228" w:lineRule="auto"/>
              <w:ind w:left="439"/>
              <w:rPr>
                <w:sz w:val="20"/>
                <w:szCs w:val="20"/>
              </w:rPr>
            </w:pPr>
            <w:r>
              <w:rPr>
                <w:spacing w:val="6"/>
                <w:sz w:val="20"/>
                <w:szCs w:val="20"/>
              </w:rPr>
              <w:t>主变规模</w:t>
            </w:r>
          </w:p>
        </w:tc>
        <w:tc>
          <w:tcPr>
            <w:tcW w:w="3792" w:type="dxa"/>
            <w:vAlign w:val="top"/>
          </w:tcPr>
          <w:p w14:paraId="0B57D120">
            <w:pPr>
              <w:pStyle w:val="9"/>
              <w:spacing w:before="34" w:line="264" w:lineRule="exact"/>
              <w:ind w:left="139"/>
              <w:rPr>
                <w:rFonts w:ascii="Times New Roman" w:hAnsi="Times New Roman" w:eastAsia="Times New Roman" w:cs="Times New Roman"/>
                <w:sz w:val="20"/>
                <w:szCs w:val="20"/>
              </w:rPr>
            </w:pPr>
            <w:r>
              <w:rPr>
                <w:rFonts w:ascii="Times New Roman" w:hAnsi="Times New Roman" w:eastAsia="Times New Roman" w:cs="Times New Roman"/>
                <w:spacing w:val="4"/>
                <w:position w:val="1"/>
                <w:sz w:val="20"/>
                <w:szCs w:val="20"/>
              </w:rPr>
              <w:t>2</w:t>
            </w:r>
            <w:r>
              <w:rPr>
                <w:spacing w:val="4"/>
                <w:position w:val="1"/>
                <w:sz w:val="20"/>
                <w:szCs w:val="20"/>
              </w:rPr>
              <w:t>×</w:t>
            </w:r>
            <w:r>
              <w:rPr>
                <w:rFonts w:ascii="Times New Roman" w:hAnsi="Times New Roman" w:eastAsia="Times New Roman" w:cs="Times New Roman"/>
                <w:spacing w:val="4"/>
                <w:position w:val="1"/>
                <w:sz w:val="20"/>
                <w:szCs w:val="20"/>
              </w:rPr>
              <w:t>150</w:t>
            </w:r>
            <w:r>
              <w:rPr>
                <w:rFonts w:ascii="Times New Roman" w:hAnsi="Times New Roman" w:eastAsia="Times New Roman" w:cs="Times New Roman"/>
                <w:position w:val="1"/>
                <w:sz w:val="20"/>
                <w:szCs w:val="20"/>
              </w:rPr>
              <w:t>MVA</w:t>
            </w:r>
            <w:r>
              <w:rPr>
                <w:rFonts w:ascii="Times New Roman" w:hAnsi="Times New Roman" w:eastAsia="Times New Roman" w:cs="Times New Roman"/>
                <w:spacing w:val="4"/>
                <w:position w:val="1"/>
                <w:sz w:val="20"/>
                <w:szCs w:val="20"/>
              </w:rPr>
              <w:t>+1</w:t>
            </w:r>
            <w:r>
              <w:rPr>
                <w:spacing w:val="4"/>
                <w:position w:val="1"/>
                <w:sz w:val="20"/>
                <w:szCs w:val="20"/>
              </w:rPr>
              <w:t>×</w:t>
            </w:r>
            <w:r>
              <w:rPr>
                <w:spacing w:val="-69"/>
                <w:position w:val="1"/>
                <w:sz w:val="20"/>
                <w:szCs w:val="20"/>
              </w:rPr>
              <w:t xml:space="preserve"> </w:t>
            </w:r>
            <w:r>
              <w:rPr>
                <w:rFonts w:ascii="Times New Roman" w:hAnsi="Times New Roman" w:eastAsia="Times New Roman" w:cs="Times New Roman"/>
                <w:spacing w:val="4"/>
                <w:position w:val="1"/>
                <w:sz w:val="20"/>
                <w:szCs w:val="20"/>
              </w:rPr>
              <w:t>125</w:t>
            </w:r>
            <w:r>
              <w:rPr>
                <w:rFonts w:ascii="Times New Roman" w:hAnsi="Times New Roman" w:eastAsia="Times New Roman" w:cs="Times New Roman"/>
                <w:position w:val="1"/>
                <w:sz w:val="20"/>
                <w:szCs w:val="20"/>
              </w:rPr>
              <w:t>MVA</w:t>
            </w:r>
            <w:r>
              <w:rPr>
                <w:rFonts w:ascii="Times New Roman" w:hAnsi="Times New Roman" w:eastAsia="Times New Roman" w:cs="Times New Roman"/>
                <w:spacing w:val="4"/>
                <w:position w:val="1"/>
                <w:sz w:val="20"/>
                <w:szCs w:val="20"/>
              </w:rPr>
              <w:t>+1</w:t>
            </w:r>
            <w:r>
              <w:rPr>
                <w:spacing w:val="4"/>
                <w:position w:val="1"/>
                <w:sz w:val="20"/>
                <w:szCs w:val="20"/>
              </w:rPr>
              <w:t>×</w:t>
            </w:r>
            <w:r>
              <w:rPr>
                <w:rFonts w:ascii="Times New Roman" w:hAnsi="Times New Roman" w:eastAsia="Times New Roman" w:cs="Times New Roman"/>
                <w:spacing w:val="4"/>
                <w:position w:val="1"/>
                <w:sz w:val="20"/>
                <w:szCs w:val="20"/>
              </w:rPr>
              <w:t>240</w:t>
            </w:r>
            <w:r>
              <w:rPr>
                <w:rFonts w:ascii="Times New Roman" w:hAnsi="Times New Roman" w:eastAsia="Times New Roman" w:cs="Times New Roman"/>
                <w:position w:val="1"/>
                <w:sz w:val="20"/>
                <w:szCs w:val="20"/>
              </w:rPr>
              <w:t>MVA</w:t>
            </w:r>
          </w:p>
          <w:p w14:paraId="71D1D060">
            <w:pPr>
              <w:pStyle w:val="9"/>
              <w:spacing w:before="9" w:line="213" w:lineRule="auto"/>
              <w:ind w:left="1075"/>
              <w:rPr>
                <w:sz w:val="20"/>
                <w:szCs w:val="20"/>
              </w:rPr>
            </w:pPr>
            <w:r>
              <w:rPr>
                <w:spacing w:val="2"/>
                <w:sz w:val="20"/>
                <w:szCs w:val="20"/>
              </w:rPr>
              <w:t>（共计</w:t>
            </w:r>
            <w:r>
              <w:rPr>
                <w:spacing w:val="-37"/>
                <w:sz w:val="20"/>
                <w:szCs w:val="20"/>
              </w:rPr>
              <w:t xml:space="preserve"> </w:t>
            </w:r>
            <w:r>
              <w:rPr>
                <w:rFonts w:ascii="Times New Roman" w:hAnsi="Times New Roman" w:eastAsia="Times New Roman" w:cs="Times New Roman"/>
                <w:spacing w:val="2"/>
                <w:sz w:val="20"/>
                <w:szCs w:val="20"/>
              </w:rPr>
              <w:t>665</w:t>
            </w:r>
            <w:r>
              <w:rPr>
                <w:rFonts w:ascii="Times New Roman" w:hAnsi="Times New Roman" w:eastAsia="Times New Roman" w:cs="Times New Roman"/>
                <w:sz w:val="20"/>
                <w:szCs w:val="20"/>
              </w:rPr>
              <w:t>MVA</w:t>
            </w:r>
            <w:r>
              <w:rPr>
                <w:spacing w:val="2"/>
                <w:sz w:val="20"/>
                <w:szCs w:val="20"/>
              </w:rPr>
              <w:t>）</w:t>
            </w:r>
          </w:p>
        </w:tc>
        <w:tc>
          <w:tcPr>
            <w:tcW w:w="3029" w:type="dxa"/>
            <w:vAlign w:val="top"/>
          </w:tcPr>
          <w:p w14:paraId="415ADEC9">
            <w:pPr>
              <w:pStyle w:val="9"/>
              <w:spacing w:before="171" w:line="228" w:lineRule="auto"/>
              <w:ind w:left="179"/>
              <w:rPr>
                <w:sz w:val="20"/>
                <w:szCs w:val="20"/>
              </w:rPr>
            </w:pPr>
            <w:r>
              <w:rPr>
                <w:rFonts w:ascii="Times New Roman" w:hAnsi="Times New Roman" w:eastAsia="Times New Roman" w:cs="Times New Roman"/>
                <w:spacing w:val="4"/>
                <w:sz w:val="20"/>
                <w:szCs w:val="20"/>
              </w:rPr>
              <w:t>4×240</w:t>
            </w:r>
            <w:r>
              <w:rPr>
                <w:rFonts w:ascii="Times New Roman" w:hAnsi="Times New Roman" w:eastAsia="Times New Roman" w:cs="Times New Roman"/>
                <w:sz w:val="20"/>
                <w:szCs w:val="20"/>
              </w:rPr>
              <w:t>MVA</w:t>
            </w:r>
            <w:r>
              <w:rPr>
                <w:spacing w:val="4"/>
                <w:sz w:val="20"/>
                <w:szCs w:val="20"/>
              </w:rPr>
              <w:t>（共计</w:t>
            </w:r>
            <w:r>
              <w:rPr>
                <w:spacing w:val="-37"/>
                <w:sz w:val="20"/>
                <w:szCs w:val="20"/>
              </w:rPr>
              <w:t xml:space="preserve"> </w:t>
            </w:r>
            <w:r>
              <w:rPr>
                <w:rFonts w:ascii="Times New Roman" w:hAnsi="Times New Roman" w:eastAsia="Times New Roman" w:cs="Times New Roman"/>
                <w:spacing w:val="4"/>
                <w:sz w:val="20"/>
                <w:szCs w:val="20"/>
              </w:rPr>
              <w:t>960</w:t>
            </w:r>
            <w:r>
              <w:rPr>
                <w:rFonts w:ascii="Times New Roman" w:hAnsi="Times New Roman" w:eastAsia="Times New Roman" w:cs="Times New Roman"/>
                <w:sz w:val="20"/>
                <w:szCs w:val="20"/>
              </w:rPr>
              <w:t>MVA</w:t>
            </w:r>
            <w:r>
              <w:rPr>
                <w:spacing w:val="4"/>
                <w:sz w:val="20"/>
                <w:szCs w:val="20"/>
              </w:rPr>
              <w:t>）</w:t>
            </w:r>
          </w:p>
        </w:tc>
      </w:tr>
      <w:tr w14:paraId="31AC45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1705" w:type="dxa"/>
            <w:vAlign w:val="top"/>
          </w:tcPr>
          <w:p w14:paraId="1AD305A2">
            <w:pPr>
              <w:pStyle w:val="9"/>
              <w:spacing w:before="34" w:line="218" w:lineRule="auto"/>
              <w:ind w:left="332"/>
              <w:rPr>
                <w:sz w:val="20"/>
                <w:szCs w:val="20"/>
              </w:rPr>
            </w:pPr>
            <w:r>
              <w:rPr>
                <w:rFonts w:ascii="Times New Roman" w:hAnsi="Times New Roman" w:eastAsia="Times New Roman" w:cs="Times New Roman"/>
                <w:spacing w:val="2"/>
                <w:sz w:val="20"/>
                <w:szCs w:val="20"/>
              </w:rPr>
              <w:t>220</w:t>
            </w:r>
            <w:r>
              <w:rPr>
                <w:rFonts w:ascii="Times New Roman" w:hAnsi="Times New Roman" w:eastAsia="Times New Roman" w:cs="Times New Roman"/>
                <w:sz w:val="20"/>
                <w:szCs w:val="20"/>
              </w:rPr>
              <w:t>kV</w:t>
            </w:r>
            <w:r>
              <w:rPr>
                <w:rFonts w:ascii="Times New Roman" w:hAnsi="Times New Roman" w:eastAsia="Times New Roman" w:cs="Times New Roman"/>
                <w:spacing w:val="31"/>
                <w:w w:val="101"/>
                <w:sz w:val="20"/>
                <w:szCs w:val="20"/>
              </w:rPr>
              <w:t xml:space="preserve"> </w:t>
            </w:r>
            <w:r>
              <w:rPr>
                <w:spacing w:val="2"/>
                <w:sz w:val="20"/>
                <w:szCs w:val="20"/>
              </w:rPr>
              <w:t>出线</w:t>
            </w:r>
          </w:p>
        </w:tc>
        <w:tc>
          <w:tcPr>
            <w:tcW w:w="3792" w:type="dxa"/>
            <w:vAlign w:val="top"/>
          </w:tcPr>
          <w:p w14:paraId="1A4A9389">
            <w:pPr>
              <w:pStyle w:val="9"/>
              <w:spacing w:before="34" w:line="218" w:lineRule="auto"/>
              <w:ind w:left="1716"/>
              <w:rPr>
                <w:sz w:val="20"/>
                <w:szCs w:val="20"/>
              </w:rPr>
            </w:pPr>
            <w:r>
              <w:rPr>
                <w:rFonts w:ascii="Times New Roman" w:hAnsi="Times New Roman" w:eastAsia="Times New Roman" w:cs="Times New Roman"/>
                <w:spacing w:val="-3"/>
                <w:sz w:val="20"/>
                <w:szCs w:val="20"/>
              </w:rPr>
              <w:t>3</w:t>
            </w:r>
            <w:r>
              <w:rPr>
                <w:rFonts w:ascii="Times New Roman" w:hAnsi="Times New Roman" w:eastAsia="Times New Roman" w:cs="Times New Roman"/>
                <w:spacing w:val="33"/>
                <w:sz w:val="20"/>
                <w:szCs w:val="20"/>
              </w:rPr>
              <w:t xml:space="preserve"> </w:t>
            </w:r>
            <w:r>
              <w:rPr>
                <w:spacing w:val="-3"/>
                <w:sz w:val="20"/>
                <w:szCs w:val="20"/>
              </w:rPr>
              <w:t>回</w:t>
            </w:r>
          </w:p>
        </w:tc>
        <w:tc>
          <w:tcPr>
            <w:tcW w:w="3029" w:type="dxa"/>
            <w:vAlign w:val="top"/>
          </w:tcPr>
          <w:p w14:paraId="3EAD8E0B">
            <w:pPr>
              <w:pStyle w:val="9"/>
              <w:spacing w:before="34" w:line="218" w:lineRule="auto"/>
              <w:ind w:left="1331"/>
              <w:rPr>
                <w:sz w:val="20"/>
                <w:szCs w:val="20"/>
              </w:rPr>
            </w:pPr>
            <w:r>
              <w:rPr>
                <w:rFonts w:ascii="Times New Roman" w:hAnsi="Times New Roman" w:eastAsia="Times New Roman" w:cs="Times New Roman"/>
                <w:sz w:val="20"/>
                <w:szCs w:val="20"/>
              </w:rPr>
              <w:t>4</w:t>
            </w:r>
            <w:r>
              <w:rPr>
                <w:rFonts w:ascii="Times New Roman" w:hAnsi="Times New Roman" w:eastAsia="Times New Roman" w:cs="Times New Roman"/>
                <w:spacing w:val="30"/>
                <w:sz w:val="20"/>
                <w:szCs w:val="20"/>
              </w:rPr>
              <w:t xml:space="preserve"> </w:t>
            </w:r>
            <w:r>
              <w:rPr>
                <w:sz w:val="20"/>
                <w:szCs w:val="20"/>
              </w:rPr>
              <w:t>回</w:t>
            </w:r>
          </w:p>
        </w:tc>
      </w:tr>
    </w:tbl>
    <w:p w14:paraId="1E91D9F6">
      <w:pPr>
        <w:spacing w:before="180" w:line="219" w:lineRule="auto"/>
        <w:ind w:left="613"/>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2</w:t>
      </w:r>
      <w:r>
        <w:rPr>
          <w:rFonts w:ascii="宋体" w:hAnsi="宋体" w:eastAsia="宋体" w:cs="宋体"/>
          <w:spacing w:val="-2"/>
          <w:sz w:val="24"/>
          <w:szCs w:val="24"/>
        </w:rPr>
        <w:t>）类比对象的可行性分析</w:t>
      </w:r>
    </w:p>
    <w:p w14:paraId="5401FD65">
      <w:pPr>
        <w:spacing w:before="196" w:line="369" w:lineRule="auto"/>
        <w:ind w:left="121" w:right="112" w:firstLine="510"/>
        <w:rPr>
          <w:rFonts w:ascii="宋体" w:hAnsi="宋体" w:eastAsia="宋体" w:cs="宋体"/>
          <w:sz w:val="24"/>
          <w:szCs w:val="24"/>
        </w:rPr>
      </w:pPr>
      <w:r>
        <w:rPr>
          <w:rFonts w:ascii="宋体" w:hAnsi="宋体" w:eastAsia="宋体" w:cs="宋体"/>
          <w:spacing w:val="-4"/>
          <w:sz w:val="24"/>
          <w:szCs w:val="24"/>
        </w:rPr>
        <w:t>由上表可知，本项目升压站的电压等级、升压站型式及布置方式等与乌</w:t>
      </w:r>
      <w:r>
        <w:rPr>
          <w:rFonts w:ascii="宋体" w:hAnsi="宋体" w:eastAsia="宋体" w:cs="宋体"/>
          <w:spacing w:val="-5"/>
          <w:sz w:val="24"/>
          <w:szCs w:val="24"/>
        </w:rPr>
        <w:t>兰察</w:t>
      </w:r>
      <w:r>
        <w:rPr>
          <w:rFonts w:ascii="宋体" w:hAnsi="宋体" w:eastAsia="宋体" w:cs="宋体"/>
          <w:spacing w:val="2"/>
          <w:sz w:val="24"/>
          <w:szCs w:val="24"/>
        </w:rPr>
        <w:t>布丰镇工业园区（润字）</w:t>
      </w:r>
      <w:r>
        <w:rPr>
          <w:rFonts w:ascii="Times New Roman" w:hAnsi="Times New Roman" w:eastAsia="Times New Roman" w:cs="Times New Roman"/>
          <w:spacing w:val="2"/>
          <w:sz w:val="24"/>
          <w:szCs w:val="24"/>
        </w:rPr>
        <w:t>220</w:t>
      </w:r>
      <w:r>
        <w:rPr>
          <w:rFonts w:ascii="Times New Roman" w:hAnsi="Times New Roman" w:eastAsia="Times New Roman" w:cs="Times New Roman"/>
          <w:sz w:val="24"/>
          <w:szCs w:val="24"/>
        </w:rPr>
        <w:t>kV</w:t>
      </w:r>
      <w:r>
        <w:rPr>
          <w:rFonts w:ascii="Times New Roman" w:hAnsi="Times New Roman" w:eastAsia="Times New Roman" w:cs="Times New Roman"/>
          <w:spacing w:val="2"/>
          <w:sz w:val="24"/>
          <w:szCs w:val="24"/>
        </w:rPr>
        <w:t xml:space="preserve">  </w:t>
      </w:r>
      <w:r>
        <w:rPr>
          <w:rFonts w:ascii="宋体" w:hAnsi="宋体" w:eastAsia="宋体" w:cs="宋体"/>
          <w:spacing w:val="2"/>
          <w:sz w:val="24"/>
          <w:szCs w:val="24"/>
        </w:rPr>
        <w:t>变电站一致，类比工程主变规模大于本项目，</w:t>
      </w:r>
      <w:r>
        <w:rPr>
          <w:rFonts w:ascii="宋体" w:hAnsi="宋体" w:eastAsia="宋体" w:cs="宋体"/>
          <w:spacing w:val="-3"/>
          <w:sz w:val="24"/>
          <w:szCs w:val="24"/>
        </w:rPr>
        <w:t>面积小于本项目的升压站。因此选择主变规模作为本项目升压站的类比监测对象是可行的。类比项目产生的工频电场、工频磁场能够反映本项目升压站的电磁水</w:t>
      </w:r>
      <w:r>
        <w:rPr>
          <w:rFonts w:ascii="宋体" w:hAnsi="宋体" w:eastAsia="宋体" w:cs="宋体"/>
          <w:spacing w:val="-5"/>
          <w:sz w:val="24"/>
          <w:szCs w:val="24"/>
        </w:rPr>
        <w:t>平。</w:t>
      </w:r>
    </w:p>
    <w:p w14:paraId="09BD4C54">
      <w:pPr>
        <w:spacing w:line="219" w:lineRule="auto"/>
        <w:ind w:left="613"/>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3</w:t>
      </w:r>
      <w:r>
        <w:rPr>
          <w:rFonts w:ascii="宋体" w:hAnsi="宋体" w:eastAsia="宋体" w:cs="宋体"/>
          <w:spacing w:val="-2"/>
          <w:sz w:val="24"/>
          <w:szCs w:val="24"/>
        </w:rPr>
        <w:t>）类比项目监测情况</w:t>
      </w:r>
    </w:p>
    <w:p w14:paraId="4049F65B">
      <w:pPr>
        <w:spacing w:before="195" w:line="217" w:lineRule="auto"/>
        <w:ind w:left="601"/>
        <w:rPr>
          <w:rFonts w:ascii="宋体" w:hAnsi="宋体" w:eastAsia="宋体" w:cs="宋体"/>
          <w:sz w:val="24"/>
          <w:szCs w:val="24"/>
        </w:rPr>
      </w:pPr>
      <w:r>
        <w:rPr>
          <w:rFonts w:ascii="宋体" w:hAnsi="宋体" w:eastAsia="宋体" w:cs="宋体"/>
          <w:spacing w:val="-5"/>
          <w:sz w:val="24"/>
          <w:szCs w:val="24"/>
        </w:rPr>
        <w:t>①监测时间：</w:t>
      </w:r>
      <w:r>
        <w:rPr>
          <w:rFonts w:ascii="Times New Roman" w:hAnsi="Times New Roman" w:eastAsia="Times New Roman" w:cs="Times New Roman"/>
          <w:spacing w:val="-5"/>
          <w:sz w:val="24"/>
          <w:szCs w:val="24"/>
        </w:rPr>
        <w:t xml:space="preserve">2017 </w:t>
      </w:r>
      <w:r>
        <w:rPr>
          <w:rFonts w:ascii="宋体" w:hAnsi="宋体" w:eastAsia="宋体" w:cs="宋体"/>
          <w:spacing w:val="-5"/>
          <w:sz w:val="24"/>
          <w:szCs w:val="24"/>
        </w:rPr>
        <w:t>年</w:t>
      </w:r>
      <w:r>
        <w:rPr>
          <w:rFonts w:ascii="宋体" w:hAnsi="宋体" w:eastAsia="宋体" w:cs="宋体"/>
          <w:spacing w:val="-50"/>
          <w:sz w:val="24"/>
          <w:szCs w:val="24"/>
        </w:rPr>
        <w:t xml:space="preserve"> </w:t>
      </w:r>
      <w:r>
        <w:rPr>
          <w:rFonts w:ascii="Times New Roman" w:hAnsi="Times New Roman" w:eastAsia="Times New Roman" w:cs="Times New Roman"/>
          <w:spacing w:val="-5"/>
          <w:sz w:val="24"/>
          <w:szCs w:val="24"/>
        </w:rPr>
        <w:t>3</w:t>
      </w:r>
      <w:r>
        <w:rPr>
          <w:rFonts w:ascii="Times New Roman" w:hAnsi="Times New Roman" w:eastAsia="Times New Roman" w:cs="Times New Roman"/>
          <w:spacing w:val="15"/>
          <w:sz w:val="24"/>
          <w:szCs w:val="24"/>
        </w:rPr>
        <w:t xml:space="preserve"> </w:t>
      </w:r>
      <w:r>
        <w:rPr>
          <w:rFonts w:ascii="宋体" w:hAnsi="宋体" w:eastAsia="宋体" w:cs="宋体"/>
          <w:spacing w:val="-5"/>
          <w:sz w:val="24"/>
          <w:szCs w:val="24"/>
        </w:rPr>
        <w:t>月</w:t>
      </w:r>
      <w:r>
        <w:rPr>
          <w:rFonts w:ascii="宋体" w:hAnsi="宋体" w:eastAsia="宋体" w:cs="宋体"/>
          <w:spacing w:val="-55"/>
          <w:sz w:val="24"/>
          <w:szCs w:val="24"/>
        </w:rPr>
        <w:t xml:space="preserve"> </w:t>
      </w:r>
      <w:r>
        <w:rPr>
          <w:rFonts w:ascii="Times New Roman" w:hAnsi="Times New Roman" w:eastAsia="Times New Roman" w:cs="Times New Roman"/>
          <w:spacing w:val="-5"/>
          <w:sz w:val="24"/>
          <w:szCs w:val="24"/>
        </w:rPr>
        <w:t xml:space="preserve">29  </w:t>
      </w:r>
      <w:r>
        <w:rPr>
          <w:rFonts w:ascii="宋体" w:hAnsi="宋体" w:eastAsia="宋体" w:cs="宋体"/>
          <w:spacing w:val="-5"/>
          <w:sz w:val="24"/>
          <w:szCs w:val="24"/>
        </w:rPr>
        <w:t>日。</w:t>
      </w:r>
    </w:p>
    <w:p w14:paraId="5EB92788">
      <w:pPr>
        <w:spacing w:before="198" w:line="217" w:lineRule="auto"/>
        <w:ind w:left="600"/>
        <w:rPr>
          <w:rFonts w:ascii="宋体" w:hAnsi="宋体" w:eastAsia="宋体" w:cs="宋体"/>
          <w:sz w:val="24"/>
          <w:szCs w:val="24"/>
        </w:rPr>
      </w:pPr>
      <w:r>
        <w:rPr>
          <w:rFonts w:ascii="宋体" w:hAnsi="宋体" w:eastAsia="宋体" w:cs="宋体"/>
          <w:spacing w:val="-1"/>
          <w:sz w:val="24"/>
          <w:szCs w:val="24"/>
        </w:rPr>
        <w:t>②监测单位：南京电力设备质量性能检验中心</w:t>
      </w:r>
    </w:p>
    <w:p w14:paraId="7785F4FF">
      <w:pPr>
        <w:spacing w:before="198" w:line="217" w:lineRule="auto"/>
        <w:ind w:left="600"/>
        <w:rPr>
          <w:rFonts w:ascii="宋体" w:hAnsi="宋体" w:eastAsia="宋体" w:cs="宋体"/>
          <w:sz w:val="24"/>
          <w:szCs w:val="24"/>
        </w:rPr>
      </w:pPr>
      <w:r>
        <w:rPr>
          <w:rFonts w:ascii="宋体" w:hAnsi="宋体" w:eastAsia="宋体" w:cs="宋体"/>
          <w:spacing w:val="1"/>
          <w:sz w:val="24"/>
          <w:szCs w:val="24"/>
        </w:rPr>
        <w:t>③监测仪器：电磁辐射分析仪（含工频探头</w:t>
      </w:r>
      <w:r>
        <w:rPr>
          <w:rFonts w:ascii="宋体" w:hAnsi="宋体" w:eastAsia="宋体" w:cs="宋体"/>
          <w:spacing w:val="-17"/>
          <w:sz w:val="24"/>
          <w:szCs w:val="24"/>
        </w:rPr>
        <w:t>）（</w:t>
      </w:r>
      <w:r>
        <w:rPr>
          <w:rFonts w:ascii="Times New Roman" w:hAnsi="Times New Roman" w:eastAsia="Times New Roman" w:cs="Times New Roman"/>
          <w:sz w:val="24"/>
          <w:szCs w:val="24"/>
        </w:rPr>
        <w:t>NBM</w:t>
      </w:r>
      <w:r>
        <w:rPr>
          <w:rFonts w:ascii="Times New Roman" w:hAnsi="Times New Roman" w:eastAsia="Times New Roman" w:cs="Times New Roman"/>
          <w:spacing w:val="1"/>
          <w:sz w:val="24"/>
          <w:szCs w:val="24"/>
        </w:rPr>
        <w:t>-550/</w:t>
      </w:r>
      <w:r>
        <w:rPr>
          <w:rFonts w:ascii="Times New Roman" w:hAnsi="Times New Roman" w:eastAsia="Times New Roman" w:cs="Times New Roman"/>
          <w:sz w:val="24"/>
          <w:szCs w:val="24"/>
        </w:rPr>
        <w:t>EHP</w:t>
      </w:r>
      <w:r>
        <w:rPr>
          <w:rFonts w:ascii="Times New Roman" w:hAnsi="Times New Roman" w:eastAsia="Times New Roman" w:cs="Times New Roman"/>
          <w:spacing w:val="1"/>
          <w:sz w:val="24"/>
          <w:szCs w:val="24"/>
        </w:rPr>
        <w:t>-</w:t>
      </w:r>
      <w:r>
        <w:rPr>
          <w:rFonts w:ascii="Times New Roman" w:hAnsi="Times New Roman" w:eastAsia="Times New Roman" w:cs="Times New Roman"/>
          <w:sz w:val="24"/>
          <w:szCs w:val="24"/>
        </w:rPr>
        <w:t>50F</w:t>
      </w:r>
      <w:r>
        <w:rPr>
          <w:rFonts w:ascii="宋体" w:hAnsi="宋体" w:eastAsia="宋体" w:cs="宋体"/>
          <w:sz w:val="24"/>
          <w:szCs w:val="24"/>
        </w:rPr>
        <w:t>）。</w:t>
      </w:r>
    </w:p>
    <w:p w14:paraId="3E0DB8BB">
      <w:pPr>
        <w:spacing w:before="198" w:line="369" w:lineRule="auto"/>
        <w:ind w:left="117" w:right="39" w:firstLine="482"/>
        <w:rPr>
          <w:rFonts w:ascii="宋体" w:hAnsi="宋体" w:eastAsia="宋体" w:cs="宋体"/>
          <w:sz w:val="24"/>
          <w:szCs w:val="24"/>
        </w:rPr>
      </w:pPr>
      <w:r>
        <w:rPr>
          <w:rFonts w:ascii="宋体" w:hAnsi="宋体" w:eastAsia="宋体" w:cs="宋体"/>
          <w:spacing w:val="-1"/>
          <w:sz w:val="24"/>
          <w:szCs w:val="24"/>
        </w:rPr>
        <w:t>④工频电磁场的类比监测布点：该次监测在乌兰察布丰镇工业园区（润字）</w:t>
      </w:r>
      <w:r>
        <w:rPr>
          <w:rFonts w:ascii="宋体" w:hAnsi="宋体" w:eastAsia="宋体" w:cs="宋体"/>
          <w:spacing w:val="3"/>
          <w:sz w:val="24"/>
          <w:szCs w:val="24"/>
        </w:rPr>
        <w:t xml:space="preserve"> </w:t>
      </w:r>
      <w:r>
        <w:rPr>
          <w:rFonts w:ascii="Times New Roman" w:hAnsi="Times New Roman" w:eastAsia="Times New Roman" w:cs="Times New Roman"/>
          <w:spacing w:val="-2"/>
          <w:sz w:val="24"/>
          <w:szCs w:val="24"/>
        </w:rPr>
        <w:t xml:space="preserve">220kV  </w:t>
      </w:r>
      <w:r>
        <w:rPr>
          <w:rFonts w:ascii="宋体" w:hAnsi="宋体" w:eastAsia="宋体" w:cs="宋体"/>
          <w:spacing w:val="-2"/>
          <w:sz w:val="24"/>
          <w:szCs w:val="24"/>
        </w:rPr>
        <w:t>变电站四周围墙外</w:t>
      </w:r>
      <w:r>
        <w:rPr>
          <w:rFonts w:ascii="宋体" w:hAnsi="宋体" w:eastAsia="宋体" w:cs="宋体"/>
          <w:spacing w:val="-37"/>
          <w:sz w:val="24"/>
          <w:szCs w:val="24"/>
        </w:rPr>
        <w:t xml:space="preserve"> </w:t>
      </w:r>
      <w:r>
        <w:rPr>
          <w:rFonts w:ascii="Times New Roman" w:hAnsi="Times New Roman" w:eastAsia="Times New Roman" w:cs="Times New Roman"/>
          <w:spacing w:val="-2"/>
          <w:sz w:val="24"/>
          <w:szCs w:val="24"/>
        </w:rPr>
        <w:t>5m</w:t>
      </w:r>
      <w:r>
        <w:rPr>
          <w:rFonts w:ascii="Times New Roman" w:hAnsi="Times New Roman" w:eastAsia="Times New Roman" w:cs="Times New Roman"/>
          <w:spacing w:val="15"/>
          <w:sz w:val="24"/>
          <w:szCs w:val="24"/>
        </w:rPr>
        <w:t xml:space="preserve"> </w:t>
      </w:r>
      <w:r>
        <w:rPr>
          <w:rFonts w:ascii="宋体" w:hAnsi="宋体" w:eastAsia="宋体" w:cs="宋体"/>
          <w:spacing w:val="-2"/>
          <w:sz w:val="24"/>
          <w:szCs w:val="24"/>
        </w:rPr>
        <w:t>处各设</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 xml:space="preserve">3-4 </w:t>
      </w:r>
      <w:r>
        <w:rPr>
          <w:rFonts w:ascii="宋体" w:hAnsi="宋体" w:eastAsia="宋体" w:cs="宋体"/>
          <w:spacing w:val="-2"/>
          <w:sz w:val="24"/>
          <w:szCs w:val="24"/>
        </w:rPr>
        <w:t>个监测点位。</w:t>
      </w:r>
    </w:p>
    <w:p w14:paraId="23C79873">
      <w:pPr>
        <w:spacing w:line="217" w:lineRule="auto"/>
        <w:ind w:left="600"/>
        <w:rPr>
          <w:rFonts w:ascii="宋体" w:hAnsi="宋体" w:eastAsia="宋体" w:cs="宋体"/>
          <w:sz w:val="24"/>
          <w:szCs w:val="24"/>
        </w:rPr>
      </w:pPr>
      <w:r>
        <w:rPr>
          <w:rFonts w:ascii="宋体" w:hAnsi="宋体" w:eastAsia="宋体" w:cs="宋体"/>
          <w:spacing w:val="-2"/>
          <w:sz w:val="24"/>
          <w:szCs w:val="24"/>
        </w:rPr>
        <w:t>⑤运行工况</w:t>
      </w:r>
    </w:p>
    <w:p w14:paraId="338B0873">
      <w:pPr>
        <w:spacing w:before="199" w:line="369" w:lineRule="auto"/>
        <w:ind w:left="125" w:right="112" w:firstLine="479"/>
        <w:rPr>
          <w:rFonts w:ascii="宋体" w:hAnsi="宋体" w:eastAsia="宋体" w:cs="宋体"/>
          <w:sz w:val="24"/>
          <w:szCs w:val="24"/>
        </w:rPr>
      </w:pPr>
      <w:r>
        <w:rPr>
          <w:rFonts w:ascii="宋体" w:hAnsi="宋体" w:eastAsia="宋体" w:cs="宋体"/>
          <w:spacing w:val="2"/>
          <w:sz w:val="24"/>
          <w:szCs w:val="24"/>
        </w:rPr>
        <w:t>乌兰察布丰镇工业园区（润字）</w:t>
      </w:r>
      <w:r>
        <w:rPr>
          <w:rFonts w:ascii="Times New Roman" w:hAnsi="Times New Roman" w:eastAsia="Times New Roman" w:cs="Times New Roman"/>
          <w:spacing w:val="2"/>
          <w:sz w:val="24"/>
          <w:szCs w:val="24"/>
        </w:rPr>
        <w:t>220</w:t>
      </w:r>
      <w:r>
        <w:rPr>
          <w:rFonts w:ascii="Times New Roman" w:hAnsi="Times New Roman" w:eastAsia="Times New Roman" w:cs="Times New Roman"/>
          <w:sz w:val="24"/>
          <w:szCs w:val="24"/>
        </w:rPr>
        <w:t>kV</w:t>
      </w:r>
      <w:r>
        <w:rPr>
          <w:rFonts w:ascii="Times New Roman" w:hAnsi="Times New Roman" w:eastAsia="Times New Roman" w:cs="Times New Roman"/>
          <w:spacing w:val="2"/>
          <w:sz w:val="24"/>
          <w:szCs w:val="24"/>
        </w:rPr>
        <w:t xml:space="preserve">  </w:t>
      </w:r>
      <w:r>
        <w:rPr>
          <w:rFonts w:ascii="宋体" w:hAnsi="宋体" w:eastAsia="宋体" w:cs="宋体"/>
          <w:spacing w:val="2"/>
          <w:sz w:val="24"/>
          <w:szCs w:val="24"/>
        </w:rPr>
        <w:t>变电站验收期间实际运行负荷情况</w:t>
      </w:r>
      <w:r>
        <w:rPr>
          <w:rFonts w:ascii="宋体" w:hAnsi="宋体" w:eastAsia="宋体" w:cs="宋体"/>
          <w:spacing w:val="-4"/>
          <w:sz w:val="24"/>
          <w:szCs w:val="24"/>
        </w:rPr>
        <w:t>详见表</w:t>
      </w:r>
      <w:r>
        <w:rPr>
          <w:rFonts w:ascii="宋体" w:hAnsi="宋体" w:eastAsia="宋体" w:cs="宋体"/>
          <w:spacing w:val="14"/>
          <w:sz w:val="24"/>
          <w:szCs w:val="24"/>
        </w:rPr>
        <w:t xml:space="preserve"> </w:t>
      </w:r>
      <w:r>
        <w:rPr>
          <w:rFonts w:ascii="Times New Roman" w:hAnsi="Times New Roman" w:eastAsia="Times New Roman" w:cs="Times New Roman"/>
          <w:spacing w:val="-4"/>
          <w:sz w:val="24"/>
          <w:szCs w:val="24"/>
        </w:rPr>
        <w:t>5-2</w:t>
      </w:r>
      <w:r>
        <w:rPr>
          <w:rFonts w:ascii="宋体" w:hAnsi="宋体" w:eastAsia="宋体" w:cs="宋体"/>
          <w:spacing w:val="-4"/>
          <w:sz w:val="24"/>
          <w:szCs w:val="24"/>
        </w:rPr>
        <w:t>。</w:t>
      </w:r>
    </w:p>
    <w:p w14:paraId="070CD133">
      <w:pPr>
        <w:spacing w:line="220" w:lineRule="auto"/>
        <w:ind w:left="2518"/>
        <w:rPr>
          <w:rFonts w:ascii="宋体" w:hAnsi="宋体" w:eastAsia="宋体" w:cs="宋体"/>
          <w:sz w:val="24"/>
          <w:szCs w:val="24"/>
        </w:rPr>
      </w:pPr>
      <w:r>
        <w:rPr>
          <w:rFonts w:ascii="宋体" w:hAnsi="宋体" w:eastAsia="宋体" w:cs="宋体"/>
          <w:b/>
          <w:bCs/>
          <w:spacing w:val="-2"/>
          <w:sz w:val="24"/>
          <w:szCs w:val="24"/>
        </w:rPr>
        <w:t>表</w:t>
      </w:r>
      <w:r>
        <w:rPr>
          <w:rFonts w:ascii="宋体" w:hAnsi="宋体" w:eastAsia="宋体" w:cs="宋体"/>
          <w:spacing w:val="-52"/>
          <w:sz w:val="24"/>
          <w:szCs w:val="24"/>
        </w:rPr>
        <w:t xml:space="preserve"> </w:t>
      </w:r>
      <w:r>
        <w:rPr>
          <w:rFonts w:ascii="Times New Roman" w:hAnsi="Times New Roman" w:eastAsia="Times New Roman" w:cs="Times New Roman"/>
          <w:b/>
          <w:bCs/>
          <w:spacing w:val="-2"/>
          <w:sz w:val="24"/>
          <w:szCs w:val="24"/>
        </w:rPr>
        <w:t xml:space="preserve">5-2    </w:t>
      </w:r>
      <w:r>
        <w:rPr>
          <w:rFonts w:ascii="宋体" w:hAnsi="宋体" w:eastAsia="宋体" w:cs="宋体"/>
          <w:b/>
          <w:bCs/>
          <w:spacing w:val="-2"/>
          <w:sz w:val="24"/>
          <w:szCs w:val="24"/>
        </w:rPr>
        <w:t>监测期间运行工况一览表</w:t>
      </w:r>
    </w:p>
    <w:p w14:paraId="7846113A">
      <w:pPr>
        <w:spacing w:line="14" w:lineRule="exact"/>
      </w:pPr>
    </w:p>
    <w:tbl>
      <w:tblPr>
        <w:tblStyle w:val="8"/>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6"/>
        <w:gridCol w:w="949"/>
        <w:gridCol w:w="949"/>
        <w:gridCol w:w="950"/>
        <w:gridCol w:w="949"/>
        <w:gridCol w:w="949"/>
        <w:gridCol w:w="950"/>
        <w:gridCol w:w="945"/>
        <w:gridCol w:w="949"/>
      </w:tblGrid>
      <w:tr w14:paraId="109C5C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936" w:type="dxa"/>
            <w:vMerge w:val="restart"/>
            <w:tcBorders>
              <w:bottom w:val="nil"/>
            </w:tcBorders>
            <w:vAlign w:val="top"/>
          </w:tcPr>
          <w:p w14:paraId="2F902922">
            <w:pPr>
              <w:pStyle w:val="9"/>
              <w:spacing w:before="177" w:line="228" w:lineRule="auto"/>
              <w:ind w:left="266"/>
              <w:rPr>
                <w:sz w:val="20"/>
                <w:szCs w:val="20"/>
              </w:rPr>
            </w:pPr>
            <w:r>
              <w:rPr>
                <w:spacing w:val="3"/>
                <w:sz w:val="20"/>
                <w:szCs w:val="20"/>
              </w:rPr>
              <w:t>参数</w:t>
            </w:r>
          </w:p>
        </w:tc>
        <w:tc>
          <w:tcPr>
            <w:tcW w:w="1898" w:type="dxa"/>
            <w:gridSpan w:val="2"/>
            <w:vAlign w:val="top"/>
          </w:tcPr>
          <w:p w14:paraId="1E12256D">
            <w:pPr>
              <w:pStyle w:val="9"/>
              <w:spacing w:before="35" w:line="217" w:lineRule="auto"/>
              <w:ind w:left="219"/>
              <w:rPr>
                <w:sz w:val="20"/>
                <w:szCs w:val="20"/>
              </w:rPr>
            </w:pPr>
            <w:r>
              <w:rPr>
                <w:spacing w:val="4"/>
                <w:sz w:val="20"/>
                <w:szCs w:val="20"/>
              </w:rPr>
              <w:t>电压等级（</w:t>
            </w:r>
            <w:r>
              <w:rPr>
                <w:rFonts w:ascii="Times New Roman" w:hAnsi="Times New Roman" w:eastAsia="Times New Roman" w:cs="Times New Roman"/>
                <w:sz w:val="20"/>
                <w:szCs w:val="20"/>
              </w:rPr>
              <w:t>kV</w:t>
            </w:r>
            <w:r>
              <w:rPr>
                <w:spacing w:val="4"/>
                <w:sz w:val="20"/>
                <w:szCs w:val="20"/>
              </w:rPr>
              <w:t>）</w:t>
            </w:r>
          </w:p>
        </w:tc>
        <w:tc>
          <w:tcPr>
            <w:tcW w:w="1899" w:type="dxa"/>
            <w:gridSpan w:val="2"/>
            <w:vAlign w:val="top"/>
          </w:tcPr>
          <w:p w14:paraId="522C89B3">
            <w:pPr>
              <w:pStyle w:val="9"/>
              <w:spacing w:before="35" w:line="217" w:lineRule="auto"/>
              <w:ind w:left="424"/>
              <w:rPr>
                <w:sz w:val="20"/>
                <w:szCs w:val="20"/>
              </w:rPr>
            </w:pPr>
            <w:r>
              <w:rPr>
                <w:sz w:val="20"/>
                <w:szCs w:val="20"/>
              </w:rPr>
              <w:t>电流</w:t>
            </w:r>
            <w:r>
              <w:rPr>
                <w:spacing w:val="-43"/>
                <w:sz w:val="20"/>
                <w:szCs w:val="20"/>
              </w:rPr>
              <w:t xml:space="preserve"> </w:t>
            </w:r>
            <w:r>
              <w:rPr>
                <w:rFonts w:ascii="Times New Roman" w:hAnsi="Times New Roman" w:eastAsia="Times New Roman" w:cs="Times New Roman"/>
                <w:sz w:val="20"/>
                <w:szCs w:val="20"/>
              </w:rPr>
              <w:t>I</w:t>
            </w:r>
            <w:r>
              <w:rPr>
                <w:sz w:val="20"/>
                <w:szCs w:val="20"/>
              </w:rPr>
              <w:t>（</w:t>
            </w:r>
            <w:r>
              <w:rPr>
                <w:rFonts w:ascii="Times New Roman" w:hAnsi="Times New Roman" w:eastAsia="Times New Roman" w:cs="Times New Roman"/>
                <w:sz w:val="20"/>
                <w:szCs w:val="20"/>
              </w:rPr>
              <w:t>A</w:t>
            </w:r>
            <w:r>
              <w:rPr>
                <w:sz w:val="20"/>
                <w:szCs w:val="20"/>
              </w:rPr>
              <w:t>）</w:t>
            </w:r>
          </w:p>
        </w:tc>
        <w:tc>
          <w:tcPr>
            <w:tcW w:w="1899" w:type="dxa"/>
            <w:gridSpan w:val="2"/>
            <w:vAlign w:val="top"/>
          </w:tcPr>
          <w:p w14:paraId="052383EA">
            <w:pPr>
              <w:pStyle w:val="9"/>
              <w:spacing w:before="35" w:line="217" w:lineRule="auto"/>
              <w:ind w:left="399"/>
              <w:rPr>
                <w:rFonts w:ascii="Times New Roman" w:hAnsi="Times New Roman" w:eastAsia="Times New Roman" w:cs="Times New Roman"/>
                <w:sz w:val="20"/>
                <w:szCs w:val="20"/>
              </w:rPr>
            </w:pPr>
            <w:r>
              <w:rPr>
                <w:spacing w:val="6"/>
                <w:sz w:val="20"/>
                <w:szCs w:val="20"/>
              </w:rPr>
              <w:t>有功</w:t>
            </w:r>
            <w:r>
              <w:rPr>
                <w:spacing w:val="-40"/>
                <w:sz w:val="20"/>
                <w:szCs w:val="20"/>
              </w:rPr>
              <w:t xml:space="preserve"> </w:t>
            </w:r>
            <w:r>
              <w:rPr>
                <w:rFonts w:ascii="Times New Roman" w:hAnsi="Times New Roman" w:eastAsia="Times New Roman" w:cs="Times New Roman"/>
                <w:spacing w:val="6"/>
                <w:sz w:val="20"/>
                <w:szCs w:val="20"/>
              </w:rPr>
              <w:t>P(</w:t>
            </w:r>
            <w:r>
              <w:rPr>
                <w:rFonts w:ascii="Times New Roman" w:hAnsi="Times New Roman" w:eastAsia="Times New Roman" w:cs="Times New Roman"/>
                <w:sz w:val="20"/>
                <w:szCs w:val="20"/>
              </w:rPr>
              <w:t>MW</w:t>
            </w:r>
            <w:r>
              <w:rPr>
                <w:rFonts w:ascii="Times New Roman" w:hAnsi="Times New Roman" w:eastAsia="Times New Roman" w:cs="Times New Roman"/>
                <w:spacing w:val="6"/>
                <w:sz w:val="20"/>
                <w:szCs w:val="20"/>
              </w:rPr>
              <w:t>)</w:t>
            </w:r>
          </w:p>
        </w:tc>
        <w:tc>
          <w:tcPr>
            <w:tcW w:w="1894" w:type="dxa"/>
            <w:gridSpan w:val="2"/>
            <w:vAlign w:val="top"/>
          </w:tcPr>
          <w:p w14:paraId="7EDA382A">
            <w:pPr>
              <w:pStyle w:val="9"/>
              <w:spacing w:before="35" w:line="217" w:lineRule="auto"/>
              <w:ind w:left="332"/>
              <w:rPr>
                <w:rFonts w:ascii="Times New Roman" w:hAnsi="Times New Roman" w:eastAsia="Times New Roman" w:cs="Times New Roman"/>
                <w:sz w:val="20"/>
                <w:szCs w:val="20"/>
              </w:rPr>
            </w:pPr>
            <w:r>
              <w:rPr>
                <w:spacing w:val="3"/>
                <w:sz w:val="20"/>
                <w:szCs w:val="20"/>
              </w:rPr>
              <w:t>无功</w:t>
            </w:r>
            <w:r>
              <w:rPr>
                <w:spacing w:val="-38"/>
                <w:sz w:val="20"/>
                <w:szCs w:val="20"/>
              </w:rPr>
              <w:t xml:space="preserve"> </w:t>
            </w:r>
            <w:r>
              <w:rPr>
                <w:rFonts w:ascii="Times New Roman" w:hAnsi="Times New Roman" w:eastAsia="Times New Roman" w:cs="Times New Roman"/>
                <w:spacing w:val="3"/>
                <w:sz w:val="20"/>
                <w:szCs w:val="20"/>
              </w:rPr>
              <w:t>Q(</w:t>
            </w:r>
            <w:r>
              <w:rPr>
                <w:rFonts w:ascii="Times New Roman" w:hAnsi="Times New Roman" w:eastAsia="Times New Roman" w:cs="Times New Roman"/>
                <w:sz w:val="20"/>
                <w:szCs w:val="20"/>
              </w:rPr>
              <w:t>MVar</w:t>
            </w:r>
            <w:r>
              <w:rPr>
                <w:rFonts w:ascii="Times New Roman" w:hAnsi="Times New Roman" w:eastAsia="Times New Roman" w:cs="Times New Roman"/>
                <w:spacing w:val="3"/>
                <w:sz w:val="20"/>
                <w:szCs w:val="20"/>
              </w:rPr>
              <w:t>)</w:t>
            </w:r>
          </w:p>
        </w:tc>
      </w:tr>
      <w:tr w14:paraId="18C80C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936" w:type="dxa"/>
            <w:vMerge w:val="continue"/>
            <w:tcBorders>
              <w:top w:val="nil"/>
            </w:tcBorders>
            <w:vAlign w:val="top"/>
          </w:tcPr>
          <w:p w14:paraId="06671438">
            <w:pPr>
              <w:rPr>
                <w:rFonts w:ascii="Arial"/>
                <w:sz w:val="21"/>
              </w:rPr>
            </w:pPr>
          </w:p>
        </w:tc>
        <w:tc>
          <w:tcPr>
            <w:tcW w:w="949" w:type="dxa"/>
            <w:vAlign w:val="top"/>
          </w:tcPr>
          <w:p w14:paraId="6E817A3E">
            <w:pPr>
              <w:pStyle w:val="9"/>
              <w:spacing w:before="33" w:line="216" w:lineRule="auto"/>
              <w:ind w:left="268"/>
              <w:rPr>
                <w:sz w:val="20"/>
                <w:szCs w:val="20"/>
              </w:rPr>
            </w:pPr>
            <w:r>
              <w:rPr>
                <w:spacing w:val="5"/>
                <w:sz w:val="20"/>
                <w:szCs w:val="20"/>
              </w:rPr>
              <w:t>昼间</w:t>
            </w:r>
          </w:p>
        </w:tc>
        <w:tc>
          <w:tcPr>
            <w:tcW w:w="949" w:type="dxa"/>
            <w:vAlign w:val="top"/>
          </w:tcPr>
          <w:p w14:paraId="38E0CD63">
            <w:pPr>
              <w:pStyle w:val="9"/>
              <w:spacing w:before="33" w:line="216" w:lineRule="auto"/>
              <w:ind w:left="274"/>
              <w:rPr>
                <w:sz w:val="20"/>
                <w:szCs w:val="20"/>
              </w:rPr>
            </w:pPr>
            <w:r>
              <w:rPr>
                <w:spacing w:val="3"/>
                <w:sz w:val="20"/>
                <w:szCs w:val="20"/>
              </w:rPr>
              <w:t>夜间</w:t>
            </w:r>
          </w:p>
        </w:tc>
        <w:tc>
          <w:tcPr>
            <w:tcW w:w="950" w:type="dxa"/>
            <w:vAlign w:val="top"/>
          </w:tcPr>
          <w:p w14:paraId="337C0564">
            <w:pPr>
              <w:pStyle w:val="9"/>
              <w:spacing w:before="33" w:line="216" w:lineRule="auto"/>
              <w:ind w:left="269"/>
              <w:rPr>
                <w:sz w:val="20"/>
                <w:szCs w:val="20"/>
              </w:rPr>
            </w:pPr>
            <w:r>
              <w:rPr>
                <w:spacing w:val="5"/>
                <w:sz w:val="20"/>
                <w:szCs w:val="20"/>
              </w:rPr>
              <w:t>昼间</w:t>
            </w:r>
          </w:p>
        </w:tc>
        <w:tc>
          <w:tcPr>
            <w:tcW w:w="949" w:type="dxa"/>
            <w:vAlign w:val="top"/>
          </w:tcPr>
          <w:p w14:paraId="4ED5971C">
            <w:pPr>
              <w:pStyle w:val="9"/>
              <w:spacing w:before="33" w:line="216" w:lineRule="auto"/>
              <w:ind w:left="273"/>
              <w:rPr>
                <w:sz w:val="20"/>
                <w:szCs w:val="20"/>
              </w:rPr>
            </w:pPr>
            <w:r>
              <w:rPr>
                <w:spacing w:val="3"/>
                <w:sz w:val="20"/>
                <w:szCs w:val="20"/>
              </w:rPr>
              <w:t>夜间</w:t>
            </w:r>
          </w:p>
        </w:tc>
        <w:tc>
          <w:tcPr>
            <w:tcW w:w="949" w:type="dxa"/>
            <w:vAlign w:val="top"/>
          </w:tcPr>
          <w:p w14:paraId="7BD49E19">
            <w:pPr>
              <w:pStyle w:val="9"/>
              <w:spacing w:before="33" w:line="216" w:lineRule="auto"/>
              <w:ind w:left="270"/>
              <w:rPr>
                <w:sz w:val="20"/>
                <w:szCs w:val="20"/>
              </w:rPr>
            </w:pPr>
            <w:r>
              <w:rPr>
                <w:spacing w:val="5"/>
                <w:sz w:val="20"/>
                <w:szCs w:val="20"/>
              </w:rPr>
              <w:t>昼间</w:t>
            </w:r>
          </w:p>
        </w:tc>
        <w:tc>
          <w:tcPr>
            <w:tcW w:w="950" w:type="dxa"/>
            <w:vAlign w:val="top"/>
          </w:tcPr>
          <w:p w14:paraId="652F41C5">
            <w:pPr>
              <w:pStyle w:val="9"/>
              <w:spacing w:before="33" w:line="216" w:lineRule="auto"/>
              <w:ind w:left="276"/>
              <w:rPr>
                <w:sz w:val="20"/>
                <w:szCs w:val="20"/>
              </w:rPr>
            </w:pPr>
            <w:r>
              <w:rPr>
                <w:spacing w:val="3"/>
                <w:sz w:val="20"/>
                <w:szCs w:val="20"/>
              </w:rPr>
              <w:t>夜间</w:t>
            </w:r>
          </w:p>
        </w:tc>
        <w:tc>
          <w:tcPr>
            <w:tcW w:w="945" w:type="dxa"/>
            <w:vAlign w:val="top"/>
          </w:tcPr>
          <w:p w14:paraId="0E0A66EF">
            <w:pPr>
              <w:pStyle w:val="9"/>
              <w:spacing w:before="33" w:line="216" w:lineRule="auto"/>
              <w:ind w:left="267"/>
              <w:rPr>
                <w:sz w:val="20"/>
                <w:szCs w:val="20"/>
              </w:rPr>
            </w:pPr>
            <w:r>
              <w:rPr>
                <w:spacing w:val="5"/>
                <w:sz w:val="20"/>
                <w:szCs w:val="20"/>
              </w:rPr>
              <w:t>昼间</w:t>
            </w:r>
          </w:p>
        </w:tc>
        <w:tc>
          <w:tcPr>
            <w:tcW w:w="949" w:type="dxa"/>
            <w:vAlign w:val="top"/>
          </w:tcPr>
          <w:p w14:paraId="0ADA8508">
            <w:pPr>
              <w:pStyle w:val="9"/>
              <w:spacing w:before="33" w:line="216" w:lineRule="auto"/>
              <w:ind w:left="272"/>
              <w:rPr>
                <w:sz w:val="20"/>
                <w:szCs w:val="20"/>
              </w:rPr>
            </w:pPr>
            <w:r>
              <w:rPr>
                <w:spacing w:val="3"/>
                <w:sz w:val="20"/>
                <w:szCs w:val="20"/>
              </w:rPr>
              <w:t>夜间</w:t>
            </w:r>
          </w:p>
        </w:tc>
      </w:tr>
      <w:tr w14:paraId="3E73F8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936" w:type="dxa"/>
            <w:vAlign w:val="top"/>
          </w:tcPr>
          <w:p w14:paraId="22B95A08">
            <w:pPr>
              <w:pStyle w:val="9"/>
              <w:spacing w:before="32" w:line="216" w:lineRule="auto"/>
              <w:ind w:left="175"/>
              <w:rPr>
                <w:sz w:val="20"/>
                <w:szCs w:val="20"/>
              </w:rPr>
            </w:pPr>
            <w:r>
              <w:rPr>
                <w:rFonts w:ascii="Times New Roman" w:hAnsi="Times New Roman" w:eastAsia="Times New Roman" w:cs="Times New Roman"/>
                <w:sz w:val="20"/>
                <w:szCs w:val="20"/>
              </w:rPr>
              <w:t>1#</w:t>
            </w:r>
            <w:r>
              <w:rPr>
                <w:sz w:val="20"/>
                <w:szCs w:val="20"/>
              </w:rPr>
              <w:t>主变</w:t>
            </w:r>
          </w:p>
        </w:tc>
        <w:tc>
          <w:tcPr>
            <w:tcW w:w="949" w:type="dxa"/>
            <w:vAlign w:val="top"/>
          </w:tcPr>
          <w:p w14:paraId="22BDCE0C">
            <w:pPr>
              <w:spacing w:before="53" w:line="195" w:lineRule="auto"/>
              <w:ind w:left="23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222.3</w:t>
            </w:r>
          </w:p>
        </w:tc>
        <w:tc>
          <w:tcPr>
            <w:tcW w:w="949" w:type="dxa"/>
            <w:vAlign w:val="top"/>
          </w:tcPr>
          <w:p w14:paraId="18B447AC">
            <w:pPr>
              <w:spacing w:before="53" w:line="195" w:lineRule="auto"/>
              <w:ind w:left="23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222.</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2"/>
                <w:sz w:val="20"/>
                <w:szCs w:val="20"/>
              </w:rPr>
              <w:t>1</w:t>
            </w:r>
          </w:p>
        </w:tc>
        <w:tc>
          <w:tcPr>
            <w:tcW w:w="950" w:type="dxa"/>
            <w:vAlign w:val="top"/>
          </w:tcPr>
          <w:p w14:paraId="77CA5E18">
            <w:pPr>
              <w:spacing w:before="53" w:line="195" w:lineRule="auto"/>
              <w:ind w:left="23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497.</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949" w:type="dxa"/>
            <w:vAlign w:val="top"/>
          </w:tcPr>
          <w:p w14:paraId="6C362AE0">
            <w:pPr>
              <w:spacing w:before="53" w:line="195" w:lineRule="auto"/>
              <w:ind w:left="23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496.7</w:t>
            </w:r>
          </w:p>
        </w:tc>
        <w:tc>
          <w:tcPr>
            <w:tcW w:w="949" w:type="dxa"/>
            <w:vAlign w:val="top"/>
          </w:tcPr>
          <w:p w14:paraId="75F5EC48">
            <w:pPr>
              <w:spacing w:before="53" w:line="195" w:lineRule="auto"/>
              <w:ind w:left="2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174.6</w:t>
            </w:r>
          </w:p>
        </w:tc>
        <w:tc>
          <w:tcPr>
            <w:tcW w:w="950" w:type="dxa"/>
            <w:vAlign w:val="top"/>
          </w:tcPr>
          <w:p w14:paraId="59F5F1FB">
            <w:pPr>
              <w:spacing w:before="53" w:line="195" w:lineRule="auto"/>
              <w:ind w:left="26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173.7</w:t>
            </w:r>
          </w:p>
        </w:tc>
        <w:tc>
          <w:tcPr>
            <w:tcW w:w="945" w:type="dxa"/>
            <w:vAlign w:val="top"/>
          </w:tcPr>
          <w:p w14:paraId="49503A26">
            <w:pPr>
              <w:spacing w:before="53" w:line="195" w:lineRule="auto"/>
              <w:ind w:left="294"/>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74.</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1"/>
                <w:sz w:val="20"/>
                <w:szCs w:val="20"/>
              </w:rPr>
              <w:t>1</w:t>
            </w:r>
          </w:p>
        </w:tc>
        <w:tc>
          <w:tcPr>
            <w:tcW w:w="949" w:type="dxa"/>
            <w:vAlign w:val="top"/>
          </w:tcPr>
          <w:p w14:paraId="2594432B">
            <w:pPr>
              <w:spacing w:before="53" w:line="195" w:lineRule="auto"/>
              <w:ind w:left="29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73.8</w:t>
            </w:r>
          </w:p>
        </w:tc>
      </w:tr>
      <w:tr w14:paraId="5A8A8E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6" w:hRule="atLeast"/>
        </w:trPr>
        <w:tc>
          <w:tcPr>
            <w:tcW w:w="936" w:type="dxa"/>
            <w:vAlign w:val="top"/>
          </w:tcPr>
          <w:p w14:paraId="28512656">
            <w:pPr>
              <w:pStyle w:val="9"/>
              <w:spacing w:before="34" w:line="214" w:lineRule="auto"/>
              <w:ind w:left="155"/>
              <w:rPr>
                <w:sz w:val="20"/>
                <w:szCs w:val="20"/>
              </w:rPr>
            </w:pPr>
            <w:r>
              <w:rPr>
                <w:rFonts w:ascii="Times New Roman" w:hAnsi="Times New Roman" w:eastAsia="Times New Roman" w:cs="Times New Roman"/>
                <w:spacing w:val="5"/>
                <w:sz w:val="20"/>
                <w:szCs w:val="20"/>
              </w:rPr>
              <w:t>2#</w:t>
            </w:r>
            <w:r>
              <w:rPr>
                <w:spacing w:val="5"/>
                <w:sz w:val="20"/>
                <w:szCs w:val="20"/>
              </w:rPr>
              <w:t>主变</w:t>
            </w:r>
          </w:p>
        </w:tc>
        <w:tc>
          <w:tcPr>
            <w:tcW w:w="949" w:type="dxa"/>
            <w:vAlign w:val="top"/>
          </w:tcPr>
          <w:p w14:paraId="33621D6D">
            <w:pPr>
              <w:spacing w:before="55" w:line="195" w:lineRule="auto"/>
              <w:ind w:left="23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222.7</w:t>
            </w:r>
          </w:p>
        </w:tc>
        <w:tc>
          <w:tcPr>
            <w:tcW w:w="949" w:type="dxa"/>
            <w:vAlign w:val="top"/>
          </w:tcPr>
          <w:p w14:paraId="1BF09588">
            <w:pPr>
              <w:spacing w:before="55" w:line="195" w:lineRule="auto"/>
              <w:ind w:left="23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222.4</w:t>
            </w:r>
          </w:p>
        </w:tc>
        <w:tc>
          <w:tcPr>
            <w:tcW w:w="950" w:type="dxa"/>
            <w:vAlign w:val="top"/>
          </w:tcPr>
          <w:p w14:paraId="22FA4622">
            <w:pPr>
              <w:spacing w:before="55" w:line="195" w:lineRule="auto"/>
              <w:ind w:left="23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499.6</w:t>
            </w:r>
          </w:p>
        </w:tc>
        <w:tc>
          <w:tcPr>
            <w:tcW w:w="949" w:type="dxa"/>
            <w:vAlign w:val="top"/>
          </w:tcPr>
          <w:p w14:paraId="37C97566">
            <w:pPr>
              <w:spacing w:before="55" w:line="195" w:lineRule="auto"/>
              <w:ind w:left="23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499.</w:t>
            </w:r>
            <w:r>
              <w:rPr>
                <w:rFonts w:ascii="Times New Roman" w:hAnsi="Times New Roman" w:eastAsia="Times New Roman" w:cs="Times New Roman"/>
                <w:spacing w:val="-25"/>
                <w:sz w:val="20"/>
                <w:szCs w:val="20"/>
              </w:rPr>
              <w:t xml:space="preserve"> </w:t>
            </w:r>
            <w:r>
              <w:rPr>
                <w:rFonts w:ascii="Times New Roman" w:hAnsi="Times New Roman" w:eastAsia="Times New Roman" w:cs="Times New Roman"/>
                <w:spacing w:val="3"/>
                <w:sz w:val="20"/>
                <w:szCs w:val="20"/>
              </w:rPr>
              <w:t>1</w:t>
            </w:r>
          </w:p>
        </w:tc>
        <w:tc>
          <w:tcPr>
            <w:tcW w:w="949" w:type="dxa"/>
            <w:vAlign w:val="top"/>
          </w:tcPr>
          <w:p w14:paraId="1761A408">
            <w:pPr>
              <w:spacing w:before="55" w:line="195" w:lineRule="auto"/>
              <w:ind w:left="26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176.0</w:t>
            </w:r>
          </w:p>
        </w:tc>
        <w:tc>
          <w:tcPr>
            <w:tcW w:w="950" w:type="dxa"/>
            <w:vAlign w:val="top"/>
          </w:tcPr>
          <w:p w14:paraId="375CDB87">
            <w:pPr>
              <w:spacing w:before="55" w:line="195" w:lineRule="auto"/>
              <w:ind w:left="263"/>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176.0</w:t>
            </w:r>
          </w:p>
        </w:tc>
        <w:tc>
          <w:tcPr>
            <w:tcW w:w="945" w:type="dxa"/>
            <w:vAlign w:val="top"/>
          </w:tcPr>
          <w:p w14:paraId="6A0995E6">
            <w:pPr>
              <w:spacing w:before="55" w:line="195" w:lineRule="auto"/>
              <w:ind w:left="29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73.7</w:t>
            </w:r>
          </w:p>
        </w:tc>
        <w:tc>
          <w:tcPr>
            <w:tcW w:w="949" w:type="dxa"/>
            <w:vAlign w:val="top"/>
          </w:tcPr>
          <w:p w14:paraId="21C5B187">
            <w:pPr>
              <w:spacing w:before="55" w:line="195" w:lineRule="auto"/>
              <w:ind w:left="29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73.4</w:t>
            </w:r>
          </w:p>
        </w:tc>
      </w:tr>
      <w:tr w14:paraId="585961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936" w:type="dxa"/>
            <w:vAlign w:val="top"/>
          </w:tcPr>
          <w:p w14:paraId="78AD1450">
            <w:pPr>
              <w:pStyle w:val="9"/>
              <w:spacing w:before="36" w:line="213" w:lineRule="auto"/>
              <w:ind w:left="159"/>
              <w:rPr>
                <w:sz w:val="20"/>
                <w:szCs w:val="20"/>
              </w:rPr>
            </w:pPr>
            <w:r>
              <w:rPr>
                <w:rFonts w:ascii="Times New Roman" w:hAnsi="Times New Roman" w:eastAsia="Times New Roman" w:cs="Times New Roman"/>
                <w:spacing w:val="4"/>
                <w:sz w:val="20"/>
                <w:szCs w:val="20"/>
              </w:rPr>
              <w:t>3#</w:t>
            </w:r>
            <w:r>
              <w:rPr>
                <w:spacing w:val="4"/>
                <w:sz w:val="20"/>
                <w:szCs w:val="20"/>
              </w:rPr>
              <w:t>主变</w:t>
            </w:r>
          </w:p>
        </w:tc>
        <w:tc>
          <w:tcPr>
            <w:tcW w:w="949" w:type="dxa"/>
            <w:vAlign w:val="top"/>
          </w:tcPr>
          <w:p w14:paraId="0BD9E211">
            <w:pPr>
              <w:spacing w:before="55" w:line="195" w:lineRule="auto"/>
              <w:ind w:left="23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222.6</w:t>
            </w:r>
          </w:p>
        </w:tc>
        <w:tc>
          <w:tcPr>
            <w:tcW w:w="949" w:type="dxa"/>
            <w:vAlign w:val="top"/>
          </w:tcPr>
          <w:p w14:paraId="6EE5FB26">
            <w:pPr>
              <w:spacing w:before="55" w:line="195" w:lineRule="auto"/>
              <w:ind w:left="23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222.3</w:t>
            </w:r>
          </w:p>
        </w:tc>
        <w:tc>
          <w:tcPr>
            <w:tcW w:w="950" w:type="dxa"/>
            <w:vAlign w:val="top"/>
          </w:tcPr>
          <w:p w14:paraId="4C38659E">
            <w:pPr>
              <w:spacing w:before="55"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110.7</w:t>
            </w:r>
          </w:p>
        </w:tc>
        <w:tc>
          <w:tcPr>
            <w:tcW w:w="949" w:type="dxa"/>
            <w:vAlign w:val="top"/>
          </w:tcPr>
          <w:p w14:paraId="30B710E9">
            <w:pPr>
              <w:spacing w:before="55" w:line="195" w:lineRule="auto"/>
              <w:ind w:left="26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110.2</w:t>
            </w:r>
          </w:p>
        </w:tc>
        <w:tc>
          <w:tcPr>
            <w:tcW w:w="949" w:type="dxa"/>
            <w:vAlign w:val="top"/>
          </w:tcPr>
          <w:p w14:paraId="2345EFE4">
            <w:pPr>
              <w:spacing w:before="55" w:line="195" w:lineRule="auto"/>
              <w:ind w:left="29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41.0</w:t>
            </w:r>
          </w:p>
        </w:tc>
        <w:tc>
          <w:tcPr>
            <w:tcW w:w="950" w:type="dxa"/>
            <w:vAlign w:val="top"/>
          </w:tcPr>
          <w:p w14:paraId="7E6E50F0">
            <w:pPr>
              <w:spacing w:before="55" w:line="195" w:lineRule="auto"/>
              <w:ind w:left="29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40.4</w:t>
            </w:r>
          </w:p>
        </w:tc>
        <w:tc>
          <w:tcPr>
            <w:tcW w:w="945" w:type="dxa"/>
            <w:vAlign w:val="top"/>
          </w:tcPr>
          <w:p w14:paraId="3281AF62">
            <w:pPr>
              <w:spacing w:before="55" w:line="195" w:lineRule="auto"/>
              <w:ind w:left="352"/>
              <w:rPr>
                <w:rFonts w:ascii="Times New Roman" w:hAnsi="Times New Roman" w:eastAsia="Times New Roman" w:cs="Times New Roman"/>
                <w:sz w:val="20"/>
                <w:szCs w:val="20"/>
              </w:rPr>
            </w:pPr>
            <w:r>
              <w:rPr>
                <w:rFonts w:ascii="Times New Roman" w:hAnsi="Times New Roman" w:eastAsia="Times New Roman" w:cs="Times New Roman"/>
                <w:sz w:val="20"/>
                <w:szCs w:val="20"/>
              </w:rPr>
              <w:t>8.2</w:t>
            </w:r>
          </w:p>
        </w:tc>
        <w:tc>
          <w:tcPr>
            <w:tcW w:w="949" w:type="dxa"/>
            <w:vAlign w:val="top"/>
          </w:tcPr>
          <w:p w14:paraId="636757DA">
            <w:pPr>
              <w:spacing w:before="55" w:line="195" w:lineRule="auto"/>
              <w:ind w:left="353"/>
              <w:rPr>
                <w:rFonts w:ascii="Times New Roman" w:hAnsi="Times New Roman" w:eastAsia="Times New Roman" w:cs="Times New Roman"/>
                <w:sz w:val="20"/>
                <w:szCs w:val="20"/>
              </w:rPr>
            </w:pPr>
            <w:r>
              <w:rPr>
                <w:rFonts w:ascii="Times New Roman" w:hAnsi="Times New Roman" w:eastAsia="Times New Roman" w:cs="Times New Roman"/>
                <w:sz w:val="20"/>
                <w:szCs w:val="20"/>
              </w:rPr>
              <w:t>8.0</w:t>
            </w:r>
          </w:p>
        </w:tc>
      </w:tr>
      <w:tr w14:paraId="7B8CD6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936" w:type="dxa"/>
            <w:vAlign w:val="top"/>
          </w:tcPr>
          <w:p w14:paraId="5FDE47A0">
            <w:pPr>
              <w:pStyle w:val="9"/>
              <w:spacing w:before="34" w:line="218" w:lineRule="auto"/>
              <w:ind w:left="154"/>
              <w:rPr>
                <w:sz w:val="20"/>
                <w:szCs w:val="20"/>
              </w:rPr>
            </w:pPr>
            <w:r>
              <w:rPr>
                <w:rFonts w:ascii="Times New Roman" w:hAnsi="Times New Roman" w:eastAsia="Times New Roman" w:cs="Times New Roman"/>
                <w:spacing w:val="5"/>
                <w:sz w:val="20"/>
                <w:szCs w:val="20"/>
              </w:rPr>
              <w:t>4#</w:t>
            </w:r>
            <w:r>
              <w:rPr>
                <w:spacing w:val="5"/>
                <w:sz w:val="20"/>
                <w:szCs w:val="20"/>
              </w:rPr>
              <w:t>主变</w:t>
            </w:r>
          </w:p>
        </w:tc>
        <w:tc>
          <w:tcPr>
            <w:tcW w:w="949" w:type="dxa"/>
            <w:vAlign w:val="top"/>
          </w:tcPr>
          <w:p w14:paraId="7E083ABD">
            <w:pPr>
              <w:spacing w:before="56" w:line="195" w:lineRule="auto"/>
              <w:ind w:left="23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222.7</w:t>
            </w:r>
          </w:p>
        </w:tc>
        <w:tc>
          <w:tcPr>
            <w:tcW w:w="949" w:type="dxa"/>
            <w:vAlign w:val="top"/>
          </w:tcPr>
          <w:p w14:paraId="568B12A1">
            <w:pPr>
              <w:spacing w:before="56" w:line="195" w:lineRule="auto"/>
              <w:ind w:left="23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222.3</w:t>
            </w:r>
          </w:p>
        </w:tc>
        <w:tc>
          <w:tcPr>
            <w:tcW w:w="950" w:type="dxa"/>
            <w:vAlign w:val="top"/>
          </w:tcPr>
          <w:p w14:paraId="11E9AD2D">
            <w:pPr>
              <w:spacing w:before="56" w:line="195" w:lineRule="auto"/>
              <w:ind w:left="25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108.6</w:t>
            </w:r>
          </w:p>
        </w:tc>
        <w:tc>
          <w:tcPr>
            <w:tcW w:w="949" w:type="dxa"/>
            <w:vAlign w:val="top"/>
          </w:tcPr>
          <w:p w14:paraId="251587E5">
            <w:pPr>
              <w:spacing w:before="56" w:line="195" w:lineRule="auto"/>
              <w:ind w:left="26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107.8</w:t>
            </w:r>
          </w:p>
        </w:tc>
        <w:tc>
          <w:tcPr>
            <w:tcW w:w="949" w:type="dxa"/>
            <w:vAlign w:val="top"/>
          </w:tcPr>
          <w:p w14:paraId="09B1952F">
            <w:pPr>
              <w:spacing w:before="56" w:line="195" w:lineRule="auto"/>
              <w:ind w:left="29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40.6</w:t>
            </w:r>
          </w:p>
        </w:tc>
        <w:tc>
          <w:tcPr>
            <w:tcW w:w="950" w:type="dxa"/>
            <w:vAlign w:val="top"/>
          </w:tcPr>
          <w:p w14:paraId="1F7DA731">
            <w:pPr>
              <w:spacing w:before="56" w:line="195" w:lineRule="auto"/>
              <w:ind w:left="29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40.3</w:t>
            </w:r>
          </w:p>
        </w:tc>
        <w:tc>
          <w:tcPr>
            <w:tcW w:w="945" w:type="dxa"/>
            <w:vAlign w:val="top"/>
          </w:tcPr>
          <w:p w14:paraId="45CA0343">
            <w:pPr>
              <w:spacing w:before="56" w:line="195" w:lineRule="auto"/>
              <w:ind w:left="347"/>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7.9</w:t>
            </w:r>
          </w:p>
        </w:tc>
        <w:tc>
          <w:tcPr>
            <w:tcW w:w="949" w:type="dxa"/>
            <w:vAlign w:val="top"/>
          </w:tcPr>
          <w:p w14:paraId="1C82E997">
            <w:pPr>
              <w:spacing w:before="56" w:line="195" w:lineRule="auto"/>
              <w:ind w:left="34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7.8</w:t>
            </w:r>
          </w:p>
        </w:tc>
      </w:tr>
    </w:tbl>
    <w:p w14:paraId="2DAD36B5">
      <w:pPr>
        <w:pStyle w:val="3"/>
      </w:pPr>
    </w:p>
    <w:p w14:paraId="539D3595">
      <w:pPr>
        <w:sectPr>
          <w:footerReference r:id="rId103" w:type="default"/>
          <w:pgSz w:w="11906" w:h="16838"/>
          <w:pgMar w:top="1431" w:right="1687" w:bottom="1295" w:left="1687" w:header="0" w:footer="1133" w:gutter="0"/>
          <w:cols w:space="720" w:num="1"/>
        </w:sectPr>
      </w:pPr>
    </w:p>
    <w:p w14:paraId="1C3B2E6C">
      <w:pPr>
        <w:spacing w:before="48" w:line="217" w:lineRule="auto"/>
        <w:ind w:left="501"/>
        <w:rPr>
          <w:rFonts w:ascii="宋体" w:hAnsi="宋体" w:eastAsia="宋体" w:cs="宋体"/>
          <w:sz w:val="24"/>
          <w:szCs w:val="24"/>
        </w:rPr>
      </w:pPr>
      <w:r>
        <w:rPr>
          <w:rFonts w:ascii="宋体" w:hAnsi="宋体" w:eastAsia="宋体" w:cs="宋体"/>
          <w:spacing w:val="-1"/>
          <w:sz w:val="24"/>
          <w:szCs w:val="24"/>
        </w:rPr>
        <w:t>⑥监测结果及分析</w:t>
      </w:r>
    </w:p>
    <w:p w14:paraId="4141ACD9">
      <w:pPr>
        <w:spacing w:before="185" w:line="354" w:lineRule="auto"/>
        <w:ind w:left="25" w:right="82" w:firstLine="479"/>
        <w:rPr>
          <w:rFonts w:ascii="宋体" w:hAnsi="宋体" w:eastAsia="宋体" w:cs="宋体"/>
          <w:sz w:val="24"/>
          <w:szCs w:val="24"/>
        </w:rPr>
      </w:pPr>
      <w:r>
        <w:rPr>
          <w:rFonts w:ascii="宋体" w:hAnsi="宋体" w:eastAsia="宋体" w:cs="宋体"/>
          <w:spacing w:val="12"/>
          <w:sz w:val="24"/>
          <w:szCs w:val="24"/>
        </w:rPr>
        <w:t>升压站厂界处的工频电场强度和工频磁感应强度类比监测结果分别见表</w:t>
      </w:r>
      <w:r>
        <w:rPr>
          <w:rFonts w:ascii="Times New Roman" w:hAnsi="Times New Roman" w:eastAsia="Times New Roman" w:cs="Times New Roman"/>
          <w:spacing w:val="-4"/>
          <w:sz w:val="24"/>
          <w:szCs w:val="24"/>
        </w:rPr>
        <w:t>5-3</w:t>
      </w:r>
      <w:r>
        <w:rPr>
          <w:rFonts w:ascii="宋体" w:hAnsi="宋体" w:eastAsia="宋体" w:cs="宋体"/>
          <w:spacing w:val="-4"/>
          <w:sz w:val="24"/>
          <w:szCs w:val="24"/>
        </w:rPr>
        <w:t>。</w:t>
      </w:r>
    </w:p>
    <w:p w14:paraId="1CA98EFA">
      <w:pPr>
        <w:spacing w:before="12" w:line="219" w:lineRule="auto"/>
        <w:ind w:left="221"/>
        <w:rPr>
          <w:rFonts w:ascii="宋体" w:hAnsi="宋体" w:eastAsia="宋体" w:cs="宋体"/>
          <w:sz w:val="24"/>
          <w:szCs w:val="24"/>
        </w:rPr>
      </w:pPr>
      <w:r>
        <w:rPr>
          <w:rFonts w:ascii="宋体" w:hAnsi="宋体" w:eastAsia="宋体" w:cs="宋体"/>
          <w:b/>
          <w:bCs/>
          <w:spacing w:val="-2"/>
          <w:sz w:val="24"/>
          <w:szCs w:val="24"/>
        </w:rPr>
        <w:t>表</w:t>
      </w:r>
      <w:r>
        <w:rPr>
          <w:rFonts w:ascii="宋体" w:hAnsi="宋体" w:eastAsia="宋体" w:cs="宋体"/>
          <w:spacing w:val="-37"/>
          <w:sz w:val="24"/>
          <w:szCs w:val="24"/>
        </w:rPr>
        <w:t xml:space="preserve"> </w:t>
      </w:r>
      <w:r>
        <w:rPr>
          <w:rFonts w:ascii="Times New Roman" w:hAnsi="Times New Roman" w:eastAsia="Times New Roman" w:cs="Times New Roman"/>
          <w:b/>
          <w:bCs/>
          <w:spacing w:val="-2"/>
          <w:sz w:val="24"/>
          <w:szCs w:val="24"/>
        </w:rPr>
        <w:t xml:space="preserve">5-3    </w:t>
      </w:r>
      <w:r>
        <w:rPr>
          <w:rFonts w:ascii="宋体" w:hAnsi="宋体" w:eastAsia="宋体" w:cs="宋体"/>
          <w:b/>
          <w:bCs/>
          <w:spacing w:val="-2"/>
          <w:sz w:val="24"/>
          <w:szCs w:val="24"/>
        </w:rPr>
        <w:t>乌兰察布丰镇工业园区（润字）</w:t>
      </w:r>
      <w:r>
        <w:rPr>
          <w:rFonts w:ascii="Times New Roman" w:hAnsi="Times New Roman" w:eastAsia="Times New Roman" w:cs="Times New Roman"/>
          <w:b/>
          <w:bCs/>
          <w:spacing w:val="-2"/>
          <w:sz w:val="24"/>
          <w:szCs w:val="24"/>
        </w:rPr>
        <w:t xml:space="preserve">220kV  </w:t>
      </w:r>
      <w:r>
        <w:rPr>
          <w:rFonts w:ascii="宋体" w:hAnsi="宋体" w:eastAsia="宋体" w:cs="宋体"/>
          <w:b/>
          <w:bCs/>
          <w:spacing w:val="-2"/>
          <w:sz w:val="24"/>
          <w:szCs w:val="24"/>
        </w:rPr>
        <w:t>变电站工频电磁场测量结果</w:t>
      </w:r>
    </w:p>
    <w:p w14:paraId="078680EB">
      <w:pPr>
        <w:spacing w:line="147" w:lineRule="exact"/>
      </w:pPr>
    </w:p>
    <w:tbl>
      <w:tblPr>
        <w:tblStyle w:val="8"/>
        <w:tblW w:w="8250" w:type="dxa"/>
        <w:tblInd w:w="41"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3"/>
        <w:gridCol w:w="3129"/>
        <w:gridCol w:w="2229"/>
        <w:gridCol w:w="2189"/>
      </w:tblGrid>
      <w:tr w14:paraId="61CDFF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703" w:type="dxa"/>
            <w:vAlign w:val="top"/>
          </w:tcPr>
          <w:p w14:paraId="60E77A21">
            <w:pPr>
              <w:pStyle w:val="9"/>
              <w:spacing w:before="36" w:line="216" w:lineRule="auto"/>
              <w:ind w:left="145"/>
              <w:rPr>
                <w:sz w:val="20"/>
                <w:szCs w:val="20"/>
              </w:rPr>
            </w:pPr>
            <w:r>
              <w:rPr>
                <w:spacing w:val="5"/>
                <w:sz w:val="20"/>
                <w:szCs w:val="20"/>
              </w:rPr>
              <w:t>序号</w:t>
            </w:r>
          </w:p>
        </w:tc>
        <w:tc>
          <w:tcPr>
            <w:tcW w:w="3129" w:type="dxa"/>
            <w:vAlign w:val="top"/>
          </w:tcPr>
          <w:p w14:paraId="2C79395B">
            <w:pPr>
              <w:pStyle w:val="9"/>
              <w:spacing w:before="36" w:line="216" w:lineRule="auto"/>
              <w:ind w:left="1044"/>
              <w:rPr>
                <w:sz w:val="20"/>
                <w:szCs w:val="20"/>
              </w:rPr>
            </w:pPr>
            <w:r>
              <w:rPr>
                <w:spacing w:val="7"/>
                <w:sz w:val="20"/>
                <w:szCs w:val="20"/>
              </w:rPr>
              <w:t>监测点位置</w:t>
            </w:r>
          </w:p>
        </w:tc>
        <w:tc>
          <w:tcPr>
            <w:tcW w:w="2229" w:type="dxa"/>
            <w:vAlign w:val="top"/>
          </w:tcPr>
          <w:p w14:paraId="3F56BA72">
            <w:pPr>
              <w:pStyle w:val="9"/>
              <w:spacing w:before="36" w:line="216" w:lineRule="auto"/>
              <w:ind w:left="115"/>
              <w:rPr>
                <w:sz w:val="20"/>
                <w:szCs w:val="20"/>
              </w:rPr>
            </w:pPr>
            <w:r>
              <w:rPr>
                <w:spacing w:val="6"/>
                <w:sz w:val="20"/>
                <w:szCs w:val="20"/>
              </w:rPr>
              <w:t>工频电场强度（</w:t>
            </w:r>
            <w:r>
              <w:rPr>
                <w:rFonts w:ascii="Times New Roman" w:hAnsi="Times New Roman" w:eastAsia="Times New Roman" w:cs="Times New Roman"/>
                <w:spacing w:val="6"/>
                <w:sz w:val="20"/>
                <w:szCs w:val="20"/>
              </w:rPr>
              <w:t>V/m</w:t>
            </w:r>
            <w:r>
              <w:rPr>
                <w:spacing w:val="6"/>
                <w:sz w:val="20"/>
                <w:szCs w:val="20"/>
              </w:rPr>
              <w:t>）</w:t>
            </w:r>
          </w:p>
        </w:tc>
        <w:tc>
          <w:tcPr>
            <w:tcW w:w="2189" w:type="dxa"/>
            <w:vAlign w:val="top"/>
          </w:tcPr>
          <w:p w14:paraId="0FB17899">
            <w:pPr>
              <w:pStyle w:val="9"/>
              <w:spacing w:before="36" w:line="216" w:lineRule="auto"/>
              <w:ind w:right="13"/>
              <w:jc w:val="right"/>
              <w:rPr>
                <w:sz w:val="20"/>
                <w:szCs w:val="20"/>
              </w:rPr>
            </w:pPr>
            <w:r>
              <w:rPr>
                <w:spacing w:val="10"/>
                <w:sz w:val="20"/>
                <w:szCs w:val="20"/>
              </w:rPr>
              <w:t>工频磁感应强度(</w:t>
            </w:r>
            <w:r>
              <w:rPr>
                <w:rFonts w:ascii="Times New Roman" w:hAnsi="Times New Roman" w:eastAsia="Times New Roman" w:cs="Times New Roman"/>
                <w:spacing w:val="10"/>
                <w:sz w:val="20"/>
                <w:szCs w:val="20"/>
              </w:rPr>
              <w:t>µT</w:t>
            </w:r>
            <w:r>
              <w:rPr>
                <w:spacing w:val="10"/>
                <w:sz w:val="20"/>
                <w:szCs w:val="20"/>
              </w:rPr>
              <w:t>）</w:t>
            </w:r>
          </w:p>
        </w:tc>
      </w:tr>
      <w:tr w14:paraId="647D1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03" w:type="dxa"/>
            <w:vAlign w:val="top"/>
          </w:tcPr>
          <w:p w14:paraId="5828D392">
            <w:pPr>
              <w:spacing w:before="67" w:line="195" w:lineRule="auto"/>
              <w:ind w:left="320"/>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3129" w:type="dxa"/>
            <w:vAlign w:val="top"/>
          </w:tcPr>
          <w:p w14:paraId="259D72F3">
            <w:pPr>
              <w:pStyle w:val="9"/>
              <w:spacing w:before="30" w:line="218" w:lineRule="auto"/>
              <w:ind w:left="782"/>
              <w:rPr>
                <w:rFonts w:ascii="Times New Roman" w:hAnsi="Times New Roman" w:eastAsia="Times New Roman" w:cs="Times New Roman"/>
                <w:sz w:val="20"/>
                <w:szCs w:val="20"/>
              </w:rPr>
            </w:pPr>
            <w:r>
              <w:rPr>
                <w:spacing w:val="4"/>
                <w:sz w:val="20"/>
                <w:szCs w:val="20"/>
              </w:rPr>
              <w:t>站界北侧偏东</w:t>
            </w:r>
            <w:r>
              <w:rPr>
                <w:spacing w:val="33"/>
                <w:sz w:val="20"/>
                <w:szCs w:val="20"/>
              </w:rPr>
              <w:t xml:space="preserve"> </w:t>
            </w:r>
            <w:r>
              <w:rPr>
                <w:rFonts w:ascii="Times New Roman" w:hAnsi="Times New Roman" w:eastAsia="Times New Roman" w:cs="Times New Roman"/>
                <w:spacing w:val="4"/>
                <w:sz w:val="20"/>
                <w:szCs w:val="20"/>
              </w:rPr>
              <w:t>1#</w:t>
            </w:r>
          </w:p>
        </w:tc>
        <w:tc>
          <w:tcPr>
            <w:tcW w:w="2229" w:type="dxa"/>
            <w:vAlign w:val="top"/>
          </w:tcPr>
          <w:p w14:paraId="48B785DF">
            <w:pPr>
              <w:spacing w:before="67" w:line="195" w:lineRule="auto"/>
              <w:ind w:left="88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350.0</w:t>
            </w:r>
          </w:p>
        </w:tc>
        <w:tc>
          <w:tcPr>
            <w:tcW w:w="2189" w:type="dxa"/>
            <w:vAlign w:val="top"/>
          </w:tcPr>
          <w:p w14:paraId="6376E74C">
            <w:pPr>
              <w:spacing w:before="67" w:line="195" w:lineRule="auto"/>
              <w:ind w:left="86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0.344</w:t>
            </w:r>
          </w:p>
        </w:tc>
      </w:tr>
      <w:tr w14:paraId="4F9736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03" w:type="dxa"/>
            <w:vAlign w:val="top"/>
          </w:tcPr>
          <w:p w14:paraId="1D5776CD">
            <w:pPr>
              <w:spacing w:before="68" w:line="195" w:lineRule="auto"/>
              <w:ind w:left="300"/>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3129" w:type="dxa"/>
            <w:vAlign w:val="top"/>
          </w:tcPr>
          <w:p w14:paraId="7E152D74">
            <w:pPr>
              <w:pStyle w:val="9"/>
              <w:spacing w:before="32" w:line="216" w:lineRule="auto"/>
              <w:ind w:left="782"/>
              <w:rPr>
                <w:rFonts w:ascii="Times New Roman" w:hAnsi="Times New Roman" w:eastAsia="Times New Roman" w:cs="Times New Roman"/>
                <w:sz w:val="20"/>
                <w:szCs w:val="20"/>
              </w:rPr>
            </w:pPr>
            <w:r>
              <w:rPr>
                <w:spacing w:val="7"/>
                <w:sz w:val="20"/>
                <w:szCs w:val="20"/>
              </w:rPr>
              <w:t xml:space="preserve">站界北侧中部 </w:t>
            </w:r>
            <w:r>
              <w:rPr>
                <w:rFonts w:ascii="Times New Roman" w:hAnsi="Times New Roman" w:eastAsia="Times New Roman" w:cs="Times New Roman"/>
                <w:spacing w:val="7"/>
                <w:sz w:val="20"/>
                <w:szCs w:val="20"/>
              </w:rPr>
              <w:t>2#</w:t>
            </w:r>
          </w:p>
        </w:tc>
        <w:tc>
          <w:tcPr>
            <w:tcW w:w="2229" w:type="dxa"/>
            <w:vAlign w:val="top"/>
          </w:tcPr>
          <w:p w14:paraId="5F731D74">
            <w:pPr>
              <w:spacing w:before="68" w:line="195" w:lineRule="auto"/>
              <w:ind w:left="8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12.00</w:t>
            </w:r>
          </w:p>
        </w:tc>
        <w:tc>
          <w:tcPr>
            <w:tcW w:w="2189" w:type="dxa"/>
            <w:vAlign w:val="top"/>
          </w:tcPr>
          <w:p w14:paraId="3B3656AC">
            <w:pPr>
              <w:spacing w:before="68" w:line="195" w:lineRule="auto"/>
              <w:ind w:left="86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0.136</w:t>
            </w:r>
          </w:p>
        </w:tc>
      </w:tr>
      <w:tr w14:paraId="0445E5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03" w:type="dxa"/>
            <w:vAlign w:val="top"/>
          </w:tcPr>
          <w:p w14:paraId="7BBB5FA2">
            <w:pPr>
              <w:spacing w:before="67" w:line="195" w:lineRule="auto"/>
              <w:ind w:left="304"/>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3129" w:type="dxa"/>
            <w:vAlign w:val="top"/>
          </w:tcPr>
          <w:p w14:paraId="311437A1">
            <w:pPr>
              <w:pStyle w:val="9"/>
              <w:spacing w:before="30" w:line="218" w:lineRule="auto"/>
              <w:ind w:left="782"/>
              <w:rPr>
                <w:rFonts w:ascii="Times New Roman" w:hAnsi="Times New Roman" w:eastAsia="Times New Roman" w:cs="Times New Roman"/>
                <w:sz w:val="20"/>
                <w:szCs w:val="20"/>
              </w:rPr>
            </w:pPr>
            <w:r>
              <w:rPr>
                <w:spacing w:val="7"/>
                <w:sz w:val="20"/>
                <w:szCs w:val="20"/>
              </w:rPr>
              <w:t xml:space="preserve">站界北侧偏西 </w:t>
            </w:r>
            <w:r>
              <w:rPr>
                <w:rFonts w:ascii="Times New Roman" w:hAnsi="Times New Roman" w:eastAsia="Times New Roman" w:cs="Times New Roman"/>
                <w:spacing w:val="7"/>
                <w:sz w:val="20"/>
                <w:szCs w:val="20"/>
              </w:rPr>
              <w:t>3#</w:t>
            </w:r>
          </w:p>
        </w:tc>
        <w:tc>
          <w:tcPr>
            <w:tcW w:w="2229" w:type="dxa"/>
            <w:vAlign w:val="top"/>
          </w:tcPr>
          <w:p w14:paraId="1B8CF8B4">
            <w:pPr>
              <w:spacing w:before="67" w:line="195" w:lineRule="auto"/>
              <w:ind w:left="88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83.00</w:t>
            </w:r>
          </w:p>
        </w:tc>
        <w:tc>
          <w:tcPr>
            <w:tcW w:w="2189" w:type="dxa"/>
            <w:vAlign w:val="top"/>
          </w:tcPr>
          <w:p w14:paraId="010D6B69">
            <w:pPr>
              <w:spacing w:before="67" w:line="195" w:lineRule="auto"/>
              <w:ind w:left="86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0.192</w:t>
            </w:r>
          </w:p>
        </w:tc>
      </w:tr>
      <w:tr w14:paraId="15CDA3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03" w:type="dxa"/>
            <w:vAlign w:val="top"/>
          </w:tcPr>
          <w:p w14:paraId="2AE1D33C">
            <w:pPr>
              <w:spacing w:before="68" w:line="195" w:lineRule="auto"/>
              <w:ind w:left="2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3129" w:type="dxa"/>
            <w:vAlign w:val="top"/>
          </w:tcPr>
          <w:p w14:paraId="502603BC">
            <w:pPr>
              <w:pStyle w:val="9"/>
              <w:spacing w:before="32" w:line="216" w:lineRule="auto"/>
              <w:ind w:left="782"/>
              <w:rPr>
                <w:rFonts w:ascii="Times New Roman" w:hAnsi="Times New Roman" w:eastAsia="Times New Roman" w:cs="Times New Roman"/>
                <w:sz w:val="20"/>
                <w:szCs w:val="20"/>
              </w:rPr>
            </w:pPr>
            <w:r>
              <w:rPr>
                <w:spacing w:val="7"/>
                <w:sz w:val="20"/>
                <w:szCs w:val="20"/>
              </w:rPr>
              <w:t xml:space="preserve">站界西侧偏北 </w:t>
            </w:r>
            <w:r>
              <w:rPr>
                <w:rFonts w:ascii="Times New Roman" w:hAnsi="Times New Roman" w:eastAsia="Times New Roman" w:cs="Times New Roman"/>
                <w:spacing w:val="7"/>
                <w:sz w:val="20"/>
                <w:szCs w:val="20"/>
              </w:rPr>
              <w:t>4#</w:t>
            </w:r>
          </w:p>
        </w:tc>
        <w:tc>
          <w:tcPr>
            <w:tcW w:w="2229" w:type="dxa"/>
            <w:vAlign w:val="top"/>
          </w:tcPr>
          <w:p w14:paraId="61974014">
            <w:pPr>
              <w:spacing w:before="68" w:line="195" w:lineRule="auto"/>
              <w:ind w:left="87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420.0</w:t>
            </w:r>
          </w:p>
        </w:tc>
        <w:tc>
          <w:tcPr>
            <w:tcW w:w="2189" w:type="dxa"/>
            <w:vAlign w:val="top"/>
          </w:tcPr>
          <w:p w14:paraId="0EE8A97C">
            <w:pPr>
              <w:spacing w:before="68" w:line="195" w:lineRule="auto"/>
              <w:ind w:left="86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0.329</w:t>
            </w:r>
          </w:p>
        </w:tc>
      </w:tr>
      <w:tr w14:paraId="69A73A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03" w:type="dxa"/>
            <w:vAlign w:val="top"/>
          </w:tcPr>
          <w:p w14:paraId="5051626C">
            <w:pPr>
              <w:spacing w:before="72" w:line="192" w:lineRule="auto"/>
              <w:ind w:left="306"/>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3129" w:type="dxa"/>
            <w:vAlign w:val="top"/>
          </w:tcPr>
          <w:p w14:paraId="725DCD97">
            <w:pPr>
              <w:pStyle w:val="9"/>
              <w:spacing w:before="34" w:line="215" w:lineRule="auto"/>
              <w:ind w:left="782"/>
              <w:rPr>
                <w:rFonts w:ascii="Times New Roman" w:hAnsi="Times New Roman" w:eastAsia="Times New Roman" w:cs="Times New Roman"/>
                <w:sz w:val="20"/>
                <w:szCs w:val="20"/>
              </w:rPr>
            </w:pPr>
            <w:r>
              <w:rPr>
                <w:spacing w:val="6"/>
                <w:sz w:val="20"/>
                <w:szCs w:val="20"/>
              </w:rPr>
              <w:t>站界西侧中部</w:t>
            </w:r>
            <w:r>
              <w:rPr>
                <w:spacing w:val="17"/>
                <w:sz w:val="20"/>
                <w:szCs w:val="20"/>
              </w:rPr>
              <w:t xml:space="preserve"> </w:t>
            </w:r>
            <w:r>
              <w:rPr>
                <w:rFonts w:ascii="Times New Roman" w:hAnsi="Times New Roman" w:eastAsia="Times New Roman" w:cs="Times New Roman"/>
                <w:spacing w:val="6"/>
                <w:sz w:val="20"/>
                <w:szCs w:val="20"/>
              </w:rPr>
              <w:t>5#</w:t>
            </w:r>
          </w:p>
        </w:tc>
        <w:tc>
          <w:tcPr>
            <w:tcW w:w="2229" w:type="dxa"/>
            <w:vAlign w:val="top"/>
          </w:tcPr>
          <w:p w14:paraId="38F90415">
            <w:pPr>
              <w:spacing w:before="69" w:line="195" w:lineRule="auto"/>
              <w:ind w:left="87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450.0</w:t>
            </w:r>
          </w:p>
        </w:tc>
        <w:tc>
          <w:tcPr>
            <w:tcW w:w="2189" w:type="dxa"/>
            <w:vAlign w:val="top"/>
          </w:tcPr>
          <w:p w14:paraId="6AC104BA">
            <w:pPr>
              <w:spacing w:before="69" w:line="195" w:lineRule="auto"/>
              <w:ind w:left="86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0.709</w:t>
            </w:r>
          </w:p>
        </w:tc>
      </w:tr>
      <w:tr w14:paraId="0A3FAF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03" w:type="dxa"/>
            <w:vAlign w:val="top"/>
          </w:tcPr>
          <w:p w14:paraId="5D87C483">
            <w:pPr>
              <w:spacing w:before="68" w:line="195" w:lineRule="auto"/>
              <w:ind w:left="305"/>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3129" w:type="dxa"/>
            <w:vAlign w:val="top"/>
          </w:tcPr>
          <w:p w14:paraId="32A5A39F">
            <w:pPr>
              <w:pStyle w:val="9"/>
              <w:spacing w:before="32" w:line="216" w:lineRule="auto"/>
              <w:ind w:left="782"/>
              <w:rPr>
                <w:rFonts w:ascii="Times New Roman" w:hAnsi="Times New Roman" w:eastAsia="Times New Roman" w:cs="Times New Roman"/>
                <w:sz w:val="20"/>
                <w:szCs w:val="20"/>
              </w:rPr>
            </w:pPr>
            <w:r>
              <w:rPr>
                <w:spacing w:val="7"/>
                <w:sz w:val="20"/>
                <w:szCs w:val="20"/>
              </w:rPr>
              <w:t xml:space="preserve">站界西侧偏南 </w:t>
            </w:r>
            <w:r>
              <w:rPr>
                <w:rFonts w:ascii="Times New Roman" w:hAnsi="Times New Roman" w:eastAsia="Times New Roman" w:cs="Times New Roman"/>
                <w:spacing w:val="7"/>
                <w:sz w:val="20"/>
                <w:szCs w:val="20"/>
              </w:rPr>
              <w:t>6#</w:t>
            </w:r>
          </w:p>
        </w:tc>
        <w:tc>
          <w:tcPr>
            <w:tcW w:w="2229" w:type="dxa"/>
            <w:vAlign w:val="top"/>
          </w:tcPr>
          <w:p w14:paraId="1FB4B0B7">
            <w:pPr>
              <w:spacing w:before="68" w:line="195" w:lineRule="auto"/>
              <w:ind w:left="87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280.0</w:t>
            </w:r>
          </w:p>
        </w:tc>
        <w:tc>
          <w:tcPr>
            <w:tcW w:w="2189" w:type="dxa"/>
            <w:vAlign w:val="top"/>
          </w:tcPr>
          <w:p w14:paraId="52628265">
            <w:pPr>
              <w:spacing w:before="68" w:line="195" w:lineRule="auto"/>
              <w:ind w:left="87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1.918</w:t>
            </w:r>
          </w:p>
        </w:tc>
      </w:tr>
      <w:tr w14:paraId="70F4DE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03" w:type="dxa"/>
            <w:vAlign w:val="top"/>
          </w:tcPr>
          <w:p w14:paraId="0C6D5CC5">
            <w:pPr>
              <w:spacing w:before="72" w:line="192" w:lineRule="auto"/>
              <w:ind w:left="303"/>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3129" w:type="dxa"/>
            <w:vAlign w:val="top"/>
          </w:tcPr>
          <w:p w14:paraId="2D6525F8">
            <w:pPr>
              <w:pStyle w:val="9"/>
              <w:spacing w:before="34" w:line="215" w:lineRule="auto"/>
              <w:ind w:left="782"/>
              <w:rPr>
                <w:rFonts w:ascii="Times New Roman" w:hAnsi="Times New Roman" w:eastAsia="Times New Roman" w:cs="Times New Roman"/>
                <w:sz w:val="20"/>
                <w:szCs w:val="20"/>
              </w:rPr>
            </w:pPr>
            <w:r>
              <w:rPr>
                <w:spacing w:val="7"/>
                <w:sz w:val="20"/>
                <w:szCs w:val="20"/>
              </w:rPr>
              <w:t xml:space="preserve">站界南侧偏西 </w:t>
            </w:r>
            <w:r>
              <w:rPr>
                <w:rFonts w:ascii="Times New Roman" w:hAnsi="Times New Roman" w:eastAsia="Times New Roman" w:cs="Times New Roman"/>
                <w:spacing w:val="7"/>
                <w:sz w:val="20"/>
                <w:szCs w:val="20"/>
              </w:rPr>
              <w:t>7#</w:t>
            </w:r>
          </w:p>
        </w:tc>
        <w:tc>
          <w:tcPr>
            <w:tcW w:w="2229" w:type="dxa"/>
            <w:vAlign w:val="top"/>
          </w:tcPr>
          <w:p w14:paraId="03C9C034">
            <w:pPr>
              <w:spacing w:before="69" w:line="195" w:lineRule="auto"/>
              <w:ind w:left="8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130.0</w:t>
            </w:r>
          </w:p>
        </w:tc>
        <w:tc>
          <w:tcPr>
            <w:tcW w:w="2189" w:type="dxa"/>
            <w:vAlign w:val="top"/>
          </w:tcPr>
          <w:p w14:paraId="0F937BB2">
            <w:pPr>
              <w:spacing w:before="69" w:line="195" w:lineRule="auto"/>
              <w:ind w:left="86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0.627</w:t>
            </w:r>
          </w:p>
        </w:tc>
      </w:tr>
      <w:tr w14:paraId="58DB0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03" w:type="dxa"/>
            <w:vAlign w:val="top"/>
          </w:tcPr>
          <w:p w14:paraId="44E588A8">
            <w:pPr>
              <w:spacing w:before="70" w:line="195" w:lineRule="auto"/>
              <w:ind w:left="308"/>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tc>
        <w:tc>
          <w:tcPr>
            <w:tcW w:w="3129" w:type="dxa"/>
            <w:vAlign w:val="top"/>
          </w:tcPr>
          <w:p w14:paraId="7274943E">
            <w:pPr>
              <w:pStyle w:val="9"/>
              <w:spacing w:before="35" w:line="214" w:lineRule="auto"/>
              <w:ind w:left="782"/>
              <w:rPr>
                <w:rFonts w:ascii="Times New Roman" w:hAnsi="Times New Roman" w:eastAsia="Times New Roman" w:cs="Times New Roman"/>
                <w:sz w:val="20"/>
                <w:szCs w:val="20"/>
              </w:rPr>
            </w:pPr>
            <w:r>
              <w:rPr>
                <w:spacing w:val="5"/>
                <w:sz w:val="20"/>
                <w:szCs w:val="20"/>
              </w:rPr>
              <w:t>站界南侧中部</w:t>
            </w:r>
            <w:r>
              <w:rPr>
                <w:spacing w:val="25"/>
                <w:sz w:val="20"/>
                <w:szCs w:val="20"/>
              </w:rPr>
              <w:t xml:space="preserve"> </w:t>
            </w:r>
            <w:r>
              <w:rPr>
                <w:rFonts w:ascii="Times New Roman" w:hAnsi="Times New Roman" w:eastAsia="Times New Roman" w:cs="Times New Roman"/>
                <w:spacing w:val="5"/>
                <w:sz w:val="20"/>
                <w:szCs w:val="20"/>
              </w:rPr>
              <w:t>8#</w:t>
            </w:r>
          </w:p>
        </w:tc>
        <w:tc>
          <w:tcPr>
            <w:tcW w:w="2229" w:type="dxa"/>
            <w:vAlign w:val="top"/>
          </w:tcPr>
          <w:p w14:paraId="1E92EC15">
            <w:pPr>
              <w:spacing w:before="70" w:line="195" w:lineRule="auto"/>
              <w:ind w:left="88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7.000</w:t>
            </w:r>
          </w:p>
        </w:tc>
        <w:tc>
          <w:tcPr>
            <w:tcW w:w="2189" w:type="dxa"/>
            <w:vAlign w:val="top"/>
          </w:tcPr>
          <w:p w14:paraId="20DDB23C">
            <w:pPr>
              <w:spacing w:before="70" w:line="195" w:lineRule="auto"/>
              <w:ind w:left="86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0.560</w:t>
            </w:r>
          </w:p>
        </w:tc>
      </w:tr>
      <w:tr w14:paraId="264CB1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03" w:type="dxa"/>
            <w:vAlign w:val="top"/>
          </w:tcPr>
          <w:p w14:paraId="43BEC240">
            <w:pPr>
              <w:spacing w:before="69" w:line="195" w:lineRule="auto"/>
              <w:ind w:left="304"/>
              <w:rPr>
                <w:rFonts w:ascii="Times New Roman" w:hAnsi="Times New Roman" w:eastAsia="Times New Roman" w:cs="Times New Roman"/>
                <w:sz w:val="20"/>
                <w:szCs w:val="20"/>
              </w:rPr>
            </w:pPr>
            <w:r>
              <w:rPr>
                <w:rFonts w:ascii="Times New Roman" w:hAnsi="Times New Roman" w:eastAsia="Times New Roman" w:cs="Times New Roman"/>
                <w:sz w:val="20"/>
                <w:szCs w:val="20"/>
              </w:rPr>
              <w:t>9</w:t>
            </w:r>
          </w:p>
        </w:tc>
        <w:tc>
          <w:tcPr>
            <w:tcW w:w="3129" w:type="dxa"/>
            <w:vAlign w:val="top"/>
          </w:tcPr>
          <w:p w14:paraId="5BB4EB7F">
            <w:pPr>
              <w:pStyle w:val="9"/>
              <w:spacing w:before="34" w:line="215" w:lineRule="auto"/>
              <w:ind w:left="782"/>
              <w:rPr>
                <w:rFonts w:ascii="Times New Roman" w:hAnsi="Times New Roman" w:eastAsia="Times New Roman" w:cs="Times New Roman"/>
                <w:sz w:val="20"/>
                <w:szCs w:val="20"/>
              </w:rPr>
            </w:pPr>
            <w:r>
              <w:rPr>
                <w:spacing w:val="7"/>
                <w:sz w:val="20"/>
                <w:szCs w:val="20"/>
              </w:rPr>
              <w:t xml:space="preserve">站界南侧偏东 </w:t>
            </w:r>
            <w:r>
              <w:rPr>
                <w:rFonts w:ascii="Times New Roman" w:hAnsi="Times New Roman" w:eastAsia="Times New Roman" w:cs="Times New Roman"/>
                <w:spacing w:val="7"/>
                <w:sz w:val="20"/>
                <w:szCs w:val="20"/>
              </w:rPr>
              <w:t>9#</w:t>
            </w:r>
          </w:p>
        </w:tc>
        <w:tc>
          <w:tcPr>
            <w:tcW w:w="2229" w:type="dxa"/>
            <w:vAlign w:val="top"/>
          </w:tcPr>
          <w:p w14:paraId="2BB48E17">
            <w:pPr>
              <w:spacing w:before="69" w:line="195" w:lineRule="auto"/>
              <w:ind w:left="8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15.00</w:t>
            </w:r>
          </w:p>
        </w:tc>
        <w:tc>
          <w:tcPr>
            <w:tcW w:w="2189" w:type="dxa"/>
            <w:vAlign w:val="top"/>
          </w:tcPr>
          <w:p w14:paraId="50B49DC9">
            <w:pPr>
              <w:spacing w:before="69" w:line="195" w:lineRule="auto"/>
              <w:ind w:left="86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0.251</w:t>
            </w:r>
          </w:p>
        </w:tc>
      </w:tr>
      <w:tr w14:paraId="0FB2A4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03" w:type="dxa"/>
            <w:vAlign w:val="top"/>
          </w:tcPr>
          <w:p w14:paraId="315E5331">
            <w:pPr>
              <w:spacing w:before="70" w:line="195" w:lineRule="auto"/>
              <w:ind w:left="267"/>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10</w:t>
            </w:r>
          </w:p>
        </w:tc>
        <w:tc>
          <w:tcPr>
            <w:tcW w:w="3129" w:type="dxa"/>
            <w:vAlign w:val="top"/>
          </w:tcPr>
          <w:p w14:paraId="2B77F988">
            <w:pPr>
              <w:pStyle w:val="9"/>
              <w:spacing w:before="35" w:line="214" w:lineRule="auto"/>
              <w:ind w:left="730"/>
              <w:rPr>
                <w:rFonts w:ascii="Times New Roman" w:hAnsi="Times New Roman" w:eastAsia="Times New Roman" w:cs="Times New Roman"/>
                <w:sz w:val="20"/>
                <w:szCs w:val="20"/>
              </w:rPr>
            </w:pPr>
            <w:r>
              <w:rPr>
                <w:spacing w:val="4"/>
                <w:sz w:val="20"/>
                <w:szCs w:val="20"/>
              </w:rPr>
              <w:t>站界东侧偏南</w:t>
            </w:r>
            <w:r>
              <w:rPr>
                <w:spacing w:val="35"/>
                <w:sz w:val="20"/>
                <w:szCs w:val="20"/>
              </w:rPr>
              <w:t xml:space="preserve"> </w:t>
            </w:r>
            <w:r>
              <w:rPr>
                <w:rFonts w:ascii="Times New Roman" w:hAnsi="Times New Roman" w:eastAsia="Times New Roman" w:cs="Times New Roman"/>
                <w:spacing w:val="4"/>
                <w:sz w:val="20"/>
                <w:szCs w:val="20"/>
              </w:rPr>
              <w:t>10#</w:t>
            </w:r>
          </w:p>
        </w:tc>
        <w:tc>
          <w:tcPr>
            <w:tcW w:w="2229" w:type="dxa"/>
            <w:vAlign w:val="top"/>
          </w:tcPr>
          <w:p w14:paraId="01C7E58E">
            <w:pPr>
              <w:spacing w:before="70" w:line="195" w:lineRule="auto"/>
              <w:ind w:left="8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100.0</w:t>
            </w:r>
          </w:p>
        </w:tc>
        <w:tc>
          <w:tcPr>
            <w:tcW w:w="2189" w:type="dxa"/>
            <w:vAlign w:val="top"/>
          </w:tcPr>
          <w:p w14:paraId="6FBF9488">
            <w:pPr>
              <w:spacing w:before="70" w:line="195" w:lineRule="auto"/>
              <w:ind w:left="861"/>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0.602</w:t>
            </w:r>
          </w:p>
        </w:tc>
      </w:tr>
      <w:tr w14:paraId="77DFBB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03" w:type="dxa"/>
            <w:vAlign w:val="top"/>
          </w:tcPr>
          <w:p w14:paraId="24D82B7F">
            <w:pPr>
              <w:spacing w:before="72" w:line="195" w:lineRule="auto"/>
              <w:ind w:left="272"/>
              <w:rPr>
                <w:rFonts w:ascii="Times New Roman" w:hAnsi="Times New Roman" w:eastAsia="Times New Roman" w:cs="Times New Roman"/>
                <w:sz w:val="20"/>
                <w:szCs w:val="20"/>
              </w:rPr>
            </w:pPr>
            <w:r>
              <w:rPr>
                <w:rFonts w:ascii="Times New Roman" w:hAnsi="Times New Roman" w:eastAsia="Times New Roman" w:cs="Times New Roman"/>
                <w:spacing w:val="-10"/>
                <w:sz w:val="20"/>
                <w:szCs w:val="20"/>
              </w:rPr>
              <w:t>11</w:t>
            </w:r>
          </w:p>
        </w:tc>
        <w:tc>
          <w:tcPr>
            <w:tcW w:w="3129" w:type="dxa"/>
            <w:vAlign w:val="top"/>
          </w:tcPr>
          <w:p w14:paraId="0A24A5C6">
            <w:pPr>
              <w:pStyle w:val="9"/>
              <w:spacing w:before="36" w:line="213" w:lineRule="auto"/>
              <w:ind w:left="732"/>
              <w:rPr>
                <w:rFonts w:ascii="Times New Roman" w:hAnsi="Times New Roman" w:eastAsia="Times New Roman" w:cs="Times New Roman"/>
                <w:sz w:val="20"/>
                <w:szCs w:val="20"/>
              </w:rPr>
            </w:pPr>
            <w:r>
              <w:rPr>
                <w:spacing w:val="3"/>
                <w:sz w:val="20"/>
                <w:szCs w:val="20"/>
              </w:rPr>
              <w:t>站界东侧偏北</w:t>
            </w:r>
            <w:r>
              <w:rPr>
                <w:spacing w:val="37"/>
                <w:sz w:val="20"/>
                <w:szCs w:val="20"/>
              </w:rPr>
              <w:t xml:space="preserve"> </w:t>
            </w:r>
            <w:r>
              <w:rPr>
                <w:rFonts w:ascii="Times New Roman" w:hAnsi="Times New Roman" w:eastAsia="Times New Roman" w:cs="Times New Roman"/>
                <w:spacing w:val="3"/>
                <w:sz w:val="20"/>
                <w:szCs w:val="20"/>
              </w:rPr>
              <w:t>11#</w:t>
            </w:r>
          </w:p>
        </w:tc>
        <w:tc>
          <w:tcPr>
            <w:tcW w:w="2229" w:type="dxa"/>
            <w:vAlign w:val="top"/>
          </w:tcPr>
          <w:p w14:paraId="2F737284">
            <w:pPr>
              <w:spacing w:before="71" w:line="195" w:lineRule="auto"/>
              <w:ind w:left="88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300.0</w:t>
            </w:r>
          </w:p>
        </w:tc>
        <w:tc>
          <w:tcPr>
            <w:tcW w:w="2189" w:type="dxa"/>
            <w:vAlign w:val="top"/>
          </w:tcPr>
          <w:p w14:paraId="70B368BE">
            <w:pPr>
              <w:spacing w:before="71" w:line="195" w:lineRule="auto"/>
              <w:ind w:left="87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1.181</w:t>
            </w:r>
          </w:p>
        </w:tc>
      </w:tr>
      <w:tr w14:paraId="350BF6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trPr>
        <w:tc>
          <w:tcPr>
            <w:tcW w:w="703" w:type="dxa"/>
            <w:vAlign w:val="top"/>
          </w:tcPr>
          <w:p w14:paraId="14D4D0B6">
            <w:pPr>
              <w:spacing w:before="70" w:line="195" w:lineRule="auto"/>
              <w:ind w:left="267"/>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12</w:t>
            </w:r>
          </w:p>
        </w:tc>
        <w:tc>
          <w:tcPr>
            <w:tcW w:w="3129" w:type="dxa"/>
            <w:vAlign w:val="top"/>
          </w:tcPr>
          <w:p w14:paraId="3E108AF3">
            <w:pPr>
              <w:pStyle w:val="9"/>
              <w:spacing w:before="35" w:line="214" w:lineRule="auto"/>
              <w:ind w:left="112"/>
              <w:rPr>
                <w:rFonts w:ascii="Times New Roman" w:hAnsi="Times New Roman" w:eastAsia="Times New Roman" w:cs="Times New Roman"/>
                <w:sz w:val="20"/>
                <w:szCs w:val="20"/>
              </w:rPr>
            </w:pPr>
            <w:r>
              <w:rPr>
                <w:spacing w:val="3"/>
                <w:sz w:val="20"/>
                <w:szCs w:val="20"/>
              </w:rPr>
              <w:t>变电站东侧约</w:t>
            </w:r>
            <w:r>
              <w:rPr>
                <w:spacing w:val="-19"/>
                <w:sz w:val="20"/>
                <w:szCs w:val="20"/>
              </w:rPr>
              <w:t xml:space="preserve"> </w:t>
            </w:r>
            <w:r>
              <w:rPr>
                <w:rFonts w:ascii="Times New Roman" w:hAnsi="Times New Roman" w:eastAsia="Times New Roman" w:cs="Times New Roman"/>
                <w:spacing w:val="3"/>
                <w:sz w:val="20"/>
                <w:szCs w:val="20"/>
              </w:rPr>
              <w:t xml:space="preserve">10m </w:t>
            </w:r>
            <w:r>
              <w:rPr>
                <w:spacing w:val="3"/>
                <w:sz w:val="20"/>
                <w:szCs w:val="20"/>
              </w:rPr>
              <w:t>处施工棚</w:t>
            </w:r>
            <w:r>
              <w:rPr>
                <w:spacing w:val="-32"/>
                <w:sz w:val="20"/>
                <w:szCs w:val="20"/>
              </w:rPr>
              <w:t xml:space="preserve"> </w:t>
            </w:r>
            <w:r>
              <w:rPr>
                <w:rFonts w:ascii="Times New Roman" w:hAnsi="Times New Roman" w:eastAsia="Times New Roman" w:cs="Times New Roman"/>
                <w:spacing w:val="3"/>
                <w:sz w:val="20"/>
                <w:szCs w:val="20"/>
              </w:rPr>
              <w:t>12#</w:t>
            </w:r>
          </w:p>
        </w:tc>
        <w:tc>
          <w:tcPr>
            <w:tcW w:w="2229" w:type="dxa"/>
            <w:vAlign w:val="top"/>
          </w:tcPr>
          <w:p w14:paraId="7B5A01B6">
            <w:pPr>
              <w:spacing w:before="70" w:line="195" w:lineRule="auto"/>
              <w:ind w:left="87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410.0</w:t>
            </w:r>
          </w:p>
        </w:tc>
        <w:tc>
          <w:tcPr>
            <w:tcW w:w="2189" w:type="dxa"/>
            <w:vAlign w:val="top"/>
          </w:tcPr>
          <w:p w14:paraId="760F242E">
            <w:pPr>
              <w:spacing w:before="70" w:line="195" w:lineRule="auto"/>
              <w:ind w:left="87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1.561</w:t>
            </w:r>
          </w:p>
        </w:tc>
      </w:tr>
      <w:tr w14:paraId="51663C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703" w:type="dxa"/>
            <w:vAlign w:val="top"/>
          </w:tcPr>
          <w:p w14:paraId="7F3B392B">
            <w:pPr>
              <w:spacing w:before="206" w:line="195" w:lineRule="auto"/>
              <w:ind w:left="267"/>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13</w:t>
            </w:r>
          </w:p>
        </w:tc>
        <w:tc>
          <w:tcPr>
            <w:tcW w:w="3129" w:type="dxa"/>
            <w:vAlign w:val="top"/>
          </w:tcPr>
          <w:p w14:paraId="21D607B9">
            <w:pPr>
              <w:pStyle w:val="9"/>
              <w:spacing w:before="37" w:line="234" w:lineRule="auto"/>
              <w:ind w:left="760" w:right="199" w:hanging="559"/>
              <w:rPr>
                <w:rFonts w:ascii="Times New Roman" w:hAnsi="Times New Roman" w:eastAsia="Times New Roman" w:cs="Times New Roman"/>
                <w:sz w:val="20"/>
                <w:szCs w:val="20"/>
              </w:rPr>
            </w:pPr>
            <w:r>
              <w:rPr>
                <w:spacing w:val="5"/>
                <w:sz w:val="20"/>
                <w:szCs w:val="20"/>
              </w:rPr>
              <w:t>变电站东侧约</w:t>
            </w:r>
            <w:r>
              <w:rPr>
                <w:spacing w:val="41"/>
                <w:sz w:val="20"/>
                <w:szCs w:val="20"/>
              </w:rPr>
              <w:t xml:space="preserve"> </w:t>
            </w:r>
            <w:r>
              <w:rPr>
                <w:rFonts w:ascii="Times New Roman" w:hAnsi="Times New Roman" w:eastAsia="Times New Roman" w:cs="Times New Roman"/>
                <w:spacing w:val="5"/>
                <w:sz w:val="20"/>
                <w:szCs w:val="20"/>
              </w:rPr>
              <w:t xml:space="preserve">155m </w:t>
            </w:r>
            <w:r>
              <w:rPr>
                <w:spacing w:val="5"/>
                <w:sz w:val="20"/>
                <w:szCs w:val="20"/>
              </w:rPr>
              <w:t>处森宇钢</w:t>
            </w:r>
            <w:r>
              <w:rPr>
                <w:spacing w:val="3"/>
                <w:sz w:val="20"/>
                <w:szCs w:val="20"/>
              </w:rPr>
              <w:t>结构生产基地</w:t>
            </w:r>
            <w:r>
              <w:rPr>
                <w:spacing w:val="-16"/>
                <w:sz w:val="20"/>
                <w:szCs w:val="20"/>
              </w:rPr>
              <w:t xml:space="preserve"> </w:t>
            </w:r>
            <w:r>
              <w:rPr>
                <w:rFonts w:ascii="Times New Roman" w:hAnsi="Times New Roman" w:eastAsia="Times New Roman" w:cs="Times New Roman"/>
                <w:spacing w:val="3"/>
                <w:sz w:val="20"/>
                <w:szCs w:val="20"/>
              </w:rPr>
              <w:t>13#</w:t>
            </w:r>
          </w:p>
        </w:tc>
        <w:tc>
          <w:tcPr>
            <w:tcW w:w="2229" w:type="dxa"/>
            <w:vAlign w:val="top"/>
          </w:tcPr>
          <w:p w14:paraId="0DF0DDAB">
            <w:pPr>
              <w:spacing w:before="206" w:line="195" w:lineRule="auto"/>
              <w:ind w:left="88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810.0</w:t>
            </w:r>
          </w:p>
        </w:tc>
        <w:tc>
          <w:tcPr>
            <w:tcW w:w="2189" w:type="dxa"/>
            <w:vAlign w:val="top"/>
          </w:tcPr>
          <w:p w14:paraId="4F22E05F">
            <w:pPr>
              <w:spacing w:before="206" w:line="195" w:lineRule="auto"/>
              <w:ind w:left="862"/>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3.872</w:t>
            </w:r>
          </w:p>
        </w:tc>
      </w:tr>
    </w:tbl>
    <w:p w14:paraId="14DD453E">
      <w:pPr>
        <w:spacing w:before="176" w:line="369" w:lineRule="auto"/>
        <w:ind w:left="17" w:right="18" w:firstLine="514"/>
        <w:jc w:val="both"/>
        <w:rPr>
          <w:rFonts w:ascii="宋体" w:hAnsi="宋体" w:eastAsia="宋体" w:cs="宋体"/>
          <w:sz w:val="24"/>
          <w:szCs w:val="24"/>
        </w:rPr>
      </w:pPr>
      <w:r>
        <w:rPr>
          <w:rFonts w:ascii="宋体" w:hAnsi="宋体" w:eastAsia="宋体" w:cs="宋体"/>
          <w:spacing w:val="-4"/>
          <w:sz w:val="24"/>
          <w:szCs w:val="24"/>
        </w:rPr>
        <w:t>由表</w:t>
      </w:r>
      <w:r>
        <w:rPr>
          <w:rFonts w:ascii="宋体" w:hAnsi="宋体" w:eastAsia="宋体" w:cs="宋体"/>
          <w:spacing w:val="-49"/>
          <w:sz w:val="24"/>
          <w:szCs w:val="24"/>
        </w:rPr>
        <w:t xml:space="preserve"> </w:t>
      </w:r>
      <w:r>
        <w:rPr>
          <w:rFonts w:ascii="Times New Roman" w:hAnsi="Times New Roman" w:eastAsia="Times New Roman" w:cs="Times New Roman"/>
          <w:spacing w:val="-4"/>
          <w:sz w:val="24"/>
          <w:szCs w:val="24"/>
        </w:rPr>
        <w:t xml:space="preserve">5-3 </w:t>
      </w:r>
      <w:r>
        <w:rPr>
          <w:rFonts w:ascii="宋体" w:hAnsi="宋体" w:eastAsia="宋体" w:cs="宋体"/>
          <w:spacing w:val="-4"/>
          <w:sz w:val="24"/>
          <w:szCs w:val="24"/>
        </w:rPr>
        <w:t>可知，乌兰察布丰镇工业园区（润字）</w:t>
      </w:r>
      <w:r>
        <w:rPr>
          <w:rFonts w:ascii="Times New Roman" w:hAnsi="Times New Roman" w:eastAsia="Times New Roman" w:cs="Times New Roman"/>
          <w:spacing w:val="-4"/>
          <w:sz w:val="24"/>
          <w:szCs w:val="24"/>
        </w:rPr>
        <w:t xml:space="preserve">220kV  </w:t>
      </w:r>
      <w:r>
        <w:rPr>
          <w:rFonts w:ascii="宋体" w:hAnsi="宋体" w:eastAsia="宋体" w:cs="宋体"/>
          <w:spacing w:val="-4"/>
          <w:sz w:val="24"/>
          <w:szCs w:val="24"/>
        </w:rPr>
        <w:t>变电站场界四周</w:t>
      </w:r>
      <w:r>
        <w:rPr>
          <w:rFonts w:ascii="宋体" w:hAnsi="宋体" w:eastAsia="宋体" w:cs="宋体"/>
          <w:spacing w:val="-5"/>
          <w:sz w:val="24"/>
          <w:szCs w:val="24"/>
        </w:rPr>
        <w:t>围墙</w:t>
      </w:r>
      <w:r>
        <w:rPr>
          <w:rFonts w:ascii="宋体" w:hAnsi="宋体" w:eastAsia="宋体" w:cs="宋体"/>
          <w:spacing w:val="-6"/>
          <w:sz w:val="24"/>
          <w:szCs w:val="24"/>
        </w:rPr>
        <w:t xml:space="preserve">外 </w:t>
      </w:r>
      <w:r>
        <w:rPr>
          <w:rFonts w:ascii="Times New Roman" w:hAnsi="Times New Roman" w:eastAsia="Times New Roman" w:cs="Times New Roman"/>
          <w:spacing w:val="-6"/>
          <w:sz w:val="24"/>
          <w:szCs w:val="24"/>
        </w:rPr>
        <w:t xml:space="preserve">5m  </w:t>
      </w:r>
      <w:r>
        <w:rPr>
          <w:rFonts w:ascii="宋体" w:hAnsi="宋体" w:eastAsia="宋体" w:cs="宋体"/>
          <w:spacing w:val="-6"/>
          <w:sz w:val="24"/>
          <w:szCs w:val="24"/>
        </w:rPr>
        <w:t>处</w:t>
      </w:r>
      <w:r>
        <w:rPr>
          <w:rFonts w:ascii="宋体" w:hAnsi="宋体" w:eastAsia="宋体" w:cs="宋体"/>
          <w:spacing w:val="-57"/>
          <w:sz w:val="24"/>
          <w:szCs w:val="24"/>
        </w:rPr>
        <w:t xml:space="preserve"> </w:t>
      </w:r>
      <w:r>
        <w:rPr>
          <w:rFonts w:ascii="宋体" w:hAnsi="宋体" w:eastAsia="宋体" w:cs="宋体"/>
          <w:spacing w:val="-6"/>
          <w:sz w:val="24"/>
          <w:szCs w:val="24"/>
        </w:rPr>
        <w:t>工</w:t>
      </w:r>
      <w:r>
        <w:rPr>
          <w:rFonts w:ascii="宋体" w:hAnsi="宋体" w:eastAsia="宋体" w:cs="宋体"/>
          <w:spacing w:val="-60"/>
          <w:sz w:val="24"/>
          <w:szCs w:val="24"/>
        </w:rPr>
        <w:t xml:space="preserve"> </w:t>
      </w:r>
      <w:r>
        <w:rPr>
          <w:rFonts w:ascii="宋体" w:hAnsi="宋体" w:eastAsia="宋体" w:cs="宋体"/>
          <w:spacing w:val="-6"/>
          <w:sz w:val="24"/>
          <w:szCs w:val="24"/>
        </w:rPr>
        <w:t>频</w:t>
      </w:r>
      <w:r>
        <w:rPr>
          <w:rFonts w:ascii="宋体" w:hAnsi="宋体" w:eastAsia="宋体" w:cs="宋体"/>
          <w:spacing w:val="-32"/>
          <w:sz w:val="24"/>
          <w:szCs w:val="24"/>
        </w:rPr>
        <w:t xml:space="preserve"> </w:t>
      </w:r>
      <w:r>
        <w:rPr>
          <w:rFonts w:ascii="宋体" w:hAnsi="宋体" w:eastAsia="宋体" w:cs="宋体"/>
          <w:spacing w:val="-6"/>
          <w:sz w:val="24"/>
          <w:szCs w:val="24"/>
        </w:rPr>
        <w:t>电</w:t>
      </w:r>
      <w:r>
        <w:rPr>
          <w:rFonts w:ascii="宋体" w:hAnsi="宋体" w:eastAsia="宋体" w:cs="宋体"/>
          <w:spacing w:val="-59"/>
          <w:sz w:val="24"/>
          <w:szCs w:val="24"/>
        </w:rPr>
        <w:t xml:space="preserve"> </w:t>
      </w:r>
      <w:r>
        <w:rPr>
          <w:rFonts w:ascii="宋体" w:hAnsi="宋体" w:eastAsia="宋体" w:cs="宋体"/>
          <w:spacing w:val="-6"/>
          <w:sz w:val="24"/>
          <w:szCs w:val="24"/>
        </w:rPr>
        <w:t>场</w:t>
      </w:r>
      <w:r>
        <w:rPr>
          <w:rFonts w:ascii="宋体" w:hAnsi="宋体" w:eastAsia="宋体" w:cs="宋体"/>
          <w:spacing w:val="-54"/>
          <w:sz w:val="24"/>
          <w:szCs w:val="24"/>
        </w:rPr>
        <w:t xml:space="preserve"> </w:t>
      </w:r>
      <w:r>
        <w:rPr>
          <w:rFonts w:ascii="宋体" w:hAnsi="宋体" w:eastAsia="宋体" w:cs="宋体"/>
          <w:spacing w:val="-6"/>
          <w:sz w:val="24"/>
          <w:szCs w:val="24"/>
        </w:rPr>
        <w:t>强</w:t>
      </w:r>
      <w:r>
        <w:rPr>
          <w:rFonts w:ascii="宋体" w:hAnsi="宋体" w:eastAsia="宋体" w:cs="宋体"/>
          <w:spacing w:val="-61"/>
          <w:sz w:val="24"/>
          <w:szCs w:val="24"/>
        </w:rPr>
        <w:t xml:space="preserve"> </w:t>
      </w:r>
      <w:r>
        <w:rPr>
          <w:rFonts w:ascii="宋体" w:hAnsi="宋体" w:eastAsia="宋体" w:cs="宋体"/>
          <w:spacing w:val="-6"/>
          <w:sz w:val="24"/>
          <w:szCs w:val="24"/>
        </w:rPr>
        <w:t xml:space="preserve">度 </w:t>
      </w:r>
      <w:r>
        <w:rPr>
          <w:rFonts w:ascii="Times New Roman" w:hAnsi="Times New Roman" w:eastAsia="Times New Roman" w:cs="Times New Roman"/>
          <w:spacing w:val="-6"/>
          <w:sz w:val="24"/>
          <w:szCs w:val="24"/>
        </w:rPr>
        <w:t xml:space="preserve">7.000V/m~810.0kV/m  </w:t>
      </w:r>
      <w:r>
        <w:rPr>
          <w:rFonts w:ascii="宋体" w:hAnsi="宋体" w:eastAsia="宋体" w:cs="宋体"/>
          <w:spacing w:val="-6"/>
          <w:sz w:val="24"/>
          <w:szCs w:val="24"/>
        </w:rPr>
        <w:t>之</w:t>
      </w:r>
      <w:r>
        <w:rPr>
          <w:rFonts w:ascii="宋体" w:hAnsi="宋体" w:eastAsia="宋体" w:cs="宋体"/>
          <w:spacing w:val="-42"/>
          <w:sz w:val="24"/>
          <w:szCs w:val="24"/>
        </w:rPr>
        <w:t xml:space="preserve"> </w:t>
      </w:r>
      <w:r>
        <w:rPr>
          <w:rFonts w:ascii="宋体" w:hAnsi="宋体" w:eastAsia="宋体" w:cs="宋体"/>
          <w:spacing w:val="-6"/>
          <w:sz w:val="24"/>
          <w:szCs w:val="24"/>
        </w:rPr>
        <w:t>间</w:t>
      </w:r>
      <w:r>
        <w:rPr>
          <w:rFonts w:ascii="宋体" w:hAnsi="宋体" w:eastAsia="宋体" w:cs="宋体"/>
          <w:spacing w:val="-40"/>
          <w:sz w:val="24"/>
          <w:szCs w:val="24"/>
        </w:rPr>
        <w:t xml:space="preserve"> </w:t>
      </w:r>
      <w:r>
        <w:rPr>
          <w:rFonts w:ascii="宋体" w:hAnsi="宋体" w:eastAsia="宋体" w:cs="宋体"/>
          <w:spacing w:val="-6"/>
          <w:sz w:val="24"/>
          <w:szCs w:val="24"/>
        </w:rPr>
        <w:t>，</w:t>
      </w:r>
      <w:r>
        <w:rPr>
          <w:rFonts w:ascii="宋体" w:hAnsi="宋体" w:eastAsia="宋体" w:cs="宋体"/>
          <w:spacing w:val="-58"/>
          <w:sz w:val="24"/>
          <w:szCs w:val="24"/>
        </w:rPr>
        <w:t xml:space="preserve"> </w:t>
      </w:r>
      <w:r>
        <w:rPr>
          <w:rFonts w:ascii="宋体" w:hAnsi="宋体" w:eastAsia="宋体" w:cs="宋体"/>
          <w:spacing w:val="-6"/>
          <w:sz w:val="24"/>
          <w:szCs w:val="24"/>
        </w:rPr>
        <w:t>工</w:t>
      </w:r>
      <w:r>
        <w:rPr>
          <w:rFonts w:ascii="宋体" w:hAnsi="宋体" w:eastAsia="宋体" w:cs="宋体"/>
          <w:spacing w:val="-57"/>
          <w:sz w:val="24"/>
          <w:szCs w:val="24"/>
        </w:rPr>
        <w:t xml:space="preserve"> </w:t>
      </w:r>
      <w:r>
        <w:rPr>
          <w:rFonts w:ascii="宋体" w:hAnsi="宋体" w:eastAsia="宋体" w:cs="宋体"/>
          <w:spacing w:val="-6"/>
          <w:sz w:val="24"/>
          <w:szCs w:val="24"/>
        </w:rPr>
        <w:t>频</w:t>
      </w:r>
      <w:r>
        <w:rPr>
          <w:rFonts w:ascii="宋体" w:hAnsi="宋体" w:eastAsia="宋体" w:cs="宋体"/>
          <w:spacing w:val="-60"/>
          <w:sz w:val="24"/>
          <w:szCs w:val="24"/>
        </w:rPr>
        <w:t xml:space="preserve"> </w:t>
      </w:r>
      <w:r>
        <w:rPr>
          <w:rFonts w:ascii="宋体" w:hAnsi="宋体" w:eastAsia="宋体" w:cs="宋体"/>
          <w:spacing w:val="-6"/>
          <w:sz w:val="24"/>
          <w:szCs w:val="24"/>
        </w:rPr>
        <w:t>磁</w:t>
      </w:r>
      <w:r>
        <w:rPr>
          <w:rFonts w:ascii="宋体" w:hAnsi="宋体" w:eastAsia="宋体" w:cs="宋体"/>
          <w:spacing w:val="-59"/>
          <w:sz w:val="24"/>
          <w:szCs w:val="24"/>
        </w:rPr>
        <w:t xml:space="preserve"> </w:t>
      </w:r>
      <w:r>
        <w:rPr>
          <w:rFonts w:ascii="宋体" w:hAnsi="宋体" w:eastAsia="宋体" w:cs="宋体"/>
          <w:spacing w:val="-7"/>
          <w:sz w:val="24"/>
          <w:szCs w:val="24"/>
        </w:rPr>
        <w:t>感</w:t>
      </w:r>
      <w:r>
        <w:rPr>
          <w:rFonts w:ascii="宋体" w:hAnsi="宋体" w:eastAsia="宋体" w:cs="宋体"/>
          <w:spacing w:val="-60"/>
          <w:sz w:val="24"/>
          <w:szCs w:val="24"/>
        </w:rPr>
        <w:t xml:space="preserve"> </w:t>
      </w:r>
      <w:r>
        <w:rPr>
          <w:rFonts w:ascii="宋体" w:hAnsi="宋体" w:eastAsia="宋体" w:cs="宋体"/>
          <w:spacing w:val="-7"/>
          <w:sz w:val="24"/>
          <w:szCs w:val="24"/>
        </w:rPr>
        <w:t>应</w:t>
      </w:r>
      <w:r>
        <w:rPr>
          <w:rFonts w:ascii="宋体" w:hAnsi="宋体" w:eastAsia="宋体" w:cs="宋体"/>
          <w:spacing w:val="-55"/>
          <w:sz w:val="24"/>
          <w:szCs w:val="24"/>
        </w:rPr>
        <w:t xml:space="preserve"> </w:t>
      </w:r>
      <w:r>
        <w:rPr>
          <w:rFonts w:ascii="宋体" w:hAnsi="宋体" w:eastAsia="宋体" w:cs="宋体"/>
          <w:spacing w:val="-7"/>
          <w:sz w:val="24"/>
          <w:szCs w:val="24"/>
        </w:rPr>
        <w:t>强</w:t>
      </w:r>
      <w:r>
        <w:rPr>
          <w:rFonts w:ascii="宋体" w:hAnsi="宋体" w:eastAsia="宋体" w:cs="宋体"/>
          <w:spacing w:val="-61"/>
          <w:sz w:val="24"/>
          <w:szCs w:val="24"/>
        </w:rPr>
        <w:t xml:space="preserve"> </w:t>
      </w:r>
      <w:r>
        <w:rPr>
          <w:rFonts w:ascii="宋体" w:hAnsi="宋体" w:eastAsia="宋体" w:cs="宋体"/>
          <w:spacing w:val="-7"/>
          <w:sz w:val="24"/>
          <w:szCs w:val="24"/>
        </w:rPr>
        <w:t>度</w:t>
      </w:r>
      <w:r>
        <w:rPr>
          <w:rFonts w:ascii="宋体" w:hAnsi="宋体" w:eastAsia="宋体" w:cs="宋体"/>
          <w:spacing w:val="-61"/>
          <w:sz w:val="24"/>
          <w:szCs w:val="24"/>
        </w:rPr>
        <w:t xml:space="preserve"> </w:t>
      </w:r>
      <w:r>
        <w:rPr>
          <w:rFonts w:ascii="宋体" w:hAnsi="宋体" w:eastAsia="宋体" w:cs="宋体"/>
          <w:spacing w:val="-7"/>
          <w:sz w:val="24"/>
          <w:szCs w:val="24"/>
        </w:rPr>
        <w:t>在</w:t>
      </w:r>
      <w:r>
        <w:rPr>
          <w:rFonts w:ascii="Times New Roman" w:hAnsi="Times New Roman" w:eastAsia="Times New Roman" w:cs="Times New Roman"/>
          <w:spacing w:val="-3"/>
          <w:sz w:val="24"/>
          <w:szCs w:val="24"/>
        </w:rPr>
        <w:t>0.</w:t>
      </w:r>
      <w:r>
        <w:rPr>
          <w:rFonts w:ascii="Times New Roman" w:hAnsi="Times New Roman" w:eastAsia="Times New Roman" w:cs="Times New Roman"/>
          <w:spacing w:val="-15"/>
          <w:sz w:val="24"/>
          <w:szCs w:val="24"/>
        </w:rPr>
        <w:t xml:space="preserve"> </w:t>
      </w:r>
      <w:r>
        <w:rPr>
          <w:rFonts w:ascii="Times New Roman" w:hAnsi="Times New Roman" w:eastAsia="Times New Roman" w:cs="Times New Roman"/>
          <w:spacing w:val="-3"/>
          <w:sz w:val="24"/>
          <w:szCs w:val="24"/>
        </w:rPr>
        <w:t xml:space="preserve">136μT~3.872μT </w:t>
      </w:r>
      <w:r>
        <w:rPr>
          <w:rFonts w:ascii="宋体" w:hAnsi="宋体" w:eastAsia="宋体" w:cs="宋体"/>
          <w:spacing w:val="-3"/>
          <w:sz w:val="24"/>
          <w:szCs w:val="24"/>
        </w:rPr>
        <w:t>之间，以上测量值均低于《电磁环境控制限值》（</w:t>
      </w:r>
      <w:r>
        <w:rPr>
          <w:rFonts w:ascii="Times New Roman" w:hAnsi="Times New Roman" w:eastAsia="Times New Roman" w:cs="Times New Roman"/>
          <w:spacing w:val="-3"/>
          <w:sz w:val="24"/>
          <w:szCs w:val="24"/>
        </w:rPr>
        <w:t>GB8702</w:t>
      </w:r>
      <w:r>
        <w:rPr>
          <w:rFonts w:ascii="宋体" w:hAnsi="宋体" w:eastAsia="宋体" w:cs="宋体"/>
          <w:spacing w:val="-3"/>
          <w:sz w:val="24"/>
          <w:szCs w:val="24"/>
        </w:rPr>
        <w:t>）中</w:t>
      </w:r>
      <w:r>
        <w:rPr>
          <w:rFonts w:ascii="宋体" w:hAnsi="宋体" w:eastAsia="宋体" w:cs="宋体"/>
          <w:sz w:val="24"/>
          <w:szCs w:val="24"/>
        </w:rPr>
        <w:t>工频电场</w:t>
      </w:r>
      <w:r>
        <w:rPr>
          <w:rFonts w:ascii="宋体" w:hAnsi="宋体" w:eastAsia="宋体" w:cs="宋体"/>
          <w:spacing w:val="-54"/>
          <w:sz w:val="24"/>
          <w:szCs w:val="24"/>
        </w:rPr>
        <w:t xml:space="preserve"> </w:t>
      </w:r>
      <w:r>
        <w:rPr>
          <w:rFonts w:ascii="Times New Roman" w:hAnsi="Times New Roman" w:eastAsia="Times New Roman" w:cs="Times New Roman"/>
          <w:sz w:val="24"/>
          <w:szCs w:val="24"/>
        </w:rPr>
        <w:t>4000V/m</w:t>
      </w:r>
      <w:r>
        <w:rPr>
          <w:rFonts w:ascii="Times New Roman" w:hAnsi="Times New Roman" w:eastAsia="Times New Roman" w:cs="Times New Roman"/>
          <w:spacing w:val="-31"/>
          <w:sz w:val="24"/>
          <w:szCs w:val="24"/>
        </w:rPr>
        <w:t xml:space="preserve"> </w:t>
      </w:r>
      <w:r>
        <w:rPr>
          <w:rFonts w:ascii="宋体" w:hAnsi="宋体" w:eastAsia="宋体" w:cs="宋体"/>
          <w:sz w:val="24"/>
          <w:szCs w:val="24"/>
        </w:rPr>
        <w:t>、工频磁感应强度</w:t>
      </w:r>
      <w:r>
        <w:rPr>
          <w:rFonts w:ascii="宋体" w:hAnsi="宋体" w:eastAsia="宋体" w:cs="宋体"/>
          <w:spacing w:val="-30"/>
          <w:sz w:val="24"/>
          <w:szCs w:val="24"/>
        </w:rPr>
        <w:t xml:space="preserve"> </w:t>
      </w:r>
      <w:r>
        <w:rPr>
          <w:rFonts w:ascii="Times New Roman" w:hAnsi="Times New Roman" w:eastAsia="Times New Roman" w:cs="Times New Roman"/>
          <w:sz w:val="24"/>
          <w:szCs w:val="24"/>
        </w:rPr>
        <w:t>100μT</w:t>
      </w:r>
      <w:r>
        <w:rPr>
          <w:rFonts w:ascii="Times New Roman" w:hAnsi="Times New Roman" w:eastAsia="Times New Roman" w:cs="Times New Roman"/>
          <w:spacing w:val="34"/>
          <w:sz w:val="24"/>
          <w:szCs w:val="24"/>
        </w:rPr>
        <w:t xml:space="preserve"> </w:t>
      </w:r>
      <w:r>
        <w:rPr>
          <w:rFonts w:ascii="宋体" w:hAnsi="宋体" w:eastAsia="宋体" w:cs="宋体"/>
          <w:sz w:val="24"/>
          <w:szCs w:val="24"/>
        </w:rPr>
        <w:t>的推荐限值。且根据类比乌兰察布</w:t>
      </w:r>
      <w:r>
        <w:rPr>
          <w:rFonts w:ascii="宋体" w:hAnsi="宋体" w:eastAsia="宋体" w:cs="宋体"/>
          <w:spacing w:val="2"/>
          <w:sz w:val="24"/>
          <w:szCs w:val="24"/>
        </w:rPr>
        <w:t>丰镇工业园区（润字）</w:t>
      </w:r>
      <w:r>
        <w:rPr>
          <w:rFonts w:ascii="Times New Roman" w:hAnsi="Times New Roman" w:eastAsia="Times New Roman" w:cs="Times New Roman"/>
          <w:spacing w:val="2"/>
          <w:sz w:val="24"/>
          <w:szCs w:val="24"/>
        </w:rPr>
        <w:t>220</w:t>
      </w:r>
      <w:r>
        <w:rPr>
          <w:rFonts w:ascii="Times New Roman" w:hAnsi="Times New Roman" w:eastAsia="Times New Roman" w:cs="Times New Roman"/>
          <w:sz w:val="24"/>
          <w:szCs w:val="24"/>
        </w:rPr>
        <w:t>kV</w:t>
      </w:r>
      <w:r>
        <w:rPr>
          <w:rFonts w:ascii="Times New Roman" w:hAnsi="Times New Roman" w:eastAsia="Times New Roman" w:cs="Times New Roman"/>
          <w:spacing w:val="2"/>
          <w:sz w:val="24"/>
          <w:szCs w:val="24"/>
        </w:rPr>
        <w:t xml:space="preserve">  </w:t>
      </w:r>
      <w:r>
        <w:rPr>
          <w:rFonts w:ascii="宋体" w:hAnsi="宋体" w:eastAsia="宋体" w:cs="宋体"/>
          <w:spacing w:val="2"/>
          <w:sz w:val="24"/>
          <w:szCs w:val="24"/>
        </w:rPr>
        <w:t>变电站衰减断面监测结果显示，工频电场和工频</w:t>
      </w:r>
      <w:r>
        <w:rPr>
          <w:rFonts w:ascii="宋体" w:hAnsi="宋体" w:eastAsia="宋体" w:cs="宋体"/>
          <w:spacing w:val="-1"/>
          <w:sz w:val="24"/>
          <w:szCs w:val="24"/>
        </w:rPr>
        <w:t>磁感应强度均随距离增大而下降。因此，预测本项目</w:t>
      </w:r>
      <w:r>
        <w:rPr>
          <w:rFonts w:ascii="Times New Roman" w:hAnsi="Times New Roman" w:eastAsia="Times New Roman" w:cs="Times New Roman"/>
          <w:spacing w:val="-1"/>
          <w:sz w:val="24"/>
          <w:szCs w:val="24"/>
        </w:rPr>
        <w:t xml:space="preserve">220kV </w:t>
      </w:r>
      <w:r>
        <w:rPr>
          <w:rFonts w:ascii="宋体" w:hAnsi="宋体" w:eastAsia="宋体" w:cs="宋体"/>
          <w:spacing w:val="-1"/>
          <w:sz w:val="24"/>
          <w:szCs w:val="24"/>
        </w:rPr>
        <w:t>升压站投入运营后，</w:t>
      </w:r>
      <w:r>
        <w:rPr>
          <w:rFonts w:ascii="宋体" w:hAnsi="宋体" w:eastAsia="宋体" w:cs="宋体"/>
          <w:spacing w:val="19"/>
          <w:sz w:val="24"/>
          <w:szCs w:val="24"/>
        </w:rPr>
        <w:t>厂界外工频电场强度和工频磁场强度可满足国家相关限值要求（工频电场</w:t>
      </w:r>
      <w:r>
        <w:rPr>
          <w:rFonts w:ascii="Times New Roman" w:hAnsi="Times New Roman" w:eastAsia="Times New Roman" w:cs="Times New Roman"/>
          <w:spacing w:val="-7"/>
          <w:sz w:val="24"/>
          <w:szCs w:val="24"/>
        </w:rPr>
        <w:t>4000V/m</w:t>
      </w:r>
      <w:r>
        <w:rPr>
          <w:rFonts w:ascii="Times New Roman" w:hAnsi="Times New Roman" w:eastAsia="Times New Roman" w:cs="Times New Roman"/>
          <w:spacing w:val="-16"/>
          <w:sz w:val="24"/>
          <w:szCs w:val="24"/>
        </w:rPr>
        <w:t xml:space="preserve"> </w:t>
      </w:r>
      <w:r>
        <w:rPr>
          <w:rFonts w:ascii="宋体" w:hAnsi="宋体" w:eastAsia="宋体" w:cs="宋体"/>
          <w:spacing w:val="-7"/>
          <w:sz w:val="24"/>
          <w:szCs w:val="24"/>
        </w:rPr>
        <w:t>，工频磁场</w:t>
      </w:r>
      <w:r>
        <w:rPr>
          <w:rFonts w:ascii="宋体" w:hAnsi="宋体" w:eastAsia="宋体" w:cs="宋体"/>
          <w:spacing w:val="-31"/>
          <w:sz w:val="24"/>
          <w:szCs w:val="24"/>
        </w:rPr>
        <w:t xml:space="preserve"> </w:t>
      </w:r>
      <w:r>
        <w:rPr>
          <w:rFonts w:ascii="Times New Roman" w:hAnsi="Times New Roman" w:eastAsia="Times New Roman" w:cs="Times New Roman"/>
          <w:spacing w:val="-7"/>
          <w:sz w:val="24"/>
          <w:szCs w:val="24"/>
        </w:rPr>
        <w:t xml:space="preserve">100 </w:t>
      </w:r>
      <w:r>
        <w:rPr>
          <w:rFonts w:ascii="宋体" w:hAnsi="宋体" w:eastAsia="宋体" w:cs="宋体"/>
          <w:spacing w:val="-7"/>
          <w:sz w:val="24"/>
          <w:szCs w:val="24"/>
        </w:rPr>
        <w:t>μ</w:t>
      </w:r>
      <w:r>
        <w:rPr>
          <w:rFonts w:ascii="Times New Roman" w:hAnsi="Times New Roman" w:eastAsia="Times New Roman" w:cs="Times New Roman"/>
          <w:spacing w:val="-7"/>
          <w:sz w:val="24"/>
          <w:szCs w:val="24"/>
        </w:rPr>
        <w:t>T</w:t>
      </w:r>
      <w:r>
        <w:rPr>
          <w:rFonts w:ascii="宋体" w:hAnsi="宋体" w:eastAsia="宋体" w:cs="宋体"/>
          <w:spacing w:val="-7"/>
          <w:sz w:val="24"/>
          <w:szCs w:val="24"/>
        </w:rPr>
        <w:t>）。</w:t>
      </w:r>
    </w:p>
    <w:p w14:paraId="339B64AE">
      <w:pPr>
        <w:spacing w:before="3" w:line="369" w:lineRule="auto"/>
        <w:ind w:left="27" w:right="138" w:firstLine="477"/>
        <w:rPr>
          <w:rFonts w:ascii="宋体" w:hAnsi="宋体" w:eastAsia="宋体" w:cs="宋体"/>
          <w:sz w:val="24"/>
          <w:szCs w:val="24"/>
        </w:rPr>
      </w:pPr>
      <w:r>
        <w:rPr>
          <w:rFonts w:ascii="宋体" w:hAnsi="宋体" w:eastAsia="宋体" w:cs="宋体"/>
          <w:spacing w:val="-1"/>
          <w:sz w:val="24"/>
          <w:szCs w:val="24"/>
        </w:rPr>
        <w:t>本项目</w:t>
      </w:r>
      <w:r>
        <w:rPr>
          <w:rFonts w:ascii="Times New Roman" w:hAnsi="Times New Roman" w:eastAsia="Times New Roman" w:cs="Times New Roman"/>
          <w:spacing w:val="-1"/>
          <w:sz w:val="24"/>
          <w:szCs w:val="24"/>
        </w:rPr>
        <w:t xml:space="preserve">220kV </w:t>
      </w:r>
      <w:r>
        <w:rPr>
          <w:rFonts w:ascii="宋体" w:hAnsi="宋体" w:eastAsia="宋体" w:cs="宋体"/>
          <w:spacing w:val="-1"/>
          <w:sz w:val="24"/>
          <w:szCs w:val="24"/>
        </w:rPr>
        <w:t>升压站</w:t>
      </w:r>
      <w:r>
        <w:rPr>
          <w:rFonts w:ascii="宋体" w:hAnsi="宋体" w:eastAsia="宋体" w:cs="宋体"/>
          <w:spacing w:val="-46"/>
          <w:sz w:val="24"/>
          <w:szCs w:val="24"/>
        </w:rPr>
        <w:t xml:space="preserve"> </w:t>
      </w:r>
      <w:r>
        <w:rPr>
          <w:rFonts w:ascii="Times New Roman" w:hAnsi="Times New Roman" w:eastAsia="Times New Roman" w:cs="Times New Roman"/>
          <w:spacing w:val="-1"/>
          <w:sz w:val="24"/>
          <w:szCs w:val="24"/>
        </w:rPr>
        <w:t>40m</w:t>
      </w:r>
      <w:r>
        <w:rPr>
          <w:rFonts w:ascii="Times New Roman" w:hAnsi="Times New Roman" w:eastAsia="Times New Roman" w:cs="Times New Roman"/>
          <w:spacing w:val="38"/>
          <w:sz w:val="24"/>
          <w:szCs w:val="24"/>
        </w:rPr>
        <w:t xml:space="preserve"> </w:t>
      </w:r>
      <w:r>
        <w:rPr>
          <w:rFonts w:ascii="宋体" w:hAnsi="宋体" w:eastAsia="宋体" w:cs="宋体"/>
          <w:spacing w:val="-1"/>
          <w:sz w:val="24"/>
          <w:szCs w:val="24"/>
        </w:rPr>
        <w:t>电磁辐射环境影响评价范围内无环境敏感目标，故项目建设运行对周围电磁环境影响不大。</w:t>
      </w:r>
    </w:p>
    <w:p w14:paraId="26E3D9A9">
      <w:pPr>
        <w:spacing w:before="1" w:line="219" w:lineRule="auto"/>
        <w:ind w:left="514"/>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4</w:t>
      </w:r>
      <w:r>
        <w:rPr>
          <w:rFonts w:ascii="宋体" w:hAnsi="宋体" w:eastAsia="宋体" w:cs="宋体"/>
          <w:spacing w:val="-3"/>
          <w:sz w:val="24"/>
          <w:szCs w:val="24"/>
        </w:rPr>
        <w:t>）类比预测结论</w:t>
      </w:r>
    </w:p>
    <w:p w14:paraId="49D2F3D6">
      <w:pPr>
        <w:spacing w:before="196" w:line="366" w:lineRule="auto"/>
        <w:ind w:left="24" w:firstLine="479"/>
        <w:rPr>
          <w:rFonts w:ascii="Times New Roman" w:hAnsi="Times New Roman" w:eastAsia="Times New Roman" w:cs="Times New Roman"/>
          <w:sz w:val="24"/>
          <w:szCs w:val="24"/>
        </w:rPr>
      </w:pPr>
      <w:r>
        <w:rPr>
          <w:rFonts w:ascii="宋体" w:hAnsi="宋体" w:eastAsia="宋体" w:cs="宋体"/>
          <w:spacing w:val="-3"/>
          <w:sz w:val="24"/>
          <w:szCs w:val="24"/>
        </w:rPr>
        <w:t>根据类比监测结果可以预测，本项目升压站运行时产生的工频电</w:t>
      </w:r>
      <w:r>
        <w:rPr>
          <w:rFonts w:ascii="宋体" w:hAnsi="宋体" w:eastAsia="宋体" w:cs="宋体"/>
          <w:spacing w:val="-4"/>
          <w:sz w:val="24"/>
          <w:szCs w:val="24"/>
        </w:rPr>
        <w:t>场、工频磁</w:t>
      </w:r>
      <w:r>
        <w:rPr>
          <w:rFonts w:ascii="宋体" w:hAnsi="宋体" w:eastAsia="宋体" w:cs="宋体"/>
          <w:spacing w:val="-8"/>
          <w:sz w:val="24"/>
          <w:szCs w:val="24"/>
        </w:rPr>
        <w:t>感应强度能满足《电磁环境控制限值》</w:t>
      </w:r>
      <w:r>
        <w:rPr>
          <w:rFonts w:ascii="Times New Roman" w:hAnsi="Times New Roman" w:eastAsia="Times New Roman" w:cs="Times New Roman"/>
          <w:spacing w:val="-8"/>
          <w:sz w:val="24"/>
          <w:szCs w:val="24"/>
        </w:rPr>
        <w:t>(GB8702-2014)</w:t>
      </w:r>
      <w:r>
        <w:rPr>
          <w:rFonts w:ascii="宋体" w:hAnsi="宋体" w:eastAsia="宋体" w:cs="宋体"/>
          <w:spacing w:val="-8"/>
          <w:sz w:val="24"/>
          <w:szCs w:val="24"/>
        </w:rPr>
        <w:t>中的相关要求，即</w:t>
      </w:r>
      <w:r>
        <w:rPr>
          <w:rFonts w:ascii="宋体" w:hAnsi="宋体" w:eastAsia="宋体" w:cs="宋体"/>
          <w:spacing w:val="-57"/>
          <w:sz w:val="24"/>
          <w:szCs w:val="24"/>
        </w:rPr>
        <w:t xml:space="preserve"> </w:t>
      </w:r>
      <w:r>
        <w:rPr>
          <w:rFonts w:ascii="Times New Roman" w:hAnsi="Times New Roman" w:eastAsia="Times New Roman" w:cs="Times New Roman"/>
          <w:spacing w:val="-8"/>
          <w:sz w:val="24"/>
          <w:szCs w:val="24"/>
        </w:rPr>
        <w:t>4000V/m</w:t>
      </w:r>
      <w:r>
        <w:rPr>
          <w:rFonts w:ascii="宋体" w:hAnsi="宋体" w:eastAsia="宋体" w:cs="宋体"/>
          <w:spacing w:val="-8"/>
          <w:sz w:val="24"/>
          <w:szCs w:val="24"/>
        </w:rPr>
        <w:t>、</w:t>
      </w:r>
      <w:r>
        <w:rPr>
          <w:rFonts w:ascii="宋体" w:hAnsi="宋体" w:eastAsia="宋体" w:cs="宋体"/>
          <w:sz w:val="24"/>
          <w:szCs w:val="24"/>
        </w:rPr>
        <w:t xml:space="preserve"> </w:t>
      </w:r>
      <w:r>
        <w:rPr>
          <w:rFonts w:ascii="Times New Roman" w:hAnsi="Times New Roman" w:eastAsia="Times New Roman" w:cs="Times New Roman"/>
          <w:spacing w:val="-2"/>
          <w:sz w:val="24"/>
          <w:szCs w:val="24"/>
        </w:rPr>
        <w:t>100μT</w:t>
      </w:r>
      <w:r>
        <w:rPr>
          <w:rFonts w:ascii="Times New Roman" w:hAnsi="Times New Roman" w:eastAsia="Times New Roman" w:cs="Times New Roman"/>
          <w:spacing w:val="40"/>
          <w:sz w:val="24"/>
          <w:szCs w:val="24"/>
        </w:rPr>
        <w:t xml:space="preserve"> </w:t>
      </w:r>
      <w:r>
        <w:rPr>
          <w:rFonts w:ascii="宋体" w:hAnsi="宋体" w:eastAsia="宋体" w:cs="宋体"/>
          <w:spacing w:val="-2"/>
          <w:sz w:val="24"/>
          <w:szCs w:val="24"/>
        </w:rPr>
        <w:t>的公众曝露控制限值要求</w:t>
      </w:r>
      <w:r>
        <w:rPr>
          <w:rFonts w:ascii="Times New Roman" w:hAnsi="Times New Roman" w:eastAsia="Times New Roman" w:cs="Times New Roman"/>
          <w:spacing w:val="-2"/>
          <w:sz w:val="24"/>
          <w:szCs w:val="24"/>
        </w:rPr>
        <w:t>.</w:t>
      </w:r>
    </w:p>
    <w:p w14:paraId="3FB20EAD">
      <w:pPr>
        <w:spacing w:before="12" w:line="219" w:lineRule="auto"/>
        <w:ind w:left="502"/>
        <w:rPr>
          <w:rFonts w:ascii="宋体" w:hAnsi="宋体" w:eastAsia="宋体" w:cs="宋体"/>
          <w:sz w:val="24"/>
          <w:szCs w:val="24"/>
        </w:rPr>
      </w:pPr>
      <w:r>
        <w:rPr>
          <w:rFonts w:ascii="Times New Roman" w:hAnsi="Times New Roman" w:eastAsia="Times New Roman" w:cs="Times New Roman"/>
          <w:b/>
          <w:bCs/>
          <w:spacing w:val="-4"/>
          <w:sz w:val="24"/>
          <w:szCs w:val="24"/>
        </w:rPr>
        <w:t>5.2</w:t>
      </w:r>
      <w:r>
        <w:rPr>
          <w:rFonts w:ascii="Times New Roman" w:hAnsi="Times New Roman" w:eastAsia="Times New Roman" w:cs="Times New Roman"/>
          <w:b/>
          <w:bCs/>
          <w:spacing w:val="5"/>
          <w:sz w:val="24"/>
          <w:szCs w:val="24"/>
        </w:rPr>
        <w:t xml:space="preserve">  </w:t>
      </w:r>
      <w:r>
        <w:rPr>
          <w:rFonts w:ascii="宋体" w:hAnsi="宋体" w:eastAsia="宋体" w:cs="宋体"/>
          <w:b/>
          <w:bCs/>
          <w:spacing w:val="-4"/>
          <w:sz w:val="24"/>
          <w:szCs w:val="24"/>
        </w:rPr>
        <w:t>现状监测</w:t>
      </w:r>
    </w:p>
    <w:p w14:paraId="53784E24">
      <w:pPr>
        <w:spacing w:before="194" w:line="219" w:lineRule="auto"/>
        <w:ind w:left="532"/>
        <w:rPr>
          <w:rFonts w:ascii="宋体" w:hAnsi="宋体" w:eastAsia="宋体" w:cs="宋体"/>
          <w:sz w:val="24"/>
          <w:szCs w:val="24"/>
        </w:rPr>
      </w:pPr>
      <w:r>
        <w:rPr>
          <w:rFonts w:ascii="宋体" w:hAnsi="宋体" w:eastAsia="宋体" w:cs="宋体"/>
          <w:spacing w:val="1"/>
          <w:sz w:val="24"/>
          <w:szCs w:val="24"/>
        </w:rPr>
        <w:t>由于本工程已投入运行三年，根据现状监测结果，夏营地</w:t>
      </w:r>
      <w:r>
        <w:rPr>
          <w:rFonts w:ascii="宋体" w:hAnsi="宋体" w:eastAsia="宋体" w:cs="宋体"/>
          <w:spacing w:val="-52"/>
          <w:sz w:val="24"/>
          <w:szCs w:val="24"/>
        </w:rPr>
        <w:t xml:space="preserve"> </w:t>
      </w:r>
      <w:r>
        <w:rPr>
          <w:rFonts w:ascii="Times New Roman" w:hAnsi="Times New Roman" w:eastAsia="Times New Roman" w:cs="Times New Roman"/>
          <w:spacing w:val="1"/>
          <w:sz w:val="24"/>
          <w:szCs w:val="24"/>
        </w:rPr>
        <w:t>220</w:t>
      </w:r>
      <w:r>
        <w:rPr>
          <w:rFonts w:ascii="Times New Roman" w:hAnsi="Times New Roman" w:eastAsia="Times New Roman" w:cs="Times New Roman"/>
          <w:sz w:val="24"/>
          <w:szCs w:val="24"/>
        </w:rPr>
        <w:t>kV</w:t>
      </w:r>
      <w:r>
        <w:rPr>
          <w:rFonts w:ascii="Times New Roman" w:hAnsi="Times New Roman" w:eastAsia="Times New Roman" w:cs="Times New Roman"/>
          <w:spacing w:val="15"/>
          <w:w w:val="101"/>
          <w:sz w:val="24"/>
          <w:szCs w:val="24"/>
        </w:rPr>
        <w:t xml:space="preserve"> </w:t>
      </w:r>
      <w:r>
        <w:rPr>
          <w:rFonts w:ascii="宋体" w:hAnsi="宋体" w:eastAsia="宋体" w:cs="宋体"/>
          <w:spacing w:val="1"/>
          <w:sz w:val="24"/>
          <w:szCs w:val="24"/>
        </w:rPr>
        <w:t>升压</w:t>
      </w:r>
      <w:r>
        <w:rPr>
          <w:rFonts w:ascii="宋体" w:hAnsi="宋体" w:eastAsia="宋体" w:cs="宋体"/>
          <w:sz w:val="24"/>
          <w:szCs w:val="24"/>
        </w:rPr>
        <w:t>站现</w:t>
      </w:r>
    </w:p>
    <w:p w14:paraId="66E3B86D">
      <w:pPr>
        <w:spacing w:line="219" w:lineRule="auto"/>
        <w:rPr>
          <w:rFonts w:ascii="宋体" w:hAnsi="宋体" w:eastAsia="宋体" w:cs="宋体"/>
          <w:sz w:val="24"/>
          <w:szCs w:val="24"/>
        </w:rPr>
        <w:sectPr>
          <w:footerReference r:id="rId104" w:type="default"/>
          <w:pgSz w:w="11906" w:h="16838"/>
          <w:pgMar w:top="1426" w:right="1719" w:bottom="1295" w:left="1785" w:header="0" w:footer="1133" w:gutter="0"/>
          <w:cols w:space="720" w:num="1"/>
        </w:sectPr>
      </w:pPr>
    </w:p>
    <w:p w14:paraId="44D81DF3">
      <w:pPr>
        <w:spacing w:before="187" w:line="365" w:lineRule="auto"/>
        <w:ind w:left="17" w:right="16" w:firstLine="5"/>
        <w:jc w:val="both"/>
        <w:rPr>
          <w:rFonts w:ascii="宋体" w:hAnsi="宋体" w:eastAsia="宋体" w:cs="宋体"/>
          <w:sz w:val="24"/>
          <w:szCs w:val="24"/>
        </w:rPr>
      </w:pPr>
      <w:r>
        <w:rPr>
          <w:rFonts w:ascii="宋体" w:hAnsi="宋体" w:eastAsia="宋体" w:cs="宋体"/>
          <w:spacing w:val="5"/>
          <w:sz w:val="24"/>
          <w:szCs w:val="24"/>
        </w:rPr>
        <w:t xml:space="preserve">状监测点工频电场强度为 </w:t>
      </w:r>
      <w:r>
        <w:rPr>
          <w:rFonts w:ascii="Times New Roman" w:hAnsi="Times New Roman" w:eastAsia="Times New Roman" w:cs="Times New Roman"/>
          <w:spacing w:val="5"/>
          <w:sz w:val="24"/>
          <w:szCs w:val="24"/>
        </w:rPr>
        <w:t>105.8V/m~691.9</w:t>
      </w:r>
      <w:r>
        <w:rPr>
          <w:rFonts w:ascii="Times New Roman" w:hAnsi="Times New Roman" w:eastAsia="Times New Roman" w:cs="Times New Roman"/>
          <w:spacing w:val="23"/>
          <w:sz w:val="24"/>
          <w:szCs w:val="24"/>
        </w:rPr>
        <w:t xml:space="preserve"> </w:t>
      </w:r>
      <w:r>
        <w:rPr>
          <w:rFonts w:ascii="Times New Roman" w:hAnsi="Times New Roman" w:eastAsia="Times New Roman" w:cs="Times New Roman"/>
          <w:spacing w:val="5"/>
          <w:sz w:val="24"/>
          <w:szCs w:val="24"/>
        </w:rPr>
        <w:t>V/m</w:t>
      </w:r>
      <w:r>
        <w:rPr>
          <w:rFonts w:ascii="Times New Roman" w:hAnsi="Times New Roman" w:eastAsia="Times New Roman" w:cs="Times New Roman"/>
          <w:spacing w:val="-11"/>
          <w:sz w:val="24"/>
          <w:szCs w:val="24"/>
        </w:rPr>
        <w:t xml:space="preserve"> </w:t>
      </w:r>
      <w:r>
        <w:rPr>
          <w:rFonts w:ascii="宋体" w:hAnsi="宋体" w:eastAsia="宋体" w:cs="宋体"/>
          <w:spacing w:val="5"/>
          <w:sz w:val="24"/>
          <w:szCs w:val="24"/>
        </w:rPr>
        <w:t>，工频磁感应强度为</w:t>
      </w:r>
      <w:r>
        <w:rPr>
          <w:rFonts w:ascii="宋体" w:hAnsi="宋体" w:eastAsia="宋体" w:cs="宋体"/>
          <w:spacing w:val="-30"/>
          <w:sz w:val="24"/>
          <w:szCs w:val="24"/>
        </w:rPr>
        <w:t xml:space="preserve"> </w:t>
      </w:r>
      <w:r>
        <w:rPr>
          <w:rFonts w:ascii="Times New Roman" w:hAnsi="Times New Roman" w:eastAsia="Times New Roman" w:cs="Times New Roman"/>
          <w:spacing w:val="5"/>
          <w:sz w:val="24"/>
          <w:szCs w:val="24"/>
        </w:rPr>
        <w:t>0.085</w:t>
      </w:r>
      <w:r>
        <w:rPr>
          <w:rFonts w:ascii="Times New Roman" w:hAnsi="Times New Roman" w:eastAsia="Times New Roman" w:cs="Times New Roman"/>
          <w:spacing w:val="28"/>
          <w:sz w:val="24"/>
          <w:szCs w:val="24"/>
        </w:rPr>
        <w:t xml:space="preserve"> </w:t>
      </w:r>
      <w:r>
        <w:rPr>
          <w:rFonts w:ascii="宋体" w:hAnsi="宋体" w:eastAsia="宋体" w:cs="宋体"/>
          <w:spacing w:val="5"/>
          <w:sz w:val="24"/>
          <w:szCs w:val="24"/>
        </w:rPr>
        <w:t>μ</w:t>
      </w:r>
      <w:r>
        <w:rPr>
          <w:rFonts w:ascii="宋体" w:hAnsi="宋体" w:eastAsia="宋体" w:cs="宋体"/>
          <w:sz w:val="24"/>
          <w:szCs w:val="24"/>
        </w:rPr>
        <w:t xml:space="preserve"> </w:t>
      </w:r>
      <w:r>
        <w:rPr>
          <w:rFonts w:ascii="Times New Roman" w:hAnsi="Times New Roman" w:eastAsia="Times New Roman" w:cs="Times New Roman"/>
          <w:spacing w:val="4"/>
          <w:sz w:val="24"/>
          <w:szCs w:val="24"/>
        </w:rPr>
        <w:t>T~0.372µT</w:t>
      </w:r>
      <w:r>
        <w:rPr>
          <w:rFonts w:ascii="Times New Roman" w:hAnsi="Times New Roman" w:eastAsia="Times New Roman" w:cs="Times New Roman"/>
          <w:spacing w:val="-2"/>
          <w:sz w:val="24"/>
          <w:szCs w:val="24"/>
        </w:rPr>
        <w:t xml:space="preserve"> </w:t>
      </w:r>
      <w:r>
        <w:rPr>
          <w:rFonts w:ascii="宋体" w:hAnsi="宋体" w:eastAsia="宋体" w:cs="宋体"/>
          <w:spacing w:val="4"/>
          <w:sz w:val="24"/>
          <w:szCs w:val="24"/>
        </w:rPr>
        <w:t>，均小于《电磁环境控制限值》</w:t>
      </w:r>
      <w:r>
        <w:rPr>
          <w:rFonts w:ascii="宋体" w:hAnsi="宋体" w:eastAsia="宋体" w:cs="宋体"/>
          <w:spacing w:val="-94"/>
          <w:sz w:val="24"/>
          <w:szCs w:val="24"/>
        </w:rPr>
        <w:t xml:space="preserve"> </w:t>
      </w:r>
      <w:r>
        <w:rPr>
          <w:rFonts w:ascii="宋体" w:hAnsi="宋体" w:eastAsia="宋体" w:cs="宋体"/>
          <w:spacing w:val="4"/>
          <w:sz w:val="24"/>
          <w:szCs w:val="24"/>
        </w:rPr>
        <w:t>（</w:t>
      </w:r>
      <w:r>
        <w:rPr>
          <w:rFonts w:ascii="Times New Roman" w:hAnsi="Times New Roman" w:eastAsia="Times New Roman" w:cs="Times New Roman"/>
          <w:sz w:val="24"/>
          <w:szCs w:val="24"/>
        </w:rPr>
        <w:t>GB</w:t>
      </w:r>
      <w:r>
        <w:rPr>
          <w:rFonts w:ascii="Times New Roman" w:hAnsi="Times New Roman" w:eastAsia="Times New Roman" w:cs="Times New Roman"/>
          <w:spacing w:val="4"/>
          <w:sz w:val="24"/>
          <w:szCs w:val="24"/>
        </w:rPr>
        <w:t>8702-2014</w:t>
      </w:r>
      <w:r>
        <w:rPr>
          <w:rFonts w:ascii="宋体" w:hAnsi="宋体" w:eastAsia="宋体" w:cs="宋体"/>
          <w:spacing w:val="4"/>
          <w:sz w:val="24"/>
          <w:szCs w:val="24"/>
        </w:rPr>
        <w:t>）</w:t>
      </w:r>
      <w:r>
        <w:rPr>
          <w:rFonts w:ascii="宋体" w:hAnsi="宋体" w:eastAsia="宋体" w:cs="宋体"/>
          <w:spacing w:val="-64"/>
          <w:sz w:val="24"/>
          <w:szCs w:val="24"/>
        </w:rPr>
        <w:t xml:space="preserve"> </w:t>
      </w:r>
      <w:r>
        <w:rPr>
          <w:rFonts w:ascii="宋体" w:hAnsi="宋体" w:eastAsia="宋体" w:cs="宋体"/>
          <w:spacing w:val="4"/>
          <w:sz w:val="24"/>
          <w:szCs w:val="24"/>
        </w:rPr>
        <w:t>中工频电场强度</w:t>
      </w:r>
      <w:r>
        <w:rPr>
          <w:rFonts w:ascii="Times New Roman" w:hAnsi="Times New Roman" w:eastAsia="Times New Roman" w:cs="Times New Roman"/>
          <w:spacing w:val="-6"/>
          <w:sz w:val="24"/>
          <w:szCs w:val="24"/>
        </w:rPr>
        <w:t>4000V/m</w:t>
      </w:r>
      <w:r>
        <w:rPr>
          <w:rFonts w:ascii="Times New Roman" w:hAnsi="Times New Roman" w:eastAsia="Times New Roman" w:cs="Times New Roman"/>
          <w:spacing w:val="-36"/>
          <w:sz w:val="24"/>
          <w:szCs w:val="24"/>
        </w:rPr>
        <w:t xml:space="preserve"> </w:t>
      </w:r>
      <w:r>
        <w:rPr>
          <w:rFonts w:ascii="宋体" w:hAnsi="宋体" w:eastAsia="宋体" w:cs="宋体"/>
          <w:spacing w:val="-6"/>
          <w:sz w:val="24"/>
          <w:szCs w:val="24"/>
        </w:rPr>
        <w:t>、工频磁感应强度</w:t>
      </w:r>
      <w:r>
        <w:rPr>
          <w:rFonts w:ascii="宋体" w:hAnsi="宋体" w:eastAsia="宋体" w:cs="宋体"/>
          <w:spacing w:val="-32"/>
          <w:sz w:val="24"/>
          <w:szCs w:val="24"/>
        </w:rPr>
        <w:t xml:space="preserve"> </w:t>
      </w:r>
      <w:r>
        <w:rPr>
          <w:rFonts w:ascii="Times New Roman" w:hAnsi="Times New Roman" w:eastAsia="Times New Roman" w:cs="Times New Roman"/>
          <w:spacing w:val="-6"/>
          <w:sz w:val="24"/>
          <w:szCs w:val="24"/>
        </w:rPr>
        <w:t xml:space="preserve">100 </w:t>
      </w:r>
      <w:r>
        <w:rPr>
          <w:rFonts w:ascii="宋体" w:hAnsi="宋体" w:eastAsia="宋体" w:cs="宋体"/>
          <w:spacing w:val="-6"/>
          <w:sz w:val="24"/>
          <w:szCs w:val="24"/>
        </w:rPr>
        <w:t>μ</w:t>
      </w:r>
      <w:r>
        <w:rPr>
          <w:rFonts w:ascii="宋体" w:hAnsi="宋体" w:eastAsia="宋体" w:cs="宋体"/>
          <w:spacing w:val="-66"/>
          <w:sz w:val="24"/>
          <w:szCs w:val="24"/>
        </w:rPr>
        <w:t xml:space="preserve"> </w:t>
      </w:r>
      <w:r>
        <w:rPr>
          <w:rFonts w:ascii="宋体" w:hAnsi="宋体" w:eastAsia="宋体" w:cs="宋体"/>
          <w:spacing w:val="-6"/>
          <w:sz w:val="24"/>
          <w:szCs w:val="24"/>
        </w:rPr>
        <w:t>Т</w:t>
      </w:r>
      <w:r>
        <w:rPr>
          <w:rFonts w:ascii="宋体" w:hAnsi="宋体" w:eastAsia="宋体" w:cs="宋体"/>
          <w:spacing w:val="-91"/>
          <w:sz w:val="24"/>
          <w:szCs w:val="24"/>
        </w:rPr>
        <w:t xml:space="preserve"> </w:t>
      </w:r>
      <w:r>
        <w:rPr>
          <w:rFonts w:ascii="宋体" w:hAnsi="宋体" w:eastAsia="宋体" w:cs="宋体"/>
          <w:spacing w:val="-6"/>
          <w:sz w:val="24"/>
          <w:szCs w:val="24"/>
        </w:rPr>
        <w:t>的公众曝露控制限</w:t>
      </w:r>
      <w:r>
        <w:rPr>
          <w:rFonts w:ascii="宋体" w:hAnsi="宋体" w:eastAsia="宋体" w:cs="宋体"/>
          <w:spacing w:val="-7"/>
          <w:sz w:val="24"/>
          <w:szCs w:val="24"/>
        </w:rPr>
        <w:t>值要求。</w:t>
      </w:r>
    </w:p>
    <w:p w14:paraId="29F42825">
      <w:pPr>
        <w:spacing w:line="218" w:lineRule="auto"/>
        <w:ind w:left="22"/>
        <w:outlineLvl w:val="1"/>
        <w:rPr>
          <w:rFonts w:ascii="宋体" w:hAnsi="宋体" w:eastAsia="宋体" w:cs="宋体"/>
          <w:sz w:val="24"/>
          <w:szCs w:val="24"/>
        </w:rPr>
      </w:pPr>
      <w:r>
        <w:rPr>
          <w:rFonts w:ascii="Times New Roman" w:hAnsi="Times New Roman" w:eastAsia="Times New Roman" w:cs="Times New Roman"/>
          <w:b/>
          <w:bCs/>
          <w:spacing w:val="-2"/>
          <w:sz w:val="24"/>
          <w:szCs w:val="24"/>
        </w:rPr>
        <w:t xml:space="preserve">6  </w:t>
      </w:r>
      <w:r>
        <w:rPr>
          <w:rFonts w:ascii="宋体" w:hAnsi="宋体" w:eastAsia="宋体" w:cs="宋体"/>
          <w:b/>
          <w:bCs/>
          <w:spacing w:val="-2"/>
          <w:sz w:val="24"/>
          <w:szCs w:val="24"/>
        </w:rPr>
        <w:t>可采取的治理措施</w:t>
      </w:r>
    </w:p>
    <w:p w14:paraId="7CCE12BD">
      <w:pPr>
        <w:spacing w:before="176" w:line="354" w:lineRule="auto"/>
        <w:ind w:left="26" w:right="13" w:firstLine="488"/>
        <w:rPr>
          <w:rFonts w:ascii="宋体" w:hAnsi="宋体" w:eastAsia="宋体" w:cs="宋体"/>
          <w:sz w:val="24"/>
          <w:szCs w:val="24"/>
        </w:rPr>
      </w:pPr>
      <w:r>
        <w:rPr>
          <w:rFonts w:ascii="宋体" w:hAnsi="宋体" w:eastAsia="宋体" w:cs="宋体"/>
          <w:sz w:val="24"/>
          <w:szCs w:val="24"/>
        </w:rPr>
        <w:t>（</w:t>
      </w:r>
      <w:r>
        <w:rPr>
          <w:rFonts w:ascii="Times New Roman" w:hAnsi="Times New Roman" w:eastAsia="Times New Roman" w:cs="Times New Roman"/>
          <w:sz w:val="24"/>
          <w:szCs w:val="24"/>
        </w:rPr>
        <w:t>1</w:t>
      </w:r>
      <w:r>
        <w:rPr>
          <w:rFonts w:ascii="宋体" w:hAnsi="宋体" w:eastAsia="宋体" w:cs="宋体"/>
          <w:sz w:val="24"/>
          <w:szCs w:val="24"/>
        </w:rPr>
        <w:t>）合理布局，在满足升压站内电气布局设计要求的前提下，加大主变与</w:t>
      </w:r>
      <w:r>
        <w:rPr>
          <w:rFonts w:ascii="宋体" w:hAnsi="宋体" w:eastAsia="宋体" w:cs="宋体"/>
          <w:spacing w:val="-3"/>
          <w:sz w:val="24"/>
          <w:szCs w:val="24"/>
        </w:rPr>
        <w:t>厂界的距离；加强电磁环境影响宣传，消除公众的恐惧心理，设置明显的警</w:t>
      </w:r>
      <w:r>
        <w:rPr>
          <w:rFonts w:ascii="宋体" w:hAnsi="宋体" w:eastAsia="宋体" w:cs="宋体"/>
          <w:spacing w:val="-4"/>
          <w:sz w:val="24"/>
          <w:szCs w:val="24"/>
        </w:rPr>
        <w:t>告标</w:t>
      </w:r>
      <w:r>
        <w:rPr>
          <w:rFonts w:ascii="宋体" w:hAnsi="宋体" w:eastAsia="宋体" w:cs="宋体"/>
          <w:spacing w:val="-3"/>
          <w:sz w:val="24"/>
          <w:szCs w:val="24"/>
        </w:rPr>
        <w:t>志。进一步将变压器等产生的电磁辐射环境影响降到最低水平，最大限度的</w:t>
      </w:r>
      <w:r>
        <w:rPr>
          <w:rFonts w:ascii="宋体" w:hAnsi="宋体" w:eastAsia="宋体" w:cs="宋体"/>
          <w:spacing w:val="-4"/>
          <w:sz w:val="24"/>
          <w:szCs w:val="24"/>
        </w:rPr>
        <w:t>保障</w:t>
      </w:r>
      <w:r>
        <w:rPr>
          <w:rFonts w:ascii="宋体" w:hAnsi="宋体" w:eastAsia="宋体" w:cs="宋体"/>
          <w:spacing w:val="-2"/>
          <w:sz w:val="24"/>
          <w:szCs w:val="24"/>
        </w:rPr>
        <w:t>公众身体健康。</w:t>
      </w:r>
    </w:p>
    <w:p w14:paraId="49F90546">
      <w:pPr>
        <w:spacing w:before="1" w:line="353" w:lineRule="auto"/>
        <w:ind w:left="23" w:right="16" w:firstLine="491"/>
        <w:rPr>
          <w:rFonts w:ascii="宋体" w:hAnsi="宋体" w:eastAsia="宋体" w:cs="宋体"/>
          <w:sz w:val="24"/>
          <w:szCs w:val="24"/>
        </w:rPr>
      </w:pPr>
      <w:r>
        <w:rPr>
          <w:rFonts w:ascii="宋体" w:hAnsi="宋体" w:eastAsia="宋体" w:cs="宋体"/>
          <w:sz w:val="24"/>
          <w:szCs w:val="24"/>
        </w:rPr>
        <w:t>（</w:t>
      </w:r>
      <w:r>
        <w:rPr>
          <w:rFonts w:ascii="Times New Roman" w:hAnsi="Times New Roman" w:eastAsia="Times New Roman" w:cs="Times New Roman"/>
          <w:sz w:val="24"/>
          <w:szCs w:val="24"/>
        </w:rPr>
        <w:t>2</w:t>
      </w:r>
      <w:r>
        <w:rPr>
          <w:rFonts w:ascii="宋体" w:hAnsi="宋体" w:eastAsia="宋体" w:cs="宋体"/>
          <w:sz w:val="24"/>
          <w:szCs w:val="24"/>
        </w:rPr>
        <w:t>）应使用设计合理的绝缘子，要特别关注绝缘子的几何形状及关键部位材料的特性，尽量使用能改善绝缘子表面或沿绝缘子</w:t>
      </w:r>
      <w:r>
        <w:rPr>
          <w:rFonts w:ascii="宋体" w:hAnsi="宋体" w:eastAsia="宋体" w:cs="宋体"/>
          <w:spacing w:val="-1"/>
          <w:sz w:val="24"/>
          <w:szCs w:val="24"/>
        </w:rPr>
        <w:t>串电压分布的保护装置。</w:t>
      </w:r>
    </w:p>
    <w:p w14:paraId="4A0C0599">
      <w:pPr>
        <w:spacing w:before="1" w:line="353" w:lineRule="auto"/>
        <w:ind w:left="25" w:right="16" w:firstLine="489"/>
        <w:rPr>
          <w:rFonts w:ascii="宋体" w:hAnsi="宋体" w:eastAsia="宋体" w:cs="宋体"/>
          <w:sz w:val="24"/>
          <w:szCs w:val="24"/>
        </w:rPr>
      </w:pPr>
      <w:r>
        <w:rPr>
          <w:rFonts w:ascii="宋体" w:hAnsi="宋体" w:eastAsia="宋体" w:cs="宋体"/>
          <w:sz w:val="24"/>
          <w:szCs w:val="24"/>
        </w:rPr>
        <w:t>（</w:t>
      </w:r>
      <w:r>
        <w:rPr>
          <w:rFonts w:ascii="Times New Roman" w:hAnsi="Times New Roman" w:eastAsia="Times New Roman" w:cs="Times New Roman"/>
          <w:sz w:val="24"/>
          <w:szCs w:val="24"/>
        </w:rPr>
        <w:t>3</w:t>
      </w:r>
      <w:r>
        <w:rPr>
          <w:rFonts w:ascii="宋体" w:hAnsi="宋体" w:eastAsia="宋体" w:cs="宋体"/>
          <w:sz w:val="24"/>
          <w:szCs w:val="24"/>
        </w:rPr>
        <w:t>）在安装高压设备时，应保证所有的固定螺栓都可靠拧紧，导电元件尽</w:t>
      </w:r>
      <w:r>
        <w:rPr>
          <w:rFonts w:ascii="宋体" w:hAnsi="宋体" w:eastAsia="宋体" w:cs="宋体"/>
          <w:spacing w:val="-1"/>
          <w:sz w:val="24"/>
          <w:szCs w:val="24"/>
        </w:rPr>
        <w:t>可能接地或连接导线电位，提高屏蔽效果。</w:t>
      </w:r>
    </w:p>
    <w:p w14:paraId="75737574">
      <w:pPr>
        <w:spacing w:before="1" w:line="356" w:lineRule="auto"/>
        <w:ind w:left="29" w:right="16" w:firstLine="485"/>
        <w:rPr>
          <w:rFonts w:ascii="宋体" w:hAnsi="宋体" w:eastAsia="宋体" w:cs="宋体"/>
          <w:sz w:val="24"/>
          <w:szCs w:val="24"/>
        </w:rPr>
      </w:pPr>
      <w:r>
        <w:rPr>
          <w:rFonts w:ascii="宋体" w:hAnsi="宋体" w:eastAsia="宋体" w:cs="宋体"/>
          <w:sz w:val="24"/>
          <w:szCs w:val="24"/>
        </w:rPr>
        <w:t>（</w:t>
      </w:r>
      <w:r>
        <w:rPr>
          <w:rFonts w:ascii="Times New Roman" w:hAnsi="Times New Roman" w:eastAsia="Times New Roman" w:cs="Times New Roman"/>
          <w:sz w:val="24"/>
          <w:szCs w:val="24"/>
        </w:rPr>
        <w:t>4</w:t>
      </w:r>
      <w:r>
        <w:rPr>
          <w:rFonts w:ascii="宋体" w:hAnsi="宋体" w:eastAsia="宋体" w:cs="宋体"/>
          <w:sz w:val="24"/>
          <w:szCs w:val="24"/>
        </w:rPr>
        <w:t>）应对站区内升压站的工作人员进行电磁防护知识的培训，尽量减少在</w:t>
      </w:r>
      <w:r>
        <w:rPr>
          <w:rFonts w:ascii="宋体" w:hAnsi="宋体" w:eastAsia="宋体" w:cs="宋体"/>
          <w:spacing w:val="-1"/>
          <w:sz w:val="24"/>
          <w:szCs w:val="24"/>
        </w:rPr>
        <w:t>高电磁区域的停留时间，以减小电磁辐射影响。</w:t>
      </w:r>
    </w:p>
    <w:p w14:paraId="5C4BAAE4">
      <w:pPr>
        <w:spacing w:line="356" w:lineRule="auto"/>
        <w:rPr>
          <w:rFonts w:ascii="宋体" w:hAnsi="宋体" w:eastAsia="宋体" w:cs="宋体"/>
          <w:sz w:val="24"/>
          <w:szCs w:val="24"/>
        </w:rPr>
        <w:sectPr>
          <w:footerReference r:id="rId105" w:type="default"/>
          <w:pgSz w:w="11906" w:h="16838"/>
          <w:pgMar w:top="1431" w:right="1785" w:bottom="1295" w:left="1785" w:header="0" w:footer="1133" w:gutter="0"/>
          <w:cols w:space="720" w:num="1"/>
        </w:sectPr>
      </w:pPr>
    </w:p>
    <w:p w14:paraId="6986FB73">
      <w:pPr>
        <w:pStyle w:val="3"/>
        <w:spacing w:line="247" w:lineRule="auto"/>
      </w:pPr>
    </w:p>
    <w:p w14:paraId="39737353">
      <w:pPr>
        <w:pStyle w:val="3"/>
        <w:spacing w:line="247" w:lineRule="auto"/>
      </w:pPr>
    </w:p>
    <w:p w14:paraId="2F43223D">
      <w:pPr>
        <w:spacing w:before="78" w:line="177" w:lineRule="auto"/>
        <w:outlineLvl w:val="1"/>
        <w:rPr>
          <w:rFonts w:ascii="宋体" w:hAnsi="宋体" w:eastAsia="宋体" w:cs="宋体"/>
          <w:sz w:val="24"/>
          <w:szCs w:val="24"/>
        </w:rPr>
      </w:pPr>
      <w:r>
        <w:rPr>
          <w:rFonts w:ascii="宋体" w:hAnsi="宋体" w:eastAsia="宋体" w:cs="宋体"/>
          <w:b/>
          <w:bCs/>
          <w:spacing w:val="-6"/>
          <w:sz w:val="24"/>
          <w:szCs w:val="24"/>
        </w:rPr>
        <w:t>附图</w:t>
      </w:r>
      <w:r>
        <w:rPr>
          <w:rFonts w:ascii="宋体" w:hAnsi="宋体" w:eastAsia="宋体" w:cs="宋体"/>
          <w:spacing w:val="-35"/>
          <w:sz w:val="24"/>
          <w:szCs w:val="24"/>
        </w:rPr>
        <w:t xml:space="preserve"> </w:t>
      </w:r>
      <w:r>
        <w:rPr>
          <w:rFonts w:ascii="Times New Roman" w:hAnsi="Times New Roman" w:eastAsia="Times New Roman" w:cs="Times New Roman"/>
          <w:b/>
          <w:bCs/>
          <w:spacing w:val="-6"/>
          <w:sz w:val="24"/>
          <w:szCs w:val="24"/>
        </w:rPr>
        <w:t xml:space="preserve">1  </w:t>
      </w:r>
      <w:r>
        <w:rPr>
          <w:rFonts w:ascii="宋体" w:hAnsi="宋体" w:eastAsia="宋体" w:cs="宋体"/>
          <w:b/>
          <w:bCs/>
          <w:spacing w:val="-6"/>
          <w:sz w:val="24"/>
          <w:szCs w:val="24"/>
        </w:rPr>
        <w:t>项目地理位置图</w:t>
      </w:r>
    </w:p>
    <w:p w14:paraId="2D6EF77C">
      <w:pPr>
        <w:spacing w:line="8003" w:lineRule="exact"/>
        <w:ind w:firstLine="1342"/>
      </w:pPr>
      <w:r>
        <w:rPr>
          <w:position w:val="-160"/>
        </w:rPr>
        <w:pict>
          <v:group id="_x0000_s1048" o:spid="_x0000_s1048" o:spt="203" style="height:400.2pt;width:560.9pt;" coordsize="11218,8004">
            <o:lock v:ext="edit"/>
            <v:shape id="_x0000_s1049" o:spid="_x0000_s1049" o:spt="75" type="#_x0000_t75" style="position:absolute;left:0;top:-9;height:8013;width:11218;" filled="f" stroked="f" coordsize="21600,21600">
              <v:path/>
              <v:fill on="f" focussize="0,0"/>
              <v:stroke on="f"/>
              <v:imagedata r:id="rId266" o:title=""/>
              <o:lock v:ext="edit" aspectratio="t"/>
            </v:shape>
            <v:shape id="_x0000_s1050" o:spid="_x0000_s1050" o:spt="202" type="#_x0000_t202" style="position:absolute;left:3273;top:131;height:284;width:1230;" filled="f" stroked="f" coordsize="21600,21600">
              <v:path/>
              <v:fill on="f" focussize="0,0"/>
              <v:stroke on="f"/>
              <v:imagedata o:title=""/>
              <o:lock v:ext="edit" aspectratio="f"/>
              <v:textbox inset="0mm,0mm,0mm,0mm">
                <w:txbxContent>
                  <w:p w14:paraId="24AEC05B">
                    <w:pPr>
                      <w:spacing w:before="19" w:line="222" w:lineRule="auto"/>
                      <w:ind w:left="20"/>
                      <w:rPr>
                        <w:rFonts w:ascii="黑体" w:hAnsi="黑体" w:eastAsia="黑体" w:cs="黑体"/>
                        <w:sz w:val="24"/>
                        <w:szCs w:val="24"/>
                      </w:rPr>
                    </w:pPr>
                    <w:r>
                      <w:rPr>
                        <w:rFonts w:ascii="黑体" w:hAnsi="黑体" w:eastAsia="黑体" w:cs="黑体"/>
                        <w:color w:val="0000FF"/>
                        <w:spacing w:val="-3"/>
                        <w:sz w:val="24"/>
                        <w:szCs w:val="24"/>
                      </w:rPr>
                      <w:t>本项目位置</w:t>
                    </w:r>
                  </w:p>
                </w:txbxContent>
              </v:textbox>
            </v:shape>
            <w10:wrap type="none"/>
            <w10:anchorlock/>
          </v:group>
        </w:pict>
      </w:r>
    </w:p>
    <w:p w14:paraId="26E41D77">
      <w:pPr>
        <w:spacing w:line="8003" w:lineRule="exact"/>
        <w:sectPr>
          <w:footerReference r:id="rId106" w:type="default"/>
          <w:pgSz w:w="16838" w:h="11906"/>
          <w:pgMar w:top="1012" w:right="2525" w:bottom="1295" w:left="1468" w:header="0" w:footer="1133" w:gutter="0"/>
          <w:cols w:space="720" w:num="1"/>
        </w:sectPr>
      </w:pPr>
    </w:p>
    <w:p w14:paraId="1B207B9C">
      <w:pPr>
        <w:pStyle w:val="3"/>
        <w:spacing w:line="291" w:lineRule="auto"/>
      </w:pPr>
    </w:p>
    <w:p w14:paraId="22217184">
      <w:pPr>
        <w:pStyle w:val="3"/>
        <w:spacing w:line="292" w:lineRule="auto"/>
      </w:pPr>
    </w:p>
    <w:p w14:paraId="6F5FAAE9">
      <w:pPr>
        <w:pStyle w:val="3"/>
        <w:spacing w:line="292" w:lineRule="auto"/>
      </w:pPr>
    </w:p>
    <w:p w14:paraId="62B0C4D9">
      <w:pPr>
        <w:spacing w:before="78" w:line="219" w:lineRule="auto"/>
        <w:outlineLvl w:val="1"/>
        <w:rPr>
          <w:rFonts w:ascii="宋体" w:hAnsi="宋体" w:eastAsia="宋体" w:cs="宋体"/>
          <w:sz w:val="24"/>
          <w:szCs w:val="24"/>
        </w:rPr>
      </w:pPr>
      <w:r>
        <w:rPr>
          <w:rFonts w:ascii="宋体" w:hAnsi="宋体" w:eastAsia="宋体" w:cs="宋体"/>
          <w:b/>
          <w:bCs/>
          <w:spacing w:val="-4"/>
          <w:sz w:val="24"/>
          <w:szCs w:val="24"/>
        </w:rPr>
        <w:t>附图</w:t>
      </w:r>
      <w:r>
        <w:rPr>
          <w:rFonts w:ascii="宋体" w:hAnsi="宋体" w:eastAsia="宋体" w:cs="宋体"/>
          <w:spacing w:val="-50"/>
          <w:sz w:val="24"/>
          <w:szCs w:val="24"/>
        </w:rPr>
        <w:t xml:space="preserve"> </w:t>
      </w:r>
      <w:r>
        <w:rPr>
          <w:rFonts w:ascii="Times New Roman" w:hAnsi="Times New Roman" w:eastAsia="Times New Roman" w:cs="Times New Roman"/>
          <w:b/>
          <w:bCs/>
          <w:spacing w:val="-4"/>
          <w:sz w:val="24"/>
          <w:szCs w:val="24"/>
        </w:rPr>
        <w:t xml:space="preserve">2  </w:t>
      </w:r>
      <w:r>
        <w:rPr>
          <w:rFonts w:ascii="宋体" w:hAnsi="宋体" w:eastAsia="宋体" w:cs="宋体"/>
          <w:b/>
          <w:bCs/>
          <w:spacing w:val="-4"/>
          <w:sz w:val="24"/>
          <w:szCs w:val="24"/>
        </w:rPr>
        <w:t>站址在风电场内位置图</w:t>
      </w:r>
    </w:p>
    <w:p w14:paraId="378D2579">
      <w:pPr>
        <w:spacing w:before="14" w:line="7265" w:lineRule="exact"/>
        <w:ind w:firstLine="1817"/>
      </w:pPr>
      <w:r>
        <w:drawing>
          <wp:anchor distT="0" distB="0" distL="0" distR="0" simplePos="0" relativeHeight="251686912" behindDoc="0" locked="0" layoutInCell="1" allowOverlap="1">
            <wp:simplePos x="0" y="0"/>
            <wp:positionH relativeFrom="column">
              <wp:posOffset>8051165</wp:posOffset>
            </wp:positionH>
            <wp:positionV relativeFrom="paragraph">
              <wp:posOffset>30480</wp:posOffset>
            </wp:positionV>
            <wp:extent cx="588010" cy="554990"/>
            <wp:effectExtent l="0" t="0" r="0" b="0"/>
            <wp:wrapNone/>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267"/>
                    <a:stretch>
                      <a:fillRect/>
                    </a:stretch>
                  </pic:blipFill>
                  <pic:spPr>
                    <a:xfrm>
                      <a:off x="0" y="0"/>
                      <a:ext cx="588264" cy="554735"/>
                    </a:xfrm>
                    <a:prstGeom prst="rect">
                      <a:avLst/>
                    </a:prstGeom>
                  </pic:spPr>
                </pic:pic>
              </a:graphicData>
            </a:graphic>
          </wp:anchor>
        </w:drawing>
      </w:r>
      <w:r>
        <w:rPr>
          <w:position w:val="-145"/>
        </w:rPr>
        <w:pict>
          <v:group id="_x0000_s1051" o:spid="_x0000_s1051" o:spt="203" style="height:363.25pt;width:513.25pt;" coordsize="10265,7265">
            <o:lock v:ext="edit"/>
            <v:shape id="_x0000_s1052" o:spid="_x0000_s1052" o:spt="75" type="#_x0000_t75" style="position:absolute;left:0;top:0;height:7265;width:10265;" filled="f" stroked="f" coordsize="21600,21600">
              <v:path/>
              <v:fill on="f" focussize="0,0"/>
              <v:stroke on="f"/>
              <v:imagedata r:id="rId268" o:title=""/>
              <o:lock v:ext="edit" aspectratio="t"/>
            </v:shape>
            <v:shape id="_x0000_s1053" o:spid="_x0000_s1053" o:spt="202" type="#_x0000_t202" style="position:absolute;left:4761;top:1601;height:280;width:1475;" filled="f" stroked="f" coordsize="21600,21600">
              <v:path/>
              <v:fill on="f" focussize="0,0"/>
              <v:stroke on="f"/>
              <v:imagedata o:title=""/>
              <o:lock v:ext="edit" aspectratio="f"/>
              <v:textbox inset="0mm,0mm,0mm,0mm">
                <w:txbxContent>
                  <w:p w14:paraId="79460D80">
                    <w:pPr>
                      <w:spacing w:before="19" w:line="219" w:lineRule="auto"/>
                      <w:ind w:left="20"/>
                      <w:rPr>
                        <w:rFonts w:ascii="宋体" w:hAnsi="宋体" w:eastAsia="宋体" w:cs="宋体"/>
                        <w:sz w:val="24"/>
                        <w:szCs w:val="24"/>
                      </w:rPr>
                    </w:pPr>
                    <w:r>
                      <w:rPr>
                        <w:rFonts w:ascii="宋体" w:hAnsi="宋体" w:eastAsia="宋体" w:cs="宋体"/>
                        <w:b/>
                        <w:bCs/>
                        <w:color w:val="FF0000"/>
                        <w:spacing w:val="-4"/>
                        <w:sz w:val="24"/>
                        <w:szCs w:val="24"/>
                      </w:rPr>
                      <w:t>本项目升压站</w:t>
                    </w:r>
                  </w:p>
                </w:txbxContent>
              </v:textbox>
            </v:shape>
            <w10:wrap type="none"/>
            <w10:anchorlock/>
          </v:group>
        </w:pict>
      </w:r>
    </w:p>
    <w:p w14:paraId="1453067B">
      <w:pPr>
        <w:spacing w:line="7265" w:lineRule="exact"/>
        <w:sectPr>
          <w:footerReference r:id="rId107" w:type="default"/>
          <w:pgSz w:w="16838" w:h="11906"/>
          <w:pgMar w:top="1012" w:right="1763" w:bottom="1295" w:left="1468" w:header="0" w:footer="1133" w:gutter="0"/>
          <w:cols w:space="720" w:num="1"/>
        </w:sectPr>
      </w:pPr>
    </w:p>
    <w:p w14:paraId="25AE6550">
      <w:pPr>
        <w:pStyle w:val="3"/>
        <w:spacing w:line="247" w:lineRule="auto"/>
      </w:pPr>
    </w:p>
    <w:p w14:paraId="0DAE4C65">
      <w:pPr>
        <w:pStyle w:val="3"/>
        <w:spacing w:line="247" w:lineRule="auto"/>
      </w:pPr>
    </w:p>
    <w:p w14:paraId="761A6CFD">
      <w:pPr>
        <w:pStyle w:val="3"/>
        <w:spacing w:line="247" w:lineRule="auto"/>
      </w:pPr>
    </w:p>
    <w:p w14:paraId="6128343D">
      <w:pPr>
        <w:pStyle w:val="3"/>
        <w:spacing w:line="247" w:lineRule="auto"/>
      </w:pPr>
    </w:p>
    <w:p w14:paraId="29A0C938">
      <w:pPr>
        <w:pStyle w:val="3"/>
        <w:spacing w:line="247" w:lineRule="auto"/>
      </w:pPr>
    </w:p>
    <w:p w14:paraId="63D3F1F7">
      <w:pPr>
        <w:pStyle w:val="3"/>
        <w:spacing w:line="248" w:lineRule="auto"/>
      </w:pPr>
    </w:p>
    <w:p w14:paraId="244E838C">
      <w:pPr>
        <w:spacing w:before="78" w:line="219" w:lineRule="auto"/>
        <w:outlineLvl w:val="1"/>
        <w:rPr>
          <w:rFonts w:ascii="宋体" w:hAnsi="宋体" w:eastAsia="宋体" w:cs="宋体"/>
          <w:sz w:val="24"/>
          <w:szCs w:val="24"/>
        </w:rPr>
      </w:pPr>
      <w:r>
        <w:rPr>
          <w:rFonts w:ascii="宋体" w:hAnsi="宋体" w:eastAsia="宋体" w:cs="宋体"/>
          <w:b/>
          <w:bCs/>
          <w:spacing w:val="-4"/>
          <w:sz w:val="24"/>
          <w:szCs w:val="24"/>
        </w:rPr>
        <w:t>附图</w:t>
      </w:r>
      <w:r>
        <w:rPr>
          <w:rFonts w:ascii="宋体" w:hAnsi="宋体" w:eastAsia="宋体" w:cs="宋体"/>
          <w:spacing w:val="-54"/>
          <w:sz w:val="24"/>
          <w:szCs w:val="24"/>
        </w:rPr>
        <w:t xml:space="preserve"> </w:t>
      </w:r>
      <w:r>
        <w:rPr>
          <w:rFonts w:ascii="Times New Roman" w:hAnsi="Times New Roman" w:eastAsia="Times New Roman" w:cs="Times New Roman"/>
          <w:b/>
          <w:bCs/>
          <w:spacing w:val="-4"/>
          <w:sz w:val="24"/>
          <w:szCs w:val="24"/>
        </w:rPr>
        <w:t xml:space="preserve">3  </w:t>
      </w:r>
      <w:r>
        <w:rPr>
          <w:rFonts w:ascii="宋体" w:hAnsi="宋体" w:eastAsia="宋体" w:cs="宋体"/>
          <w:b/>
          <w:bCs/>
          <w:spacing w:val="-4"/>
          <w:sz w:val="24"/>
          <w:szCs w:val="24"/>
        </w:rPr>
        <w:t>升压站总平面布置图</w:t>
      </w:r>
    </w:p>
    <w:p w14:paraId="632B102A">
      <w:pPr>
        <w:spacing w:before="35"/>
      </w:pPr>
    </w:p>
    <w:p w14:paraId="201CE896">
      <w:pPr>
        <w:spacing w:before="35"/>
      </w:pPr>
    </w:p>
    <w:p w14:paraId="39B7D778">
      <w:pPr>
        <w:spacing w:before="35"/>
      </w:pPr>
    </w:p>
    <w:p w14:paraId="5D36D62C">
      <w:pPr>
        <w:spacing w:before="35"/>
      </w:pPr>
    </w:p>
    <w:p w14:paraId="60F468B7">
      <w:pPr>
        <w:spacing w:before="35"/>
      </w:pPr>
    </w:p>
    <w:p w14:paraId="1B2D17B5">
      <w:pPr>
        <w:sectPr>
          <w:headerReference r:id="rId108" w:type="default"/>
          <w:footerReference r:id="rId109" w:type="default"/>
          <w:pgSz w:w="23811" w:h="16838"/>
          <w:pgMar w:top="400" w:right="1810" w:bottom="1295" w:left="1468" w:header="0" w:footer="1133" w:gutter="0"/>
          <w:cols w:equalWidth="0" w:num="1">
            <w:col w:w="20533"/>
          </w:cols>
        </w:sectPr>
      </w:pPr>
    </w:p>
    <w:p w14:paraId="10899590">
      <w:pPr>
        <w:pStyle w:val="3"/>
        <w:spacing w:line="324" w:lineRule="auto"/>
      </w:pPr>
    </w:p>
    <w:p w14:paraId="36698CFC">
      <w:pPr>
        <w:spacing w:before="45" w:line="233" w:lineRule="auto"/>
        <w:ind w:left="3486"/>
        <w:rPr>
          <w:rFonts w:ascii="宋体" w:hAnsi="宋体" w:eastAsia="宋体" w:cs="宋体"/>
          <w:sz w:val="14"/>
          <w:szCs w:val="14"/>
        </w:rPr>
      </w:pPr>
      <w:r>
        <w:drawing>
          <wp:anchor distT="0" distB="0" distL="0" distR="0" simplePos="0" relativeHeight="251687936" behindDoc="1" locked="0" layoutInCell="1" allowOverlap="1">
            <wp:simplePos x="0" y="0"/>
            <wp:positionH relativeFrom="column">
              <wp:posOffset>2251710</wp:posOffset>
            </wp:positionH>
            <wp:positionV relativeFrom="paragraph">
              <wp:posOffset>-55245</wp:posOffset>
            </wp:positionV>
            <wp:extent cx="233045" cy="218440"/>
            <wp:effectExtent l="0" t="0" r="0" b="0"/>
            <wp:wrapNone/>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269"/>
                    <a:stretch>
                      <a:fillRect/>
                    </a:stretch>
                  </pic:blipFill>
                  <pic:spPr>
                    <a:xfrm>
                      <a:off x="0" y="0"/>
                      <a:ext cx="233045" cy="218440"/>
                    </a:xfrm>
                    <a:prstGeom prst="rect">
                      <a:avLst/>
                    </a:prstGeom>
                  </pic:spPr>
                </pic:pic>
              </a:graphicData>
            </a:graphic>
          </wp:anchor>
        </w:drawing>
      </w:r>
      <w:r>
        <w:rPr>
          <w:rFonts w:ascii="宋体" w:hAnsi="宋体" w:eastAsia="宋体" w:cs="宋体"/>
          <w:b/>
          <w:bCs/>
          <w:color w:val="FF0000"/>
          <w:spacing w:val="7"/>
          <w:sz w:val="14"/>
          <w:szCs w:val="14"/>
        </w:rPr>
        <w:t>地埋一体化</w:t>
      </w:r>
    </w:p>
    <w:p w14:paraId="4D861462">
      <w:pPr>
        <w:pStyle w:val="3"/>
        <w:spacing w:line="347" w:lineRule="auto"/>
      </w:pPr>
    </w:p>
    <w:p w14:paraId="0E78CA0A">
      <w:pPr>
        <w:spacing w:before="45" w:line="231" w:lineRule="auto"/>
        <w:ind w:left="1895"/>
        <w:rPr>
          <w:rFonts w:ascii="宋体" w:hAnsi="宋体" w:eastAsia="宋体" w:cs="宋体"/>
          <w:sz w:val="14"/>
          <w:szCs w:val="14"/>
        </w:rPr>
      </w:pPr>
      <w:r>
        <w:drawing>
          <wp:anchor distT="0" distB="0" distL="0" distR="0" simplePos="0" relativeHeight="251688960" behindDoc="1" locked="0" layoutInCell="1" allowOverlap="1">
            <wp:simplePos x="0" y="0"/>
            <wp:positionH relativeFrom="column">
              <wp:posOffset>1234440</wp:posOffset>
            </wp:positionH>
            <wp:positionV relativeFrom="paragraph">
              <wp:posOffset>-12065</wp:posOffset>
            </wp:positionV>
            <wp:extent cx="146685" cy="141605"/>
            <wp:effectExtent l="0" t="0" r="0" b="0"/>
            <wp:wrapNone/>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270"/>
                    <a:stretch>
                      <a:fillRect/>
                    </a:stretch>
                  </pic:blipFill>
                  <pic:spPr>
                    <a:xfrm>
                      <a:off x="0" y="0"/>
                      <a:ext cx="146685" cy="141604"/>
                    </a:xfrm>
                    <a:prstGeom prst="rect">
                      <a:avLst/>
                    </a:prstGeom>
                  </pic:spPr>
                </pic:pic>
              </a:graphicData>
            </a:graphic>
          </wp:anchor>
        </w:drawing>
      </w:r>
      <w:r>
        <w:rPr>
          <w:rFonts w:ascii="宋体" w:hAnsi="宋体" w:eastAsia="宋体" w:cs="宋体"/>
          <w:b/>
          <w:bCs/>
          <w:color w:val="FF0000"/>
          <w:spacing w:val="6"/>
          <w:sz w:val="14"/>
          <w:szCs w:val="14"/>
        </w:rPr>
        <w:t>化粪池</w:t>
      </w:r>
    </w:p>
    <w:p w14:paraId="7A63F5CF">
      <w:pPr>
        <w:spacing w:line="135" w:lineRule="auto"/>
        <w:rPr>
          <w:rFonts w:ascii="Arial"/>
          <w:sz w:val="2"/>
        </w:rPr>
      </w:pPr>
    </w:p>
    <w:p w14:paraId="7D5CFE7C">
      <w:pPr>
        <w:pStyle w:val="3"/>
        <w:spacing w:line="14" w:lineRule="auto"/>
        <w:rPr>
          <w:sz w:val="2"/>
        </w:rPr>
      </w:pPr>
      <w:r>
        <w:rPr>
          <w:sz w:val="2"/>
          <w:szCs w:val="2"/>
        </w:rPr>
        <w:br w:type="column"/>
      </w:r>
    </w:p>
    <w:p w14:paraId="27525BB4">
      <w:pPr>
        <w:spacing w:before="166" w:line="231" w:lineRule="auto"/>
        <w:ind w:left="15"/>
        <w:rPr>
          <w:rFonts w:ascii="宋体" w:hAnsi="宋体" w:eastAsia="宋体" w:cs="宋体"/>
          <w:sz w:val="14"/>
          <w:szCs w:val="14"/>
        </w:rPr>
      </w:pPr>
      <w:r>
        <w:drawing>
          <wp:anchor distT="0" distB="0" distL="0" distR="0" simplePos="0" relativeHeight="251689984" behindDoc="1" locked="0" layoutInCell="1" allowOverlap="1">
            <wp:simplePos x="0" y="0"/>
            <wp:positionH relativeFrom="column">
              <wp:posOffset>0</wp:posOffset>
            </wp:positionH>
            <wp:positionV relativeFrom="paragraph">
              <wp:posOffset>-635</wp:posOffset>
            </wp:positionV>
            <wp:extent cx="323850" cy="252730"/>
            <wp:effectExtent l="0" t="0" r="0" b="0"/>
            <wp:wrapNone/>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271"/>
                    <a:stretch>
                      <a:fillRect/>
                    </a:stretch>
                  </pic:blipFill>
                  <pic:spPr>
                    <a:xfrm>
                      <a:off x="0" y="0"/>
                      <a:ext cx="323850" cy="252730"/>
                    </a:xfrm>
                    <a:prstGeom prst="rect">
                      <a:avLst/>
                    </a:prstGeom>
                  </pic:spPr>
                </pic:pic>
              </a:graphicData>
            </a:graphic>
          </wp:anchor>
        </w:drawing>
      </w:r>
      <w:r>
        <w:rPr>
          <w:rFonts w:ascii="宋体" w:hAnsi="宋体" w:eastAsia="宋体" w:cs="宋体"/>
          <w:b/>
          <w:bCs/>
          <w:color w:val="FF0000"/>
          <w:spacing w:val="7"/>
          <w:sz w:val="14"/>
          <w:szCs w:val="14"/>
        </w:rPr>
        <w:t>危废暂存间</w:t>
      </w:r>
    </w:p>
    <w:p w14:paraId="488E9D2D">
      <w:pPr>
        <w:spacing w:line="231" w:lineRule="auto"/>
        <w:rPr>
          <w:rFonts w:ascii="宋体" w:hAnsi="宋体" w:eastAsia="宋体" w:cs="宋体"/>
          <w:sz w:val="14"/>
          <w:szCs w:val="14"/>
        </w:rPr>
        <w:sectPr>
          <w:type w:val="continuous"/>
          <w:pgSz w:w="23811" w:h="16838"/>
          <w:pgMar w:top="400" w:right="1810" w:bottom="1295" w:left="1468" w:header="0" w:footer="1133" w:gutter="0"/>
          <w:cols w:equalWidth="0" w:num="2">
            <w:col w:w="12640" w:space="100"/>
            <w:col w:w="7794"/>
          </w:cols>
        </w:sectPr>
      </w:pPr>
    </w:p>
    <w:p w14:paraId="2B553C41">
      <w:pPr>
        <w:pStyle w:val="3"/>
        <w:spacing w:line="302" w:lineRule="auto"/>
      </w:pPr>
    </w:p>
    <w:p w14:paraId="3F124862">
      <w:pPr>
        <w:pStyle w:val="3"/>
        <w:spacing w:line="303" w:lineRule="auto"/>
      </w:pPr>
    </w:p>
    <w:p w14:paraId="690BF731">
      <w:pPr>
        <w:pStyle w:val="3"/>
        <w:spacing w:line="303" w:lineRule="auto"/>
      </w:pPr>
    </w:p>
    <w:p w14:paraId="6FE6071B">
      <w:pPr>
        <w:pStyle w:val="3"/>
        <w:spacing w:line="2842" w:lineRule="exact"/>
        <w:ind w:firstLine="4555"/>
      </w:pPr>
      <w:r>
        <w:pict>
          <v:shape id="_x0000_s1054" o:spid="_x0000_s1054" o:spt="202" type="#_x0000_t202" style="position:absolute;left:0pt;margin-left:572.65pt;margin-top:9.45pt;height:10.8pt;width:31.75pt;z-index:251692032;mso-width-relative:page;mso-height-relative:page;" filled="f" stroked="f" coordsize="21600,21600">
            <v:path/>
            <v:fill on="f" focussize="0,0"/>
            <v:stroke on="f"/>
            <v:imagedata o:title=""/>
            <o:lock v:ext="edit" aspectratio="f"/>
            <v:textbox inset="0mm,0mm,0mm,0mm">
              <w:txbxContent>
                <w:p w14:paraId="38173C7B">
                  <w:pPr>
                    <w:spacing w:before="19" w:line="232" w:lineRule="auto"/>
                    <w:ind w:left="20"/>
                    <w:rPr>
                      <w:rFonts w:ascii="宋体" w:hAnsi="宋体" w:eastAsia="宋体" w:cs="宋体"/>
                      <w:sz w:val="14"/>
                      <w:szCs w:val="14"/>
                    </w:rPr>
                  </w:pPr>
                  <w:r>
                    <w:rPr>
                      <w:rFonts w:ascii="宋体" w:hAnsi="宋体" w:eastAsia="宋体" w:cs="宋体"/>
                      <w:b/>
                      <w:bCs/>
                      <w:color w:val="FF0000"/>
                      <w:spacing w:val="7"/>
                      <w:sz w:val="14"/>
                      <w:szCs w:val="14"/>
                    </w:rPr>
                    <w:t>事故油池</w:t>
                  </w:r>
                </w:p>
              </w:txbxContent>
            </v:textbox>
          </v:shape>
        </w:pict>
      </w:r>
      <w:r>
        <w:drawing>
          <wp:anchor distT="0" distB="0" distL="0" distR="0" simplePos="0" relativeHeight="251691008" behindDoc="0" locked="0" layoutInCell="1" allowOverlap="1">
            <wp:simplePos x="0" y="0"/>
            <wp:positionH relativeFrom="column">
              <wp:posOffset>7240270</wp:posOffset>
            </wp:positionH>
            <wp:positionV relativeFrom="paragraph">
              <wp:posOffset>62865</wp:posOffset>
            </wp:positionV>
            <wp:extent cx="323850" cy="252730"/>
            <wp:effectExtent l="0" t="0" r="0" b="0"/>
            <wp:wrapNone/>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272"/>
                    <a:stretch>
                      <a:fillRect/>
                    </a:stretch>
                  </pic:blipFill>
                  <pic:spPr>
                    <a:xfrm>
                      <a:off x="0" y="0"/>
                      <a:ext cx="323850" cy="252730"/>
                    </a:xfrm>
                    <a:prstGeom prst="rect">
                      <a:avLst/>
                    </a:prstGeom>
                  </pic:spPr>
                </pic:pic>
              </a:graphicData>
            </a:graphic>
          </wp:anchor>
        </w:drawing>
      </w:r>
      <w:r>
        <w:rPr>
          <w:position w:val="-56"/>
        </w:rPr>
        <w:pict>
          <v:group id="_x0000_s1055" o:spid="_x0000_s1055" o:spt="203" style="height:142.1pt;width:351.85pt;" coordsize="7037,2842">
            <o:lock v:ext="edit"/>
            <v:shape id="_x0000_s1056" o:spid="_x0000_s1056" o:spt="75" type="#_x0000_t75" style="position:absolute;left:0;top:0;height:2842;width:7037;" filled="f" stroked="f" coordsize="21600,21600">
              <v:path/>
              <v:fill on="f" focussize="0,0"/>
              <v:stroke on="f"/>
              <v:imagedata r:id="rId273" o:title=""/>
              <o:lock v:ext="edit" aspectratio="t"/>
            </v:shape>
            <v:shape id="_x0000_s1057" o:spid="_x0000_s1057" o:spt="202" type="#_x0000_t202" style="position:absolute;left:2811;top:289;height:837;width:395;" filled="f" stroked="f" coordsize="21600,21600">
              <v:path/>
              <v:fill on="f" focussize="0,0"/>
              <v:stroke on="f"/>
              <v:imagedata o:title=""/>
              <o:lock v:ext="edit" aspectratio="f"/>
              <v:textbox inset="0mm,0mm,0mm,0mm">
                <w:txbxContent>
                  <w:p w14:paraId="4886CCAE">
                    <w:pPr>
                      <w:spacing w:before="19" w:line="233" w:lineRule="auto"/>
                      <w:ind w:left="81"/>
                      <w:rPr>
                        <w:rFonts w:ascii="宋体" w:hAnsi="宋体" w:eastAsia="宋体" w:cs="宋体"/>
                        <w:sz w:val="14"/>
                        <w:szCs w:val="14"/>
                      </w:rPr>
                    </w:pPr>
                    <w:r>
                      <w:rPr>
                        <w:rFonts w:ascii="宋体" w:hAnsi="宋体" w:eastAsia="宋体" w:cs="宋体"/>
                        <w:b/>
                        <w:bCs/>
                        <w:color w:val="FF0000"/>
                        <w:spacing w:val="5"/>
                        <w:sz w:val="14"/>
                        <w:szCs w:val="14"/>
                      </w:rPr>
                      <w:t>主变</w:t>
                    </w:r>
                  </w:p>
                  <w:p w14:paraId="00BED17A">
                    <w:pPr>
                      <w:spacing w:line="423" w:lineRule="auto"/>
                      <w:rPr>
                        <w:rFonts w:ascii="Arial"/>
                        <w:sz w:val="21"/>
                      </w:rPr>
                    </w:pPr>
                  </w:p>
                  <w:p w14:paraId="2EDF25EB">
                    <w:pPr>
                      <w:spacing w:before="45" w:line="235" w:lineRule="auto"/>
                      <w:ind w:left="20"/>
                      <w:rPr>
                        <w:rFonts w:ascii="宋体" w:hAnsi="宋体" w:eastAsia="宋体" w:cs="宋体"/>
                        <w:sz w:val="14"/>
                        <w:szCs w:val="14"/>
                      </w:rPr>
                    </w:pPr>
                    <w:r>
                      <w:rPr>
                        <w:rFonts w:ascii="宋体" w:hAnsi="宋体" w:eastAsia="宋体" w:cs="宋体"/>
                        <w:b/>
                        <w:bCs/>
                        <w:color w:val="FF0000"/>
                        <w:sz w:val="14"/>
                        <w:szCs w:val="14"/>
                      </w:rPr>
                      <w:t>配</w:t>
                    </w:r>
                    <w:r>
                      <w:rPr>
                        <w:rFonts w:ascii="宋体" w:hAnsi="宋体" w:eastAsia="宋体" w:cs="宋体"/>
                        <w:color w:val="FF0000"/>
                        <w:spacing w:val="-26"/>
                        <w:sz w:val="14"/>
                        <w:szCs w:val="14"/>
                      </w:rPr>
                      <w:t xml:space="preserve"> </w:t>
                    </w:r>
                    <w:r>
                      <w:rPr>
                        <w:rFonts w:ascii="宋体" w:hAnsi="宋体" w:eastAsia="宋体" w:cs="宋体"/>
                        <w:b/>
                        <w:bCs/>
                        <w:color w:val="FF0000"/>
                        <w:sz w:val="14"/>
                        <w:szCs w:val="14"/>
                      </w:rPr>
                      <w:t>电</w:t>
                    </w:r>
                  </w:p>
                </w:txbxContent>
              </v:textbox>
            </v:shape>
            <v:shape id="_x0000_s1058" o:spid="_x0000_s1058" o:spt="202" type="#_x0000_t202" style="position:absolute;left:2964;top:2268;height:145;width:341;" filled="f" stroked="f" coordsize="21600,21600">
              <v:path/>
              <v:fill on="f" focussize="0,0"/>
              <v:stroke on="f"/>
              <v:imagedata o:title=""/>
              <o:lock v:ext="edit" aspectratio="f"/>
              <v:textbox inset="0mm,0mm,0mm,0mm">
                <w:txbxContent>
                  <w:p w14:paraId="602E4876">
                    <w:pPr>
                      <w:spacing w:before="20" w:line="198" w:lineRule="auto"/>
                      <w:ind w:left="20"/>
                      <w:rPr>
                        <w:rFonts w:ascii="Times New Roman" w:hAnsi="Times New Roman" w:eastAsia="Times New Roman" w:cs="Times New Roman"/>
                        <w:sz w:val="14"/>
                        <w:szCs w:val="14"/>
                      </w:rPr>
                    </w:pPr>
                    <w:r>
                      <w:rPr>
                        <w:rFonts w:ascii="Times New Roman" w:hAnsi="Times New Roman" w:eastAsia="Times New Roman" w:cs="Times New Roman"/>
                        <w:b/>
                        <w:bCs/>
                        <w:color w:val="FF0000"/>
                        <w:spacing w:val="4"/>
                        <w:sz w:val="14"/>
                        <w:szCs w:val="14"/>
                      </w:rPr>
                      <w:t>SVG</w:t>
                    </w:r>
                  </w:p>
                </w:txbxContent>
              </v:textbox>
            </v:shape>
            <w10:wrap type="none"/>
            <w10:anchorlock/>
          </v:group>
        </w:pict>
      </w:r>
    </w:p>
    <w:p w14:paraId="3503C8A0">
      <w:pPr>
        <w:spacing w:line="2842" w:lineRule="exact"/>
        <w:sectPr>
          <w:type w:val="continuous"/>
          <w:pgSz w:w="23811" w:h="16838"/>
          <w:pgMar w:top="400" w:right="1810" w:bottom="1295" w:left="1468" w:header="0" w:footer="1133" w:gutter="0"/>
          <w:cols w:equalWidth="0" w:num="1">
            <w:col w:w="20533"/>
          </w:cols>
        </w:sectPr>
      </w:pPr>
    </w:p>
    <w:p w14:paraId="41FACBE3">
      <w:pPr>
        <w:pStyle w:val="3"/>
        <w:spacing w:line="247" w:lineRule="auto"/>
      </w:pPr>
    </w:p>
    <w:p w14:paraId="0133995B">
      <w:pPr>
        <w:pStyle w:val="3"/>
        <w:spacing w:line="247" w:lineRule="auto"/>
      </w:pPr>
    </w:p>
    <w:p w14:paraId="08DB2A7E">
      <w:pPr>
        <w:pStyle w:val="3"/>
        <w:spacing w:line="247" w:lineRule="auto"/>
      </w:pPr>
    </w:p>
    <w:p w14:paraId="7CC594C7">
      <w:pPr>
        <w:pStyle w:val="3"/>
        <w:spacing w:line="247" w:lineRule="auto"/>
      </w:pPr>
    </w:p>
    <w:p w14:paraId="5011EB0B">
      <w:pPr>
        <w:pStyle w:val="3"/>
        <w:spacing w:line="247" w:lineRule="auto"/>
      </w:pPr>
    </w:p>
    <w:p w14:paraId="5A100B95">
      <w:pPr>
        <w:pStyle w:val="3"/>
        <w:spacing w:line="248" w:lineRule="auto"/>
      </w:pPr>
    </w:p>
    <w:p w14:paraId="60D67DCC">
      <w:pPr>
        <w:spacing w:before="78" w:line="219" w:lineRule="auto"/>
        <w:outlineLvl w:val="1"/>
        <w:rPr>
          <w:rFonts w:ascii="宋体" w:hAnsi="宋体" w:eastAsia="宋体" w:cs="宋体"/>
          <w:sz w:val="24"/>
          <w:szCs w:val="24"/>
        </w:rPr>
      </w:pPr>
      <w:r>
        <w:rPr>
          <w:rFonts w:ascii="宋体" w:hAnsi="宋体" w:eastAsia="宋体" w:cs="宋体"/>
          <w:b/>
          <w:bCs/>
          <w:spacing w:val="-4"/>
          <w:sz w:val="24"/>
          <w:szCs w:val="24"/>
        </w:rPr>
        <w:t>附图</w:t>
      </w:r>
      <w:r>
        <w:rPr>
          <w:rFonts w:ascii="宋体" w:hAnsi="宋体" w:eastAsia="宋体" w:cs="宋体"/>
          <w:spacing w:val="-50"/>
          <w:sz w:val="24"/>
          <w:szCs w:val="24"/>
        </w:rPr>
        <w:t xml:space="preserve"> </w:t>
      </w:r>
      <w:r>
        <w:rPr>
          <w:rFonts w:ascii="Times New Roman" w:hAnsi="Times New Roman" w:eastAsia="Times New Roman" w:cs="Times New Roman"/>
          <w:b/>
          <w:bCs/>
          <w:spacing w:val="-4"/>
          <w:sz w:val="24"/>
          <w:szCs w:val="24"/>
        </w:rPr>
        <w:t xml:space="preserve">4  </w:t>
      </w:r>
      <w:r>
        <w:rPr>
          <w:rFonts w:ascii="宋体" w:hAnsi="宋体" w:eastAsia="宋体" w:cs="宋体"/>
          <w:b/>
          <w:bCs/>
          <w:spacing w:val="-4"/>
          <w:sz w:val="24"/>
          <w:szCs w:val="24"/>
        </w:rPr>
        <w:t>噪声及电磁监测布点图</w:t>
      </w:r>
    </w:p>
    <w:p w14:paraId="1FACE638">
      <w:pPr>
        <w:spacing w:before="14" w:line="7116" w:lineRule="exact"/>
        <w:ind w:firstLine="2196"/>
      </w:pPr>
      <w:r>
        <w:rPr>
          <w:position w:val="-142"/>
        </w:rPr>
        <w:drawing>
          <wp:inline distT="0" distB="0" distL="0" distR="0">
            <wp:extent cx="6341110" cy="4518660"/>
            <wp:effectExtent l="0" t="0" r="0" b="0"/>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274"/>
                    <a:stretch>
                      <a:fillRect/>
                    </a:stretch>
                  </pic:blipFill>
                  <pic:spPr>
                    <a:xfrm>
                      <a:off x="0" y="0"/>
                      <a:ext cx="6341363" cy="4518660"/>
                    </a:xfrm>
                    <a:prstGeom prst="rect">
                      <a:avLst/>
                    </a:prstGeom>
                  </pic:spPr>
                </pic:pic>
              </a:graphicData>
            </a:graphic>
          </wp:inline>
        </w:drawing>
      </w:r>
    </w:p>
    <w:p w14:paraId="7FC2FCD2">
      <w:pPr>
        <w:spacing w:line="7116" w:lineRule="exact"/>
        <w:sectPr>
          <w:headerReference r:id="rId110" w:type="default"/>
          <w:footerReference r:id="rId111" w:type="default"/>
          <w:pgSz w:w="16838" w:h="11906"/>
          <w:pgMar w:top="400" w:right="2525" w:bottom="1295" w:left="1468" w:header="0" w:footer="1133" w:gutter="0"/>
          <w:cols w:space="720" w:num="1"/>
        </w:sectPr>
      </w:pPr>
    </w:p>
    <w:p w14:paraId="69451284">
      <w:pPr>
        <w:pStyle w:val="3"/>
        <w:spacing w:line="247" w:lineRule="auto"/>
      </w:pPr>
    </w:p>
    <w:p w14:paraId="22D282A1">
      <w:pPr>
        <w:pStyle w:val="3"/>
        <w:spacing w:line="247" w:lineRule="auto"/>
      </w:pPr>
    </w:p>
    <w:p w14:paraId="383D79AD">
      <w:pPr>
        <w:pStyle w:val="3"/>
        <w:spacing w:line="247" w:lineRule="auto"/>
      </w:pPr>
    </w:p>
    <w:p w14:paraId="2CF04226">
      <w:pPr>
        <w:pStyle w:val="3"/>
        <w:spacing w:line="247" w:lineRule="auto"/>
      </w:pPr>
    </w:p>
    <w:p w14:paraId="67C0B293">
      <w:pPr>
        <w:pStyle w:val="3"/>
        <w:spacing w:line="247" w:lineRule="auto"/>
      </w:pPr>
    </w:p>
    <w:p w14:paraId="4C48A774">
      <w:pPr>
        <w:pStyle w:val="3"/>
        <w:spacing w:line="248" w:lineRule="auto"/>
      </w:pPr>
    </w:p>
    <w:p w14:paraId="095FEE0B">
      <w:pPr>
        <w:spacing w:before="78" w:line="219" w:lineRule="auto"/>
        <w:outlineLvl w:val="1"/>
        <w:rPr>
          <w:rFonts w:ascii="宋体" w:hAnsi="宋体" w:eastAsia="宋体" w:cs="宋体"/>
          <w:sz w:val="24"/>
          <w:szCs w:val="24"/>
        </w:rPr>
      </w:pPr>
      <w:r>
        <w:rPr>
          <w:rFonts w:ascii="宋体" w:hAnsi="宋体" w:eastAsia="宋体" w:cs="宋体"/>
          <w:b/>
          <w:bCs/>
          <w:spacing w:val="-4"/>
          <w:sz w:val="24"/>
          <w:szCs w:val="24"/>
        </w:rPr>
        <w:t>附图</w:t>
      </w:r>
      <w:r>
        <w:rPr>
          <w:rFonts w:ascii="宋体" w:hAnsi="宋体" w:eastAsia="宋体" w:cs="宋体"/>
          <w:spacing w:val="-43"/>
          <w:sz w:val="24"/>
          <w:szCs w:val="24"/>
        </w:rPr>
        <w:t xml:space="preserve"> </w:t>
      </w:r>
      <w:r>
        <w:rPr>
          <w:rFonts w:ascii="Times New Roman" w:hAnsi="Times New Roman" w:eastAsia="Times New Roman" w:cs="Times New Roman"/>
          <w:b/>
          <w:bCs/>
          <w:spacing w:val="-4"/>
          <w:sz w:val="24"/>
          <w:szCs w:val="24"/>
        </w:rPr>
        <w:t xml:space="preserve">5  </w:t>
      </w:r>
      <w:r>
        <w:rPr>
          <w:rFonts w:ascii="宋体" w:hAnsi="宋体" w:eastAsia="宋体" w:cs="宋体"/>
          <w:b/>
          <w:bCs/>
          <w:spacing w:val="-4"/>
          <w:sz w:val="24"/>
          <w:szCs w:val="24"/>
        </w:rPr>
        <w:t>典型生态保护措施平面图见图</w:t>
      </w:r>
    </w:p>
    <w:p w14:paraId="43D3C6F6">
      <w:pPr>
        <w:spacing w:before="14" w:line="6317" w:lineRule="exact"/>
        <w:ind w:firstLine="1546"/>
      </w:pPr>
      <w:r>
        <w:rPr>
          <w:position w:val="-126"/>
        </w:rPr>
        <w:drawing>
          <wp:inline distT="0" distB="0" distL="0" distR="0">
            <wp:extent cx="6863715" cy="4010660"/>
            <wp:effectExtent l="0" t="0" r="0" b="0"/>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275"/>
                    <a:stretch>
                      <a:fillRect/>
                    </a:stretch>
                  </pic:blipFill>
                  <pic:spPr>
                    <a:xfrm>
                      <a:off x="0" y="0"/>
                      <a:ext cx="6864097" cy="4011168"/>
                    </a:xfrm>
                    <a:prstGeom prst="rect">
                      <a:avLst/>
                    </a:prstGeom>
                  </pic:spPr>
                </pic:pic>
              </a:graphicData>
            </a:graphic>
          </wp:inline>
        </w:drawing>
      </w:r>
    </w:p>
    <w:p w14:paraId="658A1E1D">
      <w:pPr>
        <w:spacing w:line="6317" w:lineRule="exact"/>
        <w:sectPr>
          <w:footerReference r:id="rId112" w:type="default"/>
          <w:pgSz w:w="16838" w:h="11906"/>
          <w:pgMar w:top="400" w:right="2525" w:bottom="1295" w:left="1468" w:header="0" w:footer="1133" w:gutter="0"/>
          <w:cols w:space="720" w:num="1"/>
        </w:sectPr>
      </w:pPr>
    </w:p>
    <w:p w14:paraId="28C65655">
      <w:pPr>
        <w:pStyle w:val="3"/>
        <w:spacing w:line="281" w:lineRule="auto"/>
      </w:pPr>
    </w:p>
    <w:p w14:paraId="4E233F46">
      <w:pPr>
        <w:pStyle w:val="3"/>
        <w:spacing w:line="281" w:lineRule="auto"/>
      </w:pPr>
    </w:p>
    <w:p w14:paraId="4856342E">
      <w:pPr>
        <w:pStyle w:val="3"/>
        <w:spacing w:line="282" w:lineRule="auto"/>
      </w:pPr>
    </w:p>
    <w:p w14:paraId="6986FEC7">
      <w:pPr>
        <w:pStyle w:val="3"/>
        <w:spacing w:line="282" w:lineRule="auto"/>
      </w:pPr>
    </w:p>
    <w:p w14:paraId="4C1BF673">
      <w:pPr>
        <w:spacing w:before="78" w:line="219" w:lineRule="auto"/>
        <w:ind w:left="42"/>
        <w:outlineLvl w:val="1"/>
        <w:rPr>
          <w:rFonts w:ascii="宋体" w:hAnsi="宋体" w:eastAsia="宋体" w:cs="宋体"/>
          <w:sz w:val="24"/>
          <w:szCs w:val="24"/>
        </w:rPr>
      </w:pPr>
      <w:r>
        <w:rPr>
          <w:rFonts w:ascii="宋体" w:hAnsi="宋体" w:eastAsia="宋体" w:cs="宋体"/>
          <w:b/>
          <w:bCs/>
          <w:spacing w:val="-13"/>
          <w:sz w:val="24"/>
          <w:szCs w:val="24"/>
        </w:rPr>
        <w:t>附件</w:t>
      </w:r>
      <w:r>
        <w:rPr>
          <w:rFonts w:ascii="宋体" w:hAnsi="宋体" w:eastAsia="宋体" w:cs="宋体"/>
          <w:spacing w:val="-39"/>
          <w:sz w:val="24"/>
          <w:szCs w:val="24"/>
        </w:rPr>
        <w:t xml:space="preserve"> </w:t>
      </w:r>
      <w:r>
        <w:rPr>
          <w:rFonts w:ascii="Times New Roman" w:hAnsi="Times New Roman" w:eastAsia="Times New Roman" w:cs="Times New Roman"/>
          <w:b/>
          <w:bCs/>
          <w:spacing w:val="-13"/>
          <w:sz w:val="24"/>
          <w:szCs w:val="24"/>
        </w:rPr>
        <w:t>1</w:t>
      </w:r>
      <w:r>
        <w:rPr>
          <w:rFonts w:ascii="Times New Roman" w:hAnsi="Times New Roman" w:eastAsia="Times New Roman" w:cs="Times New Roman"/>
          <w:b/>
          <w:bCs/>
          <w:spacing w:val="-30"/>
          <w:sz w:val="24"/>
          <w:szCs w:val="24"/>
        </w:rPr>
        <w:t xml:space="preserve"> </w:t>
      </w:r>
      <w:r>
        <w:rPr>
          <w:rFonts w:ascii="宋体" w:hAnsi="宋体" w:eastAsia="宋体" w:cs="宋体"/>
          <w:b/>
          <w:bCs/>
          <w:spacing w:val="-13"/>
          <w:sz w:val="24"/>
          <w:szCs w:val="24"/>
        </w:rPr>
        <w:t>：委托书</w:t>
      </w:r>
    </w:p>
    <w:p w14:paraId="509493D8">
      <w:pPr>
        <w:spacing w:before="14" w:line="11719" w:lineRule="exact"/>
        <w:ind w:firstLine="14"/>
      </w:pPr>
      <w:r>
        <w:rPr>
          <w:position w:val="-234"/>
        </w:rPr>
        <w:drawing>
          <wp:inline distT="0" distB="0" distL="0" distR="0">
            <wp:extent cx="5262245" cy="7441565"/>
            <wp:effectExtent l="0" t="0" r="0" b="0"/>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r:embed="rId276"/>
                    <a:stretch>
                      <a:fillRect/>
                    </a:stretch>
                  </pic:blipFill>
                  <pic:spPr>
                    <a:xfrm>
                      <a:off x="0" y="0"/>
                      <a:ext cx="5262372" cy="7441692"/>
                    </a:xfrm>
                    <a:prstGeom prst="rect">
                      <a:avLst/>
                    </a:prstGeom>
                  </pic:spPr>
                </pic:pic>
              </a:graphicData>
            </a:graphic>
          </wp:inline>
        </w:drawing>
      </w:r>
    </w:p>
    <w:p w14:paraId="6B2BB42A">
      <w:pPr>
        <w:spacing w:line="11719" w:lineRule="exact"/>
        <w:sectPr>
          <w:footerReference r:id="rId113" w:type="default"/>
          <w:pgSz w:w="11906" w:h="16838"/>
          <w:pgMar w:top="400" w:right="1785" w:bottom="1295" w:left="1785" w:header="0" w:footer="1133" w:gutter="0"/>
          <w:cols w:space="720" w:num="1"/>
        </w:sectPr>
      </w:pPr>
    </w:p>
    <w:p w14:paraId="11CEE84C">
      <w:pPr>
        <w:pStyle w:val="3"/>
        <w:spacing w:line="281" w:lineRule="auto"/>
      </w:pPr>
    </w:p>
    <w:p w14:paraId="21E27230">
      <w:pPr>
        <w:pStyle w:val="3"/>
        <w:spacing w:line="281" w:lineRule="auto"/>
      </w:pPr>
    </w:p>
    <w:p w14:paraId="5EA28100">
      <w:pPr>
        <w:pStyle w:val="3"/>
        <w:spacing w:line="282" w:lineRule="auto"/>
      </w:pPr>
    </w:p>
    <w:p w14:paraId="045BCDD4">
      <w:pPr>
        <w:pStyle w:val="3"/>
        <w:spacing w:line="282" w:lineRule="auto"/>
      </w:pPr>
    </w:p>
    <w:p w14:paraId="503F77CB">
      <w:pPr>
        <w:spacing w:before="78" w:line="219" w:lineRule="auto"/>
        <w:ind w:left="42"/>
        <w:outlineLvl w:val="1"/>
        <w:rPr>
          <w:rFonts w:ascii="宋体" w:hAnsi="宋体" w:eastAsia="宋体" w:cs="宋体"/>
          <w:sz w:val="24"/>
          <w:szCs w:val="24"/>
        </w:rPr>
      </w:pPr>
      <w:r>
        <w:rPr>
          <w:rFonts w:ascii="宋体" w:hAnsi="宋体" w:eastAsia="宋体" w:cs="宋体"/>
          <w:b/>
          <w:bCs/>
          <w:spacing w:val="-6"/>
          <w:sz w:val="24"/>
          <w:szCs w:val="24"/>
        </w:rPr>
        <w:t>附件</w:t>
      </w:r>
      <w:r>
        <w:rPr>
          <w:rFonts w:ascii="宋体" w:hAnsi="宋体" w:eastAsia="宋体" w:cs="宋体"/>
          <w:spacing w:val="-42"/>
          <w:sz w:val="24"/>
          <w:szCs w:val="24"/>
        </w:rPr>
        <w:t xml:space="preserve"> </w:t>
      </w:r>
      <w:r>
        <w:rPr>
          <w:rFonts w:ascii="Times New Roman" w:hAnsi="Times New Roman" w:eastAsia="Times New Roman" w:cs="Times New Roman"/>
          <w:b/>
          <w:bCs/>
          <w:spacing w:val="-6"/>
          <w:sz w:val="24"/>
          <w:szCs w:val="24"/>
        </w:rPr>
        <w:t xml:space="preserve">2  </w:t>
      </w:r>
      <w:r>
        <w:rPr>
          <w:rFonts w:ascii="宋体" w:hAnsi="宋体" w:eastAsia="宋体" w:cs="宋体"/>
          <w:b/>
          <w:bCs/>
          <w:spacing w:val="-6"/>
          <w:sz w:val="24"/>
          <w:szCs w:val="24"/>
        </w:rPr>
        <w:t>一期</w:t>
      </w:r>
      <w:r>
        <w:rPr>
          <w:rFonts w:ascii="Times New Roman" w:hAnsi="Times New Roman" w:eastAsia="Times New Roman" w:cs="Times New Roman"/>
          <w:b/>
          <w:bCs/>
          <w:spacing w:val="-6"/>
          <w:sz w:val="24"/>
          <w:szCs w:val="24"/>
        </w:rPr>
        <w:t>~</w:t>
      </w:r>
      <w:r>
        <w:rPr>
          <w:rFonts w:ascii="Times New Roman" w:hAnsi="Times New Roman" w:eastAsia="Times New Roman" w:cs="Times New Roman"/>
          <w:b/>
          <w:bCs/>
          <w:spacing w:val="-32"/>
          <w:sz w:val="24"/>
          <w:szCs w:val="24"/>
        </w:rPr>
        <w:t xml:space="preserve"> </w:t>
      </w:r>
      <w:r>
        <w:rPr>
          <w:rFonts w:ascii="宋体" w:hAnsi="宋体" w:eastAsia="宋体" w:cs="宋体"/>
          <w:b/>
          <w:bCs/>
          <w:spacing w:val="-6"/>
          <w:sz w:val="24"/>
          <w:szCs w:val="24"/>
        </w:rPr>
        <w:t>四期项目核准文件</w:t>
      </w:r>
    </w:p>
    <w:p w14:paraId="0D37A36D">
      <w:pPr>
        <w:spacing w:before="14" w:line="11722" w:lineRule="exact"/>
        <w:ind w:firstLine="14"/>
      </w:pPr>
      <w:r>
        <w:rPr>
          <w:position w:val="-234"/>
        </w:rPr>
        <w:drawing>
          <wp:inline distT="0" distB="0" distL="0" distR="0">
            <wp:extent cx="5259070" cy="7442835"/>
            <wp:effectExtent l="0" t="0" r="0" b="0"/>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277"/>
                    <a:stretch>
                      <a:fillRect/>
                    </a:stretch>
                  </pic:blipFill>
                  <pic:spPr>
                    <a:xfrm>
                      <a:off x="0" y="0"/>
                      <a:ext cx="5259324" cy="7443216"/>
                    </a:xfrm>
                    <a:prstGeom prst="rect">
                      <a:avLst/>
                    </a:prstGeom>
                  </pic:spPr>
                </pic:pic>
              </a:graphicData>
            </a:graphic>
          </wp:inline>
        </w:drawing>
      </w:r>
    </w:p>
    <w:p w14:paraId="079E7385">
      <w:pPr>
        <w:spacing w:line="11722" w:lineRule="exact"/>
        <w:sectPr>
          <w:footerReference r:id="rId114" w:type="default"/>
          <w:pgSz w:w="11906" w:h="16838"/>
          <w:pgMar w:top="400" w:right="1785" w:bottom="1295" w:left="1785" w:header="0" w:footer="1133" w:gutter="0"/>
          <w:cols w:space="720" w:num="1"/>
        </w:sectPr>
      </w:pPr>
    </w:p>
    <w:p w14:paraId="47F6F23B">
      <w:pPr>
        <w:pStyle w:val="3"/>
        <w:spacing w:line="258" w:lineRule="auto"/>
      </w:pPr>
    </w:p>
    <w:p w14:paraId="67B61AB1">
      <w:pPr>
        <w:pStyle w:val="3"/>
        <w:spacing w:line="258" w:lineRule="auto"/>
      </w:pPr>
    </w:p>
    <w:p w14:paraId="12A5F940">
      <w:pPr>
        <w:pStyle w:val="3"/>
        <w:spacing w:line="258" w:lineRule="auto"/>
      </w:pPr>
    </w:p>
    <w:p w14:paraId="02B5F72C">
      <w:pPr>
        <w:pStyle w:val="3"/>
        <w:spacing w:line="259" w:lineRule="auto"/>
      </w:pPr>
    </w:p>
    <w:p w14:paraId="63A8D940">
      <w:pPr>
        <w:spacing w:line="11722" w:lineRule="exact"/>
        <w:ind w:firstLine="14"/>
      </w:pPr>
      <w:r>
        <w:rPr>
          <w:position w:val="-234"/>
        </w:rPr>
        <w:drawing>
          <wp:inline distT="0" distB="0" distL="0" distR="0">
            <wp:extent cx="5259070" cy="7442835"/>
            <wp:effectExtent l="0" t="0" r="0" b="0"/>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r:embed="rId278"/>
                    <a:stretch>
                      <a:fillRect/>
                    </a:stretch>
                  </pic:blipFill>
                  <pic:spPr>
                    <a:xfrm>
                      <a:off x="0" y="0"/>
                      <a:ext cx="5259324" cy="7443216"/>
                    </a:xfrm>
                    <a:prstGeom prst="rect">
                      <a:avLst/>
                    </a:prstGeom>
                  </pic:spPr>
                </pic:pic>
              </a:graphicData>
            </a:graphic>
          </wp:inline>
        </w:drawing>
      </w:r>
    </w:p>
    <w:p w14:paraId="3C6342BD">
      <w:pPr>
        <w:spacing w:line="11722" w:lineRule="exact"/>
        <w:sectPr>
          <w:footerReference r:id="rId115" w:type="default"/>
          <w:pgSz w:w="11906" w:h="16838"/>
          <w:pgMar w:top="400" w:right="1785" w:bottom="1295" w:left="1785" w:header="0" w:footer="1133" w:gutter="0"/>
          <w:cols w:space="720" w:num="1"/>
        </w:sectPr>
      </w:pPr>
    </w:p>
    <w:p w14:paraId="36B4BDDB">
      <w:pPr>
        <w:pStyle w:val="3"/>
        <w:spacing w:line="281" w:lineRule="auto"/>
      </w:pPr>
    </w:p>
    <w:p w14:paraId="1BE97A26">
      <w:pPr>
        <w:pStyle w:val="3"/>
        <w:spacing w:line="281" w:lineRule="auto"/>
      </w:pPr>
    </w:p>
    <w:p w14:paraId="4B910CEF">
      <w:pPr>
        <w:pStyle w:val="3"/>
        <w:spacing w:line="282" w:lineRule="auto"/>
      </w:pPr>
    </w:p>
    <w:p w14:paraId="075B8CF9">
      <w:pPr>
        <w:pStyle w:val="3"/>
        <w:spacing w:line="282" w:lineRule="auto"/>
      </w:pPr>
    </w:p>
    <w:p w14:paraId="56E33C1F">
      <w:pPr>
        <w:spacing w:before="78" w:line="219" w:lineRule="auto"/>
        <w:ind w:left="42"/>
        <w:outlineLvl w:val="1"/>
        <w:rPr>
          <w:rFonts w:ascii="宋体" w:hAnsi="宋体" w:eastAsia="宋体" w:cs="宋体"/>
          <w:sz w:val="24"/>
          <w:szCs w:val="24"/>
        </w:rPr>
      </w:pPr>
      <w:r>
        <w:rPr>
          <w:rFonts w:ascii="宋体" w:hAnsi="宋体" w:eastAsia="宋体" w:cs="宋体"/>
          <w:b/>
          <w:bCs/>
          <w:spacing w:val="-9"/>
          <w:sz w:val="24"/>
          <w:szCs w:val="24"/>
        </w:rPr>
        <w:t>附件</w:t>
      </w:r>
      <w:r>
        <w:rPr>
          <w:rFonts w:ascii="宋体" w:hAnsi="宋体" w:eastAsia="宋体" w:cs="宋体"/>
          <w:spacing w:val="-53"/>
          <w:sz w:val="24"/>
          <w:szCs w:val="24"/>
        </w:rPr>
        <w:t xml:space="preserve"> </w:t>
      </w:r>
      <w:r>
        <w:rPr>
          <w:rFonts w:ascii="Times New Roman" w:hAnsi="Times New Roman" w:eastAsia="Times New Roman" w:cs="Times New Roman"/>
          <w:b/>
          <w:bCs/>
          <w:spacing w:val="-9"/>
          <w:sz w:val="24"/>
          <w:szCs w:val="24"/>
        </w:rPr>
        <w:t>3</w:t>
      </w:r>
      <w:r>
        <w:rPr>
          <w:rFonts w:ascii="Times New Roman" w:hAnsi="Times New Roman" w:eastAsia="Times New Roman" w:cs="Times New Roman"/>
          <w:b/>
          <w:bCs/>
          <w:spacing w:val="7"/>
          <w:sz w:val="24"/>
          <w:szCs w:val="24"/>
        </w:rPr>
        <w:t xml:space="preserve">  </w:t>
      </w:r>
      <w:r>
        <w:rPr>
          <w:rFonts w:ascii="宋体" w:hAnsi="宋体" w:eastAsia="宋体" w:cs="宋体"/>
          <w:b/>
          <w:bCs/>
          <w:spacing w:val="-9"/>
          <w:sz w:val="24"/>
          <w:szCs w:val="24"/>
        </w:rPr>
        <w:t>五期核准</w:t>
      </w:r>
    </w:p>
    <w:p w14:paraId="0A550718">
      <w:pPr>
        <w:spacing w:before="14" w:line="11494" w:lineRule="exact"/>
        <w:ind w:firstLine="14"/>
      </w:pPr>
      <w:r>
        <w:rPr>
          <w:position w:val="-229"/>
        </w:rPr>
        <w:drawing>
          <wp:inline distT="0" distB="0" distL="0" distR="0">
            <wp:extent cx="5248275" cy="7298055"/>
            <wp:effectExtent l="0" t="0" r="0" b="0"/>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r:embed="rId279"/>
                    <a:stretch>
                      <a:fillRect/>
                    </a:stretch>
                  </pic:blipFill>
                  <pic:spPr>
                    <a:xfrm>
                      <a:off x="0" y="0"/>
                      <a:ext cx="5248656" cy="7298436"/>
                    </a:xfrm>
                    <a:prstGeom prst="rect">
                      <a:avLst/>
                    </a:prstGeom>
                  </pic:spPr>
                </pic:pic>
              </a:graphicData>
            </a:graphic>
          </wp:inline>
        </w:drawing>
      </w:r>
    </w:p>
    <w:p w14:paraId="2105C23B">
      <w:pPr>
        <w:spacing w:line="11494" w:lineRule="exact"/>
        <w:sectPr>
          <w:footerReference r:id="rId116" w:type="default"/>
          <w:pgSz w:w="11906" w:h="16838"/>
          <w:pgMar w:top="400" w:right="1785" w:bottom="1295" w:left="1785" w:header="0" w:footer="1133" w:gutter="0"/>
          <w:cols w:space="720" w:num="1"/>
        </w:sectPr>
      </w:pPr>
    </w:p>
    <w:p w14:paraId="5EDE8F57">
      <w:pPr>
        <w:pStyle w:val="3"/>
        <w:spacing w:line="258" w:lineRule="auto"/>
      </w:pPr>
    </w:p>
    <w:p w14:paraId="1E535902">
      <w:pPr>
        <w:pStyle w:val="3"/>
        <w:spacing w:line="258" w:lineRule="auto"/>
      </w:pPr>
    </w:p>
    <w:p w14:paraId="766DC1FD">
      <w:pPr>
        <w:pStyle w:val="3"/>
        <w:spacing w:line="258" w:lineRule="auto"/>
      </w:pPr>
    </w:p>
    <w:p w14:paraId="34918025">
      <w:pPr>
        <w:pStyle w:val="3"/>
        <w:spacing w:line="259" w:lineRule="auto"/>
      </w:pPr>
    </w:p>
    <w:p w14:paraId="20796F94">
      <w:pPr>
        <w:spacing w:line="11775" w:lineRule="exact"/>
        <w:ind w:firstLine="14"/>
      </w:pPr>
      <w:r>
        <w:rPr>
          <w:position w:val="-235"/>
        </w:rPr>
        <w:drawing>
          <wp:inline distT="0" distB="0" distL="0" distR="0">
            <wp:extent cx="5342890" cy="7476490"/>
            <wp:effectExtent l="0" t="0" r="0" b="0"/>
            <wp:docPr id="126" name="IM 126"/>
            <wp:cNvGraphicFramePr/>
            <a:graphic xmlns:a="http://schemas.openxmlformats.org/drawingml/2006/main">
              <a:graphicData uri="http://schemas.openxmlformats.org/drawingml/2006/picture">
                <pic:pic xmlns:pic="http://schemas.openxmlformats.org/drawingml/2006/picture">
                  <pic:nvPicPr>
                    <pic:cNvPr id="126" name="IM 126"/>
                    <pic:cNvPicPr/>
                  </pic:nvPicPr>
                  <pic:blipFill>
                    <a:blip r:embed="rId280"/>
                    <a:stretch>
                      <a:fillRect/>
                    </a:stretch>
                  </pic:blipFill>
                  <pic:spPr>
                    <a:xfrm>
                      <a:off x="0" y="0"/>
                      <a:ext cx="5343144" cy="7476744"/>
                    </a:xfrm>
                    <a:prstGeom prst="rect">
                      <a:avLst/>
                    </a:prstGeom>
                  </pic:spPr>
                </pic:pic>
              </a:graphicData>
            </a:graphic>
          </wp:inline>
        </w:drawing>
      </w:r>
    </w:p>
    <w:p w14:paraId="0BF6B868">
      <w:pPr>
        <w:spacing w:line="11775" w:lineRule="exact"/>
        <w:sectPr>
          <w:footerReference r:id="rId117" w:type="default"/>
          <w:pgSz w:w="11906" w:h="16838"/>
          <w:pgMar w:top="400" w:right="1691" w:bottom="1295" w:left="1785" w:header="0" w:footer="1133" w:gutter="0"/>
          <w:cols w:space="720" w:num="1"/>
        </w:sectPr>
      </w:pPr>
    </w:p>
    <w:p w14:paraId="0E8938BB">
      <w:pPr>
        <w:pStyle w:val="3"/>
        <w:spacing w:line="281" w:lineRule="auto"/>
      </w:pPr>
    </w:p>
    <w:p w14:paraId="5F9CEE91">
      <w:pPr>
        <w:pStyle w:val="3"/>
        <w:spacing w:line="281" w:lineRule="auto"/>
      </w:pPr>
    </w:p>
    <w:p w14:paraId="3812CEF7">
      <w:pPr>
        <w:pStyle w:val="3"/>
        <w:spacing w:line="282" w:lineRule="auto"/>
      </w:pPr>
    </w:p>
    <w:p w14:paraId="4C87F72C">
      <w:pPr>
        <w:pStyle w:val="3"/>
        <w:spacing w:line="282" w:lineRule="auto"/>
      </w:pPr>
    </w:p>
    <w:p w14:paraId="1F5C78EC">
      <w:pPr>
        <w:spacing w:before="78" w:line="219" w:lineRule="auto"/>
        <w:ind w:left="42"/>
        <w:outlineLvl w:val="1"/>
        <w:rPr>
          <w:rFonts w:ascii="宋体" w:hAnsi="宋体" w:eastAsia="宋体" w:cs="宋体"/>
          <w:sz w:val="24"/>
          <w:szCs w:val="24"/>
        </w:rPr>
      </w:pPr>
      <w:r>
        <w:rPr>
          <w:rFonts w:ascii="宋体" w:hAnsi="宋体" w:eastAsia="宋体" w:cs="宋体"/>
          <w:b/>
          <w:bCs/>
          <w:spacing w:val="-5"/>
          <w:sz w:val="24"/>
          <w:szCs w:val="24"/>
        </w:rPr>
        <w:t>附件</w:t>
      </w:r>
      <w:r>
        <w:rPr>
          <w:rFonts w:ascii="宋体" w:hAnsi="宋体" w:eastAsia="宋体" w:cs="宋体"/>
          <w:spacing w:val="-54"/>
          <w:sz w:val="24"/>
          <w:szCs w:val="24"/>
        </w:rPr>
        <w:t xml:space="preserve"> </w:t>
      </w:r>
      <w:r>
        <w:rPr>
          <w:rFonts w:ascii="Times New Roman" w:hAnsi="Times New Roman" w:eastAsia="Times New Roman" w:cs="Times New Roman"/>
          <w:b/>
          <w:bCs/>
          <w:spacing w:val="-5"/>
          <w:sz w:val="24"/>
          <w:szCs w:val="24"/>
        </w:rPr>
        <w:t xml:space="preserve">4    </w:t>
      </w:r>
      <w:r>
        <w:rPr>
          <w:rFonts w:ascii="宋体" w:hAnsi="宋体" w:eastAsia="宋体" w:cs="宋体"/>
          <w:b/>
          <w:bCs/>
          <w:spacing w:val="-5"/>
          <w:sz w:val="24"/>
          <w:szCs w:val="24"/>
        </w:rPr>
        <w:t>一期</w:t>
      </w:r>
      <w:r>
        <w:rPr>
          <w:rFonts w:ascii="Times New Roman" w:hAnsi="Times New Roman" w:eastAsia="Times New Roman" w:cs="Times New Roman"/>
          <w:b/>
          <w:bCs/>
          <w:spacing w:val="-5"/>
          <w:sz w:val="24"/>
          <w:szCs w:val="24"/>
        </w:rPr>
        <w:t>~</w:t>
      </w:r>
      <w:r>
        <w:rPr>
          <w:rFonts w:ascii="Times New Roman" w:hAnsi="Times New Roman" w:eastAsia="Times New Roman" w:cs="Times New Roman"/>
          <w:b/>
          <w:bCs/>
          <w:spacing w:val="-33"/>
          <w:sz w:val="24"/>
          <w:szCs w:val="24"/>
        </w:rPr>
        <w:t xml:space="preserve"> </w:t>
      </w:r>
      <w:r>
        <w:rPr>
          <w:rFonts w:ascii="宋体" w:hAnsi="宋体" w:eastAsia="宋体" w:cs="宋体"/>
          <w:b/>
          <w:bCs/>
          <w:spacing w:val="-5"/>
          <w:sz w:val="24"/>
          <w:szCs w:val="24"/>
        </w:rPr>
        <w:t>四期选址文件</w:t>
      </w:r>
    </w:p>
    <w:p w14:paraId="1FFC32C7">
      <w:pPr>
        <w:spacing w:before="14" w:line="11722" w:lineRule="exact"/>
        <w:ind w:firstLine="494"/>
      </w:pPr>
      <w:r>
        <w:rPr>
          <w:position w:val="-234"/>
        </w:rPr>
        <w:drawing>
          <wp:inline distT="0" distB="0" distL="0" distR="0">
            <wp:extent cx="5259070" cy="7442835"/>
            <wp:effectExtent l="0" t="0" r="0" b="0"/>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r:embed="rId281"/>
                    <a:stretch>
                      <a:fillRect/>
                    </a:stretch>
                  </pic:blipFill>
                  <pic:spPr>
                    <a:xfrm>
                      <a:off x="0" y="0"/>
                      <a:ext cx="5259324" cy="7443216"/>
                    </a:xfrm>
                    <a:prstGeom prst="rect">
                      <a:avLst/>
                    </a:prstGeom>
                  </pic:spPr>
                </pic:pic>
              </a:graphicData>
            </a:graphic>
          </wp:inline>
        </w:drawing>
      </w:r>
    </w:p>
    <w:p w14:paraId="4650D735">
      <w:pPr>
        <w:spacing w:line="11722" w:lineRule="exact"/>
        <w:sectPr>
          <w:footerReference r:id="rId118" w:type="default"/>
          <w:pgSz w:w="11906" w:h="16838"/>
          <w:pgMar w:top="400" w:right="1343" w:bottom="1295" w:left="1785" w:header="0" w:footer="1133" w:gutter="0"/>
          <w:cols w:space="720" w:num="1"/>
        </w:sectPr>
      </w:pPr>
    </w:p>
    <w:p w14:paraId="495F5358">
      <w:pPr>
        <w:pStyle w:val="3"/>
        <w:spacing w:line="258" w:lineRule="auto"/>
      </w:pPr>
    </w:p>
    <w:p w14:paraId="450CDDAE">
      <w:pPr>
        <w:pStyle w:val="3"/>
        <w:spacing w:line="258" w:lineRule="auto"/>
      </w:pPr>
    </w:p>
    <w:p w14:paraId="4E3389CC">
      <w:pPr>
        <w:pStyle w:val="3"/>
        <w:spacing w:line="258" w:lineRule="auto"/>
      </w:pPr>
    </w:p>
    <w:p w14:paraId="263442BE">
      <w:pPr>
        <w:pStyle w:val="3"/>
        <w:spacing w:line="259" w:lineRule="auto"/>
      </w:pPr>
    </w:p>
    <w:p w14:paraId="0B363CD7">
      <w:pPr>
        <w:spacing w:line="11722" w:lineRule="exact"/>
        <w:ind w:firstLine="14"/>
      </w:pPr>
      <w:r>
        <w:rPr>
          <w:position w:val="-234"/>
        </w:rPr>
        <w:drawing>
          <wp:inline distT="0" distB="0" distL="0" distR="0">
            <wp:extent cx="5259070" cy="7442835"/>
            <wp:effectExtent l="0" t="0" r="0" b="0"/>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r:embed="rId282"/>
                    <a:stretch>
                      <a:fillRect/>
                    </a:stretch>
                  </pic:blipFill>
                  <pic:spPr>
                    <a:xfrm>
                      <a:off x="0" y="0"/>
                      <a:ext cx="5259324" cy="7443216"/>
                    </a:xfrm>
                    <a:prstGeom prst="rect">
                      <a:avLst/>
                    </a:prstGeom>
                  </pic:spPr>
                </pic:pic>
              </a:graphicData>
            </a:graphic>
          </wp:inline>
        </w:drawing>
      </w:r>
    </w:p>
    <w:p w14:paraId="11C6CC92">
      <w:pPr>
        <w:spacing w:line="11722" w:lineRule="exact"/>
        <w:sectPr>
          <w:footerReference r:id="rId119" w:type="default"/>
          <w:pgSz w:w="11906" w:h="16838"/>
          <w:pgMar w:top="400" w:right="1785" w:bottom="1295" w:left="1785" w:header="0" w:footer="1133" w:gutter="0"/>
          <w:cols w:space="720" w:num="1"/>
        </w:sectPr>
      </w:pPr>
    </w:p>
    <w:p w14:paraId="3AD2CA3A">
      <w:pPr>
        <w:pStyle w:val="3"/>
        <w:spacing w:line="281" w:lineRule="auto"/>
      </w:pPr>
    </w:p>
    <w:p w14:paraId="112ACE74">
      <w:pPr>
        <w:pStyle w:val="3"/>
        <w:spacing w:line="281" w:lineRule="auto"/>
      </w:pPr>
    </w:p>
    <w:p w14:paraId="6BA59314">
      <w:pPr>
        <w:pStyle w:val="3"/>
        <w:spacing w:line="282" w:lineRule="auto"/>
      </w:pPr>
    </w:p>
    <w:p w14:paraId="129A70AE">
      <w:pPr>
        <w:pStyle w:val="3"/>
        <w:spacing w:line="282" w:lineRule="auto"/>
      </w:pPr>
    </w:p>
    <w:p w14:paraId="18347891">
      <w:pPr>
        <w:spacing w:before="78" w:line="219" w:lineRule="auto"/>
        <w:ind w:left="42"/>
        <w:outlineLvl w:val="1"/>
        <w:rPr>
          <w:rFonts w:ascii="宋体" w:hAnsi="宋体" w:eastAsia="宋体" w:cs="宋体"/>
          <w:sz w:val="24"/>
          <w:szCs w:val="24"/>
        </w:rPr>
      </w:pPr>
      <w:r>
        <w:rPr>
          <w:rFonts w:ascii="宋体" w:hAnsi="宋体" w:eastAsia="宋体" w:cs="宋体"/>
          <w:b/>
          <w:bCs/>
          <w:spacing w:val="-5"/>
          <w:sz w:val="24"/>
          <w:szCs w:val="24"/>
        </w:rPr>
        <w:t>附件</w:t>
      </w:r>
      <w:r>
        <w:rPr>
          <w:rFonts w:ascii="宋体" w:hAnsi="宋体" w:eastAsia="宋体" w:cs="宋体"/>
          <w:spacing w:val="-50"/>
          <w:sz w:val="24"/>
          <w:szCs w:val="24"/>
        </w:rPr>
        <w:t xml:space="preserve"> </w:t>
      </w:r>
      <w:r>
        <w:rPr>
          <w:rFonts w:ascii="Times New Roman" w:hAnsi="Times New Roman" w:eastAsia="Times New Roman" w:cs="Times New Roman"/>
          <w:b/>
          <w:bCs/>
          <w:spacing w:val="-5"/>
          <w:sz w:val="24"/>
          <w:szCs w:val="24"/>
        </w:rPr>
        <w:t xml:space="preserve">5  </w:t>
      </w:r>
      <w:r>
        <w:rPr>
          <w:rFonts w:ascii="宋体" w:hAnsi="宋体" w:eastAsia="宋体" w:cs="宋体"/>
          <w:b/>
          <w:bCs/>
          <w:spacing w:val="-5"/>
          <w:sz w:val="24"/>
          <w:szCs w:val="24"/>
        </w:rPr>
        <w:t>五期选址意见</w:t>
      </w:r>
    </w:p>
    <w:p w14:paraId="3FCEC27E">
      <w:pPr>
        <w:spacing w:before="14" w:line="10872" w:lineRule="exact"/>
        <w:ind w:firstLine="494"/>
      </w:pPr>
      <w:r>
        <w:rPr>
          <w:position w:val="-217"/>
        </w:rPr>
        <w:drawing>
          <wp:inline distT="0" distB="0" distL="0" distR="0">
            <wp:extent cx="5163185" cy="6903085"/>
            <wp:effectExtent l="0" t="0" r="0" b="0"/>
            <wp:docPr id="132" name="IM 132"/>
            <wp:cNvGraphicFramePr/>
            <a:graphic xmlns:a="http://schemas.openxmlformats.org/drawingml/2006/main">
              <a:graphicData uri="http://schemas.openxmlformats.org/drawingml/2006/picture">
                <pic:pic xmlns:pic="http://schemas.openxmlformats.org/drawingml/2006/picture">
                  <pic:nvPicPr>
                    <pic:cNvPr id="132" name="IM 132"/>
                    <pic:cNvPicPr/>
                  </pic:nvPicPr>
                  <pic:blipFill>
                    <a:blip r:embed="rId283"/>
                    <a:stretch>
                      <a:fillRect/>
                    </a:stretch>
                  </pic:blipFill>
                  <pic:spPr>
                    <a:xfrm>
                      <a:off x="0" y="0"/>
                      <a:ext cx="5163312" cy="6903719"/>
                    </a:xfrm>
                    <a:prstGeom prst="rect">
                      <a:avLst/>
                    </a:prstGeom>
                  </pic:spPr>
                </pic:pic>
              </a:graphicData>
            </a:graphic>
          </wp:inline>
        </w:drawing>
      </w:r>
    </w:p>
    <w:p w14:paraId="20667BE7">
      <w:pPr>
        <w:spacing w:line="10872" w:lineRule="exact"/>
        <w:sectPr>
          <w:footerReference r:id="rId120" w:type="default"/>
          <w:pgSz w:w="11906" w:h="16838"/>
          <w:pgMar w:top="400" w:right="1494" w:bottom="1295" w:left="1785" w:header="0" w:footer="1133" w:gutter="0"/>
          <w:cols w:space="720" w:num="1"/>
        </w:sectPr>
      </w:pPr>
    </w:p>
    <w:p w14:paraId="03C869E4">
      <w:pPr>
        <w:pStyle w:val="3"/>
        <w:spacing w:line="258" w:lineRule="auto"/>
      </w:pPr>
    </w:p>
    <w:p w14:paraId="7DC9247C">
      <w:pPr>
        <w:pStyle w:val="3"/>
        <w:spacing w:line="258" w:lineRule="auto"/>
      </w:pPr>
    </w:p>
    <w:p w14:paraId="1D69CEC6">
      <w:pPr>
        <w:pStyle w:val="3"/>
        <w:spacing w:line="258" w:lineRule="auto"/>
      </w:pPr>
    </w:p>
    <w:p w14:paraId="04D7F3E5">
      <w:pPr>
        <w:pStyle w:val="3"/>
        <w:spacing w:line="259" w:lineRule="auto"/>
      </w:pPr>
    </w:p>
    <w:p w14:paraId="46591926">
      <w:pPr>
        <w:spacing w:line="12048" w:lineRule="exact"/>
        <w:ind w:firstLine="14"/>
      </w:pPr>
      <w:r>
        <w:rPr>
          <w:position w:val="-240"/>
        </w:rPr>
        <w:drawing>
          <wp:inline distT="0" distB="0" distL="0" distR="0">
            <wp:extent cx="5562600" cy="7650480"/>
            <wp:effectExtent l="0" t="0" r="0" b="0"/>
            <wp:docPr id="134" name="IM 134"/>
            <wp:cNvGraphicFramePr/>
            <a:graphic xmlns:a="http://schemas.openxmlformats.org/drawingml/2006/main">
              <a:graphicData uri="http://schemas.openxmlformats.org/drawingml/2006/picture">
                <pic:pic xmlns:pic="http://schemas.openxmlformats.org/drawingml/2006/picture">
                  <pic:nvPicPr>
                    <pic:cNvPr id="134" name="IM 134"/>
                    <pic:cNvPicPr/>
                  </pic:nvPicPr>
                  <pic:blipFill>
                    <a:blip r:embed="rId284"/>
                    <a:stretch>
                      <a:fillRect/>
                    </a:stretch>
                  </pic:blipFill>
                  <pic:spPr>
                    <a:xfrm>
                      <a:off x="0" y="0"/>
                      <a:ext cx="5562600" cy="7650480"/>
                    </a:xfrm>
                    <a:prstGeom prst="rect">
                      <a:avLst/>
                    </a:prstGeom>
                  </pic:spPr>
                </pic:pic>
              </a:graphicData>
            </a:graphic>
          </wp:inline>
        </w:drawing>
      </w:r>
    </w:p>
    <w:p w14:paraId="1A474C1E">
      <w:pPr>
        <w:spacing w:line="12048" w:lineRule="exact"/>
        <w:sectPr>
          <w:footerReference r:id="rId121" w:type="default"/>
          <w:pgSz w:w="11906" w:h="16838"/>
          <w:pgMar w:top="400" w:right="1345" w:bottom="1295" w:left="1785" w:header="0" w:footer="1133" w:gutter="0"/>
          <w:cols w:space="720" w:num="1"/>
        </w:sectPr>
      </w:pPr>
    </w:p>
    <w:p w14:paraId="7140BF88">
      <w:pPr>
        <w:pStyle w:val="3"/>
        <w:spacing w:line="258" w:lineRule="auto"/>
      </w:pPr>
    </w:p>
    <w:p w14:paraId="67B8ACDB">
      <w:pPr>
        <w:pStyle w:val="3"/>
        <w:spacing w:line="258" w:lineRule="auto"/>
      </w:pPr>
    </w:p>
    <w:p w14:paraId="6CBDB42E">
      <w:pPr>
        <w:pStyle w:val="3"/>
        <w:spacing w:line="258" w:lineRule="auto"/>
      </w:pPr>
    </w:p>
    <w:p w14:paraId="75B56781">
      <w:pPr>
        <w:pStyle w:val="3"/>
        <w:spacing w:line="259" w:lineRule="auto"/>
      </w:pPr>
    </w:p>
    <w:p w14:paraId="02415BDE">
      <w:pPr>
        <w:spacing w:line="11983" w:lineRule="exact"/>
        <w:ind w:firstLine="14"/>
      </w:pPr>
      <w:r>
        <w:rPr>
          <w:position w:val="-239"/>
        </w:rPr>
        <w:drawing>
          <wp:inline distT="0" distB="0" distL="0" distR="0">
            <wp:extent cx="5597525" cy="7609205"/>
            <wp:effectExtent l="0" t="0" r="0" b="0"/>
            <wp:docPr id="136" name="IM 136"/>
            <wp:cNvGraphicFramePr/>
            <a:graphic xmlns:a="http://schemas.openxmlformats.org/drawingml/2006/main">
              <a:graphicData uri="http://schemas.openxmlformats.org/drawingml/2006/picture">
                <pic:pic xmlns:pic="http://schemas.openxmlformats.org/drawingml/2006/picture">
                  <pic:nvPicPr>
                    <pic:cNvPr id="136" name="IM 136"/>
                    <pic:cNvPicPr/>
                  </pic:nvPicPr>
                  <pic:blipFill>
                    <a:blip r:embed="rId285"/>
                    <a:stretch>
                      <a:fillRect/>
                    </a:stretch>
                  </pic:blipFill>
                  <pic:spPr>
                    <a:xfrm>
                      <a:off x="0" y="0"/>
                      <a:ext cx="5597652" cy="7609331"/>
                    </a:xfrm>
                    <a:prstGeom prst="rect">
                      <a:avLst/>
                    </a:prstGeom>
                  </pic:spPr>
                </pic:pic>
              </a:graphicData>
            </a:graphic>
          </wp:inline>
        </w:drawing>
      </w:r>
    </w:p>
    <w:p w14:paraId="1D47BABB">
      <w:pPr>
        <w:spacing w:line="11983" w:lineRule="exact"/>
        <w:sectPr>
          <w:footerReference r:id="rId122" w:type="default"/>
          <w:pgSz w:w="11906" w:h="16838"/>
          <w:pgMar w:top="400" w:right="1290" w:bottom="1295" w:left="1785" w:header="0" w:footer="1133" w:gutter="0"/>
          <w:cols w:space="720" w:num="1"/>
        </w:sectPr>
      </w:pPr>
    </w:p>
    <w:p w14:paraId="0045D3B0">
      <w:pPr>
        <w:pStyle w:val="3"/>
        <w:spacing w:line="281" w:lineRule="auto"/>
      </w:pPr>
    </w:p>
    <w:p w14:paraId="44957283">
      <w:pPr>
        <w:pStyle w:val="3"/>
        <w:spacing w:line="281" w:lineRule="auto"/>
      </w:pPr>
    </w:p>
    <w:p w14:paraId="1875AA44">
      <w:pPr>
        <w:pStyle w:val="3"/>
        <w:spacing w:line="282" w:lineRule="auto"/>
      </w:pPr>
    </w:p>
    <w:p w14:paraId="52AB9043">
      <w:pPr>
        <w:pStyle w:val="3"/>
        <w:spacing w:line="282" w:lineRule="auto"/>
      </w:pPr>
    </w:p>
    <w:p w14:paraId="7709F4F5">
      <w:pPr>
        <w:spacing w:before="78" w:line="219" w:lineRule="auto"/>
        <w:ind w:left="42"/>
        <w:outlineLvl w:val="1"/>
        <w:rPr>
          <w:rFonts w:ascii="宋体" w:hAnsi="宋体" w:eastAsia="宋体" w:cs="宋体"/>
          <w:sz w:val="24"/>
          <w:szCs w:val="24"/>
        </w:rPr>
      </w:pPr>
      <w:r>
        <w:rPr>
          <w:rFonts w:ascii="宋体" w:hAnsi="宋体" w:eastAsia="宋体" w:cs="宋体"/>
          <w:b/>
          <w:bCs/>
          <w:spacing w:val="-5"/>
          <w:sz w:val="24"/>
          <w:szCs w:val="24"/>
        </w:rPr>
        <w:t>附件</w:t>
      </w:r>
      <w:r>
        <w:rPr>
          <w:rFonts w:ascii="宋体" w:hAnsi="宋体" w:eastAsia="宋体" w:cs="宋体"/>
          <w:spacing w:val="-43"/>
          <w:sz w:val="24"/>
          <w:szCs w:val="24"/>
        </w:rPr>
        <w:t xml:space="preserve"> </w:t>
      </w:r>
      <w:r>
        <w:rPr>
          <w:rFonts w:ascii="Times New Roman" w:hAnsi="Times New Roman" w:eastAsia="Times New Roman" w:cs="Times New Roman"/>
          <w:b/>
          <w:bCs/>
          <w:spacing w:val="-5"/>
          <w:sz w:val="24"/>
          <w:szCs w:val="24"/>
        </w:rPr>
        <w:t xml:space="preserve">6  </w:t>
      </w:r>
      <w:r>
        <w:rPr>
          <w:rFonts w:ascii="宋体" w:hAnsi="宋体" w:eastAsia="宋体" w:cs="宋体"/>
          <w:b/>
          <w:bCs/>
          <w:spacing w:val="-5"/>
          <w:sz w:val="24"/>
          <w:szCs w:val="24"/>
        </w:rPr>
        <w:t>风场环评批复文件</w:t>
      </w:r>
    </w:p>
    <w:p w14:paraId="5D7FC5E9">
      <w:pPr>
        <w:spacing w:before="14" w:line="11722" w:lineRule="exact"/>
        <w:ind w:firstLine="494"/>
      </w:pPr>
      <w:r>
        <w:rPr>
          <w:position w:val="-234"/>
        </w:rPr>
        <w:drawing>
          <wp:inline distT="0" distB="0" distL="0" distR="0">
            <wp:extent cx="5259070" cy="7442835"/>
            <wp:effectExtent l="0" t="0" r="0" b="0"/>
            <wp:docPr id="138" name="IM 138"/>
            <wp:cNvGraphicFramePr/>
            <a:graphic xmlns:a="http://schemas.openxmlformats.org/drawingml/2006/main">
              <a:graphicData uri="http://schemas.openxmlformats.org/drawingml/2006/picture">
                <pic:pic xmlns:pic="http://schemas.openxmlformats.org/drawingml/2006/picture">
                  <pic:nvPicPr>
                    <pic:cNvPr id="138" name="IM 138"/>
                    <pic:cNvPicPr/>
                  </pic:nvPicPr>
                  <pic:blipFill>
                    <a:blip r:embed="rId286"/>
                    <a:stretch>
                      <a:fillRect/>
                    </a:stretch>
                  </pic:blipFill>
                  <pic:spPr>
                    <a:xfrm>
                      <a:off x="0" y="0"/>
                      <a:ext cx="5259324" cy="7443216"/>
                    </a:xfrm>
                    <a:prstGeom prst="rect">
                      <a:avLst/>
                    </a:prstGeom>
                  </pic:spPr>
                </pic:pic>
              </a:graphicData>
            </a:graphic>
          </wp:inline>
        </w:drawing>
      </w:r>
    </w:p>
    <w:p w14:paraId="34CCB7A9">
      <w:pPr>
        <w:spacing w:line="11722" w:lineRule="exact"/>
        <w:sectPr>
          <w:footerReference r:id="rId123" w:type="default"/>
          <w:pgSz w:w="11906" w:h="16838"/>
          <w:pgMar w:top="400" w:right="1343" w:bottom="1295" w:left="1785" w:header="0" w:footer="1133" w:gutter="0"/>
          <w:cols w:space="720" w:num="1"/>
        </w:sectPr>
      </w:pPr>
    </w:p>
    <w:p w14:paraId="3A85F486">
      <w:pPr>
        <w:pStyle w:val="3"/>
        <w:spacing w:line="258" w:lineRule="auto"/>
      </w:pPr>
    </w:p>
    <w:p w14:paraId="4850160E">
      <w:pPr>
        <w:pStyle w:val="3"/>
        <w:spacing w:line="258" w:lineRule="auto"/>
      </w:pPr>
    </w:p>
    <w:p w14:paraId="0640F955">
      <w:pPr>
        <w:pStyle w:val="3"/>
        <w:spacing w:line="258" w:lineRule="auto"/>
      </w:pPr>
    </w:p>
    <w:p w14:paraId="7EE5C413">
      <w:pPr>
        <w:pStyle w:val="3"/>
        <w:spacing w:line="259" w:lineRule="auto"/>
      </w:pPr>
    </w:p>
    <w:p w14:paraId="68E9EA9E">
      <w:pPr>
        <w:spacing w:line="11722" w:lineRule="exact"/>
        <w:ind w:firstLine="14"/>
      </w:pPr>
      <w:r>
        <w:rPr>
          <w:position w:val="-234"/>
        </w:rPr>
        <w:drawing>
          <wp:inline distT="0" distB="0" distL="0" distR="0">
            <wp:extent cx="5259070" cy="7442835"/>
            <wp:effectExtent l="0" t="0" r="0" b="0"/>
            <wp:docPr id="140" name="IM 140"/>
            <wp:cNvGraphicFramePr/>
            <a:graphic xmlns:a="http://schemas.openxmlformats.org/drawingml/2006/main">
              <a:graphicData uri="http://schemas.openxmlformats.org/drawingml/2006/picture">
                <pic:pic xmlns:pic="http://schemas.openxmlformats.org/drawingml/2006/picture">
                  <pic:nvPicPr>
                    <pic:cNvPr id="140" name="IM 140"/>
                    <pic:cNvPicPr/>
                  </pic:nvPicPr>
                  <pic:blipFill>
                    <a:blip r:embed="rId287"/>
                    <a:stretch>
                      <a:fillRect/>
                    </a:stretch>
                  </pic:blipFill>
                  <pic:spPr>
                    <a:xfrm>
                      <a:off x="0" y="0"/>
                      <a:ext cx="5259324" cy="7443216"/>
                    </a:xfrm>
                    <a:prstGeom prst="rect">
                      <a:avLst/>
                    </a:prstGeom>
                  </pic:spPr>
                </pic:pic>
              </a:graphicData>
            </a:graphic>
          </wp:inline>
        </w:drawing>
      </w:r>
    </w:p>
    <w:p w14:paraId="7EB9FC43">
      <w:pPr>
        <w:spacing w:line="11722" w:lineRule="exact"/>
        <w:sectPr>
          <w:footerReference r:id="rId124" w:type="default"/>
          <w:pgSz w:w="11906" w:h="16838"/>
          <w:pgMar w:top="400" w:right="1785" w:bottom="1295" w:left="1785" w:header="0" w:footer="1133" w:gutter="0"/>
          <w:cols w:space="720" w:num="1"/>
        </w:sectPr>
      </w:pPr>
    </w:p>
    <w:p w14:paraId="14CC5DFE">
      <w:pPr>
        <w:pStyle w:val="3"/>
        <w:spacing w:line="258" w:lineRule="auto"/>
      </w:pPr>
    </w:p>
    <w:p w14:paraId="03D634FB">
      <w:pPr>
        <w:pStyle w:val="3"/>
        <w:spacing w:line="258" w:lineRule="auto"/>
      </w:pPr>
    </w:p>
    <w:p w14:paraId="3E91C9DB">
      <w:pPr>
        <w:pStyle w:val="3"/>
        <w:spacing w:line="258" w:lineRule="auto"/>
      </w:pPr>
    </w:p>
    <w:p w14:paraId="6942B1A7">
      <w:pPr>
        <w:pStyle w:val="3"/>
        <w:spacing w:line="259" w:lineRule="auto"/>
      </w:pPr>
    </w:p>
    <w:p w14:paraId="30536AA9">
      <w:pPr>
        <w:spacing w:line="11722" w:lineRule="exact"/>
        <w:ind w:firstLine="14"/>
      </w:pPr>
      <w:r>
        <w:rPr>
          <w:position w:val="-234"/>
        </w:rPr>
        <w:drawing>
          <wp:inline distT="0" distB="0" distL="0" distR="0">
            <wp:extent cx="5259070" cy="7442835"/>
            <wp:effectExtent l="0" t="0" r="0" b="0"/>
            <wp:docPr id="142" name="IM 142"/>
            <wp:cNvGraphicFramePr/>
            <a:graphic xmlns:a="http://schemas.openxmlformats.org/drawingml/2006/main">
              <a:graphicData uri="http://schemas.openxmlformats.org/drawingml/2006/picture">
                <pic:pic xmlns:pic="http://schemas.openxmlformats.org/drawingml/2006/picture">
                  <pic:nvPicPr>
                    <pic:cNvPr id="142" name="IM 142"/>
                    <pic:cNvPicPr/>
                  </pic:nvPicPr>
                  <pic:blipFill>
                    <a:blip r:embed="rId288"/>
                    <a:stretch>
                      <a:fillRect/>
                    </a:stretch>
                  </pic:blipFill>
                  <pic:spPr>
                    <a:xfrm>
                      <a:off x="0" y="0"/>
                      <a:ext cx="5259324" cy="7443216"/>
                    </a:xfrm>
                    <a:prstGeom prst="rect">
                      <a:avLst/>
                    </a:prstGeom>
                  </pic:spPr>
                </pic:pic>
              </a:graphicData>
            </a:graphic>
          </wp:inline>
        </w:drawing>
      </w:r>
    </w:p>
    <w:p w14:paraId="7E42A83C">
      <w:pPr>
        <w:spacing w:line="11722" w:lineRule="exact"/>
        <w:sectPr>
          <w:footerReference r:id="rId125" w:type="default"/>
          <w:pgSz w:w="11906" w:h="16838"/>
          <w:pgMar w:top="400" w:right="1785" w:bottom="1295" w:left="1785" w:header="0" w:footer="1133" w:gutter="0"/>
          <w:cols w:space="720" w:num="1"/>
        </w:sectPr>
      </w:pPr>
    </w:p>
    <w:p w14:paraId="18BD613A">
      <w:pPr>
        <w:pStyle w:val="3"/>
        <w:spacing w:line="258" w:lineRule="auto"/>
      </w:pPr>
    </w:p>
    <w:p w14:paraId="13F86589">
      <w:pPr>
        <w:pStyle w:val="3"/>
        <w:spacing w:line="258" w:lineRule="auto"/>
      </w:pPr>
    </w:p>
    <w:p w14:paraId="5D583223">
      <w:pPr>
        <w:pStyle w:val="3"/>
        <w:spacing w:line="258" w:lineRule="auto"/>
      </w:pPr>
    </w:p>
    <w:p w14:paraId="36213A62">
      <w:pPr>
        <w:pStyle w:val="3"/>
        <w:spacing w:line="259" w:lineRule="auto"/>
      </w:pPr>
    </w:p>
    <w:p w14:paraId="2062D031">
      <w:pPr>
        <w:spacing w:line="10709" w:lineRule="exact"/>
        <w:ind w:firstLine="14"/>
      </w:pPr>
      <w:r>
        <w:rPr>
          <w:position w:val="-214"/>
        </w:rPr>
        <w:drawing>
          <wp:inline distT="0" distB="0" distL="0" distR="0">
            <wp:extent cx="5254625" cy="6799580"/>
            <wp:effectExtent l="0" t="0" r="0" b="0"/>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289"/>
                    <a:stretch>
                      <a:fillRect/>
                    </a:stretch>
                  </pic:blipFill>
                  <pic:spPr>
                    <a:xfrm>
                      <a:off x="0" y="0"/>
                      <a:ext cx="5254752" cy="6800088"/>
                    </a:xfrm>
                    <a:prstGeom prst="rect">
                      <a:avLst/>
                    </a:prstGeom>
                  </pic:spPr>
                </pic:pic>
              </a:graphicData>
            </a:graphic>
          </wp:inline>
        </w:drawing>
      </w:r>
    </w:p>
    <w:p w14:paraId="5DC4DAED">
      <w:pPr>
        <w:spacing w:line="10709" w:lineRule="exact"/>
        <w:sectPr>
          <w:footerReference r:id="rId126" w:type="default"/>
          <w:pgSz w:w="11906" w:h="16838"/>
          <w:pgMar w:top="400" w:right="1785" w:bottom="1295" w:left="1785" w:header="0" w:footer="1133" w:gutter="0"/>
          <w:cols w:space="720" w:num="1"/>
        </w:sectPr>
      </w:pPr>
    </w:p>
    <w:p w14:paraId="02BA512A">
      <w:pPr>
        <w:pStyle w:val="3"/>
        <w:spacing w:line="258" w:lineRule="auto"/>
      </w:pPr>
    </w:p>
    <w:p w14:paraId="1606F5FC">
      <w:pPr>
        <w:pStyle w:val="3"/>
        <w:spacing w:line="258" w:lineRule="auto"/>
      </w:pPr>
    </w:p>
    <w:p w14:paraId="42081F2B">
      <w:pPr>
        <w:pStyle w:val="3"/>
        <w:spacing w:line="258" w:lineRule="auto"/>
      </w:pPr>
    </w:p>
    <w:p w14:paraId="72A639EB">
      <w:pPr>
        <w:pStyle w:val="3"/>
        <w:spacing w:line="259" w:lineRule="auto"/>
      </w:pPr>
    </w:p>
    <w:p w14:paraId="42905C61">
      <w:pPr>
        <w:spacing w:line="10709" w:lineRule="exact"/>
        <w:ind w:firstLine="14"/>
      </w:pPr>
      <w:r>
        <w:rPr>
          <w:position w:val="-214"/>
        </w:rPr>
        <w:drawing>
          <wp:inline distT="0" distB="0" distL="0" distR="0">
            <wp:extent cx="5254625" cy="6799580"/>
            <wp:effectExtent l="0" t="0" r="0" b="0"/>
            <wp:docPr id="146" name="IM 146"/>
            <wp:cNvGraphicFramePr/>
            <a:graphic xmlns:a="http://schemas.openxmlformats.org/drawingml/2006/main">
              <a:graphicData uri="http://schemas.openxmlformats.org/drawingml/2006/picture">
                <pic:pic xmlns:pic="http://schemas.openxmlformats.org/drawingml/2006/picture">
                  <pic:nvPicPr>
                    <pic:cNvPr id="146" name="IM 146"/>
                    <pic:cNvPicPr/>
                  </pic:nvPicPr>
                  <pic:blipFill>
                    <a:blip r:embed="rId290"/>
                    <a:stretch>
                      <a:fillRect/>
                    </a:stretch>
                  </pic:blipFill>
                  <pic:spPr>
                    <a:xfrm>
                      <a:off x="0" y="0"/>
                      <a:ext cx="5254752" cy="6800088"/>
                    </a:xfrm>
                    <a:prstGeom prst="rect">
                      <a:avLst/>
                    </a:prstGeom>
                  </pic:spPr>
                </pic:pic>
              </a:graphicData>
            </a:graphic>
          </wp:inline>
        </w:drawing>
      </w:r>
    </w:p>
    <w:p w14:paraId="7992094A">
      <w:pPr>
        <w:spacing w:line="10709" w:lineRule="exact"/>
        <w:sectPr>
          <w:footerReference r:id="rId127" w:type="default"/>
          <w:pgSz w:w="11906" w:h="16838"/>
          <w:pgMar w:top="400" w:right="1785" w:bottom="1295" w:left="1785" w:header="0" w:footer="1133" w:gutter="0"/>
          <w:cols w:space="720" w:num="1"/>
        </w:sectPr>
      </w:pPr>
    </w:p>
    <w:p w14:paraId="25DF0A33">
      <w:pPr>
        <w:pStyle w:val="3"/>
        <w:spacing w:line="281" w:lineRule="auto"/>
      </w:pPr>
    </w:p>
    <w:p w14:paraId="023B678E">
      <w:pPr>
        <w:pStyle w:val="3"/>
        <w:spacing w:line="281" w:lineRule="auto"/>
      </w:pPr>
    </w:p>
    <w:p w14:paraId="446D24CF">
      <w:pPr>
        <w:pStyle w:val="3"/>
        <w:spacing w:line="282" w:lineRule="auto"/>
      </w:pPr>
    </w:p>
    <w:p w14:paraId="01EC096D">
      <w:pPr>
        <w:pStyle w:val="3"/>
        <w:spacing w:line="282" w:lineRule="auto"/>
      </w:pPr>
    </w:p>
    <w:p w14:paraId="36D5F44F">
      <w:pPr>
        <w:spacing w:before="78" w:line="219" w:lineRule="auto"/>
        <w:ind w:left="42"/>
        <w:outlineLvl w:val="1"/>
        <w:rPr>
          <w:rFonts w:ascii="宋体" w:hAnsi="宋体" w:eastAsia="宋体" w:cs="宋体"/>
          <w:sz w:val="24"/>
          <w:szCs w:val="24"/>
        </w:rPr>
      </w:pPr>
      <w:r>
        <w:rPr>
          <w:rFonts w:ascii="宋体" w:hAnsi="宋体" w:eastAsia="宋体" w:cs="宋体"/>
          <w:b/>
          <w:bCs/>
          <w:spacing w:val="-4"/>
          <w:sz w:val="24"/>
          <w:szCs w:val="24"/>
        </w:rPr>
        <w:t>附件</w:t>
      </w:r>
      <w:r>
        <w:rPr>
          <w:rFonts w:ascii="宋体" w:hAnsi="宋体" w:eastAsia="宋体" w:cs="宋体"/>
          <w:spacing w:val="-52"/>
          <w:sz w:val="24"/>
          <w:szCs w:val="24"/>
        </w:rPr>
        <w:t xml:space="preserve"> </w:t>
      </w:r>
      <w:r>
        <w:rPr>
          <w:rFonts w:ascii="Times New Roman" w:hAnsi="Times New Roman" w:eastAsia="Times New Roman" w:cs="Times New Roman"/>
          <w:b/>
          <w:bCs/>
          <w:spacing w:val="-4"/>
          <w:sz w:val="24"/>
          <w:szCs w:val="24"/>
        </w:rPr>
        <w:t xml:space="preserve">7    </w:t>
      </w:r>
      <w:r>
        <w:rPr>
          <w:rFonts w:ascii="宋体" w:hAnsi="宋体" w:eastAsia="宋体" w:cs="宋体"/>
          <w:b/>
          <w:bCs/>
          <w:spacing w:val="-4"/>
          <w:sz w:val="24"/>
          <w:szCs w:val="24"/>
        </w:rPr>
        <w:t>风场验收文件</w:t>
      </w:r>
    </w:p>
    <w:p w14:paraId="502A623E">
      <w:pPr>
        <w:spacing w:before="14" w:line="11719" w:lineRule="exact"/>
        <w:ind w:firstLine="494"/>
      </w:pPr>
      <w:r>
        <w:rPr>
          <w:position w:val="-234"/>
        </w:rPr>
        <w:drawing>
          <wp:inline distT="0" distB="0" distL="0" distR="0">
            <wp:extent cx="5259070" cy="7441565"/>
            <wp:effectExtent l="0" t="0" r="0" b="0"/>
            <wp:docPr id="148" name="IM 148"/>
            <wp:cNvGraphicFramePr/>
            <a:graphic xmlns:a="http://schemas.openxmlformats.org/drawingml/2006/main">
              <a:graphicData uri="http://schemas.openxmlformats.org/drawingml/2006/picture">
                <pic:pic xmlns:pic="http://schemas.openxmlformats.org/drawingml/2006/picture">
                  <pic:nvPicPr>
                    <pic:cNvPr id="148" name="IM 148"/>
                    <pic:cNvPicPr/>
                  </pic:nvPicPr>
                  <pic:blipFill>
                    <a:blip r:embed="rId291"/>
                    <a:stretch>
                      <a:fillRect/>
                    </a:stretch>
                  </pic:blipFill>
                  <pic:spPr>
                    <a:xfrm>
                      <a:off x="0" y="0"/>
                      <a:ext cx="5259324" cy="7441692"/>
                    </a:xfrm>
                    <a:prstGeom prst="rect">
                      <a:avLst/>
                    </a:prstGeom>
                  </pic:spPr>
                </pic:pic>
              </a:graphicData>
            </a:graphic>
          </wp:inline>
        </w:drawing>
      </w:r>
    </w:p>
    <w:p w14:paraId="7129FB90">
      <w:pPr>
        <w:spacing w:line="11719" w:lineRule="exact"/>
        <w:sectPr>
          <w:footerReference r:id="rId128" w:type="default"/>
          <w:pgSz w:w="11906" w:h="16838"/>
          <w:pgMar w:top="400" w:right="1343" w:bottom="1295" w:left="1785" w:header="0" w:footer="1133" w:gutter="0"/>
          <w:cols w:space="720" w:num="1"/>
        </w:sectPr>
      </w:pPr>
    </w:p>
    <w:p w14:paraId="77BDE466">
      <w:pPr>
        <w:pStyle w:val="3"/>
        <w:spacing w:line="258" w:lineRule="auto"/>
      </w:pPr>
    </w:p>
    <w:p w14:paraId="22BC3912">
      <w:pPr>
        <w:pStyle w:val="3"/>
        <w:spacing w:line="258" w:lineRule="auto"/>
      </w:pPr>
    </w:p>
    <w:p w14:paraId="715722FA">
      <w:pPr>
        <w:pStyle w:val="3"/>
        <w:spacing w:line="258" w:lineRule="auto"/>
      </w:pPr>
    </w:p>
    <w:p w14:paraId="2D12D549">
      <w:pPr>
        <w:pStyle w:val="3"/>
        <w:spacing w:line="259" w:lineRule="auto"/>
      </w:pPr>
    </w:p>
    <w:p w14:paraId="68D23FFB">
      <w:pPr>
        <w:spacing w:line="11719" w:lineRule="exact"/>
        <w:ind w:firstLine="14"/>
      </w:pPr>
      <w:r>
        <w:rPr>
          <w:position w:val="-234"/>
        </w:rPr>
        <w:drawing>
          <wp:inline distT="0" distB="0" distL="0" distR="0">
            <wp:extent cx="5259070" cy="7441565"/>
            <wp:effectExtent l="0" t="0" r="0" b="0"/>
            <wp:docPr id="150" name="IM 150"/>
            <wp:cNvGraphicFramePr/>
            <a:graphic xmlns:a="http://schemas.openxmlformats.org/drawingml/2006/main">
              <a:graphicData uri="http://schemas.openxmlformats.org/drawingml/2006/picture">
                <pic:pic xmlns:pic="http://schemas.openxmlformats.org/drawingml/2006/picture">
                  <pic:nvPicPr>
                    <pic:cNvPr id="150" name="IM 150"/>
                    <pic:cNvPicPr/>
                  </pic:nvPicPr>
                  <pic:blipFill>
                    <a:blip r:embed="rId292"/>
                    <a:stretch>
                      <a:fillRect/>
                    </a:stretch>
                  </pic:blipFill>
                  <pic:spPr>
                    <a:xfrm>
                      <a:off x="0" y="0"/>
                      <a:ext cx="5259324" cy="7441692"/>
                    </a:xfrm>
                    <a:prstGeom prst="rect">
                      <a:avLst/>
                    </a:prstGeom>
                  </pic:spPr>
                </pic:pic>
              </a:graphicData>
            </a:graphic>
          </wp:inline>
        </w:drawing>
      </w:r>
    </w:p>
    <w:p w14:paraId="378A7D81">
      <w:pPr>
        <w:spacing w:line="11719" w:lineRule="exact"/>
        <w:sectPr>
          <w:footerReference r:id="rId129" w:type="default"/>
          <w:pgSz w:w="11906" w:h="16838"/>
          <w:pgMar w:top="400" w:right="1785" w:bottom="1295" w:left="1785" w:header="0" w:footer="1133" w:gutter="0"/>
          <w:cols w:space="720" w:num="1"/>
        </w:sectPr>
      </w:pPr>
    </w:p>
    <w:p w14:paraId="6AB34631">
      <w:pPr>
        <w:pStyle w:val="3"/>
        <w:spacing w:line="258" w:lineRule="auto"/>
      </w:pPr>
    </w:p>
    <w:p w14:paraId="2141142D">
      <w:pPr>
        <w:pStyle w:val="3"/>
        <w:spacing w:line="258" w:lineRule="auto"/>
      </w:pPr>
    </w:p>
    <w:p w14:paraId="695AE5EA">
      <w:pPr>
        <w:pStyle w:val="3"/>
        <w:spacing w:line="258" w:lineRule="auto"/>
      </w:pPr>
    </w:p>
    <w:p w14:paraId="5AF30A9D">
      <w:pPr>
        <w:pStyle w:val="3"/>
        <w:spacing w:line="259" w:lineRule="auto"/>
      </w:pPr>
    </w:p>
    <w:p w14:paraId="21E734E5">
      <w:pPr>
        <w:spacing w:line="11719" w:lineRule="exact"/>
        <w:ind w:firstLine="14"/>
      </w:pPr>
      <w:r>
        <w:rPr>
          <w:position w:val="-234"/>
        </w:rPr>
        <w:drawing>
          <wp:inline distT="0" distB="0" distL="0" distR="0">
            <wp:extent cx="5259070" cy="7441565"/>
            <wp:effectExtent l="0" t="0" r="0" b="0"/>
            <wp:docPr id="152" name="IM 152"/>
            <wp:cNvGraphicFramePr/>
            <a:graphic xmlns:a="http://schemas.openxmlformats.org/drawingml/2006/main">
              <a:graphicData uri="http://schemas.openxmlformats.org/drawingml/2006/picture">
                <pic:pic xmlns:pic="http://schemas.openxmlformats.org/drawingml/2006/picture">
                  <pic:nvPicPr>
                    <pic:cNvPr id="152" name="IM 152"/>
                    <pic:cNvPicPr/>
                  </pic:nvPicPr>
                  <pic:blipFill>
                    <a:blip r:embed="rId293"/>
                    <a:stretch>
                      <a:fillRect/>
                    </a:stretch>
                  </pic:blipFill>
                  <pic:spPr>
                    <a:xfrm>
                      <a:off x="0" y="0"/>
                      <a:ext cx="5259324" cy="7441692"/>
                    </a:xfrm>
                    <a:prstGeom prst="rect">
                      <a:avLst/>
                    </a:prstGeom>
                  </pic:spPr>
                </pic:pic>
              </a:graphicData>
            </a:graphic>
          </wp:inline>
        </w:drawing>
      </w:r>
    </w:p>
    <w:p w14:paraId="2938BC82">
      <w:pPr>
        <w:spacing w:line="11719" w:lineRule="exact"/>
        <w:sectPr>
          <w:footerReference r:id="rId130" w:type="default"/>
          <w:pgSz w:w="11906" w:h="16838"/>
          <w:pgMar w:top="400" w:right="1785" w:bottom="1295" w:left="1785" w:header="0" w:footer="1133" w:gutter="0"/>
          <w:cols w:space="720" w:num="1"/>
        </w:sectPr>
      </w:pPr>
    </w:p>
    <w:p w14:paraId="3B27C618">
      <w:pPr>
        <w:pStyle w:val="3"/>
        <w:spacing w:line="258" w:lineRule="auto"/>
      </w:pPr>
    </w:p>
    <w:p w14:paraId="712D4436">
      <w:pPr>
        <w:pStyle w:val="3"/>
        <w:spacing w:line="258" w:lineRule="auto"/>
      </w:pPr>
    </w:p>
    <w:p w14:paraId="5B90FC0F">
      <w:pPr>
        <w:pStyle w:val="3"/>
        <w:spacing w:line="258" w:lineRule="auto"/>
      </w:pPr>
    </w:p>
    <w:p w14:paraId="314F3628">
      <w:pPr>
        <w:pStyle w:val="3"/>
        <w:spacing w:line="259" w:lineRule="auto"/>
      </w:pPr>
    </w:p>
    <w:p w14:paraId="6B5138D4">
      <w:pPr>
        <w:spacing w:line="11719" w:lineRule="exact"/>
        <w:ind w:firstLine="14"/>
      </w:pPr>
      <w:r>
        <w:rPr>
          <w:position w:val="-234"/>
        </w:rPr>
        <w:drawing>
          <wp:inline distT="0" distB="0" distL="0" distR="0">
            <wp:extent cx="5259070" cy="7441565"/>
            <wp:effectExtent l="0" t="0" r="0" b="0"/>
            <wp:docPr id="154" name="IM 154"/>
            <wp:cNvGraphicFramePr/>
            <a:graphic xmlns:a="http://schemas.openxmlformats.org/drawingml/2006/main">
              <a:graphicData uri="http://schemas.openxmlformats.org/drawingml/2006/picture">
                <pic:pic xmlns:pic="http://schemas.openxmlformats.org/drawingml/2006/picture">
                  <pic:nvPicPr>
                    <pic:cNvPr id="154" name="IM 154"/>
                    <pic:cNvPicPr/>
                  </pic:nvPicPr>
                  <pic:blipFill>
                    <a:blip r:embed="rId294"/>
                    <a:stretch>
                      <a:fillRect/>
                    </a:stretch>
                  </pic:blipFill>
                  <pic:spPr>
                    <a:xfrm>
                      <a:off x="0" y="0"/>
                      <a:ext cx="5259324" cy="7441692"/>
                    </a:xfrm>
                    <a:prstGeom prst="rect">
                      <a:avLst/>
                    </a:prstGeom>
                  </pic:spPr>
                </pic:pic>
              </a:graphicData>
            </a:graphic>
          </wp:inline>
        </w:drawing>
      </w:r>
    </w:p>
    <w:p w14:paraId="5DF84F66">
      <w:pPr>
        <w:spacing w:line="11719" w:lineRule="exact"/>
        <w:sectPr>
          <w:footerReference r:id="rId131" w:type="default"/>
          <w:pgSz w:w="11906" w:h="16838"/>
          <w:pgMar w:top="400" w:right="1785" w:bottom="1295" w:left="1785" w:header="0" w:footer="1133" w:gutter="0"/>
          <w:cols w:space="720" w:num="1"/>
        </w:sectPr>
      </w:pPr>
    </w:p>
    <w:p w14:paraId="31309B69">
      <w:pPr>
        <w:pStyle w:val="3"/>
        <w:spacing w:line="258" w:lineRule="auto"/>
      </w:pPr>
    </w:p>
    <w:p w14:paraId="4F056E18">
      <w:pPr>
        <w:pStyle w:val="3"/>
        <w:spacing w:line="258" w:lineRule="auto"/>
      </w:pPr>
    </w:p>
    <w:p w14:paraId="2AAC49C7">
      <w:pPr>
        <w:pStyle w:val="3"/>
        <w:spacing w:line="258" w:lineRule="auto"/>
      </w:pPr>
    </w:p>
    <w:p w14:paraId="6D5A9AA4">
      <w:pPr>
        <w:pStyle w:val="3"/>
        <w:spacing w:line="259" w:lineRule="auto"/>
      </w:pPr>
    </w:p>
    <w:p w14:paraId="30F8B0D3">
      <w:pPr>
        <w:spacing w:line="11719" w:lineRule="exact"/>
        <w:ind w:firstLine="14"/>
      </w:pPr>
      <w:r>
        <w:rPr>
          <w:position w:val="-234"/>
        </w:rPr>
        <w:drawing>
          <wp:inline distT="0" distB="0" distL="0" distR="0">
            <wp:extent cx="5259070" cy="7441565"/>
            <wp:effectExtent l="0" t="0" r="0" b="0"/>
            <wp:docPr id="156" name="IM 156"/>
            <wp:cNvGraphicFramePr/>
            <a:graphic xmlns:a="http://schemas.openxmlformats.org/drawingml/2006/main">
              <a:graphicData uri="http://schemas.openxmlformats.org/drawingml/2006/picture">
                <pic:pic xmlns:pic="http://schemas.openxmlformats.org/drawingml/2006/picture">
                  <pic:nvPicPr>
                    <pic:cNvPr id="156" name="IM 156"/>
                    <pic:cNvPicPr/>
                  </pic:nvPicPr>
                  <pic:blipFill>
                    <a:blip r:embed="rId295"/>
                    <a:stretch>
                      <a:fillRect/>
                    </a:stretch>
                  </pic:blipFill>
                  <pic:spPr>
                    <a:xfrm>
                      <a:off x="0" y="0"/>
                      <a:ext cx="5259324" cy="7441692"/>
                    </a:xfrm>
                    <a:prstGeom prst="rect">
                      <a:avLst/>
                    </a:prstGeom>
                  </pic:spPr>
                </pic:pic>
              </a:graphicData>
            </a:graphic>
          </wp:inline>
        </w:drawing>
      </w:r>
    </w:p>
    <w:p w14:paraId="6027CF30">
      <w:pPr>
        <w:spacing w:line="11719" w:lineRule="exact"/>
        <w:sectPr>
          <w:footerReference r:id="rId132" w:type="default"/>
          <w:pgSz w:w="11906" w:h="16838"/>
          <w:pgMar w:top="400" w:right="1785" w:bottom="1295" w:left="1785" w:header="0" w:footer="1133" w:gutter="0"/>
          <w:cols w:space="720" w:num="1"/>
        </w:sectPr>
      </w:pPr>
    </w:p>
    <w:p w14:paraId="3C39C730">
      <w:pPr>
        <w:pStyle w:val="3"/>
        <w:spacing w:line="258" w:lineRule="auto"/>
      </w:pPr>
    </w:p>
    <w:p w14:paraId="67B0C526">
      <w:pPr>
        <w:pStyle w:val="3"/>
        <w:spacing w:line="258" w:lineRule="auto"/>
      </w:pPr>
    </w:p>
    <w:p w14:paraId="3563F033">
      <w:pPr>
        <w:pStyle w:val="3"/>
        <w:spacing w:line="258" w:lineRule="auto"/>
      </w:pPr>
    </w:p>
    <w:p w14:paraId="6A2D8485">
      <w:pPr>
        <w:pStyle w:val="3"/>
        <w:spacing w:line="259" w:lineRule="auto"/>
      </w:pPr>
    </w:p>
    <w:p w14:paraId="62FB7C38">
      <w:pPr>
        <w:spacing w:line="11719" w:lineRule="exact"/>
        <w:ind w:firstLine="14"/>
      </w:pPr>
      <w:r>
        <w:rPr>
          <w:position w:val="-234"/>
        </w:rPr>
        <w:drawing>
          <wp:inline distT="0" distB="0" distL="0" distR="0">
            <wp:extent cx="5259070" cy="7441565"/>
            <wp:effectExtent l="0" t="0" r="0" b="0"/>
            <wp:docPr id="158" name="IM 158"/>
            <wp:cNvGraphicFramePr/>
            <a:graphic xmlns:a="http://schemas.openxmlformats.org/drawingml/2006/main">
              <a:graphicData uri="http://schemas.openxmlformats.org/drawingml/2006/picture">
                <pic:pic xmlns:pic="http://schemas.openxmlformats.org/drawingml/2006/picture">
                  <pic:nvPicPr>
                    <pic:cNvPr id="158" name="IM 158"/>
                    <pic:cNvPicPr/>
                  </pic:nvPicPr>
                  <pic:blipFill>
                    <a:blip r:embed="rId296"/>
                    <a:stretch>
                      <a:fillRect/>
                    </a:stretch>
                  </pic:blipFill>
                  <pic:spPr>
                    <a:xfrm>
                      <a:off x="0" y="0"/>
                      <a:ext cx="5259324" cy="7441692"/>
                    </a:xfrm>
                    <a:prstGeom prst="rect">
                      <a:avLst/>
                    </a:prstGeom>
                  </pic:spPr>
                </pic:pic>
              </a:graphicData>
            </a:graphic>
          </wp:inline>
        </w:drawing>
      </w:r>
    </w:p>
    <w:p w14:paraId="165B2759">
      <w:pPr>
        <w:spacing w:line="11719" w:lineRule="exact"/>
        <w:sectPr>
          <w:footerReference r:id="rId133" w:type="default"/>
          <w:pgSz w:w="11906" w:h="16838"/>
          <w:pgMar w:top="400" w:right="1785" w:bottom="1295" w:left="1785" w:header="0" w:footer="1133" w:gutter="0"/>
          <w:cols w:space="720" w:num="1"/>
        </w:sectPr>
      </w:pPr>
    </w:p>
    <w:p w14:paraId="399DB703">
      <w:pPr>
        <w:pStyle w:val="3"/>
        <w:spacing w:line="258" w:lineRule="auto"/>
      </w:pPr>
    </w:p>
    <w:p w14:paraId="00CB8F7F">
      <w:pPr>
        <w:pStyle w:val="3"/>
        <w:spacing w:line="258" w:lineRule="auto"/>
      </w:pPr>
    </w:p>
    <w:p w14:paraId="422BF7F8">
      <w:pPr>
        <w:pStyle w:val="3"/>
        <w:spacing w:line="258" w:lineRule="auto"/>
      </w:pPr>
    </w:p>
    <w:p w14:paraId="28250C98">
      <w:pPr>
        <w:pStyle w:val="3"/>
        <w:spacing w:line="259" w:lineRule="auto"/>
      </w:pPr>
    </w:p>
    <w:p w14:paraId="21E7D58E">
      <w:pPr>
        <w:spacing w:line="11719" w:lineRule="exact"/>
        <w:ind w:firstLine="14"/>
      </w:pPr>
      <w:r>
        <w:rPr>
          <w:position w:val="-234"/>
        </w:rPr>
        <w:drawing>
          <wp:inline distT="0" distB="0" distL="0" distR="0">
            <wp:extent cx="5259070" cy="7441565"/>
            <wp:effectExtent l="0" t="0" r="0" b="0"/>
            <wp:docPr id="160" name="IM 160"/>
            <wp:cNvGraphicFramePr/>
            <a:graphic xmlns:a="http://schemas.openxmlformats.org/drawingml/2006/main">
              <a:graphicData uri="http://schemas.openxmlformats.org/drawingml/2006/picture">
                <pic:pic xmlns:pic="http://schemas.openxmlformats.org/drawingml/2006/picture">
                  <pic:nvPicPr>
                    <pic:cNvPr id="160" name="IM 160"/>
                    <pic:cNvPicPr/>
                  </pic:nvPicPr>
                  <pic:blipFill>
                    <a:blip r:embed="rId297"/>
                    <a:stretch>
                      <a:fillRect/>
                    </a:stretch>
                  </pic:blipFill>
                  <pic:spPr>
                    <a:xfrm>
                      <a:off x="0" y="0"/>
                      <a:ext cx="5259324" cy="7441692"/>
                    </a:xfrm>
                    <a:prstGeom prst="rect">
                      <a:avLst/>
                    </a:prstGeom>
                  </pic:spPr>
                </pic:pic>
              </a:graphicData>
            </a:graphic>
          </wp:inline>
        </w:drawing>
      </w:r>
    </w:p>
    <w:p w14:paraId="7D6168F5">
      <w:pPr>
        <w:spacing w:line="11719" w:lineRule="exact"/>
        <w:sectPr>
          <w:footerReference r:id="rId134" w:type="default"/>
          <w:pgSz w:w="11906" w:h="16838"/>
          <w:pgMar w:top="400" w:right="1785" w:bottom="1295" w:left="1785" w:header="0" w:footer="1133" w:gutter="0"/>
          <w:cols w:space="720" w:num="1"/>
        </w:sectPr>
      </w:pPr>
    </w:p>
    <w:p w14:paraId="21E0CAC4">
      <w:pPr>
        <w:pStyle w:val="3"/>
        <w:spacing w:line="258" w:lineRule="auto"/>
      </w:pPr>
    </w:p>
    <w:p w14:paraId="4A4C25DB">
      <w:pPr>
        <w:pStyle w:val="3"/>
        <w:spacing w:line="258" w:lineRule="auto"/>
      </w:pPr>
    </w:p>
    <w:p w14:paraId="4E29EB66">
      <w:pPr>
        <w:pStyle w:val="3"/>
        <w:spacing w:line="258" w:lineRule="auto"/>
      </w:pPr>
    </w:p>
    <w:p w14:paraId="578F2CD3">
      <w:pPr>
        <w:pStyle w:val="3"/>
        <w:spacing w:line="259" w:lineRule="auto"/>
      </w:pPr>
    </w:p>
    <w:p w14:paraId="3B9591DB">
      <w:pPr>
        <w:spacing w:line="11719" w:lineRule="exact"/>
        <w:ind w:firstLine="14"/>
      </w:pPr>
      <w:r>
        <w:rPr>
          <w:position w:val="-234"/>
        </w:rPr>
        <w:drawing>
          <wp:inline distT="0" distB="0" distL="0" distR="0">
            <wp:extent cx="5259070" cy="7441565"/>
            <wp:effectExtent l="0" t="0" r="0" b="0"/>
            <wp:docPr id="162" name="IM 162"/>
            <wp:cNvGraphicFramePr/>
            <a:graphic xmlns:a="http://schemas.openxmlformats.org/drawingml/2006/main">
              <a:graphicData uri="http://schemas.openxmlformats.org/drawingml/2006/picture">
                <pic:pic xmlns:pic="http://schemas.openxmlformats.org/drawingml/2006/picture">
                  <pic:nvPicPr>
                    <pic:cNvPr id="162" name="IM 162"/>
                    <pic:cNvPicPr/>
                  </pic:nvPicPr>
                  <pic:blipFill>
                    <a:blip r:embed="rId298"/>
                    <a:stretch>
                      <a:fillRect/>
                    </a:stretch>
                  </pic:blipFill>
                  <pic:spPr>
                    <a:xfrm>
                      <a:off x="0" y="0"/>
                      <a:ext cx="5259324" cy="7441692"/>
                    </a:xfrm>
                    <a:prstGeom prst="rect">
                      <a:avLst/>
                    </a:prstGeom>
                  </pic:spPr>
                </pic:pic>
              </a:graphicData>
            </a:graphic>
          </wp:inline>
        </w:drawing>
      </w:r>
    </w:p>
    <w:p w14:paraId="1F3536D6">
      <w:pPr>
        <w:spacing w:line="11719" w:lineRule="exact"/>
        <w:sectPr>
          <w:footerReference r:id="rId135" w:type="default"/>
          <w:pgSz w:w="11906" w:h="16838"/>
          <w:pgMar w:top="400" w:right="1785" w:bottom="1295" w:left="1785" w:header="0" w:footer="1133" w:gutter="0"/>
          <w:cols w:space="720" w:num="1"/>
        </w:sectPr>
      </w:pPr>
    </w:p>
    <w:p w14:paraId="2859B365">
      <w:pPr>
        <w:pStyle w:val="3"/>
        <w:spacing w:line="258" w:lineRule="auto"/>
      </w:pPr>
    </w:p>
    <w:p w14:paraId="4A63E83C">
      <w:pPr>
        <w:pStyle w:val="3"/>
        <w:spacing w:line="258" w:lineRule="auto"/>
      </w:pPr>
    </w:p>
    <w:p w14:paraId="6312A732">
      <w:pPr>
        <w:pStyle w:val="3"/>
        <w:spacing w:line="258" w:lineRule="auto"/>
      </w:pPr>
    </w:p>
    <w:p w14:paraId="431FD12C">
      <w:pPr>
        <w:pStyle w:val="3"/>
        <w:spacing w:line="259" w:lineRule="auto"/>
      </w:pPr>
    </w:p>
    <w:p w14:paraId="4DD77C9A">
      <w:pPr>
        <w:spacing w:line="11707" w:lineRule="exact"/>
        <w:ind w:firstLine="14"/>
      </w:pPr>
      <w:r>
        <w:rPr>
          <w:position w:val="-234"/>
        </w:rPr>
        <w:drawing>
          <wp:inline distT="0" distB="0" distL="0" distR="0">
            <wp:extent cx="5259070" cy="7433945"/>
            <wp:effectExtent l="0" t="0" r="0" b="0"/>
            <wp:docPr id="164" name="IM 164"/>
            <wp:cNvGraphicFramePr/>
            <a:graphic xmlns:a="http://schemas.openxmlformats.org/drawingml/2006/main">
              <a:graphicData uri="http://schemas.openxmlformats.org/drawingml/2006/picture">
                <pic:pic xmlns:pic="http://schemas.openxmlformats.org/drawingml/2006/picture">
                  <pic:nvPicPr>
                    <pic:cNvPr id="164" name="IM 164"/>
                    <pic:cNvPicPr/>
                  </pic:nvPicPr>
                  <pic:blipFill>
                    <a:blip r:embed="rId299"/>
                    <a:stretch>
                      <a:fillRect/>
                    </a:stretch>
                  </pic:blipFill>
                  <pic:spPr>
                    <a:xfrm>
                      <a:off x="0" y="0"/>
                      <a:ext cx="5259324" cy="7434072"/>
                    </a:xfrm>
                    <a:prstGeom prst="rect">
                      <a:avLst/>
                    </a:prstGeom>
                  </pic:spPr>
                </pic:pic>
              </a:graphicData>
            </a:graphic>
          </wp:inline>
        </w:drawing>
      </w:r>
    </w:p>
    <w:p w14:paraId="218AD9DB">
      <w:pPr>
        <w:spacing w:line="11707" w:lineRule="exact"/>
        <w:sectPr>
          <w:footerReference r:id="rId136" w:type="default"/>
          <w:pgSz w:w="11906" w:h="16838"/>
          <w:pgMar w:top="400" w:right="1785" w:bottom="1295" w:left="1785" w:header="0" w:footer="1133" w:gutter="0"/>
          <w:cols w:space="720" w:num="1"/>
        </w:sectPr>
      </w:pPr>
    </w:p>
    <w:p w14:paraId="1B905F64">
      <w:pPr>
        <w:pStyle w:val="3"/>
        <w:spacing w:line="258" w:lineRule="auto"/>
      </w:pPr>
    </w:p>
    <w:p w14:paraId="1B82731F">
      <w:pPr>
        <w:pStyle w:val="3"/>
        <w:spacing w:line="258" w:lineRule="auto"/>
      </w:pPr>
    </w:p>
    <w:p w14:paraId="236BA3CA">
      <w:pPr>
        <w:pStyle w:val="3"/>
        <w:spacing w:line="258" w:lineRule="auto"/>
      </w:pPr>
    </w:p>
    <w:p w14:paraId="2F26DAEA">
      <w:pPr>
        <w:pStyle w:val="3"/>
        <w:spacing w:line="259" w:lineRule="auto"/>
      </w:pPr>
    </w:p>
    <w:p w14:paraId="6977680D">
      <w:pPr>
        <w:spacing w:line="11707" w:lineRule="exact"/>
        <w:ind w:firstLine="14"/>
      </w:pPr>
      <w:r>
        <w:rPr>
          <w:position w:val="-234"/>
        </w:rPr>
        <w:drawing>
          <wp:inline distT="0" distB="0" distL="0" distR="0">
            <wp:extent cx="5259070" cy="7433945"/>
            <wp:effectExtent l="0" t="0" r="0" b="0"/>
            <wp:docPr id="166" name="IM 166"/>
            <wp:cNvGraphicFramePr/>
            <a:graphic xmlns:a="http://schemas.openxmlformats.org/drawingml/2006/main">
              <a:graphicData uri="http://schemas.openxmlformats.org/drawingml/2006/picture">
                <pic:pic xmlns:pic="http://schemas.openxmlformats.org/drawingml/2006/picture">
                  <pic:nvPicPr>
                    <pic:cNvPr id="166" name="IM 166"/>
                    <pic:cNvPicPr/>
                  </pic:nvPicPr>
                  <pic:blipFill>
                    <a:blip r:embed="rId300"/>
                    <a:stretch>
                      <a:fillRect/>
                    </a:stretch>
                  </pic:blipFill>
                  <pic:spPr>
                    <a:xfrm>
                      <a:off x="0" y="0"/>
                      <a:ext cx="5259324" cy="7434072"/>
                    </a:xfrm>
                    <a:prstGeom prst="rect">
                      <a:avLst/>
                    </a:prstGeom>
                  </pic:spPr>
                </pic:pic>
              </a:graphicData>
            </a:graphic>
          </wp:inline>
        </w:drawing>
      </w:r>
    </w:p>
    <w:p w14:paraId="1A774D1C">
      <w:pPr>
        <w:spacing w:line="11707" w:lineRule="exact"/>
        <w:sectPr>
          <w:footerReference r:id="rId137" w:type="default"/>
          <w:pgSz w:w="11906" w:h="16838"/>
          <w:pgMar w:top="400" w:right="1785" w:bottom="1295" w:left="1785" w:header="0" w:footer="1133" w:gutter="0"/>
          <w:cols w:space="720" w:num="1"/>
        </w:sectPr>
      </w:pPr>
    </w:p>
    <w:p w14:paraId="775BB3AD">
      <w:pPr>
        <w:pStyle w:val="3"/>
        <w:spacing w:line="258" w:lineRule="auto"/>
      </w:pPr>
    </w:p>
    <w:p w14:paraId="2848E6E2">
      <w:pPr>
        <w:pStyle w:val="3"/>
        <w:spacing w:line="258" w:lineRule="auto"/>
      </w:pPr>
    </w:p>
    <w:p w14:paraId="385A336A">
      <w:pPr>
        <w:pStyle w:val="3"/>
        <w:spacing w:line="258" w:lineRule="auto"/>
      </w:pPr>
    </w:p>
    <w:p w14:paraId="21E3B341">
      <w:pPr>
        <w:pStyle w:val="3"/>
        <w:spacing w:line="259" w:lineRule="auto"/>
      </w:pPr>
    </w:p>
    <w:p w14:paraId="103D71E4">
      <w:pPr>
        <w:spacing w:line="11707" w:lineRule="exact"/>
        <w:ind w:firstLine="14"/>
      </w:pPr>
      <w:r>
        <w:rPr>
          <w:position w:val="-234"/>
        </w:rPr>
        <w:drawing>
          <wp:inline distT="0" distB="0" distL="0" distR="0">
            <wp:extent cx="5259070" cy="7433945"/>
            <wp:effectExtent l="0" t="0" r="0" b="0"/>
            <wp:docPr id="168" name="IM 168"/>
            <wp:cNvGraphicFramePr/>
            <a:graphic xmlns:a="http://schemas.openxmlformats.org/drawingml/2006/main">
              <a:graphicData uri="http://schemas.openxmlformats.org/drawingml/2006/picture">
                <pic:pic xmlns:pic="http://schemas.openxmlformats.org/drawingml/2006/picture">
                  <pic:nvPicPr>
                    <pic:cNvPr id="168" name="IM 168"/>
                    <pic:cNvPicPr/>
                  </pic:nvPicPr>
                  <pic:blipFill>
                    <a:blip r:embed="rId301"/>
                    <a:stretch>
                      <a:fillRect/>
                    </a:stretch>
                  </pic:blipFill>
                  <pic:spPr>
                    <a:xfrm>
                      <a:off x="0" y="0"/>
                      <a:ext cx="5259324" cy="7434072"/>
                    </a:xfrm>
                    <a:prstGeom prst="rect">
                      <a:avLst/>
                    </a:prstGeom>
                  </pic:spPr>
                </pic:pic>
              </a:graphicData>
            </a:graphic>
          </wp:inline>
        </w:drawing>
      </w:r>
    </w:p>
    <w:p w14:paraId="46156795">
      <w:pPr>
        <w:spacing w:line="11707" w:lineRule="exact"/>
        <w:sectPr>
          <w:footerReference r:id="rId138" w:type="default"/>
          <w:pgSz w:w="11906" w:h="16838"/>
          <w:pgMar w:top="400" w:right="1785" w:bottom="1295" w:left="1785" w:header="0" w:footer="1133" w:gutter="0"/>
          <w:cols w:space="720" w:num="1"/>
        </w:sectPr>
      </w:pPr>
    </w:p>
    <w:p w14:paraId="7D6EAC4A">
      <w:pPr>
        <w:pStyle w:val="3"/>
        <w:spacing w:line="258" w:lineRule="auto"/>
      </w:pPr>
    </w:p>
    <w:p w14:paraId="3E7922A6">
      <w:pPr>
        <w:pStyle w:val="3"/>
        <w:spacing w:line="258" w:lineRule="auto"/>
      </w:pPr>
    </w:p>
    <w:p w14:paraId="1A17D0FE">
      <w:pPr>
        <w:pStyle w:val="3"/>
        <w:spacing w:line="258" w:lineRule="auto"/>
      </w:pPr>
    </w:p>
    <w:p w14:paraId="3959934D">
      <w:pPr>
        <w:pStyle w:val="3"/>
        <w:spacing w:line="259" w:lineRule="auto"/>
      </w:pPr>
    </w:p>
    <w:p w14:paraId="49483567">
      <w:pPr>
        <w:spacing w:line="11707" w:lineRule="exact"/>
        <w:ind w:firstLine="14"/>
      </w:pPr>
      <w:r>
        <w:rPr>
          <w:position w:val="-234"/>
        </w:rPr>
        <w:drawing>
          <wp:inline distT="0" distB="0" distL="0" distR="0">
            <wp:extent cx="5259070" cy="7433945"/>
            <wp:effectExtent l="0" t="0" r="0" b="0"/>
            <wp:docPr id="170" name="IM 170"/>
            <wp:cNvGraphicFramePr/>
            <a:graphic xmlns:a="http://schemas.openxmlformats.org/drawingml/2006/main">
              <a:graphicData uri="http://schemas.openxmlformats.org/drawingml/2006/picture">
                <pic:pic xmlns:pic="http://schemas.openxmlformats.org/drawingml/2006/picture">
                  <pic:nvPicPr>
                    <pic:cNvPr id="170" name="IM 170"/>
                    <pic:cNvPicPr/>
                  </pic:nvPicPr>
                  <pic:blipFill>
                    <a:blip r:embed="rId302"/>
                    <a:stretch>
                      <a:fillRect/>
                    </a:stretch>
                  </pic:blipFill>
                  <pic:spPr>
                    <a:xfrm>
                      <a:off x="0" y="0"/>
                      <a:ext cx="5259324" cy="7434072"/>
                    </a:xfrm>
                    <a:prstGeom prst="rect">
                      <a:avLst/>
                    </a:prstGeom>
                  </pic:spPr>
                </pic:pic>
              </a:graphicData>
            </a:graphic>
          </wp:inline>
        </w:drawing>
      </w:r>
    </w:p>
    <w:p w14:paraId="78216701">
      <w:pPr>
        <w:spacing w:line="11707" w:lineRule="exact"/>
        <w:sectPr>
          <w:footerReference r:id="rId139" w:type="default"/>
          <w:pgSz w:w="11906" w:h="16838"/>
          <w:pgMar w:top="400" w:right="1785" w:bottom="1295" w:left="1785" w:header="0" w:footer="1133" w:gutter="0"/>
          <w:cols w:space="720" w:num="1"/>
        </w:sectPr>
      </w:pPr>
    </w:p>
    <w:p w14:paraId="4A8D3B7E">
      <w:pPr>
        <w:pStyle w:val="3"/>
        <w:spacing w:line="258" w:lineRule="auto"/>
      </w:pPr>
    </w:p>
    <w:p w14:paraId="74B0EBC6">
      <w:pPr>
        <w:pStyle w:val="3"/>
        <w:spacing w:line="258" w:lineRule="auto"/>
      </w:pPr>
    </w:p>
    <w:p w14:paraId="61DBA314">
      <w:pPr>
        <w:pStyle w:val="3"/>
        <w:spacing w:line="258" w:lineRule="auto"/>
      </w:pPr>
    </w:p>
    <w:p w14:paraId="7FA9C817">
      <w:pPr>
        <w:pStyle w:val="3"/>
        <w:spacing w:line="259" w:lineRule="auto"/>
      </w:pPr>
    </w:p>
    <w:p w14:paraId="624F0B0F">
      <w:pPr>
        <w:spacing w:line="11719" w:lineRule="exact"/>
        <w:ind w:firstLine="14"/>
      </w:pPr>
      <w:r>
        <w:rPr>
          <w:position w:val="-234"/>
        </w:rPr>
        <w:drawing>
          <wp:inline distT="0" distB="0" distL="0" distR="0">
            <wp:extent cx="5262245" cy="7441565"/>
            <wp:effectExtent l="0" t="0" r="0" b="0"/>
            <wp:docPr id="172" name="IM 172"/>
            <wp:cNvGraphicFramePr/>
            <a:graphic xmlns:a="http://schemas.openxmlformats.org/drawingml/2006/main">
              <a:graphicData uri="http://schemas.openxmlformats.org/drawingml/2006/picture">
                <pic:pic xmlns:pic="http://schemas.openxmlformats.org/drawingml/2006/picture">
                  <pic:nvPicPr>
                    <pic:cNvPr id="172" name="IM 172"/>
                    <pic:cNvPicPr/>
                  </pic:nvPicPr>
                  <pic:blipFill>
                    <a:blip r:embed="rId303"/>
                    <a:stretch>
                      <a:fillRect/>
                    </a:stretch>
                  </pic:blipFill>
                  <pic:spPr>
                    <a:xfrm>
                      <a:off x="0" y="0"/>
                      <a:ext cx="5262372" cy="7441692"/>
                    </a:xfrm>
                    <a:prstGeom prst="rect">
                      <a:avLst/>
                    </a:prstGeom>
                  </pic:spPr>
                </pic:pic>
              </a:graphicData>
            </a:graphic>
          </wp:inline>
        </w:drawing>
      </w:r>
    </w:p>
    <w:p w14:paraId="1F91F57E">
      <w:pPr>
        <w:spacing w:line="11719" w:lineRule="exact"/>
        <w:sectPr>
          <w:footerReference r:id="rId140" w:type="default"/>
          <w:pgSz w:w="11906" w:h="16838"/>
          <w:pgMar w:top="400" w:right="1785" w:bottom="1295" w:left="1785" w:header="0" w:footer="1133" w:gutter="0"/>
          <w:cols w:space="720" w:num="1"/>
        </w:sectPr>
      </w:pPr>
    </w:p>
    <w:p w14:paraId="14165658">
      <w:pPr>
        <w:pStyle w:val="3"/>
        <w:spacing w:line="258" w:lineRule="auto"/>
      </w:pPr>
    </w:p>
    <w:p w14:paraId="7415D7C8">
      <w:pPr>
        <w:pStyle w:val="3"/>
        <w:spacing w:line="258" w:lineRule="auto"/>
      </w:pPr>
    </w:p>
    <w:p w14:paraId="01EC7503">
      <w:pPr>
        <w:pStyle w:val="3"/>
        <w:spacing w:line="258" w:lineRule="auto"/>
      </w:pPr>
    </w:p>
    <w:p w14:paraId="177E7E91">
      <w:pPr>
        <w:pStyle w:val="3"/>
        <w:spacing w:line="259" w:lineRule="auto"/>
      </w:pPr>
    </w:p>
    <w:p w14:paraId="6AFBADEA">
      <w:pPr>
        <w:spacing w:line="11719" w:lineRule="exact"/>
        <w:ind w:firstLine="14"/>
      </w:pPr>
      <w:r>
        <w:rPr>
          <w:position w:val="-234"/>
        </w:rPr>
        <w:drawing>
          <wp:inline distT="0" distB="0" distL="0" distR="0">
            <wp:extent cx="5262245" cy="7441565"/>
            <wp:effectExtent l="0" t="0" r="0" b="0"/>
            <wp:docPr id="174" name="IM 174"/>
            <wp:cNvGraphicFramePr/>
            <a:graphic xmlns:a="http://schemas.openxmlformats.org/drawingml/2006/main">
              <a:graphicData uri="http://schemas.openxmlformats.org/drawingml/2006/picture">
                <pic:pic xmlns:pic="http://schemas.openxmlformats.org/drawingml/2006/picture">
                  <pic:nvPicPr>
                    <pic:cNvPr id="174" name="IM 174"/>
                    <pic:cNvPicPr/>
                  </pic:nvPicPr>
                  <pic:blipFill>
                    <a:blip r:embed="rId304"/>
                    <a:stretch>
                      <a:fillRect/>
                    </a:stretch>
                  </pic:blipFill>
                  <pic:spPr>
                    <a:xfrm>
                      <a:off x="0" y="0"/>
                      <a:ext cx="5262372" cy="7441692"/>
                    </a:xfrm>
                    <a:prstGeom prst="rect">
                      <a:avLst/>
                    </a:prstGeom>
                  </pic:spPr>
                </pic:pic>
              </a:graphicData>
            </a:graphic>
          </wp:inline>
        </w:drawing>
      </w:r>
    </w:p>
    <w:p w14:paraId="2D039123">
      <w:pPr>
        <w:spacing w:line="11719" w:lineRule="exact"/>
        <w:sectPr>
          <w:footerReference r:id="rId141" w:type="default"/>
          <w:pgSz w:w="11906" w:h="16838"/>
          <w:pgMar w:top="400" w:right="1785" w:bottom="1295" w:left="1785" w:header="0" w:footer="1133" w:gutter="0"/>
          <w:cols w:space="720" w:num="1"/>
        </w:sectPr>
      </w:pPr>
    </w:p>
    <w:p w14:paraId="5413CA77">
      <w:pPr>
        <w:pStyle w:val="3"/>
        <w:spacing w:line="258" w:lineRule="auto"/>
      </w:pPr>
    </w:p>
    <w:p w14:paraId="0265CC28">
      <w:pPr>
        <w:pStyle w:val="3"/>
        <w:spacing w:line="258" w:lineRule="auto"/>
      </w:pPr>
    </w:p>
    <w:p w14:paraId="39B6129F">
      <w:pPr>
        <w:pStyle w:val="3"/>
        <w:spacing w:line="258" w:lineRule="auto"/>
      </w:pPr>
    </w:p>
    <w:p w14:paraId="56F35AF8">
      <w:pPr>
        <w:pStyle w:val="3"/>
        <w:spacing w:line="259" w:lineRule="auto"/>
      </w:pPr>
    </w:p>
    <w:p w14:paraId="41B52571">
      <w:pPr>
        <w:spacing w:line="11719" w:lineRule="exact"/>
        <w:ind w:firstLine="14"/>
      </w:pPr>
      <w:r>
        <w:rPr>
          <w:position w:val="-234"/>
        </w:rPr>
        <w:drawing>
          <wp:inline distT="0" distB="0" distL="0" distR="0">
            <wp:extent cx="5262245" cy="7441565"/>
            <wp:effectExtent l="0" t="0" r="0" b="0"/>
            <wp:docPr id="176" name="IM 176"/>
            <wp:cNvGraphicFramePr/>
            <a:graphic xmlns:a="http://schemas.openxmlformats.org/drawingml/2006/main">
              <a:graphicData uri="http://schemas.openxmlformats.org/drawingml/2006/picture">
                <pic:pic xmlns:pic="http://schemas.openxmlformats.org/drawingml/2006/picture">
                  <pic:nvPicPr>
                    <pic:cNvPr id="176" name="IM 176"/>
                    <pic:cNvPicPr/>
                  </pic:nvPicPr>
                  <pic:blipFill>
                    <a:blip r:embed="rId305"/>
                    <a:stretch>
                      <a:fillRect/>
                    </a:stretch>
                  </pic:blipFill>
                  <pic:spPr>
                    <a:xfrm>
                      <a:off x="0" y="0"/>
                      <a:ext cx="5262372" cy="7441692"/>
                    </a:xfrm>
                    <a:prstGeom prst="rect">
                      <a:avLst/>
                    </a:prstGeom>
                  </pic:spPr>
                </pic:pic>
              </a:graphicData>
            </a:graphic>
          </wp:inline>
        </w:drawing>
      </w:r>
    </w:p>
    <w:p w14:paraId="0D4ADE6F">
      <w:pPr>
        <w:spacing w:line="11719" w:lineRule="exact"/>
        <w:sectPr>
          <w:footerReference r:id="rId142" w:type="default"/>
          <w:pgSz w:w="11906" w:h="16838"/>
          <w:pgMar w:top="400" w:right="1785" w:bottom="1295" w:left="1785" w:header="0" w:footer="1133" w:gutter="0"/>
          <w:cols w:space="720" w:num="1"/>
        </w:sectPr>
      </w:pPr>
    </w:p>
    <w:p w14:paraId="02B44420">
      <w:pPr>
        <w:pStyle w:val="3"/>
        <w:spacing w:line="258" w:lineRule="auto"/>
      </w:pPr>
    </w:p>
    <w:p w14:paraId="2B64C139">
      <w:pPr>
        <w:pStyle w:val="3"/>
        <w:spacing w:line="258" w:lineRule="auto"/>
      </w:pPr>
    </w:p>
    <w:p w14:paraId="3897064C">
      <w:pPr>
        <w:pStyle w:val="3"/>
        <w:spacing w:line="258" w:lineRule="auto"/>
      </w:pPr>
    </w:p>
    <w:p w14:paraId="7B12457B">
      <w:pPr>
        <w:pStyle w:val="3"/>
        <w:spacing w:line="259" w:lineRule="auto"/>
      </w:pPr>
    </w:p>
    <w:p w14:paraId="70CB423A">
      <w:pPr>
        <w:spacing w:line="11719" w:lineRule="exact"/>
        <w:ind w:firstLine="14"/>
      </w:pPr>
      <w:r>
        <w:rPr>
          <w:position w:val="-234"/>
        </w:rPr>
        <w:drawing>
          <wp:inline distT="0" distB="0" distL="0" distR="0">
            <wp:extent cx="5262245" cy="7441565"/>
            <wp:effectExtent l="0" t="0" r="0" b="0"/>
            <wp:docPr id="178" name="IM 178"/>
            <wp:cNvGraphicFramePr/>
            <a:graphic xmlns:a="http://schemas.openxmlformats.org/drawingml/2006/main">
              <a:graphicData uri="http://schemas.openxmlformats.org/drawingml/2006/picture">
                <pic:pic xmlns:pic="http://schemas.openxmlformats.org/drawingml/2006/picture">
                  <pic:nvPicPr>
                    <pic:cNvPr id="178" name="IM 178"/>
                    <pic:cNvPicPr/>
                  </pic:nvPicPr>
                  <pic:blipFill>
                    <a:blip r:embed="rId306"/>
                    <a:stretch>
                      <a:fillRect/>
                    </a:stretch>
                  </pic:blipFill>
                  <pic:spPr>
                    <a:xfrm>
                      <a:off x="0" y="0"/>
                      <a:ext cx="5262372" cy="7441692"/>
                    </a:xfrm>
                    <a:prstGeom prst="rect">
                      <a:avLst/>
                    </a:prstGeom>
                  </pic:spPr>
                </pic:pic>
              </a:graphicData>
            </a:graphic>
          </wp:inline>
        </w:drawing>
      </w:r>
    </w:p>
    <w:p w14:paraId="51E43FC2">
      <w:pPr>
        <w:spacing w:line="11719" w:lineRule="exact"/>
        <w:sectPr>
          <w:footerReference r:id="rId143" w:type="default"/>
          <w:pgSz w:w="11906" w:h="16838"/>
          <w:pgMar w:top="400" w:right="1785" w:bottom="1295" w:left="1785" w:header="0" w:footer="1133" w:gutter="0"/>
          <w:cols w:space="720" w:num="1"/>
        </w:sectPr>
      </w:pPr>
    </w:p>
    <w:p w14:paraId="367549B5">
      <w:pPr>
        <w:pStyle w:val="3"/>
        <w:spacing w:line="258" w:lineRule="auto"/>
      </w:pPr>
    </w:p>
    <w:p w14:paraId="34C57804">
      <w:pPr>
        <w:pStyle w:val="3"/>
        <w:spacing w:line="258" w:lineRule="auto"/>
      </w:pPr>
    </w:p>
    <w:p w14:paraId="1EAA5AB4">
      <w:pPr>
        <w:pStyle w:val="3"/>
        <w:spacing w:line="258" w:lineRule="auto"/>
      </w:pPr>
    </w:p>
    <w:p w14:paraId="22F08F07">
      <w:pPr>
        <w:pStyle w:val="3"/>
        <w:spacing w:line="259" w:lineRule="auto"/>
      </w:pPr>
    </w:p>
    <w:p w14:paraId="69B73E82">
      <w:pPr>
        <w:spacing w:line="11719" w:lineRule="exact"/>
        <w:ind w:firstLine="14"/>
      </w:pPr>
      <w:r>
        <w:rPr>
          <w:position w:val="-234"/>
        </w:rPr>
        <w:drawing>
          <wp:inline distT="0" distB="0" distL="0" distR="0">
            <wp:extent cx="5262245" cy="7441565"/>
            <wp:effectExtent l="0" t="0" r="0" b="0"/>
            <wp:docPr id="180" name="IM 180"/>
            <wp:cNvGraphicFramePr/>
            <a:graphic xmlns:a="http://schemas.openxmlformats.org/drawingml/2006/main">
              <a:graphicData uri="http://schemas.openxmlformats.org/drawingml/2006/picture">
                <pic:pic xmlns:pic="http://schemas.openxmlformats.org/drawingml/2006/picture">
                  <pic:nvPicPr>
                    <pic:cNvPr id="180" name="IM 180"/>
                    <pic:cNvPicPr/>
                  </pic:nvPicPr>
                  <pic:blipFill>
                    <a:blip r:embed="rId307"/>
                    <a:stretch>
                      <a:fillRect/>
                    </a:stretch>
                  </pic:blipFill>
                  <pic:spPr>
                    <a:xfrm>
                      <a:off x="0" y="0"/>
                      <a:ext cx="5262372" cy="7441692"/>
                    </a:xfrm>
                    <a:prstGeom prst="rect">
                      <a:avLst/>
                    </a:prstGeom>
                  </pic:spPr>
                </pic:pic>
              </a:graphicData>
            </a:graphic>
          </wp:inline>
        </w:drawing>
      </w:r>
    </w:p>
    <w:p w14:paraId="2DC00599">
      <w:pPr>
        <w:spacing w:line="11719" w:lineRule="exact"/>
        <w:sectPr>
          <w:footerReference r:id="rId144" w:type="default"/>
          <w:pgSz w:w="11906" w:h="16838"/>
          <w:pgMar w:top="400" w:right="1785" w:bottom="1295" w:left="1785" w:header="0" w:footer="1133" w:gutter="0"/>
          <w:cols w:space="720" w:num="1"/>
        </w:sectPr>
      </w:pPr>
    </w:p>
    <w:p w14:paraId="246C29A1">
      <w:pPr>
        <w:pStyle w:val="3"/>
        <w:spacing w:line="258" w:lineRule="auto"/>
      </w:pPr>
    </w:p>
    <w:p w14:paraId="0D16FEE0">
      <w:pPr>
        <w:pStyle w:val="3"/>
        <w:spacing w:line="258" w:lineRule="auto"/>
      </w:pPr>
    </w:p>
    <w:p w14:paraId="2F18005B">
      <w:pPr>
        <w:pStyle w:val="3"/>
        <w:spacing w:line="258" w:lineRule="auto"/>
      </w:pPr>
    </w:p>
    <w:p w14:paraId="21FE562C">
      <w:pPr>
        <w:pStyle w:val="3"/>
        <w:spacing w:line="259" w:lineRule="auto"/>
      </w:pPr>
    </w:p>
    <w:p w14:paraId="3E2D395D">
      <w:pPr>
        <w:spacing w:line="11556" w:lineRule="exact"/>
        <w:ind w:firstLine="14"/>
      </w:pPr>
      <w:r>
        <w:rPr>
          <w:position w:val="-231"/>
        </w:rPr>
        <w:drawing>
          <wp:inline distT="0" distB="0" distL="0" distR="0">
            <wp:extent cx="5670550" cy="7338060"/>
            <wp:effectExtent l="0" t="0" r="0" b="0"/>
            <wp:docPr id="182" name="IM 182"/>
            <wp:cNvGraphicFramePr/>
            <a:graphic xmlns:a="http://schemas.openxmlformats.org/drawingml/2006/main">
              <a:graphicData uri="http://schemas.openxmlformats.org/drawingml/2006/picture">
                <pic:pic xmlns:pic="http://schemas.openxmlformats.org/drawingml/2006/picture">
                  <pic:nvPicPr>
                    <pic:cNvPr id="182" name="IM 182"/>
                    <pic:cNvPicPr/>
                  </pic:nvPicPr>
                  <pic:blipFill>
                    <a:blip r:embed="rId308"/>
                    <a:stretch>
                      <a:fillRect/>
                    </a:stretch>
                  </pic:blipFill>
                  <pic:spPr>
                    <a:xfrm>
                      <a:off x="0" y="0"/>
                      <a:ext cx="5670804" cy="7338060"/>
                    </a:xfrm>
                    <a:prstGeom prst="rect">
                      <a:avLst/>
                    </a:prstGeom>
                  </pic:spPr>
                </pic:pic>
              </a:graphicData>
            </a:graphic>
          </wp:inline>
        </w:drawing>
      </w:r>
    </w:p>
    <w:p w14:paraId="362DE61B">
      <w:pPr>
        <w:spacing w:line="11556" w:lineRule="exact"/>
        <w:sectPr>
          <w:footerReference r:id="rId145" w:type="default"/>
          <w:pgSz w:w="11906" w:h="16838"/>
          <w:pgMar w:top="400" w:right="1175" w:bottom="1295" w:left="1785" w:header="0" w:footer="1133" w:gutter="0"/>
          <w:cols w:space="720" w:num="1"/>
        </w:sectPr>
      </w:pPr>
    </w:p>
    <w:p w14:paraId="2988863C">
      <w:pPr>
        <w:pStyle w:val="3"/>
        <w:spacing w:line="258" w:lineRule="auto"/>
      </w:pPr>
    </w:p>
    <w:p w14:paraId="0CD11222">
      <w:pPr>
        <w:pStyle w:val="3"/>
        <w:spacing w:line="258" w:lineRule="auto"/>
      </w:pPr>
    </w:p>
    <w:p w14:paraId="40D5BE39">
      <w:pPr>
        <w:pStyle w:val="3"/>
        <w:spacing w:line="258" w:lineRule="auto"/>
      </w:pPr>
    </w:p>
    <w:p w14:paraId="2FAE81FA">
      <w:pPr>
        <w:pStyle w:val="3"/>
        <w:spacing w:line="259" w:lineRule="auto"/>
      </w:pPr>
    </w:p>
    <w:p w14:paraId="065CBBF7">
      <w:pPr>
        <w:spacing w:line="11707" w:lineRule="exact"/>
        <w:ind w:firstLine="14"/>
      </w:pPr>
      <w:r>
        <w:rPr>
          <w:position w:val="-234"/>
        </w:rPr>
        <w:drawing>
          <wp:inline distT="0" distB="0" distL="0" distR="0">
            <wp:extent cx="5743575" cy="7433945"/>
            <wp:effectExtent l="0" t="0" r="0" b="0"/>
            <wp:docPr id="184" name="IM 184"/>
            <wp:cNvGraphicFramePr/>
            <a:graphic xmlns:a="http://schemas.openxmlformats.org/drawingml/2006/main">
              <a:graphicData uri="http://schemas.openxmlformats.org/drawingml/2006/picture">
                <pic:pic xmlns:pic="http://schemas.openxmlformats.org/drawingml/2006/picture">
                  <pic:nvPicPr>
                    <pic:cNvPr id="184" name="IM 184"/>
                    <pic:cNvPicPr/>
                  </pic:nvPicPr>
                  <pic:blipFill>
                    <a:blip r:embed="rId309"/>
                    <a:stretch>
                      <a:fillRect/>
                    </a:stretch>
                  </pic:blipFill>
                  <pic:spPr>
                    <a:xfrm>
                      <a:off x="0" y="0"/>
                      <a:ext cx="5743956" cy="7434072"/>
                    </a:xfrm>
                    <a:prstGeom prst="rect">
                      <a:avLst/>
                    </a:prstGeom>
                  </pic:spPr>
                </pic:pic>
              </a:graphicData>
            </a:graphic>
          </wp:inline>
        </w:drawing>
      </w:r>
    </w:p>
    <w:p w14:paraId="6B0CF228">
      <w:pPr>
        <w:spacing w:line="11707" w:lineRule="exact"/>
        <w:sectPr>
          <w:footerReference r:id="rId146" w:type="default"/>
          <w:pgSz w:w="11906" w:h="16838"/>
          <w:pgMar w:top="400" w:right="1060" w:bottom="1295" w:left="1785" w:header="0" w:footer="1133" w:gutter="0"/>
          <w:cols w:space="720" w:num="1"/>
        </w:sectPr>
      </w:pPr>
    </w:p>
    <w:p w14:paraId="1FE8D9AE">
      <w:pPr>
        <w:pStyle w:val="3"/>
        <w:spacing w:line="258" w:lineRule="auto"/>
      </w:pPr>
    </w:p>
    <w:p w14:paraId="52B899AE">
      <w:pPr>
        <w:pStyle w:val="3"/>
        <w:spacing w:line="258" w:lineRule="auto"/>
      </w:pPr>
    </w:p>
    <w:p w14:paraId="196E4327">
      <w:pPr>
        <w:pStyle w:val="3"/>
        <w:spacing w:line="258" w:lineRule="auto"/>
      </w:pPr>
    </w:p>
    <w:p w14:paraId="295BA4F9">
      <w:pPr>
        <w:pStyle w:val="3"/>
        <w:spacing w:line="259" w:lineRule="auto"/>
      </w:pPr>
    </w:p>
    <w:p w14:paraId="1972D2DF">
      <w:pPr>
        <w:spacing w:line="11707" w:lineRule="exact"/>
        <w:ind w:firstLine="14"/>
      </w:pPr>
      <w:r>
        <w:rPr>
          <w:position w:val="-234"/>
        </w:rPr>
        <w:drawing>
          <wp:inline distT="0" distB="0" distL="0" distR="0">
            <wp:extent cx="5743575" cy="7433945"/>
            <wp:effectExtent l="0" t="0" r="0" b="0"/>
            <wp:docPr id="186" name="IM 186"/>
            <wp:cNvGraphicFramePr/>
            <a:graphic xmlns:a="http://schemas.openxmlformats.org/drawingml/2006/main">
              <a:graphicData uri="http://schemas.openxmlformats.org/drawingml/2006/picture">
                <pic:pic xmlns:pic="http://schemas.openxmlformats.org/drawingml/2006/picture">
                  <pic:nvPicPr>
                    <pic:cNvPr id="186" name="IM 186"/>
                    <pic:cNvPicPr/>
                  </pic:nvPicPr>
                  <pic:blipFill>
                    <a:blip r:embed="rId310"/>
                    <a:stretch>
                      <a:fillRect/>
                    </a:stretch>
                  </pic:blipFill>
                  <pic:spPr>
                    <a:xfrm>
                      <a:off x="0" y="0"/>
                      <a:ext cx="5743956" cy="7434072"/>
                    </a:xfrm>
                    <a:prstGeom prst="rect">
                      <a:avLst/>
                    </a:prstGeom>
                  </pic:spPr>
                </pic:pic>
              </a:graphicData>
            </a:graphic>
          </wp:inline>
        </w:drawing>
      </w:r>
    </w:p>
    <w:p w14:paraId="27791640">
      <w:pPr>
        <w:spacing w:line="11707" w:lineRule="exact"/>
        <w:sectPr>
          <w:footerReference r:id="rId147" w:type="default"/>
          <w:pgSz w:w="11906" w:h="16838"/>
          <w:pgMar w:top="400" w:right="1060" w:bottom="1295" w:left="1785" w:header="0" w:footer="1133" w:gutter="0"/>
          <w:cols w:space="720" w:num="1"/>
        </w:sectPr>
      </w:pPr>
    </w:p>
    <w:p w14:paraId="2C2CA6AF">
      <w:pPr>
        <w:pStyle w:val="3"/>
        <w:spacing w:line="258" w:lineRule="auto"/>
      </w:pPr>
    </w:p>
    <w:p w14:paraId="71CFB8B8">
      <w:pPr>
        <w:pStyle w:val="3"/>
        <w:spacing w:line="258" w:lineRule="auto"/>
      </w:pPr>
    </w:p>
    <w:p w14:paraId="260F4042">
      <w:pPr>
        <w:pStyle w:val="3"/>
        <w:spacing w:line="258" w:lineRule="auto"/>
      </w:pPr>
    </w:p>
    <w:p w14:paraId="64C5FBD2">
      <w:pPr>
        <w:pStyle w:val="3"/>
        <w:spacing w:line="259" w:lineRule="auto"/>
      </w:pPr>
    </w:p>
    <w:p w14:paraId="483E4431">
      <w:pPr>
        <w:spacing w:line="11707" w:lineRule="exact"/>
        <w:ind w:firstLine="14"/>
      </w:pPr>
      <w:r>
        <w:rPr>
          <w:position w:val="-234"/>
        </w:rPr>
        <w:drawing>
          <wp:inline distT="0" distB="0" distL="0" distR="0">
            <wp:extent cx="5743575" cy="7433945"/>
            <wp:effectExtent l="0" t="0" r="0" b="0"/>
            <wp:docPr id="188" name="IM 188"/>
            <wp:cNvGraphicFramePr/>
            <a:graphic xmlns:a="http://schemas.openxmlformats.org/drawingml/2006/main">
              <a:graphicData uri="http://schemas.openxmlformats.org/drawingml/2006/picture">
                <pic:pic xmlns:pic="http://schemas.openxmlformats.org/drawingml/2006/picture">
                  <pic:nvPicPr>
                    <pic:cNvPr id="188" name="IM 188"/>
                    <pic:cNvPicPr/>
                  </pic:nvPicPr>
                  <pic:blipFill>
                    <a:blip r:embed="rId311"/>
                    <a:stretch>
                      <a:fillRect/>
                    </a:stretch>
                  </pic:blipFill>
                  <pic:spPr>
                    <a:xfrm>
                      <a:off x="0" y="0"/>
                      <a:ext cx="5743956" cy="7434072"/>
                    </a:xfrm>
                    <a:prstGeom prst="rect">
                      <a:avLst/>
                    </a:prstGeom>
                  </pic:spPr>
                </pic:pic>
              </a:graphicData>
            </a:graphic>
          </wp:inline>
        </w:drawing>
      </w:r>
    </w:p>
    <w:p w14:paraId="6AF4F1FF">
      <w:pPr>
        <w:spacing w:line="11707" w:lineRule="exact"/>
        <w:sectPr>
          <w:footerReference r:id="rId148" w:type="default"/>
          <w:pgSz w:w="11906" w:h="16838"/>
          <w:pgMar w:top="400" w:right="1060" w:bottom="1295" w:left="1785" w:header="0" w:footer="1133" w:gutter="0"/>
          <w:cols w:space="720" w:num="1"/>
        </w:sectPr>
      </w:pPr>
    </w:p>
    <w:p w14:paraId="1BD5486D">
      <w:pPr>
        <w:pStyle w:val="3"/>
        <w:spacing w:line="281" w:lineRule="auto"/>
      </w:pPr>
    </w:p>
    <w:p w14:paraId="597EC2FA">
      <w:pPr>
        <w:pStyle w:val="3"/>
        <w:spacing w:line="281" w:lineRule="auto"/>
      </w:pPr>
    </w:p>
    <w:p w14:paraId="5FE41476">
      <w:pPr>
        <w:pStyle w:val="3"/>
        <w:spacing w:line="282" w:lineRule="auto"/>
      </w:pPr>
    </w:p>
    <w:p w14:paraId="524F2BFC">
      <w:pPr>
        <w:pStyle w:val="3"/>
        <w:spacing w:line="282" w:lineRule="auto"/>
      </w:pPr>
    </w:p>
    <w:p w14:paraId="77EE7F83">
      <w:pPr>
        <w:spacing w:before="78" w:line="219" w:lineRule="auto"/>
        <w:ind w:left="42"/>
        <w:outlineLvl w:val="1"/>
        <w:rPr>
          <w:rFonts w:ascii="宋体" w:hAnsi="宋体" w:eastAsia="宋体" w:cs="宋体"/>
          <w:sz w:val="24"/>
          <w:szCs w:val="24"/>
        </w:rPr>
      </w:pPr>
      <w:r>
        <w:rPr>
          <w:rFonts w:ascii="宋体" w:hAnsi="宋体" w:eastAsia="宋体" w:cs="宋体"/>
          <w:b/>
          <w:bCs/>
          <w:spacing w:val="-4"/>
          <w:sz w:val="24"/>
          <w:szCs w:val="24"/>
        </w:rPr>
        <w:t>附件</w:t>
      </w:r>
      <w:r>
        <w:rPr>
          <w:rFonts w:ascii="宋体" w:hAnsi="宋体" w:eastAsia="宋体" w:cs="宋体"/>
          <w:spacing w:val="-49"/>
          <w:sz w:val="24"/>
          <w:szCs w:val="24"/>
        </w:rPr>
        <w:t xml:space="preserve"> </w:t>
      </w:r>
      <w:r>
        <w:rPr>
          <w:rFonts w:ascii="Times New Roman" w:hAnsi="Times New Roman" w:eastAsia="Times New Roman" w:cs="Times New Roman"/>
          <w:b/>
          <w:bCs/>
          <w:spacing w:val="-4"/>
          <w:sz w:val="24"/>
          <w:szCs w:val="24"/>
        </w:rPr>
        <w:t xml:space="preserve">8  </w:t>
      </w:r>
      <w:r>
        <w:rPr>
          <w:rFonts w:ascii="宋体" w:hAnsi="宋体" w:eastAsia="宋体" w:cs="宋体"/>
          <w:b/>
          <w:bCs/>
          <w:spacing w:val="-4"/>
          <w:sz w:val="24"/>
          <w:szCs w:val="24"/>
        </w:rPr>
        <w:t>项目不在生态红线内证明</w:t>
      </w:r>
    </w:p>
    <w:p w14:paraId="0D191613">
      <w:pPr>
        <w:spacing w:before="14" w:line="11618" w:lineRule="exact"/>
        <w:ind w:firstLine="14"/>
      </w:pPr>
      <w:r>
        <w:rPr>
          <w:position w:val="-232"/>
        </w:rPr>
        <w:drawing>
          <wp:inline distT="0" distB="0" distL="0" distR="0">
            <wp:extent cx="4980305" cy="7377430"/>
            <wp:effectExtent l="0" t="0" r="0" b="0"/>
            <wp:docPr id="190" name="IM 190"/>
            <wp:cNvGraphicFramePr/>
            <a:graphic xmlns:a="http://schemas.openxmlformats.org/drawingml/2006/main">
              <a:graphicData uri="http://schemas.openxmlformats.org/drawingml/2006/picture">
                <pic:pic xmlns:pic="http://schemas.openxmlformats.org/drawingml/2006/picture">
                  <pic:nvPicPr>
                    <pic:cNvPr id="190" name="IM 190"/>
                    <pic:cNvPicPr/>
                  </pic:nvPicPr>
                  <pic:blipFill>
                    <a:blip r:embed="rId312"/>
                    <a:stretch>
                      <a:fillRect/>
                    </a:stretch>
                  </pic:blipFill>
                  <pic:spPr>
                    <a:xfrm>
                      <a:off x="0" y="0"/>
                      <a:ext cx="4980432" cy="7377684"/>
                    </a:xfrm>
                    <a:prstGeom prst="rect">
                      <a:avLst/>
                    </a:prstGeom>
                  </pic:spPr>
                </pic:pic>
              </a:graphicData>
            </a:graphic>
          </wp:inline>
        </w:drawing>
      </w:r>
    </w:p>
    <w:p w14:paraId="052B0560">
      <w:pPr>
        <w:spacing w:line="11618" w:lineRule="exact"/>
        <w:sectPr>
          <w:footerReference r:id="rId149" w:type="default"/>
          <w:pgSz w:w="11906" w:h="16838"/>
          <w:pgMar w:top="400" w:right="1785" w:bottom="1295" w:left="1785" w:header="0" w:footer="1133" w:gutter="0"/>
          <w:cols w:space="720" w:num="1"/>
        </w:sectPr>
      </w:pPr>
    </w:p>
    <w:p w14:paraId="4C9E24B7">
      <w:pPr>
        <w:pStyle w:val="3"/>
        <w:spacing w:line="258" w:lineRule="auto"/>
      </w:pPr>
    </w:p>
    <w:p w14:paraId="35102023">
      <w:pPr>
        <w:pStyle w:val="3"/>
        <w:spacing w:line="258" w:lineRule="auto"/>
      </w:pPr>
    </w:p>
    <w:p w14:paraId="09DBA460">
      <w:pPr>
        <w:pStyle w:val="3"/>
        <w:spacing w:line="258" w:lineRule="auto"/>
      </w:pPr>
    </w:p>
    <w:p w14:paraId="26D0A34A">
      <w:pPr>
        <w:pStyle w:val="3"/>
        <w:spacing w:line="259" w:lineRule="auto"/>
      </w:pPr>
    </w:p>
    <w:p w14:paraId="053962E1">
      <w:pPr>
        <w:spacing w:line="11487" w:lineRule="exact"/>
        <w:ind w:firstLine="14"/>
      </w:pPr>
      <w:r>
        <w:rPr>
          <w:position w:val="-229"/>
        </w:rPr>
        <w:drawing>
          <wp:inline distT="0" distB="0" distL="0" distR="0">
            <wp:extent cx="5486400" cy="7293610"/>
            <wp:effectExtent l="0" t="0" r="0" b="0"/>
            <wp:docPr id="192" name="IM 192"/>
            <wp:cNvGraphicFramePr/>
            <a:graphic xmlns:a="http://schemas.openxmlformats.org/drawingml/2006/main">
              <a:graphicData uri="http://schemas.openxmlformats.org/drawingml/2006/picture">
                <pic:pic xmlns:pic="http://schemas.openxmlformats.org/drawingml/2006/picture">
                  <pic:nvPicPr>
                    <pic:cNvPr id="192" name="IM 192"/>
                    <pic:cNvPicPr/>
                  </pic:nvPicPr>
                  <pic:blipFill>
                    <a:blip r:embed="rId313"/>
                    <a:stretch>
                      <a:fillRect/>
                    </a:stretch>
                  </pic:blipFill>
                  <pic:spPr>
                    <a:xfrm>
                      <a:off x="0" y="0"/>
                      <a:ext cx="5486400" cy="7293864"/>
                    </a:xfrm>
                    <a:prstGeom prst="rect">
                      <a:avLst/>
                    </a:prstGeom>
                  </pic:spPr>
                </pic:pic>
              </a:graphicData>
            </a:graphic>
          </wp:inline>
        </w:drawing>
      </w:r>
    </w:p>
    <w:p w14:paraId="03D72932">
      <w:pPr>
        <w:spacing w:line="11487" w:lineRule="exact"/>
        <w:sectPr>
          <w:footerReference r:id="rId150" w:type="default"/>
          <w:pgSz w:w="11906" w:h="16838"/>
          <w:pgMar w:top="400" w:right="1465" w:bottom="1295" w:left="1785" w:header="0" w:footer="1133" w:gutter="0"/>
          <w:cols w:space="720" w:num="1"/>
        </w:sectPr>
      </w:pPr>
    </w:p>
    <w:p w14:paraId="40AF80AF">
      <w:pPr>
        <w:pStyle w:val="3"/>
        <w:spacing w:line="258" w:lineRule="auto"/>
      </w:pPr>
    </w:p>
    <w:p w14:paraId="58ACA6D6">
      <w:pPr>
        <w:pStyle w:val="3"/>
        <w:spacing w:line="258" w:lineRule="auto"/>
      </w:pPr>
    </w:p>
    <w:p w14:paraId="6792A3B6">
      <w:pPr>
        <w:pStyle w:val="3"/>
        <w:spacing w:line="258" w:lineRule="auto"/>
      </w:pPr>
    </w:p>
    <w:p w14:paraId="615B6A7B">
      <w:pPr>
        <w:pStyle w:val="3"/>
        <w:spacing w:line="259" w:lineRule="auto"/>
      </w:pPr>
    </w:p>
    <w:p w14:paraId="70A8A45C">
      <w:pPr>
        <w:spacing w:line="11446" w:lineRule="exact"/>
        <w:ind w:firstLine="14"/>
      </w:pPr>
      <w:r>
        <w:rPr>
          <w:position w:val="-228"/>
        </w:rPr>
        <w:drawing>
          <wp:inline distT="0" distB="0" distL="0" distR="0">
            <wp:extent cx="5201285" cy="7267575"/>
            <wp:effectExtent l="0" t="0" r="0" b="0"/>
            <wp:docPr id="194" name="IM 194"/>
            <wp:cNvGraphicFramePr/>
            <a:graphic xmlns:a="http://schemas.openxmlformats.org/drawingml/2006/main">
              <a:graphicData uri="http://schemas.openxmlformats.org/drawingml/2006/picture">
                <pic:pic xmlns:pic="http://schemas.openxmlformats.org/drawingml/2006/picture">
                  <pic:nvPicPr>
                    <pic:cNvPr id="194" name="IM 194"/>
                    <pic:cNvPicPr/>
                  </pic:nvPicPr>
                  <pic:blipFill>
                    <a:blip r:embed="rId314"/>
                    <a:stretch>
                      <a:fillRect/>
                    </a:stretch>
                  </pic:blipFill>
                  <pic:spPr>
                    <a:xfrm>
                      <a:off x="0" y="0"/>
                      <a:ext cx="5201412" cy="7267956"/>
                    </a:xfrm>
                    <a:prstGeom prst="rect">
                      <a:avLst/>
                    </a:prstGeom>
                  </pic:spPr>
                </pic:pic>
              </a:graphicData>
            </a:graphic>
          </wp:inline>
        </w:drawing>
      </w:r>
    </w:p>
    <w:p w14:paraId="00669881">
      <w:pPr>
        <w:spacing w:line="11446" w:lineRule="exact"/>
        <w:sectPr>
          <w:footerReference r:id="rId151" w:type="default"/>
          <w:pgSz w:w="11906" w:h="16838"/>
          <w:pgMar w:top="400" w:right="1785" w:bottom="1295" w:left="1785" w:header="0" w:footer="1133" w:gutter="0"/>
          <w:cols w:space="720" w:num="1"/>
        </w:sectPr>
      </w:pPr>
    </w:p>
    <w:p w14:paraId="469F5323">
      <w:pPr>
        <w:pStyle w:val="3"/>
        <w:spacing w:line="281" w:lineRule="auto"/>
      </w:pPr>
    </w:p>
    <w:p w14:paraId="7340EBB0">
      <w:pPr>
        <w:pStyle w:val="3"/>
        <w:spacing w:line="281" w:lineRule="auto"/>
      </w:pPr>
    </w:p>
    <w:p w14:paraId="039D2CBA">
      <w:pPr>
        <w:pStyle w:val="3"/>
        <w:spacing w:line="282" w:lineRule="auto"/>
      </w:pPr>
    </w:p>
    <w:p w14:paraId="5D93F80C">
      <w:pPr>
        <w:pStyle w:val="3"/>
        <w:spacing w:line="282" w:lineRule="auto"/>
      </w:pPr>
    </w:p>
    <w:p w14:paraId="343D9552">
      <w:pPr>
        <w:spacing w:before="78" w:line="219" w:lineRule="auto"/>
        <w:ind w:left="42"/>
        <w:outlineLvl w:val="1"/>
        <w:rPr>
          <w:rFonts w:ascii="宋体" w:hAnsi="宋体" w:eastAsia="宋体" w:cs="宋体"/>
          <w:sz w:val="24"/>
          <w:szCs w:val="24"/>
        </w:rPr>
      </w:pPr>
      <w:r>
        <w:rPr>
          <w:rFonts w:ascii="宋体" w:hAnsi="宋体" w:eastAsia="宋体" w:cs="宋体"/>
          <w:b/>
          <w:bCs/>
          <w:spacing w:val="-4"/>
          <w:sz w:val="24"/>
          <w:szCs w:val="24"/>
        </w:rPr>
        <w:t>附件</w:t>
      </w:r>
      <w:r>
        <w:rPr>
          <w:rFonts w:ascii="宋体" w:hAnsi="宋体" w:eastAsia="宋体" w:cs="宋体"/>
          <w:spacing w:val="-49"/>
          <w:sz w:val="24"/>
          <w:szCs w:val="24"/>
        </w:rPr>
        <w:t xml:space="preserve"> </w:t>
      </w:r>
      <w:r>
        <w:rPr>
          <w:rFonts w:ascii="Times New Roman" w:hAnsi="Times New Roman" w:eastAsia="Times New Roman" w:cs="Times New Roman"/>
          <w:b/>
          <w:bCs/>
          <w:spacing w:val="-4"/>
          <w:sz w:val="24"/>
          <w:szCs w:val="24"/>
        </w:rPr>
        <w:t xml:space="preserve">9  </w:t>
      </w:r>
      <w:r>
        <w:rPr>
          <w:rFonts w:ascii="宋体" w:hAnsi="宋体" w:eastAsia="宋体" w:cs="宋体"/>
          <w:b/>
          <w:bCs/>
          <w:spacing w:val="-4"/>
          <w:sz w:val="24"/>
          <w:szCs w:val="24"/>
        </w:rPr>
        <w:t>项目不占用基本农田证明</w:t>
      </w:r>
    </w:p>
    <w:p w14:paraId="5D5D500F">
      <w:pPr>
        <w:spacing w:before="14" w:line="11530" w:lineRule="exact"/>
        <w:ind w:firstLine="14"/>
      </w:pPr>
      <w:r>
        <w:rPr>
          <w:position w:val="-230"/>
        </w:rPr>
        <w:drawing>
          <wp:inline distT="0" distB="0" distL="0" distR="0">
            <wp:extent cx="5361305" cy="7320915"/>
            <wp:effectExtent l="0" t="0" r="0" b="0"/>
            <wp:docPr id="196" name="IM 196"/>
            <wp:cNvGraphicFramePr/>
            <a:graphic xmlns:a="http://schemas.openxmlformats.org/drawingml/2006/main">
              <a:graphicData uri="http://schemas.openxmlformats.org/drawingml/2006/picture">
                <pic:pic xmlns:pic="http://schemas.openxmlformats.org/drawingml/2006/picture">
                  <pic:nvPicPr>
                    <pic:cNvPr id="196" name="IM 196"/>
                    <pic:cNvPicPr/>
                  </pic:nvPicPr>
                  <pic:blipFill>
                    <a:blip r:embed="rId315"/>
                    <a:stretch>
                      <a:fillRect/>
                    </a:stretch>
                  </pic:blipFill>
                  <pic:spPr>
                    <a:xfrm>
                      <a:off x="0" y="0"/>
                      <a:ext cx="5361432" cy="7321296"/>
                    </a:xfrm>
                    <a:prstGeom prst="rect">
                      <a:avLst/>
                    </a:prstGeom>
                  </pic:spPr>
                </pic:pic>
              </a:graphicData>
            </a:graphic>
          </wp:inline>
        </w:drawing>
      </w:r>
    </w:p>
    <w:p w14:paraId="26F74879">
      <w:pPr>
        <w:spacing w:line="11530" w:lineRule="exact"/>
        <w:sectPr>
          <w:footerReference r:id="rId152" w:type="default"/>
          <w:pgSz w:w="11906" w:h="16838"/>
          <w:pgMar w:top="400" w:right="1662" w:bottom="1295" w:left="1785" w:header="0" w:footer="1133" w:gutter="0"/>
          <w:cols w:space="720" w:num="1"/>
        </w:sectPr>
      </w:pPr>
    </w:p>
    <w:p w14:paraId="0C24B606">
      <w:pPr>
        <w:pStyle w:val="3"/>
        <w:spacing w:line="281" w:lineRule="auto"/>
      </w:pPr>
    </w:p>
    <w:p w14:paraId="6FB022CD">
      <w:pPr>
        <w:pStyle w:val="3"/>
        <w:spacing w:line="281" w:lineRule="auto"/>
      </w:pPr>
    </w:p>
    <w:p w14:paraId="04F4D9F3">
      <w:pPr>
        <w:pStyle w:val="3"/>
        <w:spacing w:line="282" w:lineRule="auto"/>
      </w:pPr>
    </w:p>
    <w:p w14:paraId="411FAF63">
      <w:pPr>
        <w:pStyle w:val="3"/>
        <w:spacing w:line="282" w:lineRule="auto"/>
      </w:pPr>
    </w:p>
    <w:p w14:paraId="01A27B5D">
      <w:pPr>
        <w:spacing w:before="78" w:line="219" w:lineRule="auto"/>
        <w:ind w:left="42"/>
        <w:outlineLvl w:val="1"/>
        <w:rPr>
          <w:rFonts w:ascii="宋体" w:hAnsi="宋体" w:eastAsia="宋体" w:cs="宋体"/>
          <w:sz w:val="24"/>
          <w:szCs w:val="24"/>
        </w:rPr>
      </w:pPr>
      <w:r>
        <w:rPr>
          <w:rFonts w:ascii="宋体" w:hAnsi="宋体" w:eastAsia="宋体" w:cs="宋体"/>
          <w:b/>
          <w:bCs/>
          <w:spacing w:val="-5"/>
          <w:sz w:val="24"/>
          <w:szCs w:val="24"/>
        </w:rPr>
        <w:t>附件</w:t>
      </w:r>
      <w:r>
        <w:rPr>
          <w:rFonts w:ascii="宋体" w:hAnsi="宋体" w:eastAsia="宋体" w:cs="宋体"/>
          <w:spacing w:val="-30"/>
          <w:sz w:val="24"/>
          <w:szCs w:val="24"/>
        </w:rPr>
        <w:t xml:space="preserve"> </w:t>
      </w:r>
      <w:r>
        <w:rPr>
          <w:rFonts w:ascii="Times New Roman" w:hAnsi="Times New Roman" w:eastAsia="Times New Roman" w:cs="Times New Roman"/>
          <w:b/>
          <w:bCs/>
          <w:spacing w:val="-5"/>
          <w:sz w:val="24"/>
          <w:szCs w:val="24"/>
        </w:rPr>
        <w:t xml:space="preserve">10  </w:t>
      </w:r>
      <w:r>
        <w:rPr>
          <w:rFonts w:ascii="宋体" w:hAnsi="宋体" w:eastAsia="宋体" w:cs="宋体"/>
          <w:b/>
          <w:bCs/>
          <w:spacing w:val="-5"/>
          <w:sz w:val="24"/>
          <w:szCs w:val="24"/>
        </w:rPr>
        <w:t>项目不占用水源地证明</w:t>
      </w:r>
    </w:p>
    <w:p w14:paraId="0C73C8F2">
      <w:pPr>
        <w:spacing w:before="14" w:line="10668" w:lineRule="exact"/>
        <w:ind w:firstLine="494"/>
      </w:pPr>
      <w:r>
        <w:rPr>
          <w:position w:val="-213"/>
        </w:rPr>
        <w:drawing>
          <wp:inline distT="0" distB="0" distL="0" distR="0">
            <wp:extent cx="4953000" cy="6774180"/>
            <wp:effectExtent l="0" t="0" r="0" b="0"/>
            <wp:docPr id="198" name="IM 198"/>
            <wp:cNvGraphicFramePr/>
            <a:graphic xmlns:a="http://schemas.openxmlformats.org/drawingml/2006/main">
              <a:graphicData uri="http://schemas.openxmlformats.org/drawingml/2006/picture">
                <pic:pic xmlns:pic="http://schemas.openxmlformats.org/drawingml/2006/picture">
                  <pic:nvPicPr>
                    <pic:cNvPr id="198" name="IM 198"/>
                    <pic:cNvPicPr/>
                  </pic:nvPicPr>
                  <pic:blipFill>
                    <a:blip r:embed="rId316"/>
                    <a:stretch>
                      <a:fillRect/>
                    </a:stretch>
                  </pic:blipFill>
                  <pic:spPr>
                    <a:xfrm>
                      <a:off x="0" y="0"/>
                      <a:ext cx="4953000" cy="6774180"/>
                    </a:xfrm>
                    <a:prstGeom prst="rect">
                      <a:avLst/>
                    </a:prstGeom>
                  </pic:spPr>
                </pic:pic>
              </a:graphicData>
            </a:graphic>
          </wp:inline>
        </w:drawing>
      </w:r>
    </w:p>
    <w:p w14:paraId="1F75BB48">
      <w:pPr>
        <w:spacing w:line="10668" w:lineRule="exact"/>
        <w:sectPr>
          <w:footerReference r:id="rId153" w:type="default"/>
          <w:pgSz w:w="11906" w:h="16838"/>
          <w:pgMar w:top="400" w:right="1785" w:bottom="1295" w:left="1785" w:header="0" w:footer="1133" w:gutter="0"/>
          <w:cols w:space="720" w:num="1"/>
        </w:sectPr>
      </w:pPr>
    </w:p>
    <w:p w14:paraId="5D989430">
      <w:pPr>
        <w:pStyle w:val="3"/>
        <w:spacing w:line="281" w:lineRule="auto"/>
      </w:pPr>
    </w:p>
    <w:p w14:paraId="7AC6E868">
      <w:pPr>
        <w:pStyle w:val="3"/>
        <w:spacing w:line="281" w:lineRule="auto"/>
      </w:pPr>
    </w:p>
    <w:p w14:paraId="115E4B37">
      <w:pPr>
        <w:pStyle w:val="3"/>
        <w:spacing w:line="282" w:lineRule="auto"/>
      </w:pPr>
    </w:p>
    <w:p w14:paraId="62EC525E">
      <w:pPr>
        <w:pStyle w:val="3"/>
        <w:spacing w:line="282" w:lineRule="auto"/>
      </w:pPr>
    </w:p>
    <w:p w14:paraId="789BAE1D">
      <w:pPr>
        <w:spacing w:before="78" w:line="219" w:lineRule="auto"/>
        <w:ind w:left="42"/>
        <w:outlineLvl w:val="1"/>
        <w:rPr>
          <w:rFonts w:ascii="宋体" w:hAnsi="宋体" w:eastAsia="宋体" w:cs="宋体"/>
          <w:sz w:val="24"/>
          <w:szCs w:val="24"/>
        </w:rPr>
      </w:pPr>
      <w:r>
        <w:rPr>
          <w:rFonts w:ascii="宋体" w:hAnsi="宋体" w:eastAsia="宋体" w:cs="宋体"/>
          <w:b/>
          <w:bCs/>
          <w:spacing w:val="-6"/>
          <w:sz w:val="24"/>
          <w:szCs w:val="24"/>
        </w:rPr>
        <w:t>附件</w:t>
      </w:r>
      <w:r>
        <w:rPr>
          <w:rFonts w:ascii="宋体" w:hAnsi="宋体" w:eastAsia="宋体" w:cs="宋体"/>
          <w:spacing w:val="-32"/>
          <w:sz w:val="24"/>
          <w:szCs w:val="24"/>
        </w:rPr>
        <w:t xml:space="preserve"> </w:t>
      </w:r>
      <w:r>
        <w:rPr>
          <w:rFonts w:ascii="Times New Roman" w:hAnsi="Times New Roman" w:eastAsia="Times New Roman" w:cs="Times New Roman"/>
          <w:b/>
          <w:bCs/>
          <w:spacing w:val="-6"/>
          <w:sz w:val="24"/>
          <w:szCs w:val="24"/>
        </w:rPr>
        <w:t xml:space="preserve">11  </w:t>
      </w:r>
      <w:r>
        <w:rPr>
          <w:rFonts w:ascii="宋体" w:hAnsi="宋体" w:eastAsia="宋体" w:cs="宋体"/>
          <w:b/>
          <w:bCs/>
          <w:spacing w:val="-6"/>
          <w:sz w:val="24"/>
          <w:szCs w:val="24"/>
        </w:rPr>
        <w:t>项目不占保护区证明</w:t>
      </w:r>
    </w:p>
    <w:p w14:paraId="100CD63E">
      <w:pPr>
        <w:spacing w:before="14" w:line="11436" w:lineRule="exact"/>
        <w:ind w:firstLine="14"/>
      </w:pPr>
      <w:r>
        <w:rPr>
          <w:position w:val="-228"/>
        </w:rPr>
        <w:drawing>
          <wp:inline distT="0" distB="0" distL="0" distR="0">
            <wp:extent cx="5641340" cy="7261860"/>
            <wp:effectExtent l="0" t="0" r="0" b="0"/>
            <wp:docPr id="200" name="IM 200"/>
            <wp:cNvGraphicFramePr/>
            <a:graphic xmlns:a="http://schemas.openxmlformats.org/drawingml/2006/main">
              <a:graphicData uri="http://schemas.openxmlformats.org/drawingml/2006/picture">
                <pic:pic xmlns:pic="http://schemas.openxmlformats.org/drawingml/2006/picture">
                  <pic:nvPicPr>
                    <pic:cNvPr id="200" name="IM 200"/>
                    <pic:cNvPicPr/>
                  </pic:nvPicPr>
                  <pic:blipFill>
                    <a:blip r:embed="rId317"/>
                    <a:stretch>
                      <a:fillRect/>
                    </a:stretch>
                  </pic:blipFill>
                  <pic:spPr>
                    <a:xfrm>
                      <a:off x="0" y="0"/>
                      <a:ext cx="5641848" cy="7261860"/>
                    </a:xfrm>
                    <a:prstGeom prst="rect">
                      <a:avLst/>
                    </a:prstGeom>
                  </pic:spPr>
                </pic:pic>
              </a:graphicData>
            </a:graphic>
          </wp:inline>
        </w:drawing>
      </w:r>
    </w:p>
    <w:p w14:paraId="38F0BEC2">
      <w:pPr>
        <w:spacing w:line="11436" w:lineRule="exact"/>
        <w:sectPr>
          <w:footerReference r:id="rId154" w:type="default"/>
          <w:pgSz w:w="11906" w:h="16838"/>
          <w:pgMar w:top="400" w:right="1221" w:bottom="1295" w:left="1785" w:header="0" w:footer="1133" w:gutter="0"/>
          <w:cols w:space="720" w:num="1"/>
        </w:sectPr>
      </w:pPr>
    </w:p>
    <w:p w14:paraId="1D7621A0">
      <w:pPr>
        <w:pStyle w:val="3"/>
        <w:spacing w:line="258" w:lineRule="auto"/>
      </w:pPr>
    </w:p>
    <w:p w14:paraId="3D6D1A95">
      <w:pPr>
        <w:pStyle w:val="3"/>
        <w:spacing w:line="258" w:lineRule="auto"/>
      </w:pPr>
    </w:p>
    <w:p w14:paraId="299FB699">
      <w:pPr>
        <w:pStyle w:val="3"/>
        <w:spacing w:line="258" w:lineRule="auto"/>
      </w:pPr>
    </w:p>
    <w:p w14:paraId="0C7D5FB3">
      <w:pPr>
        <w:pStyle w:val="3"/>
        <w:spacing w:line="259" w:lineRule="auto"/>
      </w:pPr>
    </w:p>
    <w:p w14:paraId="652CE156">
      <w:pPr>
        <w:spacing w:line="11722" w:lineRule="exact"/>
        <w:ind w:firstLine="14"/>
      </w:pPr>
      <w:r>
        <w:rPr>
          <w:position w:val="-234"/>
        </w:rPr>
        <w:drawing>
          <wp:inline distT="0" distB="0" distL="0" distR="0">
            <wp:extent cx="5259070" cy="7442835"/>
            <wp:effectExtent l="0" t="0" r="0" b="0"/>
            <wp:docPr id="202" name="IM 202"/>
            <wp:cNvGraphicFramePr/>
            <a:graphic xmlns:a="http://schemas.openxmlformats.org/drawingml/2006/main">
              <a:graphicData uri="http://schemas.openxmlformats.org/drawingml/2006/picture">
                <pic:pic xmlns:pic="http://schemas.openxmlformats.org/drawingml/2006/picture">
                  <pic:nvPicPr>
                    <pic:cNvPr id="202" name="IM 202"/>
                    <pic:cNvPicPr/>
                  </pic:nvPicPr>
                  <pic:blipFill>
                    <a:blip r:embed="rId318"/>
                    <a:stretch>
                      <a:fillRect/>
                    </a:stretch>
                  </pic:blipFill>
                  <pic:spPr>
                    <a:xfrm>
                      <a:off x="0" y="0"/>
                      <a:ext cx="5259324" cy="7443216"/>
                    </a:xfrm>
                    <a:prstGeom prst="rect">
                      <a:avLst/>
                    </a:prstGeom>
                  </pic:spPr>
                </pic:pic>
              </a:graphicData>
            </a:graphic>
          </wp:inline>
        </w:drawing>
      </w:r>
    </w:p>
    <w:p w14:paraId="29C601D2">
      <w:pPr>
        <w:spacing w:line="11722" w:lineRule="exact"/>
        <w:sectPr>
          <w:footerReference r:id="rId155" w:type="default"/>
          <w:pgSz w:w="11906" w:h="16838"/>
          <w:pgMar w:top="400" w:right="1785" w:bottom="1295" w:left="1785" w:header="0" w:footer="1133" w:gutter="0"/>
          <w:cols w:space="720" w:num="1"/>
        </w:sectPr>
      </w:pPr>
    </w:p>
    <w:p w14:paraId="10B67950">
      <w:pPr>
        <w:pStyle w:val="3"/>
        <w:spacing w:line="258" w:lineRule="auto"/>
      </w:pPr>
    </w:p>
    <w:p w14:paraId="599BD1D4">
      <w:pPr>
        <w:pStyle w:val="3"/>
        <w:spacing w:line="258" w:lineRule="auto"/>
      </w:pPr>
    </w:p>
    <w:p w14:paraId="3663A6CA">
      <w:pPr>
        <w:pStyle w:val="3"/>
        <w:spacing w:line="258" w:lineRule="auto"/>
      </w:pPr>
    </w:p>
    <w:p w14:paraId="746D8318">
      <w:pPr>
        <w:pStyle w:val="3"/>
        <w:spacing w:line="259" w:lineRule="auto"/>
      </w:pPr>
    </w:p>
    <w:p w14:paraId="2ED5ABAF">
      <w:pPr>
        <w:spacing w:line="11722" w:lineRule="exact"/>
        <w:ind w:firstLine="14"/>
      </w:pPr>
      <w:r>
        <w:rPr>
          <w:position w:val="-234"/>
        </w:rPr>
        <w:drawing>
          <wp:inline distT="0" distB="0" distL="0" distR="0">
            <wp:extent cx="5259070" cy="7442835"/>
            <wp:effectExtent l="0" t="0" r="0" b="0"/>
            <wp:docPr id="204" name="IM 204"/>
            <wp:cNvGraphicFramePr/>
            <a:graphic xmlns:a="http://schemas.openxmlformats.org/drawingml/2006/main">
              <a:graphicData uri="http://schemas.openxmlformats.org/drawingml/2006/picture">
                <pic:pic xmlns:pic="http://schemas.openxmlformats.org/drawingml/2006/picture">
                  <pic:nvPicPr>
                    <pic:cNvPr id="204" name="IM 204"/>
                    <pic:cNvPicPr/>
                  </pic:nvPicPr>
                  <pic:blipFill>
                    <a:blip r:embed="rId319"/>
                    <a:stretch>
                      <a:fillRect/>
                    </a:stretch>
                  </pic:blipFill>
                  <pic:spPr>
                    <a:xfrm>
                      <a:off x="0" y="0"/>
                      <a:ext cx="5259324" cy="7443216"/>
                    </a:xfrm>
                    <a:prstGeom prst="rect">
                      <a:avLst/>
                    </a:prstGeom>
                  </pic:spPr>
                </pic:pic>
              </a:graphicData>
            </a:graphic>
          </wp:inline>
        </w:drawing>
      </w:r>
    </w:p>
    <w:p w14:paraId="5B1CDEFF">
      <w:pPr>
        <w:spacing w:line="11722" w:lineRule="exact"/>
        <w:sectPr>
          <w:footerReference r:id="rId156" w:type="default"/>
          <w:pgSz w:w="11906" w:h="16838"/>
          <w:pgMar w:top="400" w:right="1785" w:bottom="1295" w:left="1785" w:header="0" w:footer="1133" w:gutter="0"/>
          <w:cols w:space="720" w:num="1"/>
        </w:sectPr>
      </w:pPr>
    </w:p>
    <w:p w14:paraId="1D0BBF0B">
      <w:pPr>
        <w:pStyle w:val="3"/>
        <w:spacing w:line="258" w:lineRule="auto"/>
      </w:pPr>
    </w:p>
    <w:p w14:paraId="3388AB3F">
      <w:pPr>
        <w:pStyle w:val="3"/>
        <w:spacing w:line="258" w:lineRule="auto"/>
      </w:pPr>
    </w:p>
    <w:p w14:paraId="4BBD4842">
      <w:pPr>
        <w:pStyle w:val="3"/>
        <w:spacing w:line="258" w:lineRule="auto"/>
      </w:pPr>
    </w:p>
    <w:p w14:paraId="23E063E2">
      <w:pPr>
        <w:pStyle w:val="3"/>
        <w:spacing w:line="259" w:lineRule="auto"/>
      </w:pPr>
    </w:p>
    <w:p w14:paraId="5E6B8726">
      <w:pPr>
        <w:spacing w:line="11722" w:lineRule="exact"/>
        <w:ind w:firstLine="14"/>
      </w:pPr>
      <w:r>
        <w:rPr>
          <w:position w:val="-234"/>
        </w:rPr>
        <w:drawing>
          <wp:inline distT="0" distB="0" distL="0" distR="0">
            <wp:extent cx="5259070" cy="7442835"/>
            <wp:effectExtent l="0" t="0" r="0" b="0"/>
            <wp:docPr id="206" name="IM 206"/>
            <wp:cNvGraphicFramePr/>
            <a:graphic xmlns:a="http://schemas.openxmlformats.org/drawingml/2006/main">
              <a:graphicData uri="http://schemas.openxmlformats.org/drawingml/2006/picture">
                <pic:pic xmlns:pic="http://schemas.openxmlformats.org/drawingml/2006/picture">
                  <pic:nvPicPr>
                    <pic:cNvPr id="206" name="IM 206"/>
                    <pic:cNvPicPr/>
                  </pic:nvPicPr>
                  <pic:blipFill>
                    <a:blip r:embed="rId320"/>
                    <a:stretch>
                      <a:fillRect/>
                    </a:stretch>
                  </pic:blipFill>
                  <pic:spPr>
                    <a:xfrm>
                      <a:off x="0" y="0"/>
                      <a:ext cx="5259324" cy="7443216"/>
                    </a:xfrm>
                    <a:prstGeom prst="rect">
                      <a:avLst/>
                    </a:prstGeom>
                  </pic:spPr>
                </pic:pic>
              </a:graphicData>
            </a:graphic>
          </wp:inline>
        </w:drawing>
      </w:r>
    </w:p>
    <w:p w14:paraId="29AE84F4">
      <w:pPr>
        <w:spacing w:line="11722" w:lineRule="exact"/>
        <w:sectPr>
          <w:footerReference r:id="rId157" w:type="default"/>
          <w:pgSz w:w="11906" w:h="16838"/>
          <w:pgMar w:top="400" w:right="1785" w:bottom="1295" w:left="1785" w:header="0" w:footer="1133" w:gutter="0"/>
          <w:cols w:space="720" w:num="1"/>
        </w:sectPr>
      </w:pPr>
    </w:p>
    <w:p w14:paraId="5B66668A">
      <w:pPr>
        <w:pStyle w:val="3"/>
        <w:spacing w:line="281" w:lineRule="auto"/>
      </w:pPr>
    </w:p>
    <w:p w14:paraId="7F7EDD19">
      <w:pPr>
        <w:pStyle w:val="3"/>
        <w:spacing w:line="281" w:lineRule="auto"/>
      </w:pPr>
    </w:p>
    <w:p w14:paraId="4902750E">
      <w:pPr>
        <w:pStyle w:val="3"/>
        <w:spacing w:line="282" w:lineRule="auto"/>
      </w:pPr>
    </w:p>
    <w:p w14:paraId="2CBF52A6">
      <w:pPr>
        <w:pStyle w:val="3"/>
        <w:spacing w:line="282" w:lineRule="auto"/>
      </w:pPr>
    </w:p>
    <w:p w14:paraId="0849E933">
      <w:pPr>
        <w:spacing w:before="78" w:line="219" w:lineRule="auto"/>
        <w:ind w:left="42"/>
        <w:outlineLvl w:val="1"/>
        <w:rPr>
          <w:rFonts w:ascii="宋体" w:hAnsi="宋体" w:eastAsia="宋体" w:cs="宋体"/>
          <w:sz w:val="24"/>
          <w:szCs w:val="24"/>
        </w:rPr>
      </w:pPr>
      <w:r>
        <w:rPr>
          <w:rFonts w:ascii="宋体" w:hAnsi="宋体" w:eastAsia="宋体" w:cs="宋体"/>
          <w:b/>
          <w:bCs/>
          <w:spacing w:val="-5"/>
          <w:sz w:val="24"/>
          <w:szCs w:val="24"/>
        </w:rPr>
        <w:t>附件</w:t>
      </w:r>
      <w:r>
        <w:rPr>
          <w:rFonts w:ascii="宋体" w:hAnsi="宋体" w:eastAsia="宋体" w:cs="宋体"/>
          <w:spacing w:val="-38"/>
          <w:sz w:val="24"/>
          <w:szCs w:val="24"/>
        </w:rPr>
        <w:t xml:space="preserve"> </w:t>
      </w:r>
      <w:r>
        <w:rPr>
          <w:rFonts w:ascii="Times New Roman" w:hAnsi="Times New Roman" w:eastAsia="Times New Roman" w:cs="Times New Roman"/>
          <w:b/>
          <w:bCs/>
          <w:spacing w:val="-5"/>
          <w:sz w:val="24"/>
          <w:szCs w:val="24"/>
        </w:rPr>
        <w:t xml:space="preserve">12  </w:t>
      </w:r>
      <w:r>
        <w:rPr>
          <w:rFonts w:ascii="宋体" w:hAnsi="宋体" w:eastAsia="宋体" w:cs="宋体"/>
          <w:b/>
          <w:bCs/>
          <w:spacing w:val="-5"/>
          <w:sz w:val="24"/>
          <w:szCs w:val="24"/>
        </w:rPr>
        <w:t>项目占用林地情况</w:t>
      </w:r>
    </w:p>
    <w:p w14:paraId="4108EF03">
      <w:pPr>
        <w:spacing w:before="14" w:line="11443" w:lineRule="exact"/>
        <w:ind w:firstLine="494"/>
      </w:pPr>
      <w:r>
        <w:rPr>
          <w:position w:val="-228"/>
        </w:rPr>
        <w:drawing>
          <wp:inline distT="0" distB="0" distL="0" distR="0">
            <wp:extent cx="5228590" cy="7266305"/>
            <wp:effectExtent l="0" t="0" r="0" b="0"/>
            <wp:docPr id="208" name="IM 208"/>
            <wp:cNvGraphicFramePr/>
            <a:graphic xmlns:a="http://schemas.openxmlformats.org/drawingml/2006/main">
              <a:graphicData uri="http://schemas.openxmlformats.org/drawingml/2006/picture">
                <pic:pic xmlns:pic="http://schemas.openxmlformats.org/drawingml/2006/picture">
                  <pic:nvPicPr>
                    <pic:cNvPr id="208" name="IM 208"/>
                    <pic:cNvPicPr/>
                  </pic:nvPicPr>
                  <pic:blipFill>
                    <a:blip r:embed="rId321"/>
                    <a:stretch>
                      <a:fillRect/>
                    </a:stretch>
                  </pic:blipFill>
                  <pic:spPr>
                    <a:xfrm>
                      <a:off x="0" y="0"/>
                      <a:ext cx="5228843" cy="7266431"/>
                    </a:xfrm>
                    <a:prstGeom prst="rect">
                      <a:avLst/>
                    </a:prstGeom>
                  </pic:spPr>
                </pic:pic>
              </a:graphicData>
            </a:graphic>
          </wp:inline>
        </w:drawing>
      </w:r>
    </w:p>
    <w:p w14:paraId="359233C4">
      <w:pPr>
        <w:spacing w:line="11443" w:lineRule="exact"/>
        <w:sectPr>
          <w:footerReference r:id="rId158" w:type="default"/>
          <w:pgSz w:w="11906" w:h="16838"/>
          <w:pgMar w:top="400" w:right="1391" w:bottom="1295" w:left="1785" w:header="0" w:footer="1133" w:gutter="0"/>
          <w:cols w:space="720" w:num="1"/>
        </w:sectPr>
      </w:pPr>
    </w:p>
    <w:p w14:paraId="3BC07828">
      <w:pPr>
        <w:pStyle w:val="3"/>
        <w:spacing w:line="281" w:lineRule="auto"/>
      </w:pPr>
    </w:p>
    <w:p w14:paraId="665032B9">
      <w:pPr>
        <w:pStyle w:val="3"/>
        <w:spacing w:line="281" w:lineRule="auto"/>
      </w:pPr>
    </w:p>
    <w:p w14:paraId="23C7EC19">
      <w:pPr>
        <w:pStyle w:val="3"/>
        <w:spacing w:line="282" w:lineRule="auto"/>
      </w:pPr>
    </w:p>
    <w:p w14:paraId="11BDFE90">
      <w:pPr>
        <w:pStyle w:val="3"/>
        <w:spacing w:line="282" w:lineRule="auto"/>
      </w:pPr>
    </w:p>
    <w:p w14:paraId="7809F0F5">
      <w:pPr>
        <w:spacing w:before="78" w:line="219" w:lineRule="auto"/>
        <w:ind w:left="42"/>
        <w:outlineLvl w:val="1"/>
        <w:rPr>
          <w:rFonts w:ascii="宋体" w:hAnsi="宋体" w:eastAsia="宋体" w:cs="宋体"/>
          <w:sz w:val="24"/>
          <w:szCs w:val="24"/>
        </w:rPr>
      </w:pPr>
      <w:r>
        <w:rPr>
          <w:rFonts w:ascii="宋体" w:hAnsi="宋体" w:eastAsia="宋体" w:cs="宋体"/>
          <w:b/>
          <w:bCs/>
          <w:spacing w:val="-5"/>
          <w:sz w:val="24"/>
          <w:szCs w:val="24"/>
        </w:rPr>
        <w:t>附件</w:t>
      </w:r>
      <w:r>
        <w:rPr>
          <w:rFonts w:ascii="宋体" w:hAnsi="宋体" w:eastAsia="宋体" w:cs="宋体"/>
          <w:spacing w:val="-42"/>
          <w:sz w:val="24"/>
          <w:szCs w:val="24"/>
        </w:rPr>
        <w:t xml:space="preserve"> </w:t>
      </w:r>
      <w:r>
        <w:rPr>
          <w:rFonts w:ascii="Times New Roman" w:hAnsi="Times New Roman" w:eastAsia="Times New Roman" w:cs="Times New Roman"/>
          <w:b/>
          <w:bCs/>
          <w:spacing w:val="-5"/>
          <w:sz w:val="24"/>
          <w:szCs w:val="24"/>
        </w:rPr>
        <w:t xml:space="preserve">13  </w:t>
      </w:r>
      <w:r>
        <w:rPr>
          <w:rFonts w:ascii="宋体" w:hAnsi="宋体" w:eastAsia="宋体" w:cs="宋体"/>
          <w:b/>
          <w:bCs/>
          <w:spacing w:val="-5"/>
          <w:sz w:val="24"/>
          <w:szCs w:val="24"/>
        </w:rPr>
        <w:t>项目压覆矿情况</w:t>
      </w:r>
    </w:p>
    <w:p w14:paraId="544D433F">
      <w:pPr>
        <w:spacing w:before="14" w:line="11722" w:lineRule="exact"/>
        <w:ind w:firstLine="494"/>
      </w:pPr>
      <w:r>
        <w:rPr>
          <w:position w:val="-234"/>
        </w:rPr>
        <w:drawing>
          <wp:inline distT="0" distB="0" distL="0" distR="0">
            <wp:extent cx="5259070" cy="7442835"/>
            <wp:effectExtent l="0" t="0" r="0" b="0"/>
            <wp:docPr id="210" name="IM 210"/>
            <wp:cNvGraphicFramePr/>
            <a:graphic xmlns:a="http://schemas.openxmlformats.org/drawingml/2006/main">
              <a:graphicData uri="http://schemas.openxmlformats.org/drawingml/2006/picture">
                <pic:pic xmlns:pic="http://schemas.openxmlformats.org/drawingml/2006/picture">
                  <pic:nvPicPr>
                    <pic:cNvPr id="210" name="IM 210"/>
                    <pic:cNvPicPr/>
                  </pic:nvPicPr>
                  <pic:blipFill>
                    <a:blip r:embed="rId322"/>
                    <a:stretch>
                      <a:fillRect/>
                    </a:stretch>
                  </pic:blipFill>
                  <pic:spPr>
                    <a:xfrm>
                      <a:off x="0" y="0"/>
                      <a:ext cx="5259324" cy="7443216"/>
                    </a:xfrm>
                    <a:prstGeom prst="rect">
                      <a:avLst/>
                    </a:prstGeom>
                  </pic:spPr>
                </pic:pic>
              </a:graphicData>
            </a:graphic>
          </wp:inline>
        </w:drawing>
      </w:r>
    </w:p>
    <w:p w14:paraId="7A22DD83">
      <w:pPr>
        <w:spacing w:line="11722" w:lineRule="exact"/>
        <w:sectPr>
          <w:footerReference r:id="rId159" w:type="default"/>
          <w:pgSz w:w="11906" w:h="16838"/>
          <w:pgMar w:top="400" w:right="1343" w:bottom="1295" w:left="1785" w:header="0" w:footer="1133" w:gutter="0"/>
          <w:cols w:space="720" w:num="1"/>
        </w:sectPr>
      </w:pPr>
    </w:p>
    <w:p w14:paraId="72089F29">
      <w:pPr>
        <w:pStyle w:val="3"/>
        <w:spacing w:line="258" w:lineRule="auto"/>
      </w:pPr>
    </w:p>
    <w:p w14:paraId="7B82C254">
      <w:pPr>
        <w:pStyle w:val="3"/>
        <w:spacing w:line="258" w:lineRule="auto"/>
      </w:pPr>
    </w:p>
    <w:p w14:paraId="3767DF0E">
      <w:pPr>
        <w:pStyle w:val="3"/>
        <w:spacing w:line="258" w:lineRule="auto"/>
      </w:pPr>
    </w:p>
    <w:p w14:paraId="0179D4D2">
      <w:pPr>
        <w:pStyle w:val="3"/>
        <w:spacing w:line="259" w:lineRule="auto"/>
      </w:pPr>
    </w:p>
    <w:p w14:paraId="2B585549">
      <w:pPr>
        <w:spacing w:line="11722" w:lineRule="exact"/>
        <w:ind w:firstLine="14"/>
      </w:pPr>
      <w:r>
        <w:rPr>
          <w:position w:val="-234"/>
        </w:rPr>
        <w:drawing>
          <wp:inline distT="0" distB="0" distL="0" distR="0">
            <wp:extent cx="5259070" cy="7442835"/>
            <wp:effectExtent l="0" t="0" r="0" b="0"/>
            <wp:docPr id="212" name="IM 212"/>
            <wp:cNvGraphicFramePr/>
            <a:graphic xmlns:a="http://schemas.openxmlformats.org/drawingml/2006/main">
              <a:graphicData uri="http://schemas.openxmlformats.org/drawingml/2006/picture">
                <pic:pic xmlns:pic="http://schemas.openxmlformats.org/drawingml/2006/picture">
                  <pic:nvPicPr>
                    <pic:cNvPr id="212" name="IM 212"/>
                    <pic:cNvPicPr/>
                  </pic:nvPicPr>
                  <pic:blipFill>
                    <a:blip r:embed="rId323"/>
                    <a:stretch>
                      <a:fillRect/>
                    </a:stretch>
                  </pic:blipFill>
                  <pic:spPr>
                    <a:xfrm>
                      <a:off x="0" y="0"/>
                      <a:ext cx="5259324" cy="7443216"/>
                    </a:xfrm>
                    <a:prstGeom prst="rect">
                      <a:avLst/>
                    </a:prstGeom>
                  </pic:spPr>
                </pic:pic>
              </a:graphicData>
            </a:graphic>
          </wp:inline>
        </w:drawing>
      </w:r>
    </w:p>
    <w:p w14:paraId="533D99EA">
      <w:pPr>
        <w:spacing w:line="11722" w:lineRule="exact"/>
        <w:sectPr>
          <w:footerReference r:id="rId160" w:type="default"/>
          <w:pgSz w:w="11906" w:h="16838"/>
          <w:pgMar w:top="400" w:right="1785" w:bottom="1295" w:left="1785" w:header="0" w:footer="1133" w:gutter="0"/>
          <w:cols w:space="720" w:num="1"/>
        </w:sectPr>
      </w:pPr>
    </w:p>
    <w:p w14:paraId="37A06293">
      <w:pPr>
        <w:pStyle w:val="3"/>
        <w:spacing w:line="281" w:lineRule="auto"/>
      </w:pPr>
    </w:p>
    <w:p w14:paraId="12DA95D0">
      <w:pPr>
        <w:pStyle w:val="3"/>
        <w:spacing w:line="281" w:lineRule="auto"/>
      </w:pPr>
    </w:p>
    <w:p w14:paraId="2D3E6F85">
      <w:pPr>
        <w:pStyle w:val="3"/>
        <w:spacing w:line="282" w:lineRule="auto"/>
      </w:pPr>
    </w:p>
    <w:p w14:paraId="4CC2924E">
      <w:pPr>
        <w:pStyle w:val="3"/>
        <w:spacing w:line="282" w:lineRule="auto"/>
      </w:pPr>
    </w:p>
    <w:p w14:paraId="0FB3FA4C">
      <w:pPr>
        <w:spacing w:before="78" w:line="219" w:lineRule="auto"/>
        <w:ind w:left="42"/>
        <w:outlineLvl w:val="1"/>
        <w:rPr>
          <w:rFonts w:ascii="宋体" w:hAnsi="宋体" w:eastAsia="宋体" w:cs="宋体"/>
          <w:sz w:val="24"/>
          <w:szCs w:val="24"/>
        </w:rPr>
      </w:pPr>
      <w:r>
        <w:rPr>
          <w:rFonts w:ascii="宋体" w:hAnsi="宋体" w:eastAsia="宋体" w:cs="宋体"/>
          <w:b/>
          <w:bCs/>
          <w:spacing w:val="-5"/>
          <w:sz w:val="24"/>
          <w:szCs w:val="24"/>
        </w:rPr>
        <w:t>附件</w:t>
      </w:r>
      <w:r>
        <w:rPr>
          <w:rFonts w:ascii="宋体" w:hAnsi="宋体" w:eastAsia="宋体" w:cs="宋体"/>
          <w:spacing w:val="-38"/>
          <w:sz w:val="24"/>
          <w:szCs w:val="24"/>
        </w:rPr>
        <w:t xml:space="preserve"> </w:t>
      </w:r>
      <w:r>
        <w:rPr>
          <w:rFonts w:ascii="Times New Roman" w:hAnsi="Times New Roman" w:eastAsia="Times New Roman" w:cs="Times New Roman"/>
          <w:b/>
          <w:bCs/>
          <w:spacing w:val="-5"/>
          <w:sz w:val="24"/>
          <w:szCs w:val="24"/>
        </w:rPr>
        <w:t xml:space="preserve">14  </w:t>
      </w:r>
      <w:r>
        <w:rPr>
          <w:rFonts w:ascii="宋体" w:hAnsi="宋体" w:eastAsia="宋体" w:cs="宋体"/>
          <w:b/>
          <w:bCs/>
          <w:spacing w:val="-5"/>
          <w:sz w:val="24"/>
          <w:szCs w:val="24"/>
        </w:rPr>
        <w:t>项目文物查询情况</w:t>
      </w:r>
    </w:p>
    <w:p w14:paraId="2E556863">
      <w:pPr>
        <w:spacing w:before="14" w:line="11722" w:lineRule="exact"/>
        <w:ind w:firstLine="494"/>
      </w:pPr>
      <w:r>
        <w:rPr>
          <w:position w:val="-234"/>
        </w:rPr>
        <w:drawing>
          <wp:inline distT="0" distB="0" distL="0" distR="0">
            <wp:extent cx="5259070" cy="7442835"/>
            <wp:effectExtent l="0" t="0" r="0" b="0"/>
            <wp:docPr id="214" name="IM 214"/>
            <wp:cNvGraphicFramePr/>
            <a:graphic xmlns:a="http://schemas.openxmlformats.org/drawingml/2006/main">
              <a:graphicData uri="http://schemas.openxmlformats.org/drawingml/2006/picture">
                <pic:pic xmlns:pic="http://schemas.openxmlformats.org/drawingml/2006/picture">
                  <pic:nvPicPr>
                    <pic:cNvPr id="214" name="IM 214"/>
                    <pic:cNvPicPr/>
                  </pic:nvPicPr>
                  <pic:blipFill>
                    <a:blip r:embed="rId324"/>
                    <a:stretch>
                      <a:fillRect/>
                    </a:stretch>
                  </pic:blipFill>
                  <pic:spPr>
                    <a:xfrm>
                      <a:off x="0" y="0"/>
                      <a:ext cx="5259324" cy="7443216"/>
                    </a:xfrm>
                    <a:prstGeom prst="rect">
                      <a:avLst/>
                    </a:prstGeom>
                  </pic:spPr>
                </pic:pic>
              </a:graphicData>
            </a:graphic>
          </wp:inline>
        </w:drawing>
      </w:r>
    </w:p>
    <w:p w14:paraId="2A2E497C">
      <w:pPr>
        <w:spacing w:line="11722" w:lineRule="exact"/>
        <w:sectPr>
          <w:footerReference r:id="rId161" w:type="default"/>
          <w:pgSz w:w="11906" w:h="16838"/>
          <w:pgMar w:top="400" w:right="1343" w:bottom="1295" w:left="1785" w:header="0" w:footer="1133" w:gutter="0"/>
          <w:cols w:space="720" w:num="1"/>
        </w:sectPr>
      </w:pPr>
    </w:p>
    <w:p w14:paraId="7FABEB0A">
      <w:pPr>
        <w:pStyle w:val="3"/>
        <w:spacing w:line="258" w:lineRule="auto"/>
      </w:pPr>
    </w:p>
    <w:p w14:paraId="20DF9789">
      <w:pPr>
        <w:pStyle w:val="3"/>
        <w:spacing w:line="258" w:lineRule="auto"/>
      </w:pPr>
    </w:p>
    <w:p w14:paraId="4DA94B8C">
      <w:pPr>
        <w:pStyle w:val="3"/>
        <w:spacing w:line="258" w:lineRule="auto"/>
      </w:pPr>
    </w:p>
    <w:p w14:paraId="728AEAB9">
      <w:pPr>
        <w:pStyle w:val="3"/>
        <w:spacing w:line="259" w:lineRule="auto"/>
      </w:pPr>
    </w:p>
    <w:p w14:paraId="16294FCD">
      <w:pPr>
        <w:spacing w:line="11722" w:lineRule="exact"/>
        <w:ind w:firstLine="14"/>
      </w:pPr>
      <w:r>
        <w:rPr>
          <w:position w:val="-234"/>
        </w:rPr>
        <w:drawing>
          <wp:inline distT="0" distB="0" distL="0" distR="0">
            <wp:extent cx="5259070" cy="7442835"/>
            <wp:effectExtent l="0" t="0" r="0" b="0"/>
            <wp:docPr id="216" name="IM 216"/>
            <wp:cNvGraphicFramePr/>
            <a:graphic xmlns:a="http://schemas.openxmlformats.org/drawingml/2006/main">
              <a:graphicData uri="http://schemas.openxmlformats.org/drawingml/2006/picture">
                <pic:pic xmlns:pic="http://schemas.openxmlformats.org/drawingml/2006/picture">
                  <pic:nvPicPr>
                    <pic:cNvPr id="216" name="IM 216"/>
                    <pic:cNvPicPr/>
                  </pic:nvPicPr>
                  <pic:blipFill>
                    <a:blip r:embed="rId325"/>
                    <a:stretch>
                      <a:fillRect/>
                    </a:stretch>
                  </pic:blipFill>
                  <pic:spPr>
                    <a:xfrm>
                      <a:off x="0" y="0"/>
                      <a:ext cx="5259324" cy="7443216"/>
                    </a:xfrm>
                    <a:prstGeom prst="rect">
                      <a:avLst/>
                    </a:prstGeom>
                  </pic:spPr>
                </pic:pic>
              </a:graphicData>
            </a:graphic>
          </wp:inline>
        </w:drawing>
      </w:r>
    </w:p>
    <w:p w14:paraId="7F92042F">
      <w:pPr>
        <w:spacing w:line="11722" w:lineRule="exact"/>
        <w:sectPr>
          <w:footerReference r:id="rId162" w:type="default"/>
          <w:pgSz w:w="11906" w:h="16838"/>
          <w:pgMar w:top="400" w:right="1785" w:bottom="1295" w:left="1785" w:header="0" w:footer="1133" w:gutter="0"/>
          <w:cols w:space="720" w:num="1"/>
        </w:sectPr>
      </w:pPr>
    </w:p>
    <w:p w14:paraId="1F7D7788">
      <w:pPr>
        <w:pStyle w:val="3"/>
        <w:spacing w:line="258" w:lineRule="auto"/>
      </w:pPr>
    </w:p>
    <w:p w14:paraId="7E08C5C9">
      <w:pPr>
        <w:pStyle w:val="3"/>
        <w:spacing w:line="258" w:lineRule="auto"/>
      </w:pPr>
    </w:p>
    <w:p w14:paraId="434CA5FC">
      <w:pPr>
        <w:pStyle w:val="3"/>
        <w:spacing w:line="258" w:lineRule="auto"/>
      </w:pPr>
    </w:p>
    <w:p w14:paraId="51A4FD21">
      <w:pPr>
        <w:pStyle w:val="3"/>
        <w:spacing w:line="259" w:lineRule="auto"/>
      </w:pPr>
    </w:p>
    <w:p w14:paraId="7D755AB0">
      <w:pPr>
        <w:spacing w:line="11719" w:lineRule="exact"/>
        <w:ind w:firstLine="14"/>
      </w:pPr>
      <w:r>
        <w:rPr>
          <w:position w:val="-234"/>
        </w:rPr>
        <w:drawing>
          <wp:inline distT="0" distB="0" distL="0" distR="0">
            <wp:extent cx="5262245" cy="7441565"/>
            <wp:effectExtent l="0" t="0" r="0" b="0"/>
            <wp:docPr id="218" name="IM 218"/>
            <wp:cNvGraphicFramePr/>
            <a:graphic xmlns:a="http://schemas.openxmlformats.org/drawingml/2006/main">
              <a:graphicData uri="http://schemas.openxmlformats.org/drawingml/2006/picture">
                <pic:pic xmlns:pic="http://schemas.openxmlformats.org/drawingml/2006/picture">
                  <pic:nvPicPr>
                    <pic:cNvPr id="218" name="IM 218"/>
                    <pic:cNvPicPr/>
                  </pic:nvPicPr>
                  <pic:blipFill>
                    <a:blip r:embed="rId326"/>
                    <a:stretch>
                      <a:fillRect/>
                    </a:stretch>
                  </pic:blipFill>
                  <pic:spPr>
                    <a:xfrm>
                      <a:off x="0" y="0"/>
                      <a:ext cx="5262372" cy="7441692"/>
                    </a:xfrm>
                    <a:prstGeom prst="rect">
                      <a:avLst/>
                    </a:prstGeom>
                  </pic:spPr>
                </pic:pic>
              </a:graphicData>
            </a:graphic>
          </wp:inline>
        </w:drawing>
      </w:r>
    </w:p>
    <w:p w14:paraId="64DDD73A">
      <w:pPr>
        <w:spacing w:line="11719" w:lineRule="exact"/>
        <w:sectPr>
          <w:footerReference r:id="rId163" w:type="default"/>
          <w:pgSz w:w="11906" w:h="16838"/>
          <w:pgMar w:top="400" w:right="1785" w:bottom="1295" w:left="1785" w:header="0" w:footer="1133" w:gutter="0"/>
          <w:cols w:space="720" w:num="1"/>
        </w:sectPr>
      </w:pPr>
    </w:p>
    <w:p w14:paraId="6BF98F42">
      <w:pPr>
        <w:pStyle w:val="3"/>
        <w:spacing w:line="258" w:lineRule="auto"/>
      </w:pPr>
    </w:p>
    <w:p w14:paraId="06F3ACB4">
      <w:pPr>
        <w:pStyle w:val="3"/>
        <w:spacing w:line="258" w:lineRule="auto"/>
      </w:pPr>
    </w:p>
    <w:p w14:paraId="7104A788">
      <w:pPr>
        <w:pStyle w:val="3"/>
        <w:spacing w:line="258" w:lineRule="auto"/>
      </w:pPr>
    </w:p>
    <w:p w14:paraId="4FE208BC">
      <w:pPr>
        <w:pStyle w:val="3"/>
        <w:spacing w:line="259" w:lineRule="auto"/>
      </w:pPr>
    </w:p>
    <w:p w14:paraId="63A436B0">
      <w:pPr>
        <w:spacing w:line="11719" w:lineRule="exact"/>
        <w:ind w:firstLine="14"/>
      </w:pPr>
      <w:r>
        <w:rPr>
          <w:position w:val="-234"/>
        </w:rPr>
        <w:drawing>
          <wp:inline distT="0" distB="0" distL="0" distR="0">
            <wp:extent cx="5262245" cy="7441565"/>
            <wp:effectExtent l="0" t="0" r="0" b="0"/>
            <wp:docPr id="220" name="IM 220"/>
            <wp:cNvGraphicFramePr/>
            <a:graphic xmlns:a="http://schemas.openxmlformats.org/drawingml/2006/main">
              <a:graphicData uri="http://schemas.openxmlformats.org/drawingml/2006/picture">
                <pic:pic xmlns:pic="http://schemas.openxmlformats.org/drawingml/2006/picture">
                  <pic:nvPicPr>
                    <pic:cNvPr id="220" name="IM 220"/>
                    <pic:cNvPicPr/>
                  </pic:nvPicPr>
                  <pic:blipFill>
                    <a:blip r:embed="rId327"/>
                    <a:stretch>
                      <a:fillRect/>
                    </a:stretch>
                  </pic:blipFill>
                  <pic:spPr>
                    <a:xfrm>
                      <a:off x="0" y="0"/>
                      <a:ext cx="5262372" cy="7441692"/>
                    </a:xfrm>
                    <a:prstGeom prst="rect">
                      <a:avLst/>
                    </a:prstGeom>
                  </pic:spPr>
                </pic:pic>
              </a:graphicData>
            </a:graphic>
          </wp:inline>
        </w:drawing>
      </w:r>
    </w:p>
    <w:p w14:paraId="64881BE1">
      <w:pPr>
        <w:spacing w:line="11719" w:lineRule="exact"/>
        <w:sectPr>
          <w:footerReference r:id="rId164" w:type="default"/>
          <w:pgSz w:w="11906" w:h="16838"/>
          <w:pgMar w:top="400" w:right="1785" w:bottom="1295" w:left="1785" w:header="0" w:footer="1133" w:gutter="0"/>
          <w:cols w:space="720" w:num="1"/>
        </w:sectPr>
      </w:pPr>
    </w:p>
    <w:p w14:paraId="2FB10610">
      <w:pPr>
        <w:pStyle w:val="3"/>
        <w:spacing w:line="258" w:lineRule="auto"/>
      </w:pPr>
    </w:p>
    <w:p w14:paraId="3241D17A">
      <w:pPr>
        <w:pStyle w:val="3"/>
        <w:spacing w:line="258" w:lineRule="auto"/>
      </w:pPr>
    </w:p>
    <w:p w14:paraId="3D8B11E5">
      <w:pPr>
        <w:pStyle w:val="3"/>
        <w:spacing w:line="258" w:lineRule="auto"/>
      </w:pPr>
    </w:p>
    <w:p w14:paraId="3E419EA9">
      <w:pPr>
        <w:pStyle w:val="3"/>
        <w:spacing w:line="259" w:lineRule="auto"/>
      </w:pPr>
    </w:p>
    <w:p w14:paraId="7AC116F0">
      <w:pPr>
        <w:spacing w:line="11719" w:lineRule="exact"/>
        <w:ind w:firstLine="14"/>
      </w:pPr>
      <w:r>
        <w:rPr>
          <w:position w:val="-234"/>
        </w:rPr>
        <w:drawing>
          <wp:inline distT="0" distB="0" distL="0" distR="0">
            <wp:extent cx="5262245" cy="7441565"/>
            <wp:effectExtent l="0" t="0" r="0" b="0"/>
            <wp:docPr id="222" name="IM 222"/>
            <wp:cNvGraphicFramePr/>
            <a:graphic xmlns:a="http://schemas.openxmlformats.org/drawingml/2006/main">
              <a:graphicData uri="http://schemas.openxmlformats.org/drawingml/2006/picture">
                <pic:pic xmlns:pic="http://schemas.openxmlformats.org/drawingml/2006/picture">
                  <pic:nvPicPr>
                    <pic:cNvPr id="222" name="IM 222"/>
                    <pic:cNvPicPr/>
                  </pic:nvPicPr>
                  <pic:blipFill>
                    <a:blip r:embed="rId328"/>
                    <a:stretch>
                      <a:fillRect/>
                    </a:stretch>
                  </pic:blipFill>
                  <pic:spPr>
                    <a:xfrm>
                      <a:off x="0" y="0"/>
                      <a:ext cx="5262372" cy="7441692"/>
                    </a:xfrm>
                    <a:prstGeom prst="rect">
                      <a:avLst/>
                    </a:prstGeom>
                  </pic:spPr>
                </pic:pic>
              </a:graphicData>
            </a:graphic>
          </wp:inline>
        </w:drawing>
      </w:r>
    </w:p>
    <w:p w14:paraId="5ED17D9B">
      <w:pPr>
        <w:spacing w:line="11719" w:lineRule="exact"/>
        <w:sectPr>
          <w:footerReference r:id="rId165" w:type="default"/>
          <w:pgSz w:w="11906" w:h="16838"/>
          <w:pgMar w:top="400" w:right="1785" w:bottom="1295" w:left="1785" w:header="0" w:footer="1133" w:gutter="0"/>
          <w:cols w:space="720" w:num="1"/>
        </w:sectPr>
      </w:pPr>
    </w:p>
    <w:p w14:paraId="22340BDB">
      <w:pPr>
        <w:pStyle w:val="3"/>
        <w:spacing w:line="258" w:lineRule="auto"/>
      </w:pPr>
    </w:p>
    <w:p w14:paraId="6C638492">
      <w:pPr>
        <w:pStyle w:val="3"/>
        <w:spacing w:line="258" w:lineRule="auto"/>
      </w:pPr>
    </w:p>
    <w:p w14:paraId="42C8861E">
      <w:pPr>
        <w:pStyle w:val="3"/>
        <w:spacing w:line="258" w:lineRule="auto"/>
      </w:pPr>
    </w:p>
    <w:p w14:paraId="4CD1C3C8">
      <w:pPr>
        <w:pStyle w:val="3"/>
        <w:spacing w:line="259" w:lineRule="auto"/>
      </w:pPr>
    </w:p>
    <w:p w14:paraId="4D73A9A2">
      <w:pPr>
        <w:spacing w:line="11719" w:lineRule="exact"/>
        <w:ind w:firstLine="14"/>
      </w:pPr>
      <w:r>
        <w:rPr>
          <w:position w:val="-234"/>
        </w:rPr>
        <w:drawing>
          <wp:inline distT="0" distB="0" distL="0" distR="0">
            <wp:extent cx="5262245" cy="7441565"/>
            <wp:effectExtent l="0" t="0" r="0" b="0"/>
            <wp:docPr id="224" name="IM 224"/>
            <wp:cNvGraphicFramePr/>
            <a:graphic xmlns:a="http://schemas.openxmlformats.org/drawingml/2006/main">
              <a:graphicData uri="http://schemas.openxmlformats.org/drawingml/2006/picture">
                <pic:pic xmlns:pic="http://schemas.openxmlformats.org/drawingml/2006/picture">
                  <pic:nvPicPr>
                    <pic:cNvPr id="224" name="IM 224"/>
                    <pic:cNvPicPr/>
                  </pic:nvPicPr>
                  <pic:blipFill>
                    <a:blip r:embed="rId329"/>
                    <a:stretch>
                      <a:fillRect/>
                    </a:stretch>
                  </pic:blipFill>
                  <pic:spPr>
                    <a:xfrm>
                      <a:off x="0" y="0"/>
                      <a:ext cx="5262372" cy="7441692"/>
                    </a:xfrm>
                    <a:prstGeom prst="rect">
                      <a:avLst/>
                    </a:prstGeom>
                  </pic:spPr>
                </pic:pic>
              </a:graphicData>
            </a:graphic>
          </wp:inline>
        </w:drawing>
      </w:r>
    </w:p>
    <w:p w14:paraId="284719B6">
      <w:pPr>
        <w:spacing w:line="11719" w:lineRule="exact"/>
        <w:sectPr>
          <w:footerReference r:id="rId166" w:type="default"/>
          <w:pgSz w:w="11906" w:h="16838"/>
          <w:pgMar w:top="400" w:right="1785" w:bottom="1295" w:left="1785" w:header="0" w:footer="1133" w:gutter="0"/>
          <w:cols w:space="720" w:num="1"/>
        </w:sectPr>
      </w:pPr>
    </w:p>
    <w:p w14:paraId="09F2E427">
      <w:pPr>
        <w:pStyle w:val="3"/>
        <w:spacing w:line="258" w:lineRule="auto"/>
      </w:pPr>
    </w:p>
    <w:p w14:paraId="4C07D0DC">
      <w:pPr>
        <w:pStyle w:val="3"/>
        <w:spacing w:line="258" w:lineRule="auto"/>
      </w:pPr>
    </w:p>
    <w:p w14:paraId="05983B28">
      <w:pPr>
        <w:pStyle w:val="3"/>
        <w:spacing w:line="258" w:lineRule="auto"/>
      </w:pPr>
    </w:p>
    <w:p w14:paraId="5C52F18E">
      <w:pPr>
        <w:pStyle w:val="3"/>
        <w:spacing w:line="259" w:lineRule="auto"/>
      </w:pPr>
    </w:p>
    <w:p w14:paraId="2221A975">
      <w:pPr>
        <w:spacing w:line="11719" w:lineRule="exact"/>
        <w:ind w:firstLine="14"/>
      </w:pPr>
      <w:r>
        <w:rPr>
          <w:position w:val="-234"/>
        </w:rPr>
        <w:drawing>
          <wp:inline distT="0" distB="0" distL="0" distR="0">
            <wp:extent cx="5262245" cy="7441565"/>
            <wp:effectExtent l="0" t="0" r="0" b="0"/>
            <wp:docPr id="226" name="IM 226"/>
            <wp:cNvGraphicFramePr/>
            <a:graphic xmlns:a="http://schemas.openxmlformats.org/drawingml/2006/main">
              <a:graphicData uri="http://schemas.openxmlformats.org/drawingml/2006/picture">
                <pic:pic xmlns:pic="http://schemas.openxmlformats.org/drawingml/2006/picture">
                  <pic:nvPicPr>
                    <pic:cNvPr id="226" name="IM 226"/>
                    <pic:cNvPicPr/>
                  </pic:nvPicPr>
                  <pic:blipFill>
                    <a:blip r:embed="rId330"/>
                    <a:stretch>
                      <a:fillRect/>
                    </a:stretch>
                  </pic:blipFill>
                  <pic:spPr>
                    <a:xfrm>
                      <a:off x="0" y="0"/>
                      <a:ext cx="5262372" cy="7441692"/>
                    </a:xfrm>
                    <a:prstGeom prst="rect">
                      <a:avLst/>
                    </a:prstGeom>
                  </pic:spPr>
                </pic:pic>
              </a:graphicData>
            </a:graphic>
          </wp:inline>
        </w:drawing>
      </w:r>
    </w:p>
    <w:p w14:paraId="5EF98474">
      <w:pPr>
        <w:spacing w:line="11719" w:lineRule="exact"/>
        <w:sectPr>
          <w:footerReference r:id="rId167" w:type="default"/>
          <w:pgSz w:w="11906" w:h="16838"/>
          <w:pgMar w:top="400" w:right="1785" w:bottom="1295" w:left="1785" w:header="0" w:footer="1133" w:gutter="0"/>
          <w:cols w:space="720" w:num="1"/>
        </w:sectPr>
      </w:pPr>
    </w:p>
    <w:p w14:paraId="084EBD20">
      <w:pPr>
        <w:pStyle w:val="3"/>
        <w:spacing w:line="258" w:lineRule="auto"/>
      </w:pPr>
    </w:p>
    <w:p w14:paraId="5181BF3E">
      <w:pPr>
        <w:pStyle w:val="3"/>
        <w:spacing w:line="258" w:lineRule="auto"/>
      </w:pPr>
    </w:p>
    <w:p w14:paraId="536F07B9">
      <w:pPr>
        <w:pStyle w:val="3"/>
        <w:spacing w:line="258" w:lineRule="auto"/>
      </w:pPr>
    </w:p>
    <w:p w14:paraId="14CA4987">
      <w:pPr>
        <w:pStyle w:val="3"/>
        <w:spacing w:line="259" w:lineRule="auto"/>
      </w:pPr>
    </w:p>
    <w:p w14:paraId="1752B5B9">
      <w:pPr>
        <w:spacing w:line="11719" w:lineRule="exact"/>
        <w:ind w:firstLine="14"/>
      </w:pPr>
      <w:r>
        <w:rPr>
          <w:position w:val="-234"/>
        </w:rPr>
        <w:drawing>
          <wp:inline distT="0" distB="0" distL="0" distR="0">
            <wp:extent cx="5262245" cy="7441565"/>
            <wp:effectExtent l="0" t="0" r="0" b="0"/>
            <wp:docPr id="228" name="IM 228"/>
            <wp:cNvGraphicFramePr/>
            <a:graphic xmlns:a="http://schemas.openxmlformats.org/drawingml/2006/main">
              <a:graphicData uri="http://schemas.openxmlformats.org/drawingml/2006/picture">
                <pic:pic xmlns:pic="http://schemas.openxmlformats.org/drawingml/2006/picture">
                  <pic:nvPicPr>
                    <pic:cNvPr id="228" name="IM 228"/>
                    <pic:cNvPicPr/>
                  </pic:nvPicPr>
                  <pic:blipFill>
                    <a:blip r:embed="rId331"/>
                    <a:stretch>
                      <a:fillRect/>
                    </a:stretch>
                  </pic:blipFill>
                  <pic:spPr>
                    <a:xfrm>
                      <a:off x="0" y="0"/>
                      <a:ext cx="5262372" cy="7441692"/>
                    </a:xfrm>
                    <a:prstGeom prst="rect">
                      <a:avLst/>
                    </a:prstGeom>
                  </pic:spPr>
                </pic:pic>
              </a:graphicData>
            </a:graphic>
          </wp:inline>
        </w:drawing>
      </w:r>
    </w:p>
    <w:p w14:paraId="788A2602">
      <w:pPr>
        <w:spacing w:line="11719" w:lineRule="exact"/>
        <w:sectPr>
          <w:footerReference r:id="rId168" w:type="default"/>
          <w:pgSz w:w="11906" w:h="16838"/>
          <w:pgMar w:top="400" w:right="1785" w:bottom="1295" w:left="1785" w:header="0" w:footer="1133" w:gutter="0"/>
          <w:cols w:space="720" w:num="1"/>
        </w:sectPr>
      </w:pPr>
    </w:p>
    <w:p w14:paraId="0B38C624">
      <w:pPr>
        <w:pStyle w:val="3"/>
        <w:spacing w:line="258" w:lineRule="auto"/>
      </w:pPr>
    </w:p>
    <w:p w14:paraId="139C4223">
      <w:pPr>
        <w:pStyle w:val="3"/>
        <w:spacing w:line="258" w:lineRule="auto"/>
      </w:pPr>
    </w:p>
    <w:p w14:paraId="075EF751">
      <w:pPr>
        <w:pStyle w:val="3"/>
        <w:spacing w:line="258" w:lineRule="auto"/>
      </w:pPr>
    </w:p>
    <w:p w14:paraId="3305101C">
      <w:pPr>
        <w:pStyle w:val="3"/>
        <w:spacing w:line="259" w:lineRule="auto"/>
      </w:pPr>
    </w:p>
    <w:p w14:paraId="41E7D92E">
      <w:pPr>
        <w:spacing w:line="11719" w:lineRule="exact"/>
        <w:ind w:firstLine="14"/>
      </w:pPr>
      <w:r>
        <w:rPr>
          <w:position w:val="-234"/>
        </w:rPr>
        <w:drawing>
          <wp:inline distT="0" distB="0" distL="0" distR="0">
            <wp:extent cx="5262245" cy="7441565"/>
            <wp:effectExtent l="0" t="0" r="0" b="0"/>
            <wp:docPr id="230" name="IM 230"/>
            <wp:cNvGraphicFramePr/>
            <a:graphic xmlns:a="http://schemas.openxmlformats.org/drawingml/2006/main">
              <a:graphicData uri="http://schemas.openxmlformats.org/drawingml/2006/picture">
                <pic:pic xmlns:pic="http://schemas.openxmlformats.org/drawingml/2006/picture">
                  <pic:nvPicPr>
                    <pic:cNvPr id="230" name="IM 230"/>
                    <pic:cNvPicPr/>
                  </pic:nvPicPr>
                  <pic:blipFill>
                    <a:blip r:embed="rId332"/>
                    <a:stretch>
                      <a:fillRect/>
                    </a:stretch>
                  </pic:blipFill>
                  <pic:spPr>
                    <a:xfrm>
                      <a:off x="0" y="0"/>
                      <a:ext cx="5262372" cy="7441692"/>
                    </a:xfrm>
                    <a:prstGeom prst="rect">
                      <a:avLst/>
                    </a:prstGeom>
                  </pic:spPr>
                </pic:pic>
              </a:graphicData>
            </a:graphic>
          </wp:inline>
        </w:drawing>
      </w:r>
    </w:p>
    <w:p w14:paraId="70CAE9C1">
      <w:pPr>
        <w:spacing w:line="11719" w:lineRule="exact"/>
        <w:sectPr>
          <w:footerReference r:id="rId169" w:type="default"/>
          <w:pgSz w:w="11906" w:h="16838"/>
          <w:pgMar w:top="400" w:right="1785" w:bottom="1295" w:left="1785" w:header="0" w:footer="1133" w:gutter="0"/>
          <w:cols w:space="720" w:num="1"/>
        </w:sectPr>
      </w:pPr>
    </w:p>
    <w:p w14:paraId="2AB5C33F">
      <w:pPr>
        <w:pStyle w:val="3"/>
        <w:spacing w:line="258" w:lineRule="auto"/>
      </w:pPr>
    </w:p>
    <w:p w14:paraId="7A70BCB1">
      <w:pPr>
        <w:pStyle w:val="3"/>
        <w:spacing w:line="258" w:lineRule="auto"/>
      </w:pPr>
    </w:p>
    <w:p w14:paraId="3065DAE5">
      <w:pPr>
        <w:pStyle w:val="3"/>
        <w:spacing w:line="258" w:lineRule="auto"/>
      </w:pPr>
    </w:p>
    <w:p w14:paraId="64831E45">
      <w:pPr>
        <w:pStyle w:val="3"/>
        <w:spacing w:line="259" w:lineRule="auto"/>
      </w:pPr>
    </w:p>
    <w:p w14:paraId="01A74A2F">
      <w:pPr>
        <w:spacing w:line="11719" w:lineRule="exact"/>
        <w:ind w:firstLine="14"/>
      </w:pPr>
      <w:r>
        <w:rPr>
          <w:position w:val="-234"/>
        </w:rPr>
        <w:drawing>
          <wp:inline distT="0" distB="0" distL="0" distR="0">
            <wp:extent cx="5262245" cy="7441565"/>
            <wp:effectExtent l="0" t="0" r="0" b="0"/>
            <wp:docPr id="232" name="IM 232"/>
            <wp:cNvGraphicFramePr/>
            <a:graphic xmlns:a="http://schemas.openxmlformats.org/drawingml/2006/main">
              <a:graphicData uri="http://schemas.openxmlformats.org/drawingml/2006/picture">
                <pic:pic xmlns:pic="http://schemas.openxmlformats.org/drawingml/2006/picture">
                  <pic:nvPicPr>
                    <pic:cNvPr id="232" name="IM 232"/>
                    <pic:cNvPicPr/>
                  </pic:nvPicPr>
                  <pic:blipFill>
                    <a:blip r:embed="rId333"/>
                    <a:stretch>
                      <a:fillRect/>
                    </a:stretch>
                  </pic:blipFill>
                  <pic:spPr>
                    <a:xfrm>
                      <a:off x="0" y="0"/>
                      <a:ext cx="5262372" cy="7441692"/>
                    </a:xfrm>
                    <a:prstGeom prst="rect">
                      <a:avLst/>
                    </a:prstGeom>
                  </pic:spPr>
                </pic:pic>
              </a:graphicData>
            </a:graphic>
          </wp:inline>
        </w:drawing>
      </w:r>
    </w:p>
    <w:p w14:paraId="4F076FEB">
      <w:pPr>
        <w:spacing w:line="11719" w:lineRule="exact"/>
        <w:sectPr>
          <w:footerReference r:id="rId170" w:type="default"/>
          <w:pgSz w:w="11906" w:h="16838"/>
          <w:pgMar w:top="400" w:right="1785" w:bottom="1295" w:left="1785" w:header="0" w:footer="1133" w:gutter="0"/>
          <w:cols w:space="720" w:num="1"/>
        </w:sectPr>
      </w:pPr>
    </w:p>
    <w:p w14:paraId="22B109A5">
      <w:pPr>
        <w:pStyle w:val="3"/>
        <w:spacing w:line="281" w:lineRule="auto"/>
      </w:pPr>
    </w:p>
    <w:p w14:paraId="454AB65F">
      <w:pPr>
        <w:pStyle w:val="3"/>
        <w:spacing w:line="281" w:lineRule="auto"/>
      </w:pPr>
    </w:p>
    <w:p w14:paraId="1D864323">
      <w:pPr>
        <w:pStyle w:val="3"/>
        <w:spacing w:line="282" w:lineRule="auto"/>
      </w:pPr>
    </w:p>
    <w:p w14:paraId="455F7746">
      <w:pPr>
        <w:pStyle w:val="3"/>
        <w:spacing w:line="282" w:lineRule="auto"/>
      </w:pPr>
    </w:p>
    <w:p w14:paraId="554C6572">
      <w:pPr>
        <w:spacing w:before="78" w:line="219" w:lineRule="auto"/>
        <w:ind w:left="42"/>
        <w:outlineLvl w:val="1"/>
        <w:rPr>
          <w:rFonts w:ascii="宋体" w:hAnsi="宋体" w:eastAsia="宋体" w:cs="宋体"/>
          <w:sz w:val="24"/>
          <w:szCs w:val="24"/>
        </w:rPr>
      </w:pPr>
      <w:r>
        <w:rPr>
          <w:rFonts w:ascii="宋体" w:hAnsi="宋体" w:eastAsia="宋体" w:cs="宋体"/>
          <w:b/>
          <w:bCs/>
          <w:spacing w:val="-5"/>
          <w:sz w:val="24"/>
          <w:szCs w:val="24"/>
        </w:rPr>
        <w:t>附件</w:t>
      </w:r>
      <w:r>
        <w:rPr>
          <w:rFonts w:ascii="宋体" w:hAnsi="宋体" w:eastAsia="宋体" w:cs="宋体"/>
          <w:spacing w:val="-38"/>
          <w:sz w:val="24"/>
          <w:szCs w:val="24"/>
        </w:rPr>
        <w:t xml:space="preserve"> </w:t>
      </w:r>
      <w:r>
        <w:rPr>
          <w:rFonts w:ascii="Times New Roman" w:hAnsi="Times New Roman" w:eastAsia="Times New Roman" w:cs="Times New Roman"/>
          <w:b/>
          <w:bCs/>
          <w:spacing w:val="-5"/>
          <w:sz w:val="24"/>
          <w:szCs w:val="24"/>
        </w:rPr>
        <w:t xml:space="preserve">15  </w:t>
      </w:r>
      <w:r>
        <w:rPr>
          <w:rFonts w:ascii="宋体" w:hAnsi="宋体" w:eastAsia="宋体" w:cs="宋体"/>
          <w:b/>
          <w:bCs/>
          <w:spacing w:val="-5"/>
          <w:sz w:val="24"/>
          <w:szCs w:val="24"/>
        </w:rPr>
        <w:t>生活垃圾处理协议</w:t>
      </w:r>
    </w:p>
    <w:p w14:paraId="68C99DE8">
      <w:pPr>
        <w:spacing w:before="14" w:line="11719" w:lineRule="exact"/>
        <w:ind w:firstLine="494"/>
      </w:pPr>
      <w:r>
        <w:rPr>
          <w:position w:val="-234"/>
        </w:rPr>
        <w:drawing>
          <wp:inline distT="0" distB="0" distL="0" distR="0">
            <wp:extent cx="5262245" cy="7441565"/>
            <wp:effectExtent l="0" t="0" r="0" b="0"/>
            <wp:docPr id="234" name="IM 234"/>
            <wp:cNvGraphicFramePr/>
            <a:graphic xmlns:a="http://schemas.openxmlformats.org/drawingml/2006/main">
              <a:graphicData uri="http://schemas.openxmlformats.org/drawingml/2006/picture">
                <pic:pic xmlns:pic="http://schemas.openxmlformats.org/drawingml/2006/picture">
                  <pic:nvPicPr>
                    <pic:cNvPr id="234" name="IM 234"/>
                    <pic:cNvPicPr/>
                  </pic:nvPicPr>
                  <pic:blipFill>
                    <a:blip r:embed="rId334"/>
                    <a:stretch>
                      <a:fillRect/>
                    </a:stretch>
                  </pic:blipFill>
                  <pic:spPr>
                    <a:xfrm>
                      <a:off x="0" y="0"/>
                      <a:ext cx="5262372" cy="7441692"/>
                    </a:xfrm>
                    <a:prstGeom prst="rect">
                      <a:avLst/>
                    </a:prstGeom>
                  </pic:spPr>
                </pic:pic>
              </a:graphicData>
            </a:graphic>
          </wp:inline>
        </w:drawing>
      </w:r>
    </w:p>
    <w:p w14:paraId="10D9C8F3">
      <w:pPr>
        <w:spacing w:line="11719" w:lineRule="exact"/>
        <w:sectPr>
          <w:footerReference r:id="rId171" w:type="default"/>
          <w:pgSz w:w="11906" w:h="16838"/>
          <w:pgMar w:top="400" w:right="1338" w:bottom="1295" w:left="1785" w:header="0" w:footer="1133" w:gutter="0"/>
          <w:cols w:space="720" w:num="1"/>
        </w:sectPr>
      </w:pPr>
    </w:p>
    <w:p w14:paraId="42FB6E26">
      <w:pPr>
        <w:pStyle w:val="3"/>
        <w:spacing w:line="258" w:lineRule="auto"/>
      </w:pPr>
    </w:p>
    <w:p w14:paraId="6DCC3A9C">
      <w:pPr>
        <w:pStyle w:val="3"/>
        <w:spacing w:line="258" w:lineRule="auto"/>
      </w:pPr>
    </w:p>
    <w:p w14:paraId="03EAD5A2">
      <w:pPr>
        <w:pStyle w:val="3"/>
        <w:spacing w:line="258" w:lineRule="auto"/>
      </w:pPr>
    </w:p>
    <w:p w14:paraId="60E06414">
      <w:pPr>
        <w:pStyle w:val="3"/>
        <w:spacing w:line="259" w:lineRule="auto"/>
      </w:pPr>
    </w:p>
    <w:p w14:paraId="15E84863">
      <w:pPr>
        <w:spacing w:line="11719" w:lineRule="exact"/>
        <w:ind w:firstLine="14"/>
      </w:pPr>
      <w:r>
        <w:rPr>
          <w:position w:val="-234"/>
        </w:rPr>
        <w:drawing>
          <wp:inline distT="0" distB="0" distL="0" distR="0">
            <wp:extent cx="5262245" cy="7441565"/>
            <wp:effectExtent l="0" t="0" r="0" b="0"/>
            <wp:docPr id="236" name="IM 236"/>
            <wp:cNvGraphicFramePr/>
            <a:graphic xmlns:a="http://schemas.openxmlformats.org/drawingml/2006/main">
              <a:graphicData uri="http://schemas.openxmlformats.org/drawingml/2006/picture">
                <pic:pic xmlns:pic="http://schemas.openxmlformats.org/drawingml/2006/picture">
                  <pic:nvPicPr>
                    <pic:cNvPr id="236" name="IM 236"/>
                    <pic:cNvPicPr/>
                  </pic:nvPicPr>
                  <pic:blipFill>
                    <a:blip r:embed="rId335"/>
                    <a:stretch>
                      <a:fillRect/>
                    </a:stretch>
                  </pic:blipFill>
                  <pic:spPr>
                    <a:xfrm>
                      <a:off x="0" y="0"/>
                      <a:ext cx="5262372" cy="7441692"/>
                    </a:xfrm>
                    <a:prstGeom prst="rect">
                      <a:avLst/>
                    </a:prstGeom>
                  </pic:spPr>
                </pic:pic>
              </a:graphicData>
            </a:graphic>
          </wp:inline>
        </w:drawing>
      </w:r>
    </w:p>
    <w:p w14:paraId="675D7B1C">
      <w:pPr>
        <w:spacing w:line="11719" w:lineRule="exact"/>
        <w:sectPr>
          <w:footerReference r:id="rId172" w:type="default"/>
          <w:pgSz w:w="11906" w:h="16838"/>
          <w:pgMar w:top="400" w:right="1785" w:bottom="1295" w:left="1785" w:header="0" w:footer="1133" w:gutter="0"/>
          <w:cols w:space="720" w:num="1"/>
        </w:sectPr>
      </w:pPr>
    </w:p>
    <w:p w14:paraId="066ED7C6">
      <w:pPr>
        <w:pStyle w:val="3"/>
        <w:spacing w:line="258" w:lineRule="auto"/>
      </w:pPr>
    </w:p>
    <w:p w14:paraId="6FE586AD">
      <w:pPr>
        <w:pStyle w:val="3"/>
        <w:spacing w:line="258" w:lineRule="auto"/>
      </w:pPr>
    </w:p>
    <w:p w14:paraId="19B2F85B">
      <w:pPr>
        <w:pStyle w:val="3"/>
        <w:spacing w:line="258" w:lineRule="auto"/>
      </w:pPr>
    </w:p>
    <w:p w14:paraId="63013386">
      <w:pPr>
        <w:pStyle w:val="3"/>
        <w:spacing w:line="259" w:lineRule="auto"/>
      </w:pPr>
    </w:p>
    <w:p w14:paraId="38CB5CE4">
      <w:pPr>
        <w:spacing w:line="11719" w:lineRule="exact"/>
        <w:ind w:firstLine="14"/>
      </w:pPr>
      <w:r>
        <w:rPr>
          <w:position w:val="-234"/>
        </w:rPr>
        <w:drawing>
          <wp:inline distT="0" distB="0" distL="0" distR="0">
            <wp:extent cx="5262245" cy="7441565"/>
            <wp:effectExtent l="0" t="0" r="0" b="0"/>
            <wp:docPr id="238" name="IM 238"/>
            <wp:cNvGraphicFramePr/>
            <a:graphic xmlns:a="http://schemas.openxmlformats.org/drawingml/2006/main">
              <a:graphicData uri="http://schemas.openxmlformats.org/drawingml/2006/picture">
                <pic:pic xmlns:pic="http://schemas.openxmlformats.org/drawingml/2006/picture">
                  <pic:nvPicPr>
                    <pic:cNvPr id="238" name="IM 238"/>
                    <pic:cNvPicPr/>
                  </pic:nvPicPr>
                  <pic:blipFill>
                    <a:blip r:embed="rId336"/>
                    <a:stretch>
                      <a:fillRect/>
                    </a:stretch>
                  </pic:blipFill>
                  <pic:spPr>
                    <a:xfrm>
                      <a:off x="0" y="0"/>
                      <a:ext cx="5262372" cy="7441692"/>
                    </a:xfrm>
                    <a:prstGeom prst="rect">
                      <a:avLst/>
                    </a:prstGeom>
                  </pic:spPr>
                </pic:pic>
              </a:graphicData>
            </a:graphic>
          </wp:inline>
        </w:drawing>
      </w:r>
    </w:p>
    <w:p w14:paraId="73FC6994">
      <w:pPr>
        <w:spacing w:line="11719" w:lineRule="exact"/>
        <w:sectPr>
          <w:footerReference r:id="rId173" w:type="default"/>
          <w:pgSz w:w="11906" w:h="16838"/>
          <w:pgMar w:top="400" w:right="1785" w:bottom="1295" w:left="1785" w:header="0" w:footer="1133" w:gutter="0"/>
          <w:cols w:space="720" w:num="1"/>
        </w:sectPr>
      </w:pPr>
    </w:p>
    <w:p w14:paraId="42A5665E">
      <w:pPr>
        <w:pStyle w:val="3"/>
        <w:spacing w:line="258" w:lineRule="auto"/>
      </w:pPr>
    </w:p>
    <w:p w14:paraId="041262B4">
      <w:pPr>
        <w:pStyle w:val="3"/>
        <w:spacing w:line="258" w:lineRule="auto"/>
      </w:pPr>
    </w:p>
    <w:p w14:paraId="3BFFF165">
      <w:pPr>
        <w:pStyle w:val="3"/>
        <w:spacing w:line="258" w:lineRule="auto"/>
      </w:pPr>
    </w:p>
    <w:p w14:paraId="1F5FC593">
      <w:pPr>
        <w:pStyle w:val="3"/>
        <w:spacing w:line="259" w:lineRule="auto"/>
      </w:pPr>
    </w:p>
    <w:p w14:paraId="24337CDA">
      <w:pPr>
        <w:spacing w:line="11719" w:lineRule="exact"/>
        <w:ind w:firstLine="14"/>
      </w:pPr>
      <w:r>
        <w:rPr>
          <w:position w:val="-234"/>
        </w:rPr>
        <w:drawing>
          <wp:inline distT="0" distB="0" distL="0" distR="0">
            <wp:extent cx="5262245" cy="7441565"/>
            <wp:effectExtent l="0" t="0" r="0" b="0"/>
            <wp:docPr id="240" name="IM 240"/>
            <wp:cNvGraphicFramePr/>
            <a:graphic xmlns:a="http://schemas.openxmlformats.org/drawingml/2006/main">
              <a:graphicData uri="http://schemas.openxmlformats.org/drawingml/2006/picture">
                <pic:pic xmlns:pic="http://schemas.openxmlformats.org/drawingml/2006/picture">
                  <pic:nvPicPr>
                    <pic:cNvPr id="240" name="IM 240"/>
                    <pic:cNvPicPr/>
                  </pic:nvPicPr>
                  <pic:blipFill>
                    <a:blip r:embed="rId337"/>
                    <a:stretch>
                      <a:fillRect/>
                    </a:stretch>
                  </pic:blipFill>
                  <pic:spPr>
                    <a:xfrm>
                      <a:off x="0" y="0"/>
                      <a:ext cx="5262372" cy="7441692"/>
                    </a:xfrm>
                    <a:prstGeom prst="rect">
                      <a:avLst/>
                    </a:prstGeom>
                  </pic:spPr>
                </pic:pic>
              </a:graphicData>
            </a:graphic>
          </wp:inline>
        </w:drawing>
      </w:r>
    </w:p>
    <w:p w14:paraId="0618720A">
      <w:pPr>
        <w:spacing w:line="11719" w:lineRule="exact"/>
        <w:sectPr>
          <w:footerReference r:id="rId174" w:type="default"/>
          <w:pgSz w:w="11906" w:h="16838"/>
          <w:pgMar w:top="400" w:right="1785" w:bottom="1295" w:left="1785" w:header="0" w:footer="1133" w:gutter="0"/>
          <w:cols w:space="720" w:num="1"/>
        </w:sectPr>
      </w:pPr>
    </w:p>
    <w:p w14:paraId="52D40F6F">
      <w:pPr>
        <w:pStyle w:val="3"/>
        <w:spacing w:line="258" w:lineRule="auto"/>
      </w:pPr>
    </w:p>
    <w:p w14:paraId="65FC1C1B">
      <w:pPr>
        <w:pStyle w:val="3"/>
        <w:spacing w:line="258" w:lineRule="auto"/>
      </w:pPr>
    </w:p>
    <w:p w14:paraId="670067D7">
      <w:pPr>
        <w:pStyle w:val="3"/>
        <w:spacing w:line="258" w:lineRule="auto"/>
      </w:pPr>
    </w:p>
    <w:p w14:paraId="07B3F066">
      <w:pPr>
        <w:pStyle w:val="3"/>
        <w:spacing w:line="259" w:lineRule="auto"/>
      </w:pPr>
    </w:p>
    <w:p w14:paraId="6A14E6FD">
      <w:pPr>
        <w:spacing w:line="11719" w:lineRule="exact"/>
        <w:ind w:firstLine="14"/>
      </w:pPr>
      <w:r>
        <w:rPr>
          <w:position w:val="-234"/>
        </w:rPr>
        <w:drawing>
          <wp:inline distT="0" distB="0" distL="0" distR="0">
            <wp:extent cx="5262245" cy="7441565"/>
            <wp:effectExtent l="0" t="0" r="0" b="0"/>
            <wp:docPr id="242" name="IM 242"/>
            <wp:cNvGraphicFramePr/>
            <a:graphic xmlns:a="http://schemas.openxmlformats.org/drawingml/2006/main">
              <a:graphicData uri="http://schemas.openxmlformats.org/drawingml/2006/picture">
                <pic:pic xmlns:pic="http://schemas.openxmlformats.org/drawingml/2006/picture">
                  <pic:nvPicPr>
                    <pic:cNvPr id="242" name="IM 242"/>
                    <pic:cNvPicPr/>
                  </pic:nvPicPr>
                  <pic:blipFill>
                    <a:blip r:embed="rId338"/>
                    <a:stretch>
                      <a:fillRect/>
                    </a:stretch>
                  </pic:blipFill>
                  <pic:spPr>
                    <a:xfrm>
                      <a:off x="0" y="0"/>
                      <a:ext cx="5262372" cy="7441692"/>
                    </a:xfrm>
                    <a:prstGeom prst="rect">
                      <a:avLst/>
                    </a:prstGeom>
                  </pic:spPr>
                </pic:pic>
              </a:graphicData>
            </a:graphic>
          </wp:inline>
        </w:drawing>
      </w:r>
    </w:p>
    <w:p w14:paraId="4CD342BF">
      <w:pPr>
        <w:spacing w:line="11719" w:lineRule="exact"/>
        <w:sectPr>
          <w:footerReference r:id="rId175" w:type="default"/>
          <w:pgSz w:w="11906" w:h="16838"/>
          <w:pgMar w:top="400" w:right="1785" w:bottom="1295" w:left="1785" w:header="0" w:footer="1133" w:gutter="0"/>
          <w:cols w:space="720" w:num="1"/>
        </w:sectPr>
      </w:pPr>
    </w:p>
    <w:p w14:paraId="1BC416D7">
      <w:pPr>
        <w:pStyle w:val="3"/>
        <w:spacing w:line="258" w:lineRule="auto"/>
      </w:pPr>
    </w:p>
    <w:p w14:paraId="06099502">
      <w:pPr>
        <w:pStyle w:val="3"/>
        <w:spacing w:line="258" w:lineRule="auto"/>
      </w:pPr>
    </w:p>
    <w:p w14:paraId="0F5DE4EF">
      <w:pPr>
        <w:pStyle w:val="3"/>
        <w:spacing w:line="258" w:lineRule="auto"/>
      </w:pPr>
    </w:p>
    <w:p w14:paraId="18C62809">
      <w:pPr>
        <w:pStyle w:val="3"/>
        <w:spacing w:line="259" w:lineRule="auto"/>
      </w:pPr>
    </w:p>
    <w:p w14:paraId="2BCFA607">
      <w:pPr>
        <w:spacing w:line="11719" w:lineRule="exact"/>
        <w:ind w:firstLine="14"/>
      </w:pPr>
      <w:r>
        <w:rPr>
          <w:position w:val="-234"/>
        </w:rPr>
        <w:drawing>
          <wp:inline distT="0" distB="0" distL="0" distR="0">
            <wp:extent cx="5262245" cy="7441565"/>
            <wp:effectExtent l="0" t="0" r="0" b="0"/>
            <wp:docPr id="244" name="IM 244"/>
            <wp:cNvGraphicFramePr/>
            <a:graphic xmlns:a="http://schemas.openxmlformats.org/drawingml/2006/main">
              <a:graphicData uri="http://schemas.openxmlformats.org/drawingml/2006/picture">
                <pic:pic xmlns:pic="http://schemas.openxmlformats.org/drawingml/2006/picture">
                  <pic:nvPicPr>
                    <pic:cNvPr id="244" name="IM 244"/>
                    <pic:cNvPicPr/>
                  </pic:nvPicPr>
                  <pic:blipFill>
                    <a:blip r:embed="rId339"/>
                    <a:stretch>
                      <a:fillRect/>
                    </a:stretch>
                  </pic:blipFill>
                  <pic:spPr>
                    <a:xfrm>
                      <a:off x="0" y="0"/>
                      <a:ext cx="5262372" cy="7441692"/>
                    </a:xfrm>
                    <a:prstGeom prst="rect">
                      <a:avLst/>
                    </a:prstGeom>
                  </pic:spPr>
                </pic:pic>
              </a:graphicData>
            </a:graphic>
          </wp:inline>
        </w:drawing>
      </w:r>
    </w:p>
    <w:p w14:paraId="7CE0DA78">
      <w:pPr>
        <w:spacing w:line="11719" w:lineRule="exact"/>
        <w:sectPr>
          <w:footerReference r:id="rId176" w:type="default"/>
          <w:pgSz w:w="11906" w:h="16838"/>
          <w:pgMar w:top="400" w:right="1785" w:bottom="1295" w:left="1785" w:header="0" w:footer="1133" w:gutter="0"/>
          <w:cols w:space="720" w:num="1"/>
        </w:sectPr>
      </w:pPr>
    </w:p>
    <w:p w14:paraId="5F342B5C">
      <w:pPr>
        <w:pStyle w:val="3"/>
        <w:spacing w:line="258" w:lineRule="auto"/>
      </w:pPr>
    </w:p>
    <w:p w14:paraId="49B82A5B">
      <w:pPr>
        <w:pStyle w:val="3"/>
        <w:spacing w:line="258" w:lineRule="auto"/>
      </w:pPr>
    </w:p>
    <w:p w14:paraId="1E3E420A">
      <w:pPr>
        <w:pStyle w:val="3"/>
        <w:spacing w:line="258" w:lineRule="auto"/>
      </w:pPr>
    </w:p>
    <w:p w14:paraId="723B0987">
      <w:pPr>
        <w:pStyle w:val="3"/>
        <w:spacing w:line="259" w:lineRule="auto"/>
      </w:pPr>
    </w:p>
    <w:p w14:paraId="524AC19D">
      <w:pPr>
        <w:spacing w:line="11719" w:lineRule="exact"/>
        <w:ind w:firstLine="14"/>
      </w:pPr>
      <w:r>
        <w:rPr>
          <w:position w:val="-234"/>
        </w:rPr>
        <w:drawing>
          <wp:inline distT="0" distB="0" distL="0" distR="0">
            <wp:extent cx="5262245" cy="7441565"/>
            <wp:effectExtent l="0" t="0" r="0" b="0"/>
            <wp:docPr id="246" name="IM 246"/>
            <wp:cNvGraphicFramePr/>
            <a:graphic xmlns:a="http://schemas.openxmlformats.org/drawingml/2006/main">
              <a:graphicData uri="http://schemas.openxmlformats.org/drawingml/2006/picture">
                <pic:pic xmlns:pic="http://schemas.openxmlformats.org/drawingml/2006/picture">
                  <pic:nvPicPr>
                    <pic:cNvPr id="246" name="IM 246"/>
                    <pic:cNvPicPr/>
                  </pic:nvPicPr>
                  <pic:blipFill>
                    <a:blip r:embed="rId340"/>
                    <a:stretch>
                      <a:fillRect/>
                    </a:stretch>
                  </pic:blipFill>
                  <pic:spPr>
                    <a:xfrm>
                      <a:off x="0" y="0"/>
                      <a:ext cx="5262372" cy="7441692"/>
                    </a:xfrm>
                    <a:prstGeom prst="rect">
                      <a:avLst/>
                    </a:prstGeom>
                  </pic:spPr>
                </pic:pic>
              </a:graphicData>
            </a:graphic>
          </wp:inline>
        </w:drawing>
      </w:r>
    </w:p>
    <w:p w14:paraId="1549793D">
      <w:pPr>
        <w:spacing w:line="11719" w:lineRule="exact"/>
        <w:sectPr>
          <w:footerReference r:id="rId177" w:type="default"/>
          <w:pgSz w:w="11906" w:h="16838"/>
          <w:pgMar w:top="400" w:right="1785" w:bottom="1295" w:left="1785" w:header="0" w:footer="1133" w:gutter="0"/>
          <w:cols w:space="720" w:num="1"/>
        </w:sectPr>
      </w:pPr>
    </w:p>
    <w:p w14:paraId="632913E0">
      <w:pPr>
        <w:pStyle w:val="3"/>
        <w:spacing w:line="258" w:lineRule="auto"/>
      </w:pPr>
    </w:p>
    <w:p w14:paraId="7FC86A00">
      <w:pPr>
        <w:pStyle w:val="3"/>
        <w:spacing w:line="258" w:lineRule="auto"/>
      </w:pPr>
    </w:p>
    <w:p w14:paraId="5DBCF711">
      <w:pPr>
        <w:pStyle w:val="3"/>
        <w:spacing w:line="258" w:lineRule="auto"/>
      </w:pPr>
    </w:p>
    <w:p w14:paraId="42DA3365">
      <w:pPr>
        <w:pStyle w:val="3"/>
        <w:spacing w:line="259" w:lineRule="auto"/>
      </w:pPr>
    </w:p>
    <w:p w14:paraId="4371D06D">
      <w:pPr>
        <w:spacing w:line="11719" w:lineRule="exact"/>
        <w:ind w:firstLine="14"/>
      </w:pPr>
      <w:r>
        <w:rPr>
          <w:position w:val="-234"/>
        </w:rPr>
        <w:drawing>
          <wp:inline distT="0" distB="0" distL="0" distR="0">
            <wp:extent cx="5262245" cy="7441565"/>
            <wp:effectExtent l="0" t="0" r="0" b="0"/>
            <wp:docPr id="248" name="IM 248"/>
            <wp:cNvGraphicFramePr/>
            <a:graphic xmlns:a="http://schemas.openxmlformats.org/drawingml/2006/main">
              <a:graphicData uri="http://schemas.openxmlformats.org/drawingml/2006/picture">
                <pic:pic xmlns:pic="http://schemas.openxmlformats.org/drawingml/2006/picture">
                  <pic:nvPicPr>
                    <pic:cNvPr id="248" name="IM 248"/>
                    <pic:cNvPicPr/>
                  </pic:nvPicPr>
                  <pic:blipFill>
                    <a:blip r:embed="rId341"/>
                    <a:stretch>
                      <a:fillRect/>
                    </a:stretch>
                  </pic:blipFill>
                  <pic:spPr>
                    <a:xfrm>
                      <a:off x="0" y="0"/>
                      <a:ext cx="5262372" cy="7441692"/>
                    </a:xfrm>
                    <a:prstGeom prst="rect">
                      <a:avLst/>
                    </a:prstGeom>
                  </pic:spPr>
                </pic:pic>
              </a:graphicData>
            </a:graphic>
          </wp:inline>
        </w:drawing>
      </w:r>
    </w:p>
    <w:p w14:paraId="5D71CC98">
      <w:pPr>
        <w:spacing w:line="11719" w:lineRule="exact"/>
        <w:sectPr>
          <w:footerReference r:id="rId178" w:type="default"/>
          <w:pgSz w:w="11906" w:h="16838"/>
          <w:pgMar w:top="400" w:right="1785" w:bottom="1295" w:left="1785" w:header="0" w:footer="1133" w:gutter="0"/>
          <w:cols w:space="720" w:num="1"/>
        </w:sectPr>
      </w:pPr>
    </w:p>
    <w:p w14:paraId="4B5D8889">
      <w:pPr>
        <w:pStyle w:val="3"/>
        <w:spacing w:line="258" w:lineRule="auto"/>
      </w:pPr>
    </w:p>
    <w:p w14:paraId="31981B3A">
      <w:pPr>
        <w:pStyle w:val="3"/>
        <w:spacing w:line="258" w:lineRule="auto"/>
      </w:pPr>
    </w:p>
    <w:p w14:paraId="4BB2C63E">
      <w:pPr>
        <w:pStyle w:val="3"/>
        <w:spacing w:line="258" w:lineRule="auto"/>
      </w:pPr>
    </w:p>
    <w:p w14:paraId="2E4FEC76">
      <w:pPr>
        <w:pStyle w:val="3"/>
        <w:spacing w:line="259" w:lineRule="auto"/>
      </w:pPr>
    </w:p>
    <w:p w14:paraId="15A069DD">
      <w:pPr>
        <w:spacing w:line="11719" w:lineRule="exact"/>
        <w:ind w:firstLine="14"/>
      </w:pPr>
      <w:r>
        <w:rPr>
          <w:position w:val="-234"/>
        </w:rPr>
        <w:drawing>
          <wp:inline distT="0" distB="0" distL="0" distR="0">
            <wp:extent cx="5262245" cy="7441565"/>
            <wp:effectExtent l="0" t="0" r="0" b="0"/>
            <wp:docPr id="250" name="IM 250"/>
            <wp:cNvGraphicFramePr/>
            <a:graphic xmlns:a="http://schemas.openxmlformats.org/drawingml/2006/main">
              <a:graphicData uri="http://schemas.openxmlformats.org/drawingml/2006/picture">
                <pic:pic xmlns:pic="http://schemas.openxmlformats.org/drawingml/2006/picture">
                  <pic:nvPicPr>
                    <pic:cNvPr id="250" name="IM 250"/>
                    <pic:cNvPicPr/>
                  </pic:nvPicPr>
                  <pic:blipFill>
                    <a:blip r:embed="rId342"/>
                    <a:stretch>
                      <a:fillRect/>
                    </a:stretch>
                  </pic:blipFill>
                  <pic:spPr>
                    <a:xfrm>
                      <a:off x="0" y="0"/>
                      <a:ext cx="5262372" cy="7441692"/>
                    </a:xfrm>
                    <a:prstGeom prst="rect">
                      <a:avLst/>
                    </a:prstGeom>
                  </pic:spPr>
                </pic:pic>
              </a:graphicData>
            </a:graphic>
          </wp:inline>
        </w:drawing>
      </w:r>
    </w:p>
    <w:p w14:paraId="6F59D57A">
      <w:pPr>
        <w:spacing w:line="11719" w:lineRule="exact"/>
        <w:sectPr>
          <w:footerReference r:id="rId179" w:type="default"/>
          <w:pgSz w:w="11906" w:h="16838"/>
          <w:pgMar w:top="400" w:right="1785" w:bottom="1295" w:left="1785" w:header="0" w:footer="1133" w:gutter="0"/>
          <w:cols w:space="720" w:num="1"/>
        </w:sectPr>
      </w:pPr>
    </w:p>
    <w:p w14:paraId="2D42F4A1">
      <w:pPr>
        <w:pStyle w:val="3"/>
        <w:spacing w:line="258" w:lineRule="auto"/>
      </w:pPr>
    </w:p>
    <w:p w14:paraId="5CEA27F5">
      <w:pPr>
        <w:pStyle w:val="3"/>
        <w:spacing w:line="258" w:lineRule="auto"/>
      </w:pPr>
    </w:p>
    <w:p w14:paraId="5E63A16A">
      <w:pPr>
        <w:pStyle w:val="3"/>
        <w:spacing w:line="258" w:lineRule="auto"/>
      </w:pPr>
    </w:p>
    <w:p w14:paraId="2B3E6B10">
      <w:pPr>
        <w:pStyle w:val="3"/>
        <w:spacing w:line="259" w:lineRule="auto"/>
      </w:pPr>
    </w:p>
    <w:p w14:paraId="4B6E7F7C">
      <w:pPr>
        <w:spacing w:line="11719" w:lineRule="exact"/>
        <w:ind w:firstLine="14"/>
      </w:pPr>
      <w:r>
        <w:rPr>
          <w:position w:val="-234"/>
        </w:rPr>
        <w:drawing>
          <wp:inline distT="0" distB="0" distL="0" distR="0">
            <wp:extent cx="5262245" cy="7441565"/>
            <wp:effectExtent l="0" t="0" r="0" b="0"/>
            <wp:docPr id="252" name="IM 252"/>
            <wp:cNvGraphicFramePr/>
            <a:graphic xmlns:a="http://schemas.openxmlformats.org/drawingml/2006/main">
              <a:graphicData uri="http://schemas.openxmlformats.org/drawingml/2006/picture">
                <pic:pic xmlns:pic="http://schemas.openxmlformats.org/drawingml/2006/picture">
                  <pic:nvPicPr>
                    <pic:cNvPr id="252" name="IM 252"/>
                    <pic:cNvPicPr/>
                  </pic:nvPicPr>
                  <pic:blipFill>
                    <a:blip r:embed="rId343"/>
                    <a:stretch>
                      <a:fillRect/>
                    </a:stretch>
                  </pic:blipFill>
                  <pic:spPr>
                    <a:xfrm>
                      <a:off x="0" y="0"/>
                      <a:ext cx="5262372" cy="7441692"/>
                    </a:xfrm>
                    <a:prstGeom prst="rect">
                      <a:avLst/>
                    </a:prstGeom>
                  </pic:spPr>
                </pic:pic>
              </a:graphicData>
            </a:graphic>
          </wp:inline>
        </w:drawing>
      </w:r>
    </w:p>
    <w:p w14:paraId="75179DBA">
      <w:pPr>
        <w:spacing w:line="11719" w:lineRule="exact"/>
        <w:sectPr>
          <w:footerReference r:id="rId180" w:type="default"/>
          <w:pgSz w:w="11906" w:h="16838"/>
          <w:pgMar w:top="400" w:right="1785" w:bottom="1295" w:left="1785" w:header="0" w:footer="1133" w:gutter="0"/>
          <w:cols w:space="720" w:num="1"/>
        </w:sectPr>
      </w:pPr>
    </w:p>
    <w:p w14:paraId="7FF37B01">
      <w:pPr>
        <w:pStyle w:val="3"/>
        <w:spacing w:line="258" w:lineRule="auto"/>
      </w:pPr>
    </w:p>
    <w:p w14:paraId="7202D892">
      <w:pPr>
        <w:pStyle w:val="3"/>
        <w:spacing w:line="258" w:lineRule="auto"/>
      </w:pPr>
    </w:p>
    <w:p w14:paraId="77335B50">
      <w:pPr>
        <w:pStyle w:val="3"/>
        <w:spacing w:line="258" w:lineRule="auto"/>
      </w:pPr>
    </w:p>
    <w:p w14:paraId="493D9DB3">
      <w:pPr>
        <w:pStyle w:val="3"/>
        <w:spacing w:line="259" w:lineRule="auto"/>
      </w:pPr>
    </w:p>
    <w:p w14:paraId="09CD373C">
      <w:pPr>
        <w:spacing w:line="11719" w:lineRule="exact"/>
        <w:ind w:firstLine="14"/>
      </w:pPr>
      <w:r>
        <w:rPr>
          <w:position w:val="-234"/>
        </w:rPr>
        <w:drawing>
          <wp:inline distT="0" distB="0" distL="0" distR="0">
            <wp:extent cx="5262245" cy="7441565"/>
            <wp:effectExtent l="0" t="0" r="0" b="0"/>
            <wp:docPr id="254" name="IM 254"/>
            <wp:cNvGraphicFramePr/>
            <a:graphic xmlns:a="http://schemas.openxmlformats.org/drawingml/2006/main">
              <a:graphicData uri="http://schemas.openxmlformats.org/drawingml/2006/picture">
                <pic:pic xmlns:pic="http://schemas.openxmlformats.org/drawingml/2006/picture">
                  <pic:nvPicPr>
                    <pic:cNvPr id="254" name="IM 254"/>
                    <pic:cNvPicPr/>
                  </pic:nvPicPr>
                  <pic:blipFill>
                    <a:blip r:embed="rId344"/>
                    <a:stretch>
                      <a:fillRect/>
                    </a:stretch>
                  </pic:blipFill>
                  <pic:spPr>
                    <a:xfrm>
                      <a:off x="0" y="0"/>
                      <a:ext cx="5262372" cy="7441692"/>
                    </a:xfrm>
                    <a:prstGeom prst="rect">
                      <a:avLst/>
                    </a:prstGeom>
                  </pic:spPr>
                </pic:pic>
              </a:graphicData>
            </a:graphic>
          </wp:inline>
        </w:drawing>
      </w:r>
    </w:p>
    <w:p w14:paraId="4C77BA85">
      <w:pPr>
        <w:spacing w:line="11719" w:lineRule="exact"/>
        <w:sectPr>
          <w:footerReference r:id="rId181" w:type="default"/>
          <w:pgSz w:w="11906" w:h="16838"/>
          <w:pgMar w:top="400" w:right="1785" w:bottom="1295" w:left="1785" w:header="0" w:footer="1133" w:gutter="0"/>
          <w:cols w:space="720" w:num="1"/>
        </w:sectPr>
      </w:pPr>
    </w:p>
    <w:p w14:paraId="58A487DB">
      <w:pPr>
        <w:pStyle w:val="3"/>
        <w:spacing w:line="258" w:lineRule="auto"/>
      </w:pPr>
    </w:p>
    <w:p w14:paraId="635457DD">
      <w:pPr>
        <w:pStyle w:val="3"/>
        <w:spacing w:line="258" w:lineRule="auto"/>
      </w:pPr>
    </w:p>
    <w:p w14:paraId="02FB8C41">
      <w:pPr>
        <w:pStyle w:val="3"/>
        <w:spacing w:line="258" w:lineRule="auto"/>
      </w:pPr>
    </w:p>
    <w:p w14:paraId="298715AD">
      <w:pPr>
        <w:pStyle w:val="3"/>
        <w:spacing w:line="259" w:lineRule="auto"/>
      </w:pPr>
    </w:p>
    <w:p w14:paraId="5FC15059">
      <w:pPr>
        <w:spacing w:line="11719" w:lineRule="exact"/>
        <w:ind w:firstLine="14"/>
      </w:pPr>
      <w:r>
        <w:rPr>
          <w:position w:val="-234"/>
        </w:rPr>
        <w:drawing>
          <wp:inline distT="0" distB="0" distL="0" distR="0">
            <wp:extent cx="5262245" cy="7441565"/>
            <wp:effectExtent l="0" t="0" r="0" b="0"/>
            <wp:docPr id="256" name="IM 256"/>
            <wp:cNvGraphicFramePr/>
            <a:graphic xmlns:a="http://schemas.openxmlformats.org/drawingml/2006/main">
              <a:graphicData uri="http://schemas.openxmlformats.org/drawingml/2006/picture">
                <pic:pic xmlns:pic="http://schemas.openxmlformats.org/drawingml/2006/picture">
                  <pic:nvPicPr>
                    <pic:cNvPr id="256" name="IM 256"/>
                    <pic:cNvPicPr/>
                  </pic:nvPicPr>
                  <pic:blipFill>
                    <a:blip r:embed="rId345"/>
                    <a:stretch>
                      <a:fillRect/>
                    </a:stretch>
                  </pic:blipFill>
                  <pic:spPr>
                    <a:xfrm>
                      <a:off x="0" y="0"/>
                      <a:ext cx="5262372" cy="7441692"/>
                    </a:xfrm>
                    <a:prstGeom prst="rect">
                      <a:avLst/>
                    </a:prstGeom>
                  </pic:spPr>
                </pic:pic>
              </a:graphicData>
            </a:graphic>
          </wp:inline>
        </w:drawing>
      </w:r>
    </w:p>
    <w:p w14:paraId="0444DEB4">
      <w:pPr>
        <w:spacing w:line="11719" w:lineRule="exact"/>
        <w:sectPr>
          <w:footerReference r:id="rId182" w:type="default"/>
          <w:pgSz w:w="11906" w:h="16838"/>
          <w:pgMar w:top="400" w:right="1785" w:bottom="1295" w:left="1785" w:header="0" w:footer="1133" w:gutter="0"/>
          <w:cols w:space="720" w:num="1"/>
        </w:sectPr>
      </w:pPr>
    </w:p>
    <w:p w14:paraId="2C602992">
      <w:pPr>
        <w:pStyle w:val="3"/>
        <w:spacing w:line="258" w:lineRule="auto"/>
      </w:pPr>
    </w:p>
    <w:p w14:paraId="5110A1ED">
      <w:pPr>
        <w:pStyle w:val="3"/>
        <w:spacing w:line="258" w:lineRule="auto"/>
      </w:pPr>
    </w:p>
    <w:p w14:paraId="34552B76">
      <w:pPr>
        <w:pStyle w:val="3"/>
        <w:spacing w:line="258" w:lineRule="auto"/>
      </w:pPr>
    </w:p>
    <w:p w14:paraId="0B7E1802">
      <w:pPr>
        <w:pStyle w:val="3"/>
        <w:spacing w:line="259" w:lineRule="auto"/>
      </w:pPr>
    </w:p>
    <w:p w14:paraId="44DB42B8">
      <w:pPr>
        <w:spacing w:line="11719" w:lineRule="exact"/>
        <w:ind w:firstLine="14"/>
      </w:pPr>
      <w:r>
        <w:rPr>
          <w:position w:val="-234"/>
        </w:rPr>
        <w:drawing>
          <wp:inline distT="0" distB="0" distL="0" distR="0">
            <wp:extent cx="5262245" cy="7441565"/>
            <wp:effectExtent l="0" t="0" r="0" b="0"/>
            <wp:docPr id="258" name="IM 258"/>
            <wp:cNvGraphicFramePr/>
            <a:graphic xmlns:a="http://schemas.openxmlformats.org/drawingml/2006/main">
              <a:graphicData uri="http://schemas.openxmlformats.org/drawingml/2006/picture">
                <pic:pic xmlns:pic="http://schemas.openxmlformats.org/drawingml/2006/picture">
                  <pic:nvPicPr>
                    <pic:cNvPr id="258" name="IM 258"/>
                    <pic:cNvPicPr/>
                  </pic:nvPicPr>
                  <pic:blipFill>
                    <a:blip r:embed="rId346"/>
                    <a:stretch>
                      <a:fillRect/>
                    </a:stretch>
                  </pic:blipFill>
                  <pic:spPr>
                    <a:xfrm>
                      <a:off x="0" y="0"/>
                      <a:ext cx="5262372" cy="7441692"/>
                    </a:xfrm>
                    <a:prstGeom prst="rect">
                      <a:avLst/>
                    </a:prstGeom>
                  </pic:spPr>
                </pic:pic>
              </a:graphicData>
            </a:graphic>
          </wp:inline>
        </w:drawing>
      </w:r>
    </w:p>
    <w:p w14:paraId="25C76D88">
      <w:pPr>
        <w:spacing w:line="11719" w:lineRule="exact"/>
        <w:sectPr>
          <w:footerReference r:id="rId183" w:type="default"/>
          <w:pgSz w:w="11906" w:h="16838"/>
          <w:pgMar w:top="400" w:right="1785" w:bottom="1295" w:left="1785" w:header="0" w:footer="1133" w:gutter="0"/>
          <w:cols w:space="720" w:num="1"/>
        </w:sectPr>
      </w:pPr>
    </w:p>
    <w:p w14:paraId="4B98AFBA">
      <w:pPr>
        <w:pStyle w:val="3"/>
        <w:spacing w:line="258" w:lineRule="auto"/>
      </w:pPr>
    </w:p>
    <w:p w14:paraId="028FFE54">
      <w:pPr>
        <w:pStyle w:val="3"/>
        <w:spacing w:line="258" w:lineRule="auto"/>
      </w:pPr>
    </w:p>
    <w:p w14:paraId="79EDC7C5">
      <w:pPr>
        <w:pStyle w:val="3"/>
        <w:spacing w:line="258" w:lineRule="auto"/>
      </w:pPr>
    </w:p>
    <w:p w14:paraId="307683FE">
      <w:pPr>
        <w:pStyle w:val="3"/>
        <w:spacing w:line="259" w:lineRule="auto"/>
      </w:pPr>
    </w:p>
    <w:p w14:paraId="3A8F473E">
      <w:pPr>
        <w:spacing w:line="11719" w:lineRule="exact"/>
        <w:ind w:firstLine="14"/>
      </w:pPr>
      <w:r>
        <w:rPr>
          <w:position w:val="-234"/>
        </w:rPr>
        <w:drawing>
          <wp:inline distT="0" distB="0" distL="0" distR="0">
            <wp:extent cx="5262245" cy="7441565"/>
            <wp:effectExtent l="0" t="0" r="0" b="0"/>
            <wp:docPr id="260" name="IM 260"/>
            <wp:cNvGraphicFramePr/>
            <a:graphic xmlns:a="http://schemas.openxmlformats.org/drawingml/2006/main">
              <a:graphicData uri="http://schemas.openxmlformats.org/drawingml/2006/picture">
                <pic:pic xmlns:pic="http://schemas.openxmlformats.org/drawingml/2006/picture">
                  <pic:nvPicPr>
                    <pic:cNvPr id="260" name="IM 260"/>
                    <pic:cNvPicPr/>
                  </pic:nvPicPr>
                  <pic:blipFill>
                    <a:blip r:embed="rId347"/>
                    <a:stretch>
                      <a:fillRect/>
                    </a:stretch>
                  </pic:blipFill>
                  <pic:spPr>
                    <a:xfrm>
                      <a:off x="0" y="0"/>
                      <a:ext cx="5262372" cy="7441692"/>
                    </a:xfrm>
                    <a:prstGeom prst="rect">
                      <a:avLst/>
                    </a:prstGeom>
                  </pic:spPr>
                </pic:pic>
              </a:graphicData>
            </a:graphic>
          </wp:inline>
        </w:drawing>
      </w:r>
    </w:p>
    <w:p w14:paraId="2A97BE54">
      <w:pPr>
        <w:spacing w:line="11719" w:lineRule="exact"/>
        <w:sectPr>
          <w:footerReference r:id="rId184" w:type="default"/>
          <w:pgSz w:w="11906" w:h="16838"/>
          <w:pgMar w:top="400" w:right="1785" w:bottom="1295" w:left="1785" w:header="0" w:footer="1133" w:gutter="0"/>
          <w:cols w:space="720" w:num="1"/>
        </w:sectPr>
      </w:pPr>
    </w:p>
    <w:p w14:paraId="0B3F6338">
      <w:pPr>
        <w:pStyle w:val="3"/>
        <w:spacing w:line="258" w:lineRule="auto"/>
      </w:pPr>
    </w:p>
    <w:p w14:paraId="324003B2">
      <w:pPr>
        <w:pStyle w:val="3"/>
        <w:spacing w:line="258" w:lineRule="auto"/>
      </w:pPr>
    </w:p>
    <w:p w14:paraId="1B5834DC">
      <w:pPr>
        <w:pStyle w:val="3"/>
        <w:spacing w:line="258" w:lineRule="auto"/>
      </w:pPr>
    </w:p>
    <w:p w14:paraId="18D0406A">
      <w:pPr>
        <w:pStyle w:val="3"/>
        <w:spacing w:line="259" w:lineRule="auto"/>
      </w:pPr>
    </w:p>
    <w:p w14:paraId="3723AD86">
      <w:pPr>
        <w:spacing w:line="13078" w:lineRule="exact"/>
        <w:ind w:firstLine="14"/>
      </w:pPr>
      <w:r>
        <w:rPr>
          <w:position w:val="-261"/>
        </w:rPr>
        <w:drawing>
          <wp:inline distT="0" distB="0" distL="0" distR="0">
            <wp:extent cx="4667885" cy="8303895"/>
            <wp:effectExtent l="0" t="0" r="0" b="0"/>
            <wp:docPr id="262" name="IM 262"/>
            <wp:cNvGraphicFramePr/>
            <a:graphic xmlns:a="http://schemas.openxmlformats.org/drawingml/2006/main">
              <a:graphicData uri="http://schemas.openxmlformats.org/drawingml/2006/picture">
                <pic:pic xmlns:pic="http://schemas.openxmlformats.org/drawingml/2006/picture">
                  <pic:nvPicPr>
                    <pic:cNvPr id="262" name="IM 262"/>
                    <pic:cNvPicPr/>
                  </pic:nvPicPr>
                  <pic:blipFill>
                    <a:blip r:embed="rId348"/>
                    <a:stretch>
                      <a:fillRect/>
                    </a:stretch>
                  </pic:blipFill>
                  <pic:spPr>
                    <a:xfrm>
                      <a:off x="0" y="0"/>
                      <a:ext cx="4668012" cy="8304276"/>
                    </a:xfrm>
                    <a:prstGeom prst="rect">
                      <a:avLst/>
                    </a:prstGeom>
                  </pic:spPr>
                </pic:pic>
              </a:graphicData>
            </a:graphic>
          </wp:inline>
        </w:drawing>
      </w:r>
    </w:p>
    <w:p w14:paraId="20B52C7B">
      <w:pPr>
        <w:spacing w:line="13078" w:lineRule="exact"/>
        <w:sectPr>
          <w:footerReference r:id="rId185" w:type="default"/>
          <w:pgSz w:w="11906" w:h="16838"/>
          <w:pgMar w:top="400" w:right="1785" w:bottom="1295" w:left="1785" w:header="0" w:footer="1133" w:gutter="0"/>
          <w:cols w:space="720" w:num="1"/>
        </w:sectPr>
      </w:pPr>
    </w:p>
    <w:p w14:paraId="74E66C1C">
      <w:pPr>
        <w:pStyle w:val="3"/>
        <w:spacing w:line="281" w:lineRule="auto"/>
      </w:pPr>
    </w:p>
    <w:p w14:paraId="7CDFD524">
      <w:pPr>
        <w:pStyle w:val="3"/>
        <w:spacing w:line="281" w:lineRule="auto"/>
      </w:pPr>
    </w:p>
    <w:p w14:paraId="55CF682B">
      <w:pPr>
        <w:pStyle w:val="3"/>
        <w:spacing w:line="282" w:lineRule="auto"/>
      </w:pPr>
    </w:p>
    <w:p w14:paraId="0E5A517D">
      <w:pPr>
        <w:pStyle w:val="3"/>
        <w:spacing w:line="282" w:lineRule="auto"/>
      </w:pPr>
    </w:p>
    <w:p w14:paraId="50C2C401">
      <w:pPr>
        <w:spacing w:before="78" w:line="218" w:lineRule="auto"/>
        <w:ind w:left="42"/>
        <w:outlineLvl w:val="1"/>
        <w:rPr>
          <w:rFonts w:ascii="宋体" w:hAnsi="宋体" w:eastAsia="宋体" w:cs="宋体"/>
          <w:sz w:val="24"/>
          <w:szCs w:val="24"/>
        </w:rPr>
      </w:pPr>
      <w:r>
        <w:rPr>
          <w:rFonts w:ascii="宋体" w:hAnsi="宋体" w:eastAsia="宋体" w:cs="宋体"/>
          <w:b/>
          <w:bCs/>
          <w:spacing w:val="-5"/>
          <w:sz w:val="24"/>
          <w:szCs w:val="24"/>
        </w:rPr>
        <w:t>附件</w:t>
      </w:r>
      <w:r>
        <w:rPr>
          <w:rFonts w:ascii="宋体" w:hAnsi="宋体" w:eastAsia="宋体" w:cs="宋体"/>
          <w:spacing w:val="-45"/>
          <w:sz w:val="24"/>
          <w:szCs w:val="24"/>
        </w:rPr>
        <w:t xml:space="preserve"> </w:t>
      </w:r>
      <w:r>
        <w:rPr>
          <w:rFonts w:ascii="Times New Roman" w:hAnsi="Times New Roman" w:eastAsia="Times New Roman" w:cs="Times New Roman"/>
          <w:b/>
          <w:bCs/>
          <w:spacing w:val="-5"/>
          <w:sz w:val="24"/>
          <w:szCs w:val="24"/>
        </w:rPr>
        <w:t xml:space="preserve">16  </w:t>
      </w:r>
      <w:r>
        <w:rPr>
          <w:rFonts w:ascii="宋体" w:hAnsi="宋体" w:eastAsia="宋体" w:cs="宋体"/>
          <w:b/>
          <w:bCs/>
          <w:spacing w:val="-5"/>
          <w:sz w:val="24"/>
          <w:szCs w:val="24"/>
        </w:rPr>
        <w:t>类比监测报告</w:t>
      </w:r>
    </w:p>
    <w:p w14:paraId="6913D717">
      <w:pPr>
        <w:spacing w:before="15" w:line="11510" w:lineRule="exact"/>
        <w:ind w:firstLine="14"/>
      </w:pPr>
      <w:r>
        <w:rPr>
          <w:position w:val="-230"/>
        </w:rPr>
        <w:drawing>
          <wp:inline distT="0" distB="0" distL="0" distR="0">
            <wp:extent cx="5234940" cy="7308850"/>
            <wp:effectExtent l="0" t="0" r="0" b="0"/>
            <wp:docPr id="264" name="IM 264"/>
            <wp:cNvGraphicFramePr/>
            <a:graphic xmlns:a="http://schemas.openxmlformats.org/drawingml/2006/main">
              <a:graphicData uri="http://schemas.openxmlformats.org/drawingml/2006/picture">
                <pic:pic xmlns:pic="http://schemas.openxmlformats.org/drawingml/2006/picture">
                  <pic:nvPicPr>
                    <pic:cNvPr id="264" name="IM 264"/>
                    <pic:cNvPicPr/>
                  </pic:nvPicPr>
                  <pic:blipFill>
                    <a:blip r:embed="rId349"/>
                    <a:stretch>
                      <a:fillRect/>
                    </a:stretch>
                  </pic:blipFill>
                  <pic:spPr>
                    <a:xfrm>
                      <a:off x="0" y="0"/>
                      <a:ext cx="5234940" cy="7309104"/>
                    </a:xfrm>
                    <a:prstGeom prst="rect">
                      <a:avLst/>
                    </a:prstGeom>
                  </pic:spPr>
                </pic:pic>
              </a:graphicData>
            </a:graphic>
          </wp:inline>
        </w:drawing>
      </w:r>
    </w:p>
    <w:p w14:paraId="4A374037">
      <w:pPr>
        <w:spacing w:line="11510" w:lineRule="exact"/>
        <w:sectPr>
          <w:footerReference r:id="rId186" w:type="default"/>
          <w:pgSz w:w="11906" w:h="16838"/>
          <w:pgMar w:top="400" w:right="1785" w:bottom="1295" w:left="1785" w:header="0" w:footer="1133" w:gutter="0"/>
          <w:cols w:space="720" w:num="1"/>
        </w:sectPr>
      </w:pPr>
    </w:p>
    <w:p w14:paraId="66B1CABD">
      <w:pPr>
        <w:pStyle w:val="3"/>
        <w:spacing w:line="258" w:lineRule="auto"/>
      </w:pPr>
    </w:p>
    <w:p w14:paraId="4B52FBCA">
      <w:pPr>
        <w:pStyle w:val="3"/>
        <w:spacing w:line="258" w:lineRule="auto"/>
      </w:pPr>
    </w:p>
    <w:p w14:paraId="04B41B3B">
      <w:pPr>
        <w:pStyle w:val="3"/>
        <w:spacing w:line="258" w:lineRule="auto"/>
      </w:pPr>
    </w:p>
    <w:p w14:paraId="43689C2D">
      <w:pPr>
        <w:pStyle w:val="3"/>
        <w:spacing w:line="259" w:lineRule="auto"/>
      </w:pPr>
    </w:p>
    <w:p w14:paraId="038AC16F">
      <w:pPr>
        <w:spacing w:line="10611" w:lineRule="exact"/>
        <w:ind w:firstLine="14"/>
      </w:pPr>
      <w:r>
        <w:rPr>
          <w:position w:val="-212"/>
        </w:rPr>
        <w:drawing>
          <wp:inline distT="0" distB="0" distL="0" distR="0">
            <wp:extent cx="5262245" cy="6737350"/>
            <wp:effectExtent l="0" t="0" r="0" b="0"/>
            <wp:docPr id="266" name="IM 266"/>
            <wp:cNvGraphicFramePr/>
            <a:graphic xmlns:a="http://schemas.openxmlformats.org/drawingml/2006/main">
              <a:graphicData uri="http://schemas.openxmlformats.org/drawingml/2006/picture">
                <pic:pic xmlns:pic="http://schemas.openxmlformats.org/drawingml/2006/picture">
                  <pic:nvPicPr>
                    <pic:cNvPr id="266" name="IM 266"/>
                    <pic:cNvPicPr/>
                  </pic:nvPicPr>
                  <pic:blipFill>
                    <a:blip r:embed="rId350"/>
                    <a:stretch>
                      <a:fillRect/>
                    </a:stretch>
                  </pic:blipFill>
                  <pic:spPr>
                    <a:xfrm>
                      <a:off x="0" y="0"/>
                      <a:ext cx="5262372" cy="6737604"/>
                    </a:xfrm>
                    <a:prstGeom prst="rect">
                      <a:avLst/>
                    </a:prstGeom>
                  </pic:spPr>
                </pic:pic>
              </a:graphicData>
            </a:graphic>
          </wp:inline>
        </w:drawing>
      </w:r>
    </w:p>
    <w:p w14:paraId="66D8FD3E">
      <w:pPr>
        <w:spacing w:line="10611" w:lineRule="exact"/>
        <w:sectPr>
          <w:footerReference r:id="rId187" w:type="default"/>
          <w:pgSz w:w="11906" w:h="16838"/>
          <w:pgMar w:top="400" w:right="1785" w:bottom="1295" w:left="1785" w:header="0" w:footer="1133" w:gutter="0"/>
          <w:cols w:space="720" w:num="1"/>
        </w:sectPr>
      </w:pPr>
    </w:p>
    <w:p w14:paraId="0E7D8DA4">
      <w:pPr>
        <w:pStyle w:val="3"/>
        <w:spacing w:line="258" w:lineRule="auto"/>
      </w:pPr>
    </w:p>
    <w:p w14:paraId="55A8E012">
      <w:pPr>
        <w:pStyle w:val="3"/>
        <w:spacing w:line="258" w:lineRule="auto"/>
      </w:pPr>
    </w:p>
    <w:p w14:paraId="1BEAFA5C">
      <w:pPr>
        <w:pStyle w:val="3"/>
        <w:spacing w:line="258" w:lineRule="auto"/>
      </w:pPr>
    </w:p>
    <w:p w14:paraId="4CAF4BFD">
      <w:pPr>
        <w:pStyle w:val="3"/>
        <w:spacing w:line="259" w:lineRule="auto"/>
      </w:pPr>
    </w:p>
    <w:p w14:paraId="312F71DA">
      <w:pPr>
        <w:spacing w:line="12019" w:lineRule="exact"/>
        <w:ind w:firstLine="14"/>
      </w:pPr>
      <w:r>
        <w:rPr>
          <w:position w:val="-240"/>
        </w:rPr>
        <w:drawing>
          <wp:inline distT="0" distB="0" distL="0" distR="0">
            <wp:extent cx="5260340" cy="7632065"/>
            <wp:effectExtent l="0" t="0" r="0" b="0"/>
            <wp:docPr id="268" name="IM 268"/>
            <wp:cNvGraphicFramePr/>
            <a:graphic xmlns:a="http://schemas.openxmlformats.org/drawingml/2006/main">
              <a:graphicData uri="http://schemas.openxmlformats.org/drawingml/2006/picture">
                <pic:pic xmlns:pic="http://schemas.openxmlformats.org/drawingml/2006/picture">
                  <pic:nvPicPr>
                    <pic:cNvPr id="268" name="IM 268"/>
                    <pic:cNvPicPr/>
                  </pic:nvPicPr>
                  <pic:blipFill>
                    <a:blip r:embed="rId351"/>
                    <a:stretch>
                      <a:fillRect/>
                    </a:stretch>
                  </pic:blipFill>
                  <pic:spPr>
                    <a:xfrm>
                      <a:off x="0" y="0"/>
                      <a:ext cx="5260848" cy="7632192"/>
                    </a:xfrm>
                    <a:prstGeom prst="rect">
                      <a:avLst/>
                    </a:prstGeom>
                  </pic:spPr>
                </pic:pic>
              </a:graphicData>
            </a:graphic>
          </wp:inline>
        </w:drawing>
      </w:r>
    </w:p>
    <w:p w14:paraId="5BD62075">
      <w:pPr>
        <w:spacing w:line="12019" w:lineRule="exact"/>
        <w:sectPr>
          <w:footerReference r:id="rId188" w:type="default"/>
          <w:pgSz w:w="11906" w:h="16838"/>
          <w:pgMar w:top="400" w:right="1785" w:bottom="1295" w:left="1785" w:header="0" w:footer="1133" w:gutter="0"/>
          <w:cols w:space="720" w:num="1"/>
        </w:sectPr>
      </w:pPr>
    </w:p>
    <w:p w14:paraId="29791E09">
      <w:pPr>
        <w:pStyle w:val="3"/>
        <w:spacing w:line="258" w:lineRule="auto"/>
      </w:pPr>
    </w:p>
    <w:p w14:paraId="6F90D99F">
      <w:pPr>
        <w:pStyle w:val="3"/>
        <w:spacing w:line="258" w:lineRule="auto"/>
      </w:pPr>
    </w:p>
    <w:p w14:paraId="00FD72AA">
      <w:pPr>
        <w:pStyle w:val="3"/>
        <w:spacing w:line="258" w:lineRule="auto"/>
      </w:pPr>
    </w:p>
    <w:p w14:paraId="2D7C967A">
      <w:pPr>
        <w:pStyle w:val="3"/>
        <w:spacing w:line="259" w:lineRule="auto"/>
      </w:pPr>
    </w:p>
    <w:p w14:paraId="6AEB3B12">
      <w:pPr>
        <w:spacing w:line="12075" w:lineRule="exact"/>
        <w:ind w:firstLine="14"/>
      </w:pPr>
      <w:r>
        <w:rPr>
          <w:position w:val="-241"/>
        </w:rPr>
        <w:drawing>
          <wp:inline distT="0" distB="0" distL="0" distR="0">
            <wp:extent cx="5286375" cy="7666990"/>
            <wp:effectExtent l="0" t="0" r="0" b="0"/>
            <wp:docPr id="270" name="IM 270"/>
            <wp:cNvGraphicFramePr/>
            <a:graphic xmlns:a="http://schemas.openxmlformats.org/drawingml/2006/main">
              <a:graphicData uri="http://schemas.openxmlformats.org/drawingml/2006/picture">
                <pic:pic xmlns:pic="http://schemas.openxmlformats.org/drawingml/2006/picture">
                  <pic:nvPicPr>
                    <pic:cNvPr id="270" name="IM 270"/>
                    <pic:cNvPicPr/>
                  </pic:nvPicPr>
                  <pic:blipFill>
                    <a:blip r:embed="rId352"/>
                    <a:stretch>
                      <a:fillRect/>
                    </a:stretch>
                  </pic:blipFill>
                  <pic:spPr>
                    <a:xfrm>
                      <a:off x="0" y="0"/>
                      <a:ext cx="5286756" cy="7667244"/>
                    </a:xfrm>
                    <a:prstGeom prst="rect">
                      <a:avLst/>
                    </a:prstGeom>
                  </pic:spPr>
                </pic:pic>
              </a:graphicData>
            </a:graphic>
          </wp:inline>
        </w:drawing>
      </w:r>
    </w:p>
    <w:p w14:paraId="7A6BD975">
      <w:pPr>
        <w:spacing w:line="12075" w:lineRule="exact"/>
        <w:sectPr>
          <w:footerReference r:id="rId189" w:type="default"/>
          <w:pgSz w:w="11906" w:h="16838"/>
          <w:pgMar w:top="400" w:right="1780" w:bottom="1295" w:left="1785" w:header="0" w:footer="1133" w:gutter="0"/>
          <w:cols w:space="720" w:num="1"/>
        </w:sectPr>
      </w:pPr>
    </w:p>
    <w:p w14:paraId="7B207A38">
      <w:pPr>
        <w:pStyle w:val="3"/>
        <w:spacing w:line="258" w:lineRule="auto"/>
      </w:pPr>
    </w:p>
    <w:p w14:paraId="171F6F63">
      <w:pPr>
        <w:pStyle w:val="3"/>
        <w:spacing w:line="258" w:lineRule="auto"/>
      </w:pPr>
    </w:p>
    <w:p w14:paraId="4ACF9530">
      <w:pPr>
        <w:pStyle w:val="3"/>
        <w:spacing w:line="258" w:lineRule="auto"/>
      </w:pPr>
    </w:p>
    <w:p w14:paraId="4F9996DB">
      <w:pPr>
        <w:pStyle w:val="3"/>
        <w:spacing w:line="259" w:lineRule="auto"/>
      </w:pPr>
    </w:p>
    <w:p w14:paraId="77D5D14F">
      <w:pPr>
        <w:spacing w:line="11962" w:lineRule="exact"/>
        <w:ind w:firstLine="14"/>
      </w:pPr>
      <w:r>
        <w:rPr>
          <w:position w:val="-239"/>
        </w:rPr>
        <w:drawing>
          <wp:inline distT="0" distB="0" distL="0" distR="0">
            <wp:extent cx="5237480" cy="7595235"/>
            <wp:effectExtent l="0" t="0" r="0" b="0"/>
            <wp:docPr id="272" name="IM 272"/>
            <wp:cNvGraphicFramePr/>
            <a:graphic xmlns:a="http://schemas.openxmlformats.org/drawingml/2006/main">
              <a:graphicData uri="http://schemas.openxmlformats.org/drawingml/2006/picture">
                <pic:pic xmlns:pic="http://schemas.openxmlformats.org/drawingml/2006/picture">
                  <pic:nvPicPr>
                    <pic:cNvPr id="272" name="IM 272"/>
                    <pic:cNvPicPr/>
                  </pic:nvPicPr>
                  <pic:blipFill>
                    <a:blip r:embed="rId353"/>
                    <a:stretch>
                      <a:fillRect/>
                    </a:stretch>
                  </pic:blipFill>
                  <pic:spPr>
                    <a:xfrm>
                      <a:off x="0" y="0"/>
                      <a:ext cx="5237988" cy="7595616"/>
                    </a:xfrm>
                    <a:prstGeom prst="rect">
                      <a:avLst/>
                    </a:prstGeom>
                  </pic:spPr>
                </pic:pic>
              </a:graphicData>
            </a:graphic>
          </wp:inline>
        </w:drawing>
      </w:r>
    </w:p>
    <w:p w14:paraId="58DAF7FF">
      <w:pPr>
        <w:spacing w:line="11962" w:lineRule="exact"/>
        <w:sectPr>
          <w:footerReference r:id="rId190" w:type="default"/>
          <w:pgSz w:w="11906" w:h="16838"/>
          <w:pgMar w:top="400" w:right="1785" w:bottom="1295" w:left="1785" w:header="0" w:footer="1133" w:gutter="0"/>
          <w:cols w:space="720" w:num="1"/>
        </w:sectPr>
      </w:pPr>
    </w:p>
    <w:p w14:paraId="6626E376">
      <w:pPr>
        <w:pStyle w:val="3"/>
        <w:spacing w:line="258" w:lineRule="auto"/>
      </w:pPr>
    </w:p>
    <w:p w14:paraId="0C4DF957">
      <w:pPr>
        <w:pStyle w:val="3"/>
        <w:spacing w:line="258" w:lineRule="auto"/>
      </w:pPr>
    </w:p>
    <w:p w14:paraId="30D27153">
      <w:pPr>
        <w:pStyle w:val="3"/>
        <w:spacing w:line="258" w:lineRule="auto"/>
      </w:pPr>
    </w:p>
    <w:p w14:paraId="3BF8B206">
      <w:pPr>
        <w:pStyle w:val="3"/>
        <w:spacing w:line="259" w:lineRule="auto"/>
      </w:pPr>
    </w:p>
    <w:p w14:paraId="68EE1423">
      <w:pPr>
        <w:spacing w:line="11225" w:lineRule="exact"/>
        <w:ind w:firstLine="14"/>
      </w:pPr>
      <w:r>
        <w:rPr>
          <w:position w:val="-224"/>
        </w:rPr>
        <w:drawing>
          <wp:inline distT="0" distB="0" distL="0" distR="0">
            <wp:extent cx="5285105" cy="7127240"/>
            <wp:effectExtent l="0" t="0" r="0" b="0"/>
            <wp:docPr id="274" name="IM 274"/>
            <wp:cNvGraphicFramePr/>
            <a:graphic xmlns:a="http://schemas.openxmlformats.org/drawingml/2006/main">
              <a:graphicData uri="http://schemas.openxmlformats.org/drawingml/2006/picture">
                <pic:pic xmlns:pic="http://schemas.openxmlformats.org/drawingml/2006/picture">
                  <pic:nvPicPr>
                    <pic:cNvPr id="274" name="IM 274"/>
                    <pic:cNvPicPr/>
                  </pic:nvPicPr>
                  <pic:blipFill>
                    <a:blip r:embed="rId354"/>
                    <a:stretch>
                      <a:fillRect/>
                    </a:stretch>
                  </pic:blipFill>
                  <pic:spPr>
                    <a:xfrm>
                      <a:off x="0" y="0"/>
                      <a:ext cx="5285232" cy="7127748"/>
                    </a:xfrm>
                    <a:prstGeom prst="rect">
                      <a:avLst/>
                    </a:prstGeom>
                  </pic:spPr>
                </pic:pic>
              </a:graphicData>
            </a:graphic>
          </wp:inline>
        </w:drawing>
      </w:r>
    </w:p>
    <w:p w14:paraId="76BA78E0">
      <w:pPr>
        <w:spacing w:line="11225" w:lineRule="exact"/>
        <w:sectPr>
          <w:footerReference r:id="rId191" w:type="default"/>
          <w:pgSz w:w="11906" w:h="16838"/>
          <w:pgMar w:top="400" w:right="1782" w:bottom="1295" w:left="1785" w:header="0" w:footer="1133" w:gutter="0"/>
          <w:cols w:space="720" w:num="1"/>
        </w:sectPr>
      </w:pPr>
    </w:p>
    <w:p w14:paraId="1E182205">
      <w:pPr>
        <w:pStyle w:val="3"/>
        <w:spacing w:line="258" w:lineRule="auto"/>
      </w:pPr>
    </w:p>
    <w:p w14:paraId="79811C77">
      <w:pPr>
        <w:pStyle w:val="3"/>
        <w:spacing w:line="258" w:lineRule="auto"/>
      </w:pPr>
    </w:p>
    <w:p w14:paraId="32BE4BDB">
      <w:pPr>
        <w:pStyle w:val="3"/>
        <w:spacing w:line="258" w:lineRule="auto"/>
      </w:pPr>
    </w:p>
    <w:p w14:paraId="1AB8143E">
      <w:pPr>
        <w:pStyle w:val="3"/>
        <w:spacing w:line="259" w:lineRule="auto"/>
      </w:pPr>
    </w:p>
    <w:p w14:paraId="4639EE05">
      <w:pPr>
        <w:spacing w:line="11215" w:lineRule="exact"/>
        <w:ind w:firstLine="14"/>
      </w:pPr>
      <w:r>
        <w:rPr>
          <w:position w:val="-224"/>
        </w:rPr>
        <w:drawing>
          <wp:inline distT="0" distB="0" distL="0" distR="0">
            <wp:extent cx="5295900" cy="7121525"/>
            <wp:effectExtent l="0" t="0" r="0" b="0"/>
            <wp:docPr id="276" name="IM 276"/>
            <wp:cNvGraphicFramePr/>
            <a:graphic xmlns:a="http://schemas.openxmlformats.org/drawingml/2006/main">
              <a:graphicData uri="http://schemas.openxmlformats.org/drawingml/2006/picture">
                <pic:pic xmlns:pic="http://schemas.openxmlformats.org/drawingml/2006/picture">
                  <pic:nvPicPr>
                    <pic:cNvPr id="276" name="IM 276"/>
                    <pic:cNvPicPr/>
                  </pic:nvPicPr>
                  <pic:blipFill>
                    <a:blip r:embed="rId355"/>
                    <a:stretch>
                      <a:fillRect/>
                    </a:stretch>
                  </pic:blipFill>
                  <pic:spPr>
                    <a:xfrm>
                      <a:off x="0" y="0"/>
                      <a:ext cx="5295900" cy="7121652"/>
                    </a:xfrm>
                    <a:prstGeom prst="rect">
                      <a:avLst/>
                    </a:prstGeom>
                  </pic:spPr>
                </pic:pic>
              </a:graphicData>
            </a:graphic>
          </wp:inline>
        </w:drawing>
      </w:r>
    </w:p>
    <w:p w14:paraId="292A2474">
      <w:pPr>
        <w:spacing w:line="11215" w:lineRule="exact"/>
        <w:sectPr>
          <w:footerReference r:id="rId192" w:type="default"/>
          <w:pgSz w:w="11906" w:h="16838"/>
          <w:pgMar w:top="400" w:right="1765" w:bottom="1295" w:left="1785" w:header="0" w:footer="1133" w:gutter="0"/>
          <w:cols w:space="720" w:num="1"/>
        </w:sectPr>
      </w:pPr>
    </w:p>
    <w:p w14:paraId="0E60468C">
      <w:pPr>
        <w:pStyle w:val="3"/>
        <w:spacing w:line="258" w:lineRule="auto"/>
      </w:pPr>
    </w:p>
    <w:p w14:paraId="3A2061CA">
      <w:pPr>
        <w:pStyle w:val="3"/>
        <w:spacing w:line="258" w:lineRule="auto"/>
      </w:pPr>
    </w:p>
    <w:p w14:paraId="41D42DD4">
      <w:pPr>
        <w:pStyle w:val="3"/>
        <w:spacing w:line="258" w:lineRule="auto"/>
      </w:pPr>
    </w:p>
    <w:p w14:paraId="5B090588">
      <w:pPr>
        <w:pStyle w:val="3"/>
        <w:spacing w:line="259" w:lineRule="auto"/>
      </w:pPr>
    </w:p>
    <w:p w14:paraId="2B1D0C31">
      <w:pPr>
        <w:spacing w:line="10951" w:lineRule="exact"/>
        <w:ind w:firstLine="14"/>
      </w:pPr>
      <w:r>
        <w:rPr>
          <w:position w:val="-219"/>
        </w:rPr>
        <w:drawing>
          <wp:inline distT="0" distB="0" distL="0" distR="0">
            <wp:extent cx="5265420" cy="6953885"/>
            <wp:effectExtent l="0" t="0" r="0" b="0"/>
            <wp:docPr id="278" name="IM 278"/>
            <wp:cNvGraphicFramePr/>
            <a:graphic xmlns:a="http://schemas.openxmlformats.org/drawingml/2006/main">
              <a:graphicData uri="http://schemas.openxmlformats.org/drawingml/2006/picture">
                <pic:pic xmlns:pic="http://schemas.openxmlformats.org/drawingml/2006/picture">
                  <pic:nvPicPr>
                    <pic:cNvPr id="278" name="IM 278"/>
                    <pic:cNvPicPr/>
                  </pic:nvPicPr>
                  <pic:blipFill>
                    <a:blip r:embed="rId356"/>
                    <a:stretch>
                      <a:fillRect/>
                    </a:stretch>
                  </pic:blipFill>
                  <pic:spPr>
                    <a:xfrm>
                      <a:off x="0" y="0"/>
                      <a:ext cx="5265420" cy="6954012"/>
                    </a:xfrm>
                    <a:prstGeom prst="rect">
                      <a:avLst/>
                    </a:prstGeom>
                  </pic:spPr>
                </pic:pic>
              </a:graphicData>
            </a:graphic>
          </wp:inline>
        </w:drawing>
      </w:r>
    </w:p>
    <w:p w14:paraId="053FDA25">
      <w:pPr>
        <w:spacing w:line="10951" w:lineRule="exact"/>
        <w:sectPr>
          <w:footerReference r:id="rId193" w:type="default"/>
          <w:pgSz w:w="11906" w:h="16838"/>
          <w:pgMar w:top="400" w:right="1785" w:bottom="1295" w:left="1785" w:header="0" w:footer="1133" w:gutter="0"/>
          <w:cols w:space="720" w:num="1"/>
        </w:sectPr>
      </w:pPr>
    </w:p>
    <w:p w14:paraId="148346F1">
      <w:pPr>
        <w:pStyle w:val="3"/>
        <w:spacing w:line="258" w:lineRule="auto"/>
      </w:pPr>
    </w:p>
    <w:p w14:paraId="120FF4E2">
      <w:pPr>
        <w:pStyle w:val="3"/>
        <w:spacing w:line="258" w:lineRule="auto"/>
      </w:pPr>
    </w:p>
    <w:p w14:paraId="7E2071D7">
      <w:pPr>
        <w:pStyle w:val="3"/>
        <w:spacing w:line="258" w:lineRule="auto"/>
      </w:pPr>
    </w:p>
    <w:p w14:paraId="3E93E844">
      <w:pPr>
        <w:pStyle w:val="3"/>
        <w:spacing w:line="259" w:lineRule="auto"/>
      </w:pPr>
    </w:p>
    <w:p w14:paraId="440C5E88">
      <w:pPr>
        <w:spacing w:line="10831" w:lineRule="exact"/>
        <w:ind w:firstLine="14"/>
      </w:pPr>
      <w:r>
        <w:rPr>
          <w:position w:val="-216"/>
        </w:rPr>
        <w:drawing>
          <wp:inline distT="0" distB="0" distL="0" distR="0">
            <wp:extent cx="5254625" cy="6877685"/>
            <wp:effectExtent l="0" t="0" r="0" b="0"/>
            <wp:docPr id="280" name="IM 280"/>
            <wp:cNvGraphicFramePr/>
            <a:graphic xmlns:a="http://schemas.openxmlformats.org/drawingml/2006/main">
              <a:graphicData uri="http://schemas.openxmlformats.org/drawingml/2006/picture">
                <pic:pic xmlns:pic="http://schemas.openxmlformats.org/drawingml/2006/picture">
                  <pic:nvPicPr>
                    <pic:cNvPr id="280" name="IM 280"/>
                    <pic:cNvPicPr/>
                  </pic:nvPicPr>
                  <pic:blipFill>
                    <a:blip r:embed="rId357"/>
                    <a:stretch>
                      <a:fillRect/>
                    </a:stretch>
                  </pic:blipFill>
                  <pic:spPr>
                    <a:xfrm>
                      <a:off x="0" y="0"/>
                      <a:ext cx="5254752" cy="6877812"/>
                    </a:xfrm>
                    <a:prstGeom prst="rect">
                      <a:avLst/>
                    </a:prstGeom>
                  </pic:spPr>
                </pic:pic>
              </a:graphicData>
            </a:graphic>
          </wp:inline>
        </w:drawing>
      </w:r>
    </w:p>
    <w:p w14:paraId="67264C57">
      <w:pPr>
        <w:spacing w:line="10831" w:lineRule="exact"/>
        <w:sectPr>
          <w:footerReference r:id="rId194" w:type="default"/>
          <w:pgSz w:w="11906" w:h="16838"/>
          <w:pgMar w:top="400" w:right="1785" w:bottom="1295" w:left="1785" w:header="0" w:footer="1133" w:gutter="0"/>
          <w:cols w:space="720" w:num="1"/>
        </w:sectPr>
      </w:pPr>
    </w:p>
    <w:p w14:paraId="79877119">
      <w:pPr>
        <w:pStyle w:val="3"/>
        <w:spacing w:line="258" w:lineRule="auto"/>
      </w:pPr>
    </w:p>
    <w:p w14:paraId="31967F5F">
      <w:pPr>
        <w:pStyle w:val="3"/>
        <w:spacing w:line="258" w:lineRule="auto"/>
      </w:pPr>
    </w:p>
    <w:p w14:paraId="2BF4EBE7">
      <w:pPr>
        <w:pStyle w:val="3"/>
        <w:spacing w:line="258" w:lineRule="auto"/>
      </w:pPr>
    </w:p>
    <w:p w14:paraId="31AA5D89">
      <w:pPr>
        <w:pStyle w:val="3"/>
        <w:spacing w:line="259" w:lineRule="auto"/>
      </w:pPr>
    </w:p>
    <w:p w14:paraId="1EBFFF46">
      <w:pPr>
        <w:spacing w:line="11280" w:lineRule="exact"/>
        <w:ind w:firstLine="14"/>
      </w:pPr>
      <w:r>
        <w:rPr>
          <w:position w:val="-225"/>
        </w:rPr>
        <w:drawing>
          <wp:inline distT="0" distB="0" distL="0" distR="0">
            <wp:extent cx="5292725" cy="7162800"/>
            <wp:effectExtent l="0" t="0" r="0" b="0"/>
            <wp:docPr id="282" name="IM 282"/>
            <wp:cNvGraphicFramePr/>
            <a:graphic xmlns:a="http://schemas.openxmlformats.org/drawingml/2006/main">
              <a:graphicData uri="http://schemas.openxmlformats.org/drawingml/2006/picture">
                <pic:pic xmlns:pic="http://schemas.openxmlformats.org/drawingml/2006/picture">
                  <pic:nvPicPr>
                    <pic:cNvPr id="282" name="IM 282"/>
                    <pic:cNvPicPr/>
                  </pic:nvPicPr>
                  <pic:blipFill>
                    <a:blip r:embed="rId358"/>
                    <a:stretch>
                      <a:fillRect/>
                    </a:stretch>
                  </pic:blipFill>
                  <pic:spPr>
                    <a:xfrm>
                      <a:off x="0" y="0"/>
                      <a:ext cx="5292852" cy="7162800"/>
                    </a:xfrm>
                    <a:prstGeom prst="rect">
                      <a:avLst/>
                    </a:prstGeom>
                  </pic:spPr>
                </pic:pic>
              </a:graphicData>
            </a:graphic>
          </wp:inline>
        </w:drawing>
      </w:r>
    </w:p>
    <w:p w14:paraId="244BC63C">
      <w:pPr>
        <w:spacing w:line="11280" w:lineRule="exact"/>
        <w:sectPr>
          <w:footerReference r:id="rId195" w:type="default"/>
          <w:pgSz w:w="11906" w:h="16838"/>
          <w:pgMar w:top="400" w:right="1770" w:bottom="1295" w:left="1785" w:header="0" w:footer="1133" w:gutter="0"/>
          <w:cols w:space="720" w:num="1"/>
        </w:sectPr>
      </w:pPr>
    </w:p>
    <w:p w14:paraId="5098F01A">
      <w:pPr>
        <w:pStyle w:val="3"/>
        <w:spacing w:line="258" w:lineRule="auto"/>
      </w:pPr>
    </w:p>
    <w:p w14:paraId="5DE60118">
      <w:pPr>
        <w:pStyle w:val="3"/>
        <w:spacing w:line="258" w:lineRule="auto"/>
      </w:pPr>
    </w:p>
    <w:p w14:paraId="79E76925">
      <w:pPr>
        <w:pStyle w:val="3"/>
        <w:spacing w:line="258" w:lineRule="auto"/>
      </w:pPr>
    </w:p>
    <w:p w14:paraId="4D271E81">
      <w:pPr>
        <w:pStyle w:val="3"/>
        <w:spacing w:line="259" w:lineRule="auto"/>
      </w:pPr>
    </w:p>
    <w:p w14:paraId="7F3A5CF7">
      <w:pPr>
        <w:spacing w:line="10656" w:lineRule="exact"/>
        <w:ind w:firstLine="14"/>
      </w:pPr>
      <w:r>
        <w:rPr>
          <w:position w:val="-213"/>
        </w:rPr>
        <w:drawing>
          <wp:inline distT="0" distB="0" distL="0" distR="0">
            <wp:extent cx="5247005" cy="6766560"/>
            <wp:effectExtent l="0" t="0" r="0" b="0"/>
            <wp:docPr id="284" name="IM 284"/>
            <wp:cNvGraphicFramePr/>
            <a:graphic xmlns:a="http://schemas.openxmlformats.org/drawingml/2006/main">
              <a:graphicData uri="http://schemas.openxmlformats.org/drawingml/2006/picture">
                <pic:pic xmlns:pic="http://schemas.openxmlformats.org/drawingml/2006/picture">
                  <pic:nvPicPr>
                    <pic:cNvPr id="284" name="IM 284"/>
                    <pic:cNvPicPr/>
                  </pic:nvPicPr>
                  <pic:blipFill>
                    <a:blip r:embed="rId359"/>
                    <a:stretch>
                      <a:fillRect/>
                    </a:stretch>
                  </pic:blipFill>
                  <pic:spPr>
                    <a:xfrm>
                      <a:off x="0" y="0"/>
                      <a:ext cx="5247132" cy="6766560"/>
                    </a:xfrm>
                    <a:prstGeom prst="rect">
                      <a:avLst/>
                    </a:prstGeom>
                  </pic:spPr>
                </pic:pic>
              </a:graphicData>
            </a:graphic>
          </wp:inline>
        </w:drawing>
      </w:r>
    </w:p>
    <w:p w14:paraId="703BB0BA">
      <w:pPr>
        <w:spacing w:line="10656" w:lineRule="exact"/>
        <w:sectPr>
          <w:footerReference r:id="rId196" w:type="default"/>
          <w:pgSz w:w="11906" w:h="16838"/>
          <w:pgMar w:top="400" w:right="1785" w:bottom="1295" w:left="1785" w:header="0" w:footer="1133" w:gutter="0"/>
          <w:cols w:space="720" w:num="1"/>
        </w:sectPr>
      </w:pPr>
    </w:p>
    <w:p w14:paraId="75A7AECA">
      <w:pPr>
        <w:pStyle w:val="3"/>
        <w:spacing w:line="258" w:lineRule="auto"/>
      </w:pPr>
    </w:p>
    <w:p w14:paraId="1C9EF33A">
      <w:pPr>
        <w:pStyle w:val="3"/>
        <w:spacing w:line="258" w:lineRule="auto"/>
      </w:pPr>
    </w:p>
    <w:p w14:paraId="2736966A">
      <w:pPr>
        <w:pStyle w:val="3"/>
        <w:spacing w:line="258" w:lineRule="auto"/>
      </w:pPr>
    </w:p>
    <w:p w14:paraId="229D143C">
      <w:pPr>
        <w:pStyle w:val="3"/>
        <w:spacing w:line="259" w:lineRule="auto"/>
      </w:pPr>
    </w:p>
    <w:p w14:paraId="5DD71182">
      <w:pPr>
        <w:spacing w:line="11343" w:lineRule="exact"/>
        <w:ind w:firstLine="14"/>
      </w:pPr>
      <w:r>
        <w:rPr>
          <w:position w:val="-226"/>
        </w:rPr>
        <w:drawing>
          <wp:inline distT="0" distB="0" distL="0" distR="0">
            <wp:extent cx="5278755" cy="7202170"/>
            <wp:effectExtent l="0" t="0" r="0" b="0"/>
            <wp:docPr id="286" name="IM 286"/>
            <wp:cNvGraphicFramePr/>
            <a:graphic xmlns:a="http://schemas.openxmlformats.org/drawingml/2006/main">
              <a:graphicData uri="http://schemas.openxmlformats.org/drawingml/2006/picture">
                <pic:pic xmlns:pic="http://schemas.openxmlformats.org/drawingml/2006/picture">
                  <pic:nvPicPr>
                    <pic:cNvPr id="286" name="IM 286"/>
                    <pic:cNvPicPr/>
                  </pic:nvPicPr>
                  <pic:blipFill>
                    <a:blip r:embed="rId360"/>
                    <a:stretch>
                      <a:fillRect/>
                    </a:stretch>
                  </pic:blipFill>
                  <pic:spPr>
                    <a:xfrm>
                      <a:off x="0" y="0"/>
                      <a:ext cx="5279136" cy="7202424"/>
                    </a:xfrm>
                    <a:prstGeom prst="rect">
                      <a:avLst/>
                    </a:prstGeom>
                  </pic:spPr>
                </pic:pic>
              </a:graphicData>
            </a:graphic>
          </wp:inline>
        </w:drawing>
      </w:r>
    </w:p>
    <w:p w14:paraId="69005AA8">
      <w:pPr>
        <w:spacing w:line="11343" w:lineRule="exact"/>
        <w:sectPr>
          <w:footerReference r:id="rId197" w:type="default"/>
          <w:pgSz w:w="11906" w:h="16838"/>
          <w:pgMar w:top="400" w:right="1785" w:bottom="1295" w:left="1785" w:header="0" w:footer="1133" w:gutter="0"/>
          <w:cols w:space="720" w:num="1"/>
        </w:sectPr>
      </w:pPr>
    </w:p>
    <w:p w14:paraId="7FEDB63E">
      <w:pPr>
        <w:pStyle w:val="3"/>
        <w:spacing w:line="281" w:lineRule="auto"/>
      </w:pPr>
    </w:p>
    <w:p w14:paraId="224CED77">
      <w:pPr>
        <w:pStyle w:val="3"/>
        <w:spacing w:line="281" w:lineRule="auto"/>
      </w:pPr>
    </w:p>
    <w:p w14:paraId="4A1D618F">
      <w:pPr>
        <w:pStyle w:val="3"/>
        <w:spacing w:line="282" w:lineRule="auto"/>
      </w:pPr>
    </w:p>
    <w:p w14:paraId="03FACEA9">
      <w:pPr>
        <w:pStyle w:val="3"/>
        <w:spacing w:line="282" w:lineRule="auto"/>
      </w:pPr>
    </w:p>
    <w:p w14:paraId="00B4517B">
      <w:pPr>
        <w:spacing w:before="78" w:line="219" w:lineRule="auto"/>
        <w:ind w:left="42"/>
        <w:outlineLvl w:val="1"/>
        <w:rPr>
          <w:rFonts w:ascii="宋体" w:hAnsi="宋体" w:eastAsia="宋体" w:cs="宋体"/>
          <w:sz w:val="24"/>
          <w:szCs w:val="24"/>
        </w:rPr>
      </w:pPr>
      <w:r>
        <w:rPr>
          <w:rFonts w:ascii="宋体" w:hAnsi="宋体" w:eastAsia="宋体" w:cs="宋体"/>
          <w:b/>
          <w:bCs/>
          <w:spacing w:val="-6"/>
          <w:sz w:val="24"/>
          <w:szCs w:val="24"/>
        </w:rPr>
        <w:t>附件</w:t>
      </w:r>
      <w:r>
        <w:rPr>
          <w:rFonts w:ascii="宋体" w:hAnsi="宋体" w:eastAsia="宋体" w:cs="宋体"/>
          <w:spacing w:val="-36"/>
          <w:sz w:val="24"/>
          <w:szCs w:val="24"/>
        </w:rPr>
        <w:t xml:space="preserve"> </w:t>
      </w:r>
      <w:r>
        <w:rPr>
          <w:rFonts w:ascii="Times New Roman" w:hAnsi="Times New Roman" w:eastAsia="Times New Roman" w:cs="Times New Roman"/>
          <w:b/>
          <w:bCs/>
          <w:spacing w:val="-6"/>
          <w:sz w:val="24"/>
          <w:szCs w:val="24"/>
        </w:rPr>
        <w:t xml:space="preserve">17  </w:t>
      </w:r>
      <w:r>
        <w:rPr>
          <w:rFonts w:ascii="宋体" w:hAnsi="宋体" w:eastAsia="宋体" w:cs="宋体"/>
          <w:b/>
          <w:bCs/>
          <w:spacing w:val="-6"/>
          <w:sz w:val="24"/>
          <w:szCs w:val="24"/>
        </w:rPr>
        <w:t>农转建手续</w:t>
      </w:r>
    </w:p>
    <w:p w14:paraId="027C0811">
      <w:pPr>
        <w:spacing w:before="14" w:line="12526" w:lineRule="exact"/>
        <w:ind w:firstLine="357"/>
      </w:pPr>
      <w:r>
        <w:rPr>
          <w:position w:val="-250"/>
        </w:rPr>
        <w:drawing>
          <wp:inline distT="0" distB="0" distL="0" distR="0">
            <wp:extent cx="4839970" cy="7953375"/>
            <wp:effectExtent l="0" t="0" r="0" b="0"/>
            <wp:docPr id="288" name="IM 288"/>
            <wp:cNvGraphicFramePr/>
            <a:graphic xmlns:a="http://schemas.openxmlformats.org/drawingml/2006/main">
              <a:graphicData uri="http://schemas.openxmlformats.org/drawingml/2006/picture">
                <pic:pic xmlns:pic="http://schemas.openxmlformats.org/drawingml/2006/picture">
                  <pic:nvPicPr>
                    <pic:cNvPr id="288" name="IM 288"/>
                    <pic:cNvPicPr/>
                  </pic:nvPicPr>
                  <pic:blipFill>
                    <a:blip r:embed="rId361"/>
                    <a:stretch>
                      <a:fillRect/>
                    </a:stretch>
                  </pic:blipFill>
                  <pic:spPr>
                    <a:xfrm>
                      <a:off x="0" y="0"/>
                      <a:ext cx="4840224" cy="7953756"/>
                    </a:xfrm>
                    <a:prstGeom prst="rect">
                      <a:avLst/>
                    </a:prstGeom>
                  </pic:spPr>
                </pic:pic>
              </a:graphicData>
            </a:graphic>
          </wp:inline>
        </w:drawing>
      </w:r>
    </w:p>
    <w:p w14:paraId="126D1580">
      <w:pPr>
        <w:spacing w:line="12526" w:lineRule="exact"/>
        <w:sectPr>
          <w:footerReference r:id="rId198" w:type="default"/>
          <w:pgSz w:w="11906" w:h="16838"/>
          <w:pgMar w:top="400" w:right="1785" w:bottom="1295" w:left="1785" w:header="0" w:footer="1133" w:gutter="0"/>
          <w:cols w:space="720" w:num="1"/>
        </w:sectPr>
      </w:pPr>
    </w:p>
    <w:p w14:paraId="715AF73F">
      <w:pPr>
        <w:pStyle w:val="3"/>
        <w:spacing w:line="258" w:lineRule="auto"/>
      </w:pPr>
    </w:p>
    <w:p w14:paraId="3A62E7B0">
      <w:pPr>
        <w:pStyle w:val="3"/>
        <w:spacing w:line="258" w:lineRule="auto"/>
      </w:pPr>
    </w:p>
    <w:p w14:paraId="5019C633">
      <w:pPr>
        <w:pStyle w:val="3"/>
        <w:spacing w:line="258" w:lineRule="auto"/>
      </w:pPr>
    </w:p>
    <w:p w14:paraId="76CE5E1C">
      <w:pPr>
        <w:pStyle w:val="3"/>
        <w:spacing w:line="259" w:lineRule="auto"/>
      </w:pPr>
    </w:p>
    <w:p w14:paraId="08C8207B">
      <w:pPr>
        <w:spacing w:line="13407" w:lineRule="exact"/>
        <w:ind w:firstLine="234"/>
      </w:pPr>
      <w:r>
        <w:rPr>
          <w:position w:val="-268"/>
        </w:rPr>
        <w:drawing>
          <wp:inline distT="0" distB="0" distL="0" distR="0">
            <wp:extent cx="4992370" cy="8512810"/>
            <wp:effectExtent l="0" t="0" r="0" b="0"/>
            <wp:docPr id="290" name="IM 290"/>
            <wp:cNvGraphicFramePr/>
            <a:graphic xmlns:a="http://schemas.openxmlformats.org/drawingml/2006/main">
              <a:graphicData uri="http://schemas.openxmlformats.org/drawingml/2006/picture">
                <pic:pic xmlns:pic="http://schemas.openxmlformats.org/drawingml/2006/picture">
                  <pic:nvPicPr>
                    <pic:cNvPr id="290" name="IM 290"/>
                    <pic:cNvPicPr/>
                  </pic:nvPicPr>
                  <pic:blipFill>
                    <a:blip r:embed="rId362"/>
                    <a:stretch>
                      <a:fillRect/>
                    </a:stretch>
                  </pic:blipFill>
                  <pic:spPr>
                    <a:xfrm>
                      <a:off x="0" y="0"/>
                      <a:ext cx="4992624" cy="8513064"/>
                    </a:xfrm>
                    <a:prstGeom prst="rect">
                      <a:avLst/>
                    </a:prstGeom>
                  </pic:spPr>
                </pic:pic>
              </a:graphicData>
            </a:graphic>
          </wp:inline>
        </w:drawing>
      </w:r>
    </w:p>
    <w:p w14:paraId="13AC2E80">
      <w:pPr>
        <w:spacing w:line="13407" w:lineRule="exact"/>
        <w:sectPr>
          <w:footerReference r:id="rId199" w:type="default"/>
          <w:pgSz w:w="11906" w:h="16838"/>
          <w:pgMar w:top="400" w:right="1785" w:bottom="1295" w:left="1785" w:header="0" w:footer="1133" w:gutter="0"/>
          <w:cols w:space="720" w:num="1"/>
        </w:sectPr>
      </w:pPr>
    </w:p>
    <w:p w14:paraId="096B5F55">
      <w:pPr>
        <w:pStyle w:val="3"/>
        <w:spacing w:line="258" w:lineRule="auto"/>
      </w:pPr>
    </w:p>
    <w:p w14:paraId="26E98745">
      <w:pPr>
        <w:pStyle w:val="3"/>
        <w:spacing w:line="258" w:lineRule="auto"/>
      </w:pPr>
    </w:p>
    <w:p w14:paraId="24808C3C">
      <w:pPr>
        <w:pStyle w:val="3"/>
        <w:spacing w:line="258" w:lineRule="auto"/>
      </w:pPr>
    </w:p>
    <w:p w14:paraId="7DB32DA4">
      <w:pPr>
        <w:pStyle w:val="3"/>
        <w:spacing w:line="259" w:lineRule="auto"/>
      </w:pPr>
    </w:p>
    <w:p w14:paraId="00D04F54">
      <w:pPr>
        <w:spacing w:line="11719" w:lineRule="exact"/>
        <w:ind w:firstLine="23"/>
      </w:pPr>
      <w:r>
        <w:rPr>
          <w:position w:val="-234"/>
        </w:rPr>
        <w:drawing>
          <wp:inline distT="0" distB="0" distL="0" distR="0">
            <wp:extent cx="5262245" cy="7441565"/>
            <wp:effectExtent l="0" t="0" r="0" b="0"/>
            <wp:docPr id="292" name="IM 292"/>
            <wp:cNvGraphicFramePr/>
            <a:graphic xmlns:a="http://schemas.openxmlformats.org/drawingml/2006/main">
              <a:graphicData uri="http://schemas.openxmlformats.org/drawingml/2006/picture">
                <pic:pic xmlns:pic="http://schemas.openxmlformats.org/drawingml/2006/picture">
                  <pic:nvPicPr>
                    <pic:cNvPr id="292" name="IM 292"/>
                    <pic:cNvPicPr/>
                  </pic:nvPicPr>
                  <pic:blipFill>
                    <a:blip r:embed="rId363"/>
                    <a:stretch>
                      <a:fillRect/>
                    </a:stretch>
                  </pic:blipFill>
                  <pic:spPr>
                    <a:xfrm>
                      <a:off x="0" y="0"/>
                      <a:ext cx="5262372" cy="7441692"/>
                    </a:xfrm>
                    <a:prstGeom prst="rect">
                      <a:avLst/>
                    </a:prstGeom>
                  </pic:spPr>
                </pic:pic>
              </a:graphicData>
            </a:graphic>
          </wp:inline>
        </w:drawing>
      </w:r>
    </w:p>
    <w:p w14:paraId="0B8D3C31">
      <w:pPr>
        <w:spacing w:line="11719" w:lineRule="exact"/>
        <w:sectPr>
          <w:footerReference r:id="rId200" w:type="default"/>
          <w:pgSz w:w="11906" w:h="16838"/>
          <w:pgMar w:top="400" w:right="1785" w:bottom="1295" w:left="1785" w:header="0" w:footer="1133" w:gutter="0"/>
          <w:cols w:space="720" w:num="1"/>
        </w:sectPr>
      </w:pPr>
    </w:p>
    <w:p w14:paraId="51BF9BB9">
      <w:pPr>
        <w:pStyle w:val="3"/>
        <w:spacing w:line="258" w:lineRule="auto"/>
      </w:pPr>
    </w:p>
    <w:p w14:paraId="6E0288BB">
      <w:pPr>
        <w:pStyle w:val="3"/>
        <w:spacing w:line="258" w:lineRule="auto"/>
      </w:pPr>
    </w:p>
    <w:p w14:paraId="19A7F973">
      <w:pPr>
        <w:pStyle w:val="3"/>
        <w:spacing w:line="258" w:lineRule="auto"/>
      </w:pPr>
    </w:p>
    <w:p w14:paraId="20C9AE61">
      <w:pPr>
        <w:pStyle w:val="3"/>
        <w:spacing w:line="259" w:lineRule="auto"/>
      </w:pPr>
    </w:p>
    <w:p w14:paraId="67ED7A93">
      <w:pPr>
        <w:spacing w:line="11719" w:lineRule="exact"/>
        <w:ind w:firstLine="23"/>
      </w:pPr>
      <w:r>
        <w:rPr>
          <w:position w:val="-234"/>
        </w:rPr>
        <w:drawing>
          <wp:inline distT="0" distB="0" distL="0" distR="0">
            <wp:extent cx="5262245" cy="7441565"/>
            <wp:effectExtent l="0" t="0" r="0" b="0"/>
            <wp:docPr id="294" name="IM 294"/>
            <wp:cNvGraphicFramePr/>
            <a:graphic xmlns:a="http://schemas.openxmlformats.org/drawingml/2006/main">
              <a:graphicData uri="http://schemas.openxmlformats.org/drawingml/2006/picture">
                <pic:pic xmlns:pic="http://schemas.openxmlformats.org/drawingml/2006/picture">
                  <pic:nvPicPr>
                    <pic:cNvPr id="294" name="IM 294"/>
                    <pic:cNvPicPr/>
                  </pic:nvPicPr>
                  <pic:blipFill>
                    <a:blip r:embed="rId364"/>
                    <a:stretch>
                      <a:fillRect/>
                    </a:stretch>
                  </pic:blipFill>
                  <pic:spPr>
                    <a:xfrm>
                      <a:off x="0" y="0"/>
                      <a:ext cx="5262372" cy="7441692"/>
                    </a:xfrm>
                    <a:prstGeom prst="rect">
                      <a:avLst/>
                    </a:prstGeom>
                  </pic:spPr>
                </pic:pic>
              </a:graphicData>
            </a:graphic>
          </wp:inline>
        </w:drawing>
      </w:r>
    </w:p>
    <w:p w14:paraId="2B1F7ED4">
      <w:pPr>
        <w:spacing w:line="11719" w:lineRule="exact"/>
        <w:sectPr>
          <w:footerReference r:id="rId201" w:type="default"/>
          <w:pgSz w:w="11906" w:h="16838"/>
          <w:pgMar w:top="400" w:right="1785" w:bottom="1295" w:left="1785" w:header="0" w:footer="1133" w:gutter="0"/>
          <w:cols w:space="720" w:num="1"/>
        </w:sectPr>
      </w:pPr>
    </w:p>
    <w:p w14:paraId="7C8B5E39">
      <w:pPr>
        <w:pStyle w:val="3"/>
        <w:spacing w:line="281" w:lineRule="auto"/>
      </w:pPr>
    </w:p>
    <w:p w14:paraId="47F87424">
      <w:pPr>
        <w:pStyle w:val="3"/>
        <w:spacing w:line="281" w:lineRule="auto"/>
      </w:pPr>
    </w:p>
    <w:p w14:paraId="0F4AA150">
      <w:pPr>
        <w:pStyle w:val="3"/>
        <w:spacing w:line="282" w:lineRule="auto"/>
      </w:pPr>
    </w:p>
    <w:p w14:paraId="58E6609B">
      <w:pPr>
        <w:pStyle w:val="3"/>
        <w:spacing w:line="282" w:lineRule="auto"/>
      </w:pPr>
    </w:p>
    <w:p w14:paraId="76AB1B30">
      <w:pPr>
        <w:spacing w:before="78" w:line="218" w:lineRule="auto"/>
        <w:ind w:left="42"/>
        <w:outlineLvl w:val="1"/>
        <w:rPr>
          <w:rFonts w:ascii="宋体" w:hAnsi="宋体" w:eastAsia="宋体" w:cs="宋体"/>
          <w:sz w:val="24"/>
          <w:szCs w:val="24"/>
        </w:rPr>
      </w:pPr>
      <w:r>
        <w:rPr>
          <w:rFonts w:ascii="宋体" w:hAnsi="宋体" w:eastAsia="宋体" w:cs="宋体"/>
          <w:b/>
          <w:bCs/>
          <w:spacing w:val="-6"/>
          <w:sz w:val="24"/>
          <w:szCs w:val="24"/>
        </w:rPr>
        <w:t>附件</w:t>
      </w:r>
      <w:r>
        <w:rPr>
          <w:rFonts w:ascii="宋体" w:hAnsi="宋体" w:eastAsia="宋体" w:cs="宋体"/>
          <w:spacing w:val="-42"/>
          <w:sz w:val="24"/>
          <w:szCs w:val="24"/>
        </w:rPr>
        <w:t xml:space="preserve"> </w:t>
      </w:r>
      <w:r>
        <w:rPr>
          <w:rFonts w:ascii="Times New Roman" w:hAnsi="Times New Roman" w:eastAsia="Times New Roman" w:cs="Times New Roman"/>
          <w:b/>
          <w:bCs/>
          <w:spacing w:val="-6"/>
          <w:sz w:val="24"/>
          <w:szCs w:val="24"/>
        </w:rPr>
        <w:t xml:space="preserve">18  </w:t>
      </w:r>
      <w:r>
        <w:rPr>
          <w:rFonts w:ascii="宋体" w:hAnsi="宋体" w:eastAsia="宋体" w:cs="宋体"/>
          <w:b/>
          <w:bCs/>
          <w:spacing w:val="-6"/>
          <w:sz w:val="24"/>
          <w:szCs w:val="24"/>
        </w:rPr>
        <w:t>监测报告</w:t>
      </w:r>
    </w:p>
    <w:p w14:paraId="62AE7B75">
      <w:pPr>
        <w:spacing w:before="15" w:line="11722" w:lineRule="exact"/>
        <w:ind w:firstLine="14"/>
      </w:pPr>
      <w:r>
        <w:rPr>
          <w:position w:val="-234"/>
        </w:rPr>
        <w:drawing>
          <wp:inline distT="0" distB="0" distL="0" distR="0">
            <wp:extent cx="5259070" cy="7442835"/>
            <wp:effectExtent l="0" t="0" r="0" b="0"/>
            <wp:docPr id="296" name="IM 296"/>
            <wp:cNvGraphicFramePr/>
            <a:graphic xmlns:a="http://schemas.openxmlformats.org/drawingml/2006/main">
              <a:graphicData uri="http://schemas.openxmlformats.org/drawingml/2006/picture">
                <pic:pic xmlns:pic="http://schemas.openxmlformats.org/drawingml/2006/picture">
                  <pic:nvPicPr>
                    <pic:cNvPr id="296" name="IM 296"/>
                    <pic:cNvPicPr/>
                  </pic:nvPicPr>
                  <pic:blipFill>
                    <a:blip r:embed="rId365"/>
                    <a:stretch>
                      <a:fillRect/>
                    </a:stretch>
                  </pic:blipFill>
                  <pic:spPr>
                    <a:xfrm>
                      <a:off x="0" y="0"/>
                      <a:ext cx="5259324" cy="7443216"/>
                    </a:xfrm>
                    <a:prstGeom prst="rect">
                      <a:avLst/>
                    </a:prstGeom>
                  </pic:spPr>
                </pic:pic>
              </a:graphicData>
            </a:graphic>
          </wp:inline>
        </w:drawing>
      </w:r>
    </w:p>
    <w:p w14:paraId="578A5445">
      <w:pPr>
        <w:spacing w:line="11722" w:lineRule="exact"/>
        <w:sectPr>
          <w:footerReference r:id="rId202" w:type="default"/>
          <w:pgSz w:w="11906" w:h="16838"/>
          <w:pgMar w:top="400" w:right="1785" w:bottom="1295" w:left="1785" w:header="0" w:footer="1133" w:gutter="0"/>
          <w:cols w:space="720" w:num="1"/>
        </w:sectPr>
      </w:pPr>
    </w:p>
    <w:p w14:paraId="216BEF20">
      <w:pPr>
        <w:pStyle w:val="3"/>
        <w:spacing w:line="258" w:lineRule="auto"/>
      </w:pPr>
    </w:p>
    <w:p w14:paraId="646C7B91">
      <w:pPr>
        <w:pStyle w:val="3"/>
        <w:spacing w:line="258" w:lineRule="auto"/>
      </w:pPr>
    </w:p>
    <w:p w14:paraId="6E6654F8">
      <w:pPr>
        <w:pStyle w:val="3"/>
        <w:spacing w:line="258" w:lineRule="auto"/>
      </w:pPr>
    </w:p>
    <w:p w14:paraId="7F5A0779">
      <w:pPr>
        <w:pStyle w:val="3"/>
        <w:spacing w:line="259" w:lineRule="auto"/>
      </w:pPr>
    </w:p>
    <w:p w14:paraId="316DF273">
      <w:pPr>
        <w:spacing w:line="11722" w:lineRule="exact"/>
        <w:ind w:firstLine="14"/>
      </w:pPr>
      <w:r>
        <w:rPr>
          <w:position w:val="-234"/>
        </w:rPr>
        <w:drawing>
          <wp:inline distT="0" distB="0" distL="0" distR="0">
            <wp:extent cx="5259070" cy="7442835"/>
            <wp:effectExtent l="0" t="0" r="0" b="0"/>
            <wp:docPr id="298" name="IM 298"/>
            <wp:cNvGraphicFramePr/>
            <a:graphic xmlns:a="http://schemas.openxmlformats.org/drawingml/2006/main">
              <a:graphicData uri="http://schemas.openxmlformats.org/drawingml/2006/picture">
                <pic:pic xmlns:pic="http://schemas.openxmlformats.org/drawingml/2006/picture">
                  <pic:nvPicPr>
                    <pic:cNvPr id="298" name="IM 298"/>
                    <pic:cNvPicPr/>
                  </pic:nvPicPr>
                  <pic:blipFill>
                    <a:blip r:embed="rId366"/>
                    <a:stretch>
                      <a:fillRect/>
                    </a:stretch>
                  </pic:blipFill>
                  <pic:spPr>
                    <a:xfrm>
                      <a:off x="0" y="0"/>
                      <a:ext cx="5259324" cy="7443216"/>
                    </a:xfrm>
                    <a:prstGeom prst="rect">
                      <a:avLst/>
                    </a:prstGeom>
                  </pic:spPr>
                </pic:pic>
              </a:graphicData>
            </a:graphic>
          </wp:inline>
        </w:drawing>
      </w:r>
    </w:p>
    <w:p w14:paraId="615000AC">
      <w:pPr>
        <w:spacing w:line="11722" w:lineRule="exact"/>
        <w:sectPr>
          <w:footerReference r:id="rId203" w:type="default"/>
          <w:pgSz w:w="11906" w:h="16838"/>
          <w:pgMar w:top="400" w:right="1785" w:bottom="1295" w:left="1785" w:header="0" w:footer="1133" w:gutter="0"/>
          <w:cols w:space="720" w:num="1"/>
        </w:sectPr>
      </w:pPr>
    </w:p>
    <w:p w14:paraId="4B590EF0">
      <w:pPr>
        <w:pStyle w:val="3"/>
        <w:spacing w:line="258" w:lineRule="auto"/>
      </w:pPr>
    </w:p>
    <w:p w14:paraId="2CFB87B2">
      <w:pPr>
        <w:pStyle w:val="3"/>
        <w:spacing w:line="258" w:lineRule="auto"/>
      </w:pPr>
    </w:p>
    <w:p w14:paraId="102A44D0">
      <w:pPr>
        <w:pStyle w:val="3"/>
        <w:spacing w:line="258" w:lineRule="auto"/>
      </w:pPr>
    </w:p>
    <w:p w14:paraId="1421740A">
      <w:pPr>
        <w:pStyle w:val="3"/>
        <w:spacing w:line="259" w:lineRule="auto"/>
      </w:pPr>
    </w:p>
    <w:p w14:paraId="346B5387">
      <w:pPr>
        <w:spacing w:line="11722" w:lineRule="exact"/>
        <w:ind w:firstLine="14"/>
      </w:pPr>
      <w:r>
        <w:rPr>
          <w:position w:val="-234"/>
        </w:rPr>
        <w:drawing>
          <wp:inline distT="0" distB="0" distL="0" distR="0">
            <wp:extent cx="5259070" cy="7442835"/>
            <wp:effectExtent l="0" t="0" r="0" b="0"/>
            <wp:docPr id="300" name="IM 300"/>
            <wp:cNvGraphicFramePr/>
            <a:graphic xmlns:a="http://schemas.openxmlformats.org/drawingml/2006/main">
              <a:graphicData uri="http://schemas.openxmlformats.org/drawingml/2006/picture">
                <pic:pic xmlns:pic="http://schemas.openxmlformats.org/drawingml/2006/picture">
                  <pic:nvPicPr>
                    <pic:cNvPr id="300" name="IM 300"/>
                    <pic:cNvPicPr/>
                  </pic:nvPicPr>
                  <pic:blipFill>
                    <a:blip r:embed="rId367"/>
                    <a:stretch>
                      <a:fillRect/>
                    </a:stretch>
                  </pic:blipFill>
                  <pic:spPr>
                    <a:xfrm>
                      <a:off x="0" y="0"/>
                      <a:ext cx="5259324" cy="7443216"/>
                    </a:xfrm>
                    <a:prstGeom prst="rect">
                      <a:avLst/>
                    </a:prstGeom>
                  </pic:spPr>
                </pic:pic>
              </a:graphicData>
            </a:graphic>
          </wp:inline>
        </w:drawing>
      </w:r>
    </w:p>
    <w:p w14:paraId="6C3C996A">
      <w:pPr>
        <w:spacing w:line="11722" w:lineRule="exact"/>
        <w:sectPr>
          <w:footerReference r:id="rId204" w:type="default"/>
          <w:pgSz w:w="11906" w:h="16838"/>
          <w:pgMar w:top="400" w:right="1785" w:bottom="1295" w:left="1785" w:header="0" w:footer="1133" w:gutter="0"/>
          <w:cols w:space="720" w:num="1"/>
        </w:sectPr>
      </w:pPr>
    </w:p>
    <w:p w14:paraId="3704F90F">
      <w:pPr>
        <w:pStyle w:val="3"/>
        <w:spacing w:line="258" w:lineRule="auto"/>
      </w:pPr>
    </w:p>
    <w:p w14:paraId="151F5447">
      <w:pPr>
        <w:pStyle w:val="3"/>
        <w:spacing w:line="258" w:lineRule="auto"/>
      </w:pPr>
    </w:p>
    <w:p w14:paraId="44119FE0">
      <w:pPr>
        <w:pStyle w:val="3"/>
        <w:spacing w:line="258" w:lineRule="auto"/>
      </w:pPr>
    </w:p>
    <w:p w14:paraId="008F37CD">
      <w:pPr>
        <w:pStyle w:val="3"/>
        <w:spacing w:line="259" w:lineRule="auto"/>
      </w:pPr>
    </w:p>
    <w:p w14:paraId="485096C5">
      <w:pPr>
        <w:spacing w:line="11722" w:lineRule="exact"/>
        <w:ind w:firstLine="14"/>
      </w:pPr>
      <w:r>
        <w:rPr>
          <w:position w:val="-234"/>
        </w:rPr>
        <w:drawing>
          <wp:inline distT="0" distB="0" distL="0" distR="0">
            <wp:extent cx="5259070" cy="7442835"/>
            <wp:effectExtent l="0" t="0" r="0" b="0"/>
            <wp:docPr id="302" name="IM 302"/>
            <wp:cNvGraphicFramePr/>
            <a:graphic xmlns:a="http://schemas.openxmlformats.org/drawingml/2006/main">
              <a:graphicData uri="http://schemas.openxmlformats.org/drawingml/2006/picture">
                <pic:pic xmlns:pic="http://schemas.openxmlformats.org/drawingml/2006/picture">
                  <pic:nvPicPr>
                    <pic:cNvPr id="302" name="IM 302"/>
                    <pic:cNvPicPr/>
                  </pic:nvPicPr>
                  <pic:blipFill>
                    <a:blip r:embed="rId368"/>
                    <a:stretch>
                      <a:fillRect/>
                    </a:stretch>
                  </pic:blipFill>
                  <pic:spPr>
                    <a:xfrm>
                      <a:off x="0" y="0"/>
                      <a:ext cx="5259324" cy="7443216"/>
                    </a:xfrm>
                    <a:prstGeom prst="rect">
                      <a:avLst/>
                    </a:prstGeom>
                  </pic:spPr>
                </pic:pic>
              </a:graphicData>
            </a:graphic>
          </wp:inline>
        </w:drawing>
      </w:r>
    </w:p>
    <w:p w14:paraId="374CF415">
      <w:pPr>
        <w:spacing w:line="11722" w:lineRule="exact"/>
        <w:sectPr>
          <w:footerReference r:id="rId205" w:type="default"/>
          <w:pgSz w:w="11906" w:h="16838"/>
          <w:pgMar w:top="400" w:right="1785" w:bottom="1295" w:left="1785" w:header="0" w:footer="1133" w:gutter="0"/>
          <w:cols w:space="720" w:num="1"/>
        </w:sectPr>
      </w:pPr>
    </w:p>
    <w:p w14:paraId="2B84B8B9">
      <w:pPr>
        <w:pStyle w:val="3"/>
        <w:spacing w:line="258" w:lineRule="auto"/>
      </w:pPr>
    </w:p>
    <w:p w14:paraId="27CCC214">
      <w:pPr>
        <w:pStyle w:val="3"/>
        <w:spacing w:line="258" w:lineRule="auto"/>
      </w:pPr>
    </w:p>
    <w:p w14:paraId="4A6850C1">
      <w:pPr>
        <w:pStyle w:val="3"/>
        <w:spacing w:line="258" w:lineRule="auto"/>
      </w:pPr>
    </w:p>
    <w:p w14:paraId="3786E20B">
      <w:pPr>
        <w:pStyle w:val="3"/>
        <w:spacing w:line="259" w:lineRule="auto"/>
      </w:pPr>
    </w:p>
    <w:p w14:paraId="575199FF">
      <w:pPr>
        <w:spacing w:line="11722" w:lineRule="exact"/>
        <w:ind w:firstLine="14"/>
      </w:pPr>
      <w:r>
        <w:rPr>
          <w:position w:val="-234"/>
        </w:rPr>
        <w:drawing>
          <wp:inline distT="0" distB="0" distL="0" distR="0">
            <wp:extent cx="5259070" cy="7442835"/>
            <wp:effectExtent l="0" t="0" r="0" b="0"/>
            <wp:docPr id="304" name="IM 304"/>
            <wp:cNvGraphicFramePr/>
            <a:graphic xmlns:a="http://schemas.openxmlformats.org/drawingml/2006/main">
              <a:graphicData uri="http://schemas.openxmlformats.org/drawingml/2006/picture">
                <pic:pic xmlns:pic="http://schemas.openxmlformats.org/drawingml/2006/picture">
                  <pic:nvPicPr>
                    <pic:cNvPr id="304" name="IM 304"/>
                    <pic:cNvPicPr/>
                  </pic:nvPicPr>
                  <pic:blipFill>
                    <a:blip r:embed="rId369"/>
                    <a:stretch>
                      <a:fillRect/>
                    </a:stretch>
                  </pic:blipFill>
                  <pic:spPr>
                    <a:xfrm>
                      <a:off x="0" y="0"/>
                      <a:ext cx="5259324" cy="7443216"/>
                    </a:xfrm>
                    <a:prstGeom prst="rect">
                      <a:avLst/>
                    </a:prstGeom>
                  </pic:spPr>
                </pic:pic>
              </a:graphicData>
            </a:graphic>
          </wp:inline>
        </w:drawing>
      </w:r>
    </w:p>
    <w:p w14:paraId="4D4DA32F">
      <w:pPr>
        <w:spacing w:line="11722" w:lineRule="exact"/>
        <w:sectPr>
          <w:footerReference r:id="rId206" w:type="default"/>
          <w:pgSz w:w="11906" w:h="16838"/>
          <w:pgMar w:top="400" w:right="1785" w:bottom="1295" w:left="1785" w:header="0" w:footer="1133" w:gutter="0"/>
          <w:cols w:space="720" w:num="1"/>
        </w:sectPr>
      </w:pPr>
    </w:p>
    <w:p w14:paraId="72274A38">
      <w:pPr>
        <w:pStyle w:val="3"/>
        <w:spacing w:line="258" w:lineRule="auto"/>
      </w:pPr>
    </w:p>
    <w:p w14:paraId="4AEB2DCB">
      <w:pPr>
        <w:pStyle w:val="3"/>
        <w:spacing w:line="258" w:lineRule="auto"/>
      </w:pPr>
    </w:p>
    <w:p w14:paraId="4D24BCC4">
      <w:pPr>
        <w:pStyle w:val="3"/>
        <w:spacing w:line="258" w:lineRule="auto"/>
      </w:pPr>
    </w:p>
    <w:p w14:paraId="62E81344">
      <w:pPr>
        <w:pStyle w:val="3"/>
        <w:spacing w:line="259" w:lineRule="auto"/>
      </w:pPr>
    </w:p>
    <w:p w14:paraId="409B0760">
      <w:pPr>
        <w:spacing w:line="11722" w:lineRule="exact"/>
        <w:ind w:firstLine="14"/>
      </w:pPr>
      <w:r>
        <w:rPr>
          <w:position w:val="-234"/>
        </w:rPr>
        <w:drawing>
          <wp:inline distT="0" distB="0" distL="0" distR="0">
            <wp:extent cx="5259070" cy="7442835"/>
            <wp:effectExtent l="0" t="0" r="0" b="0"/>
            <wp:docPr id="306" name="IM 306"/>
            <wp:cNvGraphicFramePr/>
            <a:graphic xmlns:a="http://schemas.openxmlformats.org/drawingml/2006/main">
              <a:graphicData uri="http://schemas.openxmlformats.org/drawingml/2006/picture">
                <pic:pic xmlns:pic="http://schemas.openxmlformats.org/drawingml/2006/picture">
                  <pic:nvPicPr>
                    <pic:cNvPr id="306" name="IM 306"/>
                    <pic:cNvPicPr/>
                  </pic:nvPicPr>
                  <pic:blipFill>
                    <a:blip r:embed="rId370"/>
                    <a:stretch>
                      <a:fillRect/>
                    </a:stretch>
                  </pic:blipFill>
                  <pic:spPr>
                    <a:xfrm>
                      <a:off x="0" y="0"/>
                      <a:ext cx="5259324" cy="7443216"/>
                    </a:xfrm>
                    <a:prstGeom prst="rect">
                      <a:avLst/>
                    </a:prstGeom>
                  </pic:spPr>
                </pic:pic>
              </a:graphicData>
            </a:graphic>
          </wp:inline>
        </w:drawing>
      </w:r>
    </w:p>
    <w:p w14:paraId="03373505">
      <w:pPr>
        <w:spacing w:line="11722" w:lineRule="exact"/>
        <w:sectPr>
          <w:footerReference r:id="rId207" w:type="default"/>
          <w:pgSz w:w="11906" w:h="16838"/>
          <w:pgMar w:top="400" w:right="1785" w:bottom="1295" w:left="1785" w:header="0" w:footer="1133" w:gutter="0"/>
          <w:cols w:space="720" w:num="1"/>
        </w:sectPr>
      </w:pPr>
    </w:p>
    <w:p w14:paraId="54FCF50C">
      <w:pPr>
        <w:pStyle w:val="3"/>
        <w:spacing w:line="258" w:lineRule="auto"/>
      </w:pPr>
    </w:p>
    <w:p w14:paraId="106734C7">
      <w:pPr>
        <w:pStyle w:val="3"/>
        <w:spacing w:line="258" w:lineRule="auto"/>
      </w:pPr>
    </w:p>
    <w:p w14:paraId="71F27537">
      <w:pPr>
        <w:pStyle w:val="3"/>
        <w:spacing w:line="258" w:lineRule="auto"/>
      </w:pPr>
    </w:p>
    <w:p w14:paraId="195A46D0">
      <w:pPr>
        <w:pStyle w:val="3"/>
        <w:spacing w:line="259" w:lineRule="auto"/>
      </w:pPr>
    </w:p>
    <w:p w14:paraId="333076AE">
      <w:pPr>
        <w:spacing w:line="11722" w:lineRule="exact"/>
        <w:ind w:firstLine="14"/>
      </w:pPr>
      <w:r>
        <w:rPr>
          <w:position w:val="-234"/>
        </w:rPr>
        <w:drawing>
          <wp:inline distT="0" distB="0" distL="0" distR="0">
            <wp:extent cx="5259070" cy="7442835"/>
            <wp:effectExtent l="0" t="0" r="0" b="0"/>
            <wp:docPr id="308" name="IM 308"/>
            <wp:cNvGraphicFramePr/>
            <a:graphic xmlns:a="http://schemas.openxmlformats.org/drawingml/2006/main">
              <a:graphicData uri="http://schemas.openxmlformats.org/drawingml/2006/picture">
                <pic:pic xmlns:pic="http://schemas.openxmlformats.org/drawingml/2006/picture">
                  <pic:nvPicPr>
                    <pic:cNvPr id="308" name="IM 308"/>
                    <pic:cNvPicPr/>
                  </pic:nvPicPr>
                  <pic:blipFill>
                    <a:blip r:embed="rId371"/>
                    <a:stretch>
                      <a:fillRect/>
                    </a:stretch>
                  </pic:blipFill>
                  <pic:spPr>
                    <a:xfrm>
                      <a:off x="0" y="0"/>
                      <a:ext cx="5259324" cy="7443216"/>
                    </a:xfrm>
                    <a:prstGeom prst="rect">
                      <a:avLst/>
                    </a:prstGeom>
                  </pic:spPr>
                </pic:pic>
              </a:graphicData>
            </a:graphic>
          </wp:inline>
        </w:drawing>
      </w:r>
    </w:p>
    <w:p w14:paraId="53F09402">
      <w:pPr>
        <w:spacing w:line="11722" w:lineRule="exact"/>
        <w:sectPr>
          <w:footerReference r:id="rId208" w:type="default"/>
          <w:pgSz w:w="11906" w:h="16838"/>
          <w:pgMar w:top="400" w:right="1785" w:bottom="1295" w:left="1785" w:header="0" w:footer="1133" w:gutter="0"/>
          <w:cols w:space="720" w:num="1"/>
        </w:sectPr>
      </w:pPr>
    </w:p>
    <w:p w14:paraId="27F319E9">
      <w:pPr>
        <w:pStyle w:val="3"/>
        <w:spacing w:line="258" w:lineRule="auto"/>
      </w:pPr>
    </w:p>
    <w:p w14:paraId="0F1BFA82">
      <w:pPr>
        <w:pStyle w:val="3"/>
        <w:spacing w:line="258" w:lineRule="auto"/>
      </w:pPr>
    </w:p>
    <w:p w14:paraId="3D5337EC">
      <w:pPr>
        <w:pStyle w:val="3"/>
        <w:spacing w:line="258" w:lineRule="auto"/>
      </w:pPr>
    </w:p>
    <w:p w14:paraId="6BF01CBB">
      <w:pPr>
        <w:pStyle w:val="3"/>
        <w:spacing w:line="259" w:lineRule="auto"/>
      </w:pPr>
    </w:p>
    <w:p w14:paraId="0773A93A">
      <w:pPr>
        <w:spacing w:line="11722" w:lineRule="exact"/>
        <w:ind w:firstLine="14"/>
        <w:rPr>
          <w:rFonts w:hint="eastAsia" w:eastAsia="宋体"/>
          <w:position w:val="-234"/>
          <w:lang w:eastAsia="zh-CN"/>
        </w:rPr>
        <w:sectPr>
          <w:footerReference r:id="rId209" w:type="default"/>
          <w:pgSz w:w="11906" w:h="16838"/>
          <w:pgMar w:top="400" w:right="1785" w:bottom="1295" w:left="1785" w:header="0" w:footer="1133" w:gutter="0"/>
          <w:cols w:space="720" w:num="1"/>
        </w:sectPr>
      </w:pPr>
      <w:r>
        <w:rPr>
          <w:position w:val="-234"/>
        </w:rPr>
        <w:drawing>
          <wp:inline distT="0" distB="0" distL="0" distR="0">
            <wp:extent cx="5259070" cy="7442835"/>
            <wp:effectExtent l="0" t="0" r="0" b="0"/>
            <wp:docPr id="310" name="IM 310"/>
            <wp:cNvGraphicFramePr/>
            <a:graphic xmlns:a="http://schemas.openxmlformats.org/drawingml/2006/main">
              <a:graphicData uri="http://schemas.openxmlformats.org/drawingml/2006/picture">
                <pic:pic xmlns:pic="http://schemas.openxmlformats.org/drawingml/2006/picture">
                  <pic:nvPicPr>
                    <pic:cNvPr id="310" name="IM 310"/>
                    <pic:cNvPicPr/>
                  </pic:nvPicPr>
                  <pic:blipFill>
                    <a:blip r:embed="rId372"/>
                    <a:stretch>
                      <a:fillRect/>
                    </a:stretch>
                  </pic:blipFill>
                  <pic:spPr>
                    <a:xfrm>
                      <a:off x="0" y="0"/>
                      <a:ext cx="5259324" cy="7443216"/>
                    </a:xfrm>
                    <a:prstGeom prst="rect">
                      <a:avLst/>
                    </a:prstGeom>
                  </pic:spPr>
                </pic:pic>
              </a:graphicData>
            </a:graphic>
          </wp:inline>
        </w:drawing>
      </w:r>
    </w:p>
    <w:p w14:paraId="6272DDF6">
      <w:pPr>
        <w:pStyle w:val="2"/>
        <w:bidi w:val="0"/>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附件 19  可行性研究报告审查意见函</w:t>
      </w:r>
    </w:p>
    <w:p w14:paraId="484D9BA6">
      <w:pPr>
        <w:keepNext w:val="0"/>
        <w:keepLines w:val="0"/>
        <w:pageBreakBefore w:val="0"/>
        <w:widowControl/>
        <w:kinsoku w:val="0"/>
        <w:wordWrap/>
        <w:overflowPunct/>
        <w:topLinePunct w:val="0"/>
        <w:autoSpaceDE w:val="0"/>
        <w:autoSpaceDN w:val="0"/>
        <w:bidi w:val="0"/>
        <w:adjustRightInd w:val="0"/>
        <w:snapToGrid w:val="0"/>
        <w:spacing w:line="240" w:lineRule="auto"/>
        <w:ind w:firstLine="0"/>
        <w:textAlignment w:val="baseline"/>
        <w:rPr>
          <w:rFonts w:hint="eastAsia" w:ascii="宋体" w:hAnsi="宋体" w:eastAsia="宋体" w:cs="宋体"/>
          <w:b/>
          <w:bCs/>
          <w:position w:val="-234"/>
          <w:sz w:val="24"/>
          <w:szCs w:val="24"/>
          <w:lang w:val="en-US" w:eastAsia="zh-CN"/>
        </w:rPr>
      </w:pPr>
      <w:r>
        <w:rPr>
          <w:rFonts w:hint="eastAsia" w:ascii="宋体" w:hAnsi="宋体" w:eastAsia="宋体" w:cs="宋体"/>
          <w:b/>
          <w:bCs/>
          <w:position w:val="-234"/>
          <w:sz w:val="24"/>
          <w:szCs w:val="24"/>
          <w:lang w:val="en-US" w:eastAsia="zh-CN"/>
        </w:rPr>
        <w:drawing>
          <wp:inline distT="0" distB="0" distL="114300" distR="114300">
            <wp:extent cx="5263515" cy="7451090"/>
            <wp:effectExtent l="0" t="0" r="9525" b="1270"/>
            <wp:docPr id="43" name="图片 43" descr="风电项目可行性研究报告审查意见的函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风电项目可行性研究报告审查意见的函_01"/>
                    <pic:cNvPicPr>
                      <a:picLocks noChangeAspect="1"/>
                    </pic:cNvPicPr>
                  </pic:nvPicPr>
                  <pic:blipFill>
                    <a:blip r:embed="rId373">
                      <a:grayscl/>
                    </a:blip>
                    <a:stretch>
                      <a:fillRect/>
                    </a:stretch>
                  </pic:blipFill>
                  <pic:spPr>
                    <a:xfrm>
                      <a:off x="0" y="0"/>
                      <a:ext cx="5263515" cy="7451090"/>
                    </a:xfrm>
                    <a:prstGeom prst="rect">
                      <a:avLst/>
                    </a:prstGeom>
                  </pic:spPr>
                </pic:pic>
              </a:graphicData>
            </a:graphic>
          </wp:inline>
        </w:drawing>
      </w:r>
    </w:p>
    <w:p w14:paraId="19A9916F">
      <w:pPr>
        <w:keepNext w:val="0"/>
        <w:keepLines w:val="0"/>
        <w:pageBreakBefore w:val="0"/>
        <w:widowControl/>
        <w:kinsoku w:val="0"/>
        <w:wordWrap/>
        <w:overflowPunct/>
        <w:topLinePunct w:val="0"/>
        <w:autoSpaceDE w:val="0"/>
        <w:autoSpaceDN w:val="0"/>
        <w:bidi w:val="0"/>
        <w:adjustRightInd w:val="0"/>
        <w:snapToGrid w:val="0"/>
        <w:spacing w:line="240" w:lineRule="auto"/>
        <w:ind w:firstLine="0"/>
        <w:jc w:val="center"/>
        <w:textAlignment w:val="baseline"/>
        <w:rPr>
          <w:rFonts w:hint="eastAsia" w:ascii="宋体" w:hAnsi="宋体" w:eastAsia="宋体" w:cs="宋体"/>
          <w:b/>
          <w:bCs/>
          <w:position w:val="-234"/>
          <w:sz w:val="24"/>
          <w:szCs w:val="24"/>
          <w:lang w:val="en-US" w:eastAsia="zh-CN"/>
        </w:rPr>
      </w:pPr>
      <w:r>
        <w:rPr>
          <w:rFonts w:hint="eastAsia" w:ascii="宋体" w:hAnsi="宋体" w:eastAsia="宋体" w:cs="宋体"/>
          <w:b/>
          <w:bCs/>
          <w:position w:val="-234"/>
          <w:sz w:val="24"/>
          <w:szCs w:val="24"/>
          <w:lang w:val="en-US" w:eastAsia="zh-CN"/>
        </w:rPr>
        <w:drawing>
          <wp:inline distT="0" distB="0" distL="114300" distR="114300">
            <wp:extent cx="5247640" cy="7428865"/>
            <wp:effectExtent l="0" t="0" r="10160" b="8255"/>
            <wp:docPr id="41" name="图片 41" descr="风电项目可行性研究报告审查意见的函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风电项目可行性研究报告审查意见的函_02"/>
                    <pic:cNvPicPr>
                      <a:picLocks noChangeAspect="1"/>
                    </pic:cNvPicPr>
                  </pic:nvPicPr>
                  <pic:blipFill>
                    <a:blip r:embed="rId374">
                      <a:grayscl/>
                    </a:blip>
                    <a:stretch>
                      <a:fillRect/>
                    </a:stretch>
                  </pic:blipFill>
                  <pic:spPr>
                    <a:xfrm>
                      <a:off x="0" y="0"/>
                      <a:ext cx="5247640" cy="7428865"/>
                    </a:xfrm>
                    <a:prstGeom prst="rect">
                      <a:avLst/>
                    </a:prstGeom>
                  </pic:spPr>
                </pic:pic>
              </a:graphicData>
            </a:graphic>
          </wp:inline>
        </w:drawing>
      </w:r>
    </w:p>
    <w:p w14:paraId="455FD5D6">
      <w:pPr>
        <w:keepNext w:val="0"/>
        <w:keepLines w:val="0"/>
        <w:pageBreakBefore w:val="0"/>
        <w:widowControl/>
        <w:kinsoku w:val="0"/>
        <w:wordWrap/>
        <w:overflowPunct/>
        <w:topLinePunct w:val="0"/>
        <w:autoSpaceDE w:val="0"/>
        <w:autoSpaceDN w:val="0"/>
        <w:bidi w:val="0"/>
        <w:adjustRightInd w:val="0"/>
        <w:snapToGrid w:val="0"/>
        <w:spacing w:line="240" w:lineRule="auto"/>
        <w:ind w:firstLine="0"/>
        <w:textAlignment w:val="baseline"/>
        <w:rPr>
          <w:rFonts w:hint="eastAsia" w:ascii="宋体" w:hAnsi="宋体" w:eastAsia="宋体" w:cs="宋体"/>
          <w:b/>
          <w:bCs/>
          <w:position w:val="-234"/>
          <w:sz w:val="24"/>
          <w:szCs w:val="24"/>
          <w:lang w:val="en-US" w:eastAsia="zh-CN"/>
        </w:rPr>
      </w:pPr>
      <w:r>
        <w:rPr>
          <w:rFonts w:hint="eastAsia" w:ascii="宋体" w:hAnsi="宋体" w:eastAsia="宋体" w:cs="宋体"/>
          <w:b/>
          <w:bCs/>
          <w:position w:val="-234"/>
          <w:sz w:val="24"/>
          <w:szCs w:val="24"/>
          <w:lang w:val="en-US" w:eastAsia="zh-CN"/>
        </w:rPr>
        <w:drawing>
          <wp:inline distT="0" distB="0" distL="114300" distR="114300">
            <wp:extent cx="5310505" cy="7517765"/>
            <wp:effectExtent l="0" t="0" r="8255" b="10795"/>
            <wp:docPr id="39" name="图片 39" descr="风电项目可行性研究报告审查意见的函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风电项目可行性研究报告审查意见的函_03"/>
                    <pic:cNvPicPr>
                      <a:picLocks noChangeAspect="1"/>
                    </pic:cNvPicPr>
                  </pic:nvPicPr>
                  <pic:blipFill>
                    <a:blip r:embed="rId375"/>
                    <a:stretch>
                      <a:fillRect/>
                    </a:stretch>
                  </pic:blipFill>
                  <pic:spPr>
                    <a:xfrm>
                      <a:off x="0" y="0"/>
                      <a:ext cx="5310505" cy="7517765"/>
                    </a:xfrm>
                    <a:prstGeom prst="rect">
                      <a:avLst/>
                    </a:prstGeom>
                  </pic:spPr>
                </pic:pic>
              </a:graphicData>
            </a:graphic>
          </wp:inline>
        </w:drawing>
      </w:r>
    </w:p>
    <w:p w14:paraId="06015DDA">
      <w:pPr>
        <w:keepNext w:val="0"/>
        <w:keepLines w:val="0"/>
        <w:pageBreakBefore w:val="0"/>
        <w:widowControl/>
        <w:kinsoku w:val="0"/>
        <w:wordWrap/>
        <w:overflowPunct/>
        <w:topLinePunct w:val="0"/>
        <w:autoSpaceDE w:val="0"/>
        <w:autoSpaceDN w:val="0"/>
        <w:bidi w:val="0"/>
        <w:adjustRightInd w:val="0"/>
        <w:snapToGrid w:val="0"/>
        <w:spacing w:line="240" w:lineRule="auto"/>
        <w:ind w:firstLine="0"/>
        <w:textAlignment w:val="baseline"/>
        <w:rPr>
          <w:rFonts w:hint="eastAsia" w:ascii="宋体" w:hAnsi="宋体" w:eastAsia="宋体" w:cs="宋体"/>
          <w:b/>
          <w:bCs/>
          <w:position w:val="-234"/>
          <w:sz w:val="24"/>
          <w:szCs w:val="24"/>
          <w:lang w:val="en-US" w:eastAsia="zh-CN"/>
        </w:rPr>
      </w:pPr>
      <w:r>
        <w:rPr>
          <w:rFonts w:hint="eastAsia" w:ascii="宋体" w:hAnsi="宋体" w:eastAsia="宋体" w:cs="宋体"/>
          <w:b/>
          <w:bCs/>
          <w:position w:val="-234"/>
          <w:sz w:val="24"/>
          <w:szCs w:val="24"/>
          <w:lang w:val="en-US" w:eastAsia="zh-CN"/>
        </w:rPr>
        <w:drawing>
          <wp:inline distT="0" distB="0" distL="114300" distR="114300">
            <wp:extent cx="5281930" cy="7476490"/>
            <wp:effectExtent l="0" t="0" r="6350" b="6350"/>
            <wp:docPr id="37" name="图片 37" descr="风电项目可行性研究报告审查意见的函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风电项目可行性研究报告审查意见的函_04"/>
                    <pic:cNvPicPr>
                      <a:picLocks noChangeAspect="1"/>
                    </pic:cNvPicPr>
                  </pic:nvPicPr>
                  <pic:blipFill>
                    <a:blip r:embed="rId376"/>
                    <a:stretch>
                      <a:fillRect/>
                    </a:stretch>
                  </pic:blipFill>
                  <pic:spPr>
                    <a:xfrm>
                      <a:off x="0" y="0"/>
                      <a:ext cx="5281930" cy="7476490"/>
                    </a:xfrm>
                    <a:prstGeom prst="rect">
                      <a:avLst/>
                    </a:prstGeom>
                  </pic:spPr>
                </pic:pic>
              </a:graphicData>
            </a:graphic>
          </wp:inline>
        </w:drawing>
      </w:r>
    </w:p>
    <w:p w14:paraId="71F78932">
      <w:pPr>
        <w:keepNext w:val="0"/>
        <w:keepLines w:val="0"/>
        <w:pageBreakBefore w:val="0"/>
        <w:widowControl/>
        <w:kinsoku w:val="0"/>
        <w:wordWrap/>
        <w:overflowPunct/>
        <w:topLinePunct w:val="0"/>
        <w:autoSpaceDE w:val="0"/>
        <w:autoSpaceDN w:val="0"/>
        <w:bidi w:val="0"/>
        <w:adjustRightInd w:val="0"/>
        <w:snapToGrid w:val="0"/>
        <w:spacing w:line="240" w:lineRule="auto"/>
        <w:ind w:firstLine="0"/>
        <w:textAlignment w:val="baseline"/>
        <w:rPr>
          <w:rFonts w:hint="eastAsia" w:ascii="宋体" w:hAnsi="宋体" w:eastAsia="宋体" w:cs="宋体"/>
          <w:b/>
          <w:bCs/>
          <w:position w:val="-234"/>
          <w:sz w:val="24"/>
          <w:szCs w:val="24"/>
          <w:lang w:val="en-US" w:eastAsia="zh-CN"/>
        </w:rPr>
      </w:pPr>
      <w:r>
        <w:rPr>
          <w:rFonts w:hint="eastAsia" w:ascii="宋体" w:hAnsi="宋体" w:eastAsia="宋体" w:cs="宋体"/>
          <w:b/>
          <w:bCs/>
          <w:position w:val="-234"/>
          <w:sz w:val="24"/>
          <w:szCs w:val="24"/>
          <w:lang w:val="en-US" w:eastAsia="zh-CN"/>
        </w:rPr>
        <w:drawing>
          <wp:inline distT="0" distB="0" distL="114300" distR="114300">
            <wp:extent cx="5408930" cy="7656195"/>
            <wp:effectExtent l="0" t="0" r="1270" b="9525"/>
            <wp:docPr id="35" name="图片 35" descr="风电项目可行性研究报告审查意见的函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风电项目可行性研究报告审查意见的函_05"/>
                    <pic:cNvPicPr>
                      <a:picLocks noChangeAspect="1"/>
                    </pic:cNvPicPr>
                  </pic:nvPicPr>
                  <pic:blipFill>
                    <a:blip r:embed="rId377"/>
                    <a:stretch>
                      <a:fillRect/>
                    </a:stretch>
                  </pic:blipFill>
                  <pic:spPr>
                    <a:xfrm>
                      <a:off x="0" y="0"/>
                      <a:ext cx="5408930" cy="7656195"/>
                    </a:xfrm>
                    <a:prstGeom prst="rect">
                      <a:avLst/>
                    </a:prstGeom>
                  </pic:spPr>
                </pic:pic>
              </a:graphicData>
            </a:graphic>
          </wp:inline>
        </w:drawing>
      </w:r>
    </w:p>
    <w:p w14:paraId="0AFACAE0">
      <w:pPr>
        <w:keepNext w:val="0"/>
        <w:keepLines w:val="0"/>
        <w:pageBreakBefore w:val="0"/>
        <w:widowControl/>
        <w:kinsoku w:val="0"/>
        <w:wordWrap/>
        <w:overflowPunct/>
        <w:topLinePunct w:val="0"/>
        <w:autoSpaceDE w:val="0"/>
        <w:autoSpaceDN w:val="0"/>
        <w:bidi w:val="0"/>
        <w:adjustRightInd w:val="0"/>
        <w:snapToGrid w:val="0"/>
        <w:spacing w:line="240" w:lineRule="auto"/>
        <w:ind w:firstLine="0"/>
        <w:textAlignment w:val="baseline"/>
        <w:rPr>
          <w:rFonts w:hint="eastAsia" w:ascii="宋体" w:hAnsi="宋体" w:eastAsia="宋体" w:cs="宋体"/>
          <w:b/>
          <w:bCs/>
          <w:position w:val="-234"/>
          <w:sz w:val="24"/>
          <w:szCs w:val="24"/>
          <w:lang w:val="en-US" w:eastAsia="zh-CN"/>
        </w:rPr>
      </w:pPr>
      <w:r>
        <w:rPr>
          <w:rFonts w:hint="eastAsia" w:ascii="宋体" w:hAnsi="宋体" w:eastAsia="宋体" w:cs="宋体"/>
          <w:b/>
          <w:bCs/>
          <w:position w:val="-234"/>
          <w:sz w:val="24"/>
          <w:szCs w:val="24"/>
          <w:lang w:val="en-US" w:eastAsia="zh-CN"/>
        </w:rPr>
        <w:drawing>
          <wp:inline distT="0" distB="0" distL="114300" distR="114300">
            <wp:extent cx="5306695" cy="7512050"/>
            <wp:effectExtent l="0" t="0" r="12065" b="1270"/>
            <wp:docPr id="33" name="图片 33" descr="风电项目可行性研究报告审查意见的函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风电项目可行性研究报告审查意见的函_06"/>
                    <pic:cNvPicPr>
                      <a:picLocks noChangeAspect="1"/>
                    </pic:cNvPicPr>
                  </pic:nvPicPr>
                  <pic:blipFill>
                    <a:blip r:embed="rId378"/>
                    <a:stretch>
                      <a:fillRect/>
                    </a:stretch>
                  </pic:blipFill>
                  <pic:spPr>
                    <a:xfrm>
                      <a:off x="0" y="0"/>
                      <a:ext cx="5306695" cy="7512050"/>
                    </a:xfrm>
                    <a:prstGeom prst="rect">
                      <a:avLst/>
                    </a:prstGeom>
                  </pic:spPr>
                </pic:pic>
              </a:graphicData>
            </a:graphic>
          </wp:inline>
        </w:drawing>
      </w:r>
    </w:p>
    <w:p w14:paraId="47286E5C">
      <w:pPr>
        <w:keepNext w:val="0"/>
        <w:keepLines w:val="0"/>
        <w:pageBreakBefore w:val="0"/>
        <w:widowControl/>
        <w:kinsoku w:val="0"/>
        <w:wordWrap/>
        <w:overflowPunct/>
        <w:topLinePunct w:val="0"/>
        <w:autoSpaceDE w:val="0"/>
        <w:autoSpaceDN w:val="0"/>
        <w:bidi w:val="0"/>
        <w:adjustRightInd w:val="0"/>
        <w:snapToGrid w:val="0"/>
        <w:spacing w:line="240" w:lineRule="auto"/>
        <w:ind w:firstLine="0"/>
        <w:textAlignment w:val="baseline"/>
        <w:rPr>
          <w:rFonts w:hint="eastAsia" w:ascii="宋体" w:hAnsi="宋体" w:eastAsia="宋体" w:cs="宋体"/>
          <w:b/>
          <w:bCs/>
          <w:position w:val="-234"/>
          <w:sz w:val="24"/>
          <w:szCs w:val="24"/>
          <w:lang w:val="en-US" w:eastAsia="zh-CN"/>
        </w:rPr>
      </w:pPr>
      <w:r>
        <w:rPr>
          <w:rFonts w:hint="eastAsia" w:ascii="宋体" w:hAnsi="宋体" w:eastAsia="宋体" w:cs="宋体"/>
          <w:b/>
          <w:bCs/>
          <w:position w:val="-234"/>
          <w:sz w:val="24"/>
          <w:szCs w:val="24"/>
          <w:lang w:val="en-US" w:eastAsia="zh-CN"/>
        </w:rPr>
        <w:drawing>
          <wp:inline distT="0" distB="0" distL="114300" distR="114300">
            <wp:extent cx="5188585" cy="7345045"/>
            <wp:effectExtent l="0" t="0" r="8255" b="635"/>
            <wp:docPr id="31" name="图片 31" descr="风电项目可行性研究报告审查意见的函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风电项目可行性研究报告审查意见的函_07"/>
                    <pic:cNvPicPr>
                      <a:picLocks noChangeAspect="1"/>
                    </pic:cNvPicPr>
                  </pic:nvPicPr>
                  <pic:blipFill>
                    <a:blip r:embed="rId379"/>
                    <a:stretch>
                      <a:fillRect/>
                    </a:stretch>
                  </pic:blipFill>
                  <pic:spPr>
                    <a:xfrm>
                      <a:off x="0" y="0"/>
                      <a:ext cx="5188585" cy="7345045"/>
                    </a:xfrm>
                    <a:prstGeom prst="rect">
                      <a:avLst/>
                    </a:prstGeom>
                  </pic:spPr>
                </pic:pic>
              </a:graphicData>
            </a:graphic>
          </wp:inline>
        </w:drawing>
      </w:r>
    </w:p>
    <w:p w14:paraId="15068225">
      <w:pPr>
        <w:keepNext w:val="0"/>
        <w:keepLines w:val="0"/>
        <w:pageBreakBefore w:val="0"/>
        <w:widowControl/>
        <w:kinsoku w:val="0"/>
        <w:wordWrap/>
        <w:overflowPunct/>
        <w:topLinePunct w:val="0"/>
        <w:autoSpaceDE w:val="0"/>
        <w:autoSpaceDN w:val="0"/>
        <w:bidi w:val="0"/>
        <w:adjustRightInd w:val="0"/>
        <w:snapToGrid w:val="0"/>
        <w:spacing w:line="240" w:lineRule="auto"/>
        <w:ind w:firstLine="0"/>
        <w:textAlignment w:val="baseline"/>
        <w:rPr>
          <w:rFonts w:hint="eastAsia" w:ascii="宋体" w:hAnsi="宋体" w:eastAsia="宋体" w:cs="宋体"/>
          <w:b/>
          <w:bCs/>
          <w:position w:val="-234"/>
          <w:sz w:val="24"/>
          <w:szCs w:val="24"/>
          <w:lang w:val="en-US" w:eastAsia="zh-CN"/>
        </w:rPr>
      </w:pPr>
      <w:r>
        <w:rPr>
          <w:rFonts w:hint="eastAsia" w:ascii="宋体" w:hAnsi="宋体" w:eastAsia="宋体" w:cs="宋体"/>
          <w:b/>
          <w:bCs/>
          <w:position w:val="-234"/>
          <w:sz w:val="24"/>
          <w:szCs w:val="24"/>
          <w:lang w:val="en-US" w:eastAsia="zh-CN"/>
        </w:rPr>
        <w:drawing>
          <wp:inline distT="0" distB="0" distL="114300" distR="114300">
            <wp:extent cx="5350510" cy="7574280"/>
            <wp:effectExtent l="0" t="0" r="13970" b="0"/>
            <wp:docPr id="29" name="图片 29" descr="风电项目可行性研究报告审查意见的函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风电项目可行性研究报告审查意见的函_08"/>
                    <pic:cNvPicPr>
                      <a:picLocks noChangeAspect="1"/>
                    </pic:cNvPicPr>
                  </pic:nvPicPr>
                  <pic:blipFill>
                    <a:blip r:embed="rId380"/>
                    <a:stretch>
                      <a:fillRect/>
                    </a:stretch>
                  </pic:blipFill>
                  <pic:spPr>
                    <a:xfrm>
                      <a:off x="0" y="0"/>
                      <a:ext cx="5350510" cy="7574280"/>
                    </a:xfrm>
                    <a:prstGeom prst="rect">
                      <a:avLst/>
                    </a:prstGeom>
                  </pic:spPr>
                </pic:pic>
              </a:graphicData>
            </a:graphic>
          </wp:inline>
        </w:drawing>
      </w:r>
    </w:p>
    <w:p w14:paraId="138ACFE0">
      <w:pPr>
        <w:keepNext w:val="0"/>
        <w:keepLines w:val="0"/>
        <w:pageBreakBefore w:val="0"/>
        <w:widowControl/>
        <w:kinsoku w:val="0"/>
        <w:wordWrap/>
        <w:overflowPunct/>
        <w:topLinePunct w:val="0"/>
        <w:autoSpaceDE w:val="0"/>
        <w:autoSpaceDN w:val="0"/>
        <w:bidi w:val="0"/>
        <w:adjustRightInd w:val="0"/>
        <w:snapToGrid w:val="0"/>
        <w:spacing w:line="240" w:lineRule="auto"/>
        <w:ind w:firstLine="0"/>
        <w:textAlignment w:val="baseline"/>
        <w:rPr>
          <w:rFonts w:hint="eastAsia" w:ascii="宋体" w:hAnsi="宋体" w:eastAsia="宋体" w:cs="宋体"/>
          <w:b/>
          <w:bCs/>
          <w:position w:val="-234"/>
          <w:sz w:val="24"/>
          <w:szCs w:val="24"/>
          <w:lang w:val="en-US" w:eastAsia="zh-CN"/>
        </w:rPr>
      </w:pPr>
      <w:r>
        <w:rPr>
          <w:rFonts w:hint="eastAsia" w:ascii="宋体" w:hAnsi="宋体" w:eastAsia="宋体" w:cs="宋体"/>
          <w:b/>
          <w:bCs/>
          <w:position w:val="-234"/>
          <w:sz w:val="24"/>
          <w:szCs w:val="24"/>
          <w:lang w:val="en-US" w:eastAsia="zh-CN"/>
        </w:rPr>
        <w:drawing>
          <wp:inline distT="0" distB="0" distL="114300" distR="114300">
            <wp:extent cx="5321935" cy="7533640"/>
            <wp:effectExtent l="0" t="0" r="12065" b="10160"/>
            <wp:docPr id="27" name="图片 27" descr="风电项目可行性研究报告审查意见的函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风电项目可行性研究报告审查意见的函_09"/>
                    <pic:cNvPicPr>
                      <a:picLocks noChangeAspect="1"/>
                    </pic:cNvPicPr>
                  </pic:nvPicPr>
                  <pic:blipFill>
                    <a:blip r:embed="rId381"/>
                    <a:stretch>
                      <a:fillRect/>
                    </a:stretch>
                  </pic:blipFill>
                  <pic:spPr>
                    <a:xfrm>
                      <a:off x="0" y="0"/>
                      <a:ext cx="5321935" cy="7533640"/>
                    </a:xfrm>
                    <a:prstGeom prst="rect">
                      <a:avLst/>
                    </a:prstGeom>
                  </pic:spPr>
                </pic:pic>
              </a:graphicData>
            </a:graphic>
          </wp:inline>
        </w:drawing>
      </w:r>
    </w:p>
    <w:p w14:paraId="055931FC">
      <w:pPr>
        <w:keepNext w:val="0"/>
        <w:keepLines w:val="0"/>
        <w:pageBreakBefore w:val="0"/>
        <w:widowControl/>
        <w:kinsoku w:val="0"/>
        <w:wordWrap/>
        <w:overflowPunct/>
        <w:topLinePunct w:val="0"/>
        <w:autoSpaceDE w:val="0"/>
        <w:autoSpaceDN w:val="0"/>
        <w:bidi w:val="0"/>
        <w:adjustRightInd w:val="0"/>
        <w:snapToGrid w:val="0"/>
        <w:spacing w:line="240" w:lineRule="auto"/>
        <w:ind w:firstLine="0"/>
        <w:textAlignment w:val="baseline"/>
        <w:rPr>
          <w:rFonts w:hint="eastAsia" w:ascii="宋体" w:hAnsi="宋体" w:eastAsia="宋体" w:cs="宋体"/>
          <w:b/>
          <w:bCs/>
          <w:position w:val="-234"/>
          <w:sz w:val="24"/>
          <w:szCs w:val="24"/>
          <w:lang w:val="en-US" w:eastAsia="zh-CN"/>
        </w:rPr>
      </w:pPr>
      <w:r>
        <w:rPr>
          <w:rFonts w:hint="eastAsia" w:ascii="宋体" w:hAnsi="宋体" w:eastAsia="宋体" w:cs="宋体"/>
          <w:b/>
          <w:bCs/>
          <w:position w:val="-234"/>
          <w:sz w:val="24"/>
          <w:szCs w:val="24"/>
          <w:lang w:val="en-US" w:eastAsia="zh-CN"/>
        </w:rPr>
        <w:drawing>
          <wp:inline distT="0" distB="0" distL="114300" distR="114300">
            <wp:extent cx="5336540" cy="7554595"/>
            <wp:effectExtent l="0" t="0" r="12700" b="4445"/>
            <wp:docPr id="25" name="图片 25" descr="风电项目可行性研究报告审查意见的函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风电项目可行性研究报告审查意见的函_10"/>
                    <pic:cNvPicPr>
                      <a:picLocks noChangeAspect="1"/>
                    </pic:cNvPicPr>
                  </pic:nvPicPr>
                  <pic:blipFill>
                    <a:blip r:embed="rId382"/>
                    <a:stretch>
                      <a:fillRect/>
                    </a:stretch>
                  </pic:blipFill>
                  <pic:spPr>
                    <a:xfrm>
                      <a:off x="0" y="0"/>
                      <a:ext cx="5336540" cy="7554595"/>
                    </a:xfrm>
                    <a:prstGeom prst="rect">
                      <a:avLst/>
                    </a:prstGeom>
                  </pic:spPr>
                </pic:pic>
              </a:graphicData>
            </a:graphic>
          </wp:inline>
        </w:drawing>
      </w:r>
    </w:p>
    <w:p w14:paraId="6D66827B">
      <w:pPr>
        <w:keepNext w:val="0"/>
        <w:keepLines w:val="0"/>
        <w:pageBreakBefore w:val="0"/>
        <w:widowControl/>
        <w:kinsoku w:val="0"/>
        <w:wordWrap/>
        <w:overflowPunct/>
        <w:topLinePunct w:val="0"/>
        <w:autoSpaceDE w:val="0"/>
        <w:autoSpaceDN w:val="0"/>
        <w:bidi w:val="0"/>
        <w:adjustRightInd w:val="0"/>
        <w:snapToGrid w:val="0"/>
        <w:spacing w:line="240" w:lineRule="auto"/>
        <w:ind w:firstLine="0"/>
        <w:textAlignment w:val="baseline"/>
        <w:rPr>
          <w:rFonts w:hint="eastAsia" w:ascii="宋体" w:hAnsi="宋体" w:eastAsia="宋体" w:cs="宋体"/>
          <w:b/>
          <w:bCs/>
          <w:position w:val="-234"/>
          <w:sz w:val="24"/>
          <w:szCs w:val="24"/>
          <w:lang w:val="en-US" w:eastAsia="zh-CN"/>
        </w:rPr>
      </w:pPr>
      <w:r>
        <w:rPr>
          <w:rFonts w:hint="eastAsia" w:ascii="宋体" w:hAnsi="宋体" w:eastAsia="宋体" w:cs="宋体"/>
          <w:b/>
          <w:bCs/>
          <w:position w:val="-234"/>
          <w:sz w:val="24"/>
          <w:szCs w:val="24"/>
          <w:lang w:val="en-US" w:eastAsia="zh-CN"/>
        </w:rPr>
        <w:drawing>
          <wp:inline distT="0" distB="0" distL="114300" distR="114300">
            <wp:extent cx="5247005" cy="7426960"/>
            <wp:effectExtent l="0" t="0" r="10795" b="10160"/>
            <wp:docPr id="23" name="图片 23" descr="风电项目可行性研究报告审查意见的函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风电项目可行性研究报告审查意见的函_11"/>
                    <pic:cNvPicPr>
                      <a:picLocks noChangeAspect="1"/>
                    </pic:cNvPicPr>
                  </pic:nvPicPr>
                  <pic:blipFill>
                    <a:blip r:embed="rId383"/>
                    <a:stretch>
                      <a:fillRect/>
                    </a:stretch>
                  </pic:blipFill>
                  <pic:spPr>
                    <a:xfrm>
                      <a:off x="0" y="0"/>
                      <a:ext cx="5247005" cy="7426960"/>
                    </a:xfrm>
                    <a:prstGeom prst="rect">
                      <a:avLst/>
                    </a:prstGeom>
                  </pic:spPr>
                </pic:pic>
              </a:graphicData>
            </a:graphic>
          </wp:inline>
        </w:drawing>
      </w:r>
    </w:p>
    <w:p w14:paraId="0FCBAD57">
      <w:pPr>
        <w:keepNext w:val="0"/>
        <w:keepLines w:val="0"/>
        <w:pageBreakBefore w:val="0"/>
        <w:widowControl/>
        <w:kinsoku w:val="0"/>
        <w:wordWrap/>
        <w:overflowPunct/>
        <w:topLinePunct w:val="0"/>
        <w:autoSpaceDE w:val="0"/>
        <w:autoSpaceDN w:val="0"/>
        <w:bidi w:val="0"/>
        <w:adjustRightInd w:val="0"/>
        <w:snapToGrid w:val="0"/>
        <w:spacing w:line="240" w:lineRule="auto"/>
        <w:ind w:firstLine="0"/>
        <w:textAlignment w:val="baseline"/>
        <w:rPr>
          <w:rFonts w:hint="eastAsia" w:ascii="宋体" w:hAnsi="宋体" w:eastAsia="宋体" w:cs="宋体"/>
          <w:b/>
          <w:bCs/>
          <w:position w:val="-234"/>
          <w:sz w:val="24"/>
          <w:szCs w:val="24"/>
          <w:lang w:val="en-US" w:eastAsia="zh-CN"/>
        </w:rPr>
      </w:pPr>
      <w:r>
        <w:rPr>
          <w:rFonts w:hint="eastAsia" w:ascii="宋体" w:hAnsi="宋体" w:eastAsia="宋体" w:cs="宋体"/>
          <w:b/>
          <w:bCs/>
          <w:position w:val="-234"/>
          <w:sz w:val="24"/>
          <w:szCs w:val="24"/>
          <w:lang w:val="en-US" w:eastAsia="zh-CN"/>
        </w:rPr>
        <w:drawing>
          <wp:inline distT="0" distB="0" distL="114300" distR="114300">
            <wp:extent cx="5299075" cy="7500620"/>
            <wp:effectExtent l="0" t="0" r="4445" b="12700"/>
            <wp:docPr id="21" name="图片 21" descr="风电项目可行性研究报告审查意见的函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风电项目可行性研究报告审查意见的函_12"/>
                    <pic:cNvPicPr>
                      <a:picLocks noChangeAspect="1"/>
                    </pic:cNvPicPr>
                  </pic:nvPicPr>
                  <pic:blipFill>
                    <a:blip r:embed="rId384"/>
                    <a:stretch>
                      <a:fillRect/>
                    </a:stretch>
                  </pic:blipFill>
                  <pic:spPr>
                    <a:xfrm>
                      <a:off x="0" y="0"/>
                      <a:ext cx="5299075" cy="7500620"/>
                    </a:xfrm>
                    <a:prstGeom prst="rect">
                      <a:avLst/>
                    </a:prstGeom>
                  </pic:spPr>
                </pic:pic>
              </a:graphicData>
            </a:graphic>
          </wp:inline>
        </w:drawing>
      </w:r>
    </w:p>
    <w:p w14:paraId="25D47C82">
      <w:pPr>
        <w:keepNext w:val="0"/>
        <w:keepLines w:val="0"/>
        <w:pageBreakBefore w:val="0"/>
        <w:widowControl/>
        <w:kinsoku w:val="0"/>
        <w:wordWrap/>
        <w:overflowPunct/>
        <w:topLinePunct w:val="0"/>
        <w:autoSpaceDE w:val="0"/>
        <w:autoSpaceDN w:val="0"/>
        <w:bidi w:val="0"/>
        <w:adjustRightInd w:val="0"/>
        <w:snapToGrid w:val="0"/>
        <w:spacing w:line="240" w:lineRule="auto"/>
        <w:ind w:firstLine="0"/>
        <w:textAlignment w:val="baseline"/>
        <w:rPr>
          <w:rFonts w:hint="eastAsia" w:ascii="宋体" w:hAnsi="宋体" w:eastAsia="宋体" w:cs="宋体"/>
          <w:b/>
          <w:bCs/>
          <w:position w:val="-234"/>
          <w:sz w:val="24"/>
          <w:szCs w:val="24"/>
          <w:lang w:val="en-US" w:eastAsia="zh-CN"/>
        </w:rPr>
      </w:pPr>
      <w:r>
        <w:rPr>
          <w:rFonts w:hint="eastAsia" w:ascii="宋体" w:hAnsi="宋体" w:eastAsia="宋体" w:cs="宋体"/>
          <w:b/>
          <w:bCs/>
          <w:position w:val="-234"/>
          <w:sz w:val="24"/>
          <w:szCs w:val="24"/>
          <w:lang w:val="en-US" w:eastAsia="zh-CN"/>
        </w:rPr>
        <w:drawing>
          <wp:inline distT="0" distB="0" distL="114300" distR="114300">
            <wp:extent cx="5236210" cy="7412355"/>
            <wp:effectExtent l="0" t="0" r="6350" b="9525"/>
            <wp:docPr id="19" name="图片 19" descr="风电项目可行性研究报告审查意见的函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风电项目可行性研究报告审查意见的函_13"/>
                    <pic:cNvPicPr>
                      <a:picLocks noChangeAspect="1"/>
                    </pic:cNvPicPr>
                  </pic:nvPicPr>
                  <pic:blipFill>
                    <a:blip r:embed="rId385"/>
                    <a:stretch>
                      <a:fillRect/>
                    </a:stretch>
                  </pic:blipFill>
                  <pic:spPr>
                    <a:xfrm>
                      <a:off x="0" y="0"/>
                      <a:ext cx="5236210" cy="7412355"/>
                    </a:xfrm>
                    <a:prstGeom prst="rect">
                      <a:avLst/>
                    </a:prstGeom>
                  </pic:spPr>
                </pic:pic>
              </a:graphicData>
            </a:graphic>
          </wp:inline>
        </w:drawing>
      </w:r>
    </w:p>
    <w:p w14:paraId="5DE197A4">
      <w:pPr>
        <w:keepNext w:val="0"/>
        <w:keepLines w:val="0"/>
        <w:pageBreakBefore w:val="0"/>
        <w:widowControl/>
        <w:kinsoku w:val="0"/>
        <w:wordWrap/>
        <w:overflowPunct/>
        <w:topLinePunct w:val="0"/>
        <w:autoSpaceDE w:val="0"/>
        <w:autoSpaceDN w:val="0"/>
        <w:bidi w:val="0"/>
        <w:adjustRightInd w:val="0"/>
        <w:snapToGrid w:val="0"/>
        <w:spacing w:line="240" w:lineRule="auto"/>
        <w:ind w:firstLine="0"/>
        <w:textAlignment w:val="baseline"/>
        <w:rPr>
          <w:rFonts w:hint="eastAsia" w:ascii="宋体" w:hAnsi="宋体" w:eastAsia="宋体" w:cs="宋体"/>
          <w:b/>
          <w:bCs/>
          <w:position w:val="-234"/>
          <w:sz w:val="24"/>
          <w:szCs w:val="24"/>
          <w:lang w:val="en-US" w:eastAsia="zh-CN"/>
        </w:rPr>
      </w:pPr>
      <w:r>
        <w:rPr>
          <w:rFonts w:hint="eastAsia" w:ascii="宋体" w:hAnsi="宋体" w:eastAsia="宋体" w:cs="宋体"/>
          <w:b/>
          <w:bCs/>
          <w:position w:val="-234"/>
          <w:sz w:val="24"/>
          <w:szCs w:val="24"/>
          <w:lang w:val="en-US" w:eastAsia="zh-CN"/>
        </w:rPr>
        <w:drawing>
          <wp:inline distT="0" distB="0" distL="114300" distR="114300">
            <wp:extent cx="5247640" cy="7428230"/>
            <wp:effectExtent l="0" t="0" r="10160" b="8890"/>
            <wp:docPr id="17" name="图片 17" descr="风电项目可行性研究报告审查意见的函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风电项目可行性研究报告审查意见的函_14"/>
                    <pic:cNvPicPr>
                      <a:picLocks noChangeAspect="1"/>
                    </pic:cNvPicPr>
                  </pic:nvPicPr>
                  <pic:blipFill>
                    <a:blip r:embed="rId386"/>
                    <a:stretch>
                      <a:fillRect/>
                    </a:stretch>
                  </pic:blipFill>
                  <pic:spPr>
                    <a:xfrm>
                      <a:off x="0" y="0"/>
                      <a:ext cx="5247640" cy="7428230"/>
                    </a:xfrm>
                    <a:prstGeom prst="rect">
                      <a:avLst/>
                    </a:prstGeom>
                  </pic:spPr>
                </pic:pic>
              </a:graphicData>
            </a:graphic>
          </wp:inline>
        </w:drawing>
      </w:r>
    </w:p>
    <w:p w14:paraId="7F011FE1">
      <w:pPr>
        <w:keepNext w:val="0"/>
        <w:keepLines w:val="0"/>
        <w:pageBreakBefore w:val="0"/>
        <w:widowControl/>
        <w:kinsoku w:val="0"/>
        <w:wordWrap/>
        <w:overflowPunct/>
        <w:topLinePunct w:val="0"/>
        <w:autoSpaceDE w:val="0"/>
        <w:autoSpaceDN w:val="0"/>
        <w:bidi w:val="0"/>
        <w:adjustRightInd w:val="0"/>
        <w:snapToGrid w:val="0"/>
        <w:spacing w:line="240" w:lineRule="auto"/>
        <w:ind w:firstLine="0"/>
        <w:textAlignment w:val="baseline"/>
        <w:rPr>
          <w:rFonts w:hint="eastAsia" w:ascii="宋体" w:hAnsi="宋体" w:eastAsia="宋体" w:cs="宋体"/>
          <w:b/>
          <w:bCs/>
          <w:position w:val="-234"/>
          <w:sz w:val="24"/>
          <w:szCs w:val="24"/>
          <w:lang w:val="en-US" w:eastAsia="zh-CN"/>
        </w:rPr>
      </w:pPr>
      <w:r>
        <w:rPr>
          <w:rFonts w:hint="eastAsia" w:ascii="宋体" w:hAnsi="宋体" w:eastAsia="宋体" w:cs="宋体"/>
          <w:b/>
          <w:bCs/>
          <w:position w:val="-234"/>
          <w:sz w:val="24"/>
          <w:szCs w:val="24"/>
          <w:lang w:val="en-US" w:eastAsia="zh-CN"/>
        </w:rPr>
        <w:drawing>
          <wp:inline distT="0" distB="0" distL="114300" distR="114300">
            <wp:extent cx="5286375" cy="7483475"/>
            <wp:effectExtent l="0" t="0" r="1905" b="14605"/>
            <wp:docPr id="15" name="图片 15" descr="风电项目可行性研究报告审查意见的函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风电项目可行性研究报告审查意见的函_15"/>
                    <pic:cNvPicPr>
                      <a:picLocks noChangeAspect="1"/>
                    </pic:cNvPicPr>
                  </pic:nvPicPr>
                  <pic:blipFill>
                    <a:blip r:embed="rId387"/>
                    <a:stretch>
                      <a:fillRect/>
                    </a:stretch>
                  </pic:blipFill>
                  <pic:spPr>
                    <a:xfrm>
                      <a:off x="0" y="0"/>
                      <a:ext cx="5286375" cy="7483475"/>
                    </a:xfrm>
                    <a:prstGeom prst="rect">
                      <a:avLst/>
                    </a:prstGeom>
                  </pic:spPr>
                </pic:pic>
              </a:graphicData>
            </a:graphic>
          </wp:inline>
        </w:drawing>
      </w:r>
    </w:p>
    <w:p w14:paraId="43EE21C3">
      <w:pPr>
        <w:keepNext w:val="0"/>
        <w:keepLines w:val="0"/>
        <w:pageBreakBefore w:val="0"/>
        <w:widowControl/>
        <w:kinsoku w:val="0"/>
        <w:wordWrap/>
        <w:overflowPunct/>
        <w:topLinePunct w:val="0"/>
        <w:autoSpaceDE w:val="0"/>
        <w:autoSpaceDN w:val="0"/>
        <w:bidi w:val="0"/>
        <w:adjustRightInd w:val="0"/>
        <w:snapToGrid w:val="0"/>
        <w:spacing w:line="240" w:lineRule="auto"/>
        <w:ind w:firstLine="0"/>
        <w:textAlignment w:val="baseline"/>
        <w:rPr>
          <w:rFonts w:hint="eastAsia" w:ascii="宋体" w:hAnsi="宋体" w:eastAsia="宋体" w:cs="宋体"/>
          <w:b/>
          <w:bCs/>
          <w:position w:val="-234"/>
          <w:sz w:val="24"/>
          <w:szCs w:val="24"/>
          <w:lang w:val="en-US" w:eastAsia="zh-CN"/>
        </w:rPr>
      </w:pPr>
      <w:r>
        <w:rPr>
          <w:rFonts w:hint="eastAsia" w:ascii="宋体" w:hAnsi="宋体" w:eastAsia="宋体" w:cs="宋体"/>
          <w:b/>
          <w:bCs/>
          <w:position w:val="-234"/>
          <w:sz w:val="24"/>
          <w:szCs w:val="24"/>
          <w:lang w:val="en-US" w:eastAsia="zh-CN"/>
        </w:rPr>
        <w:drawing>
          <wp:inline distT="0" distB="0" distL="114300" distR="114300">
            <wp:extent cx="5274310" cy="7465695"/>
            <wp:effectExtent l="0" t="0" r="13970" b="1905"/>
            <wp:docPr id="13" name="图片 13" descr="风电项目可行性研究报告审查意见的函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风电项目可行性研究报告审查意见的函_16"/>
                    <pic:cNvPicPr>
                      <a:picLocks noChangeAspect="1"/>
                    </pic:cNvPicPr>
                  </pic:nvPicPr>
                  <pic:blipFill>
                    <a:blip r:embed="rId388"/>
                    <a:stretch>
                      <a:fillRect/>
                    </a:stretch>
                  </pic:blipFill>
                  <pic:spPr>
                    <a:xfrm>
                      <a:off x="0" y="0"/>
                      <a:ext cx="5274310" cy="7465695"/>
                    </a:xfrm>
                    <a:prstGeom prst="rect">
                      <a:avLst/>
                    </a:prstGeom>
                  </pic:spPr>
                </pic:pic>
              </a:graphicData>
            </a:graphic>
          </wp:inline>
        </w:drawing>
      </w:r>
    </w:p>
    <w:p w14:paraId="5E8EB9E0">
      <w:pPr>
        <w:keepNext w:val="0"/>
        <w:keepLines w:val="0"/>
        <w:pageBreakBefore w:val="0"/>
        <w:widowControl/>
        <w:kinsoku w:val="0"/>
        <w:wordWrap/>
        <w:overflowPunct/>
        <w:topLinePunct w:val="0"/>
        <w:autoSpaceDE w:val="0"/>
        <w:autoSpaceDN w:val="0"/>
        <w:bidi w:val="0"/>
        <w:adjustRightInd w:val="0"/>
        <w:snapToGrid w:val="0"/>
        <w:spacing w:line="240" w:lineRule="auto"/>
        <w:ind w:firstLine="0"/>
        <w:textAlignment w:val="baseline"/>
        <w:rPr>
          <w:rFonts w:hint="eastAsia" w:ascii="宋体" w:hAnsi="宋体" w:eastAsia="宋体" w:cs="宋体"/>
          <w:b/>
          <w:bCs/>
          <w:position w:val="-234"/>
          <w:sz w:val="24"/>
          <w:szCs w:val="24"/>
          <w:lang w:val="en-US" w:eastAsia="zh-CN"/>
        </w:rPr>
      </w:pPr>
      <w:r>
        <w:rPr>
          <w:rFonts w:hint="eastAsia" w:ascii="宋体" w:hAnsi="宋体" w:eastAsia="宋体" w:cs="宋体"/>
          <w:b/>
          <w:bCs/>
          <w:position w:val="-234"/>
          <w:sz w:val="24"/>
          <w:szCs w:val="24"/>
          <w:lang w:val="en-US" w:eastAsia="zh-CN"/>
        </w:rPr>
        <w:drawing>
          <wp:inline distT="0" distB="0" distL="114300" distR="114300">
            <wp:extent cx="5353050" cy="7576820"/>
            <wp:effectExtent l="0" t="0" r="11430" b="12700"/>
            <wp:docPr id="11" name="图片 11" descr="风电项目可行性研究报告审查意见的函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风电项目可行性研究报告审查意见的函_17"/>
                    <pic:cNvPicPr>
                      <a:picLocks noChangeAspect="1"/>
                    </pic:cNvPicPr>
                  </pic:nvPicPr>
                  <pic:blipFill>
                    <a:blip r:embed="rId389"/>
                    <a:stretch>
                      <a:fillRect/>
                    </a:stretch>
                  </pic:blipFill>
                  <pic:spPr>
                    <a:xfrm>
                      <a:off x="0" y="0"/>
                      <a:ext cx="5353050" cy="7576820"/>
                    </a:xfrm>
                    <a:prstGeom prst="rect">
                      <a:avLst/>
                    </a:prstGeom>
                  </pic:spPr>
                </pic:pic>
              </a:graphicData>
            </a:graphic>
          </wp:inline>
        </w:drawing>
      </w:r>
    </w:p>
    <w:p w14:paraId="399F2591">
      <w:pPr>
        <w:keepNext w:val="0"/>
        <w:keepLines w:val="0"/>
        <w:pageBreakBefore w:val="0"/>
        <w:widowControl/>
        <w:kinsoku w:val="0"/>
        <w:wordWrap/>
        <w:overflowPunct/>
        <w:topLinePunct w:val="0"/>
        <w:autoSpaceDE w:val="0"/>
        <w:autoSpaceDN w:val="0"/>
        <w:bidi w:val="0"/>
        <w:adjustRightInd w:val="0"/>
        <w:snapToGrid w:val="0"/>
        <w:spacing w:line="240" w:lineRule="auto"/>
        <w:ind w:firstLine="0"/>
        <w:textAlignment w:val="baseline"/>
        <w:rPr>
          <w:rFonts w:hint="eastAsia" w:ascii="宋体" w:hAnsi="宋体" w:eastAsia="宋体" w:cs="宋体"/>
          <w:b/>
          <w:bCs/>
          <w:position w:val="-234"/>
          <w:sz w:val="24"/>
          <w:szCs w:val="24"/>
          <w:lang w:val="en-US" w:eastAsia="zh-CN"/>
        </w:rPr>
      </w:pPr>
      <w:r>
        <w:rPr>
          <w:rFonts w:hint="eastAsia" w:ascii="宋体" w:hAnsi="宋体" w:eastAsia="宋体" w:cs="宋体"/>
          <w:b/>
          <w:bCs/>
          <w:position w:val="-234"/>
          <w:sz w:val="24"/>
          <w:szCs w:val="24"/>
          <w:lang w:val="en-US" w:eastAsia="zh-CN"/>
        </w:rPr>
        <w:drawing>
          <wp:inline distT="0" distB="0" distL="114300" distR="114300">
            <wp:extent cx="5290185" cy="7489190"/>
            <wp:effectExtent l="0" t="0" r="13335" b="8890"/>
            <wp:docPr id="9" name="图片 9" descr="风电项目可行性研究报告审查意见的函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风电项目可行性研究报告审查意见的函_18"/>
                    <pic:cNvPicPr>
                      <a:picLocks noChangeAspect="1"/>
                    </pic:cNvPicPr>
                  </pic:nvPicPr>
                  <pic:blipFill>
                    <a:blip r:embed="rId390"/>
                    <a:stretch>
                      <a:fillRect/>
                    </a:stretch>
                  </pic:blipFill>
                  <pic:spPr>
                    <a:xfrm>
                      <a:off x="0" y="0"/>
                      <a:ext cx="5290185" cy="7489190"/>
                    </a:xfrm>
                    <a:prstGeom prst="rect">
                      <a:avLst/>
                    </a:prstGeom>
                  </pic:spPr>
                </pic:pic>
              </a:graphicData>
            </a:graphic>
          </wp:inline>
        </w:drawing>
      </w:r>
    </w:p>
    <w:p w14:paraId="42F8313D">
      <w:pPr>
        <w:keepNext w:val="0"/>
        <w:keepLines w:val="0"/>
        <w:pageBreakBefore w:val="0"/>
        <w:widowControl/>
        <w:kinsoku w:val="0"/>
        <w:wordWrap/>
        <w:overflowPunct/>
        <w:topLinePunct w:val="0"/>
        <w:autoSpaceDE w:val="0"/>
        <w:autoSpaceDN w:val="0"/>
        <w:bidi w:val="0"/>
        <w:adjustRightInd w:val="0"/>
        <w:snapToGrid w:val="0"/>
        <w:spacing w:line="240" w:lineRule="auto"/>
        <w:ind w:firstLine="0"/>
        <w:textAlignment w:val="baseline"/>
        <w:rPr>
          <w:rFonts w:hint="eastAsia" w:ascii="宋体" w:hAnsi="宋体" w:eastAsia="宋体" w:cs="宋体"/>
          <w:b/>
          <w:bCs/>
          <w:position w:val="-234"/>
          <w:sz w:val="24"/>
          <w:szCs w:val="24"/>
          <w:lang w:val="en-US" w:eastAsia="zh-CN"/>
        </w:rPr>
      </w:pPr>
      <w:r>
        <w:rPr>
          <w:rFonts w:hint="eastAsia" w:ascii="宋体" w:hAnsi="宋体" w:eastAsia="宋体" w:cs="宋体"/>
          <w:b/>
          <w:bCs/>
          <w:position w:val="-234"/>
          <w:sz w:val="24"/>
          <w:szCs w:val="24"/>
          <w:lang w:val="en-US" w:eastAsia="zh-CN"/>
        </w:rPr>
        <w:drawing>
          <wp:inline distT="0" distB="0" distL="114300" distR="114300">
            <wp:extent cx="5302885" cy="7506970"/>
            <wp:effectExtent l="0" t="0" r="635" b="6350"/>
            <wp:docPr id="7" name="图片 7" descr="风电项目可行性研究报告审查意见的函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风电项目可行性研究报告审查意见的函_19"/>
                    <pic:cNvPicPr>
                      <a:picLocks noChangeAspect="1"/>
                    </pic:cNvPicPr>
                  </pic:nvPicPr>
                  <pic:blipFill>
                    <a:blip r:embed="rId391"/>
                    <a:stretch>
                      <a:fillRect/>
                    </a:stretch>
                  </pic:blipFill>
                  <pic:spPr>
                    <a:xfrm>
                      <a:off x="0" y="0"/>
                      <a:ext cx="5302885" cy="7506970"/>
                    </a:xfrm>
                    <a:prstGeom prst="rect">
                      <a:avLst/>
                    </a:prstGeom>
                  </pic:spPr>
                </pic:pic>
              </a:graphicData>
            </a:graphic>
          </wp:inline>
        </w:drawing>
      </w:r>
    </w:p>
    <w:p w14:paraId="67F7E5A8">
      <w:pPr>
        <w:keepNext w:val="0"/>
        <w:keepLines w:val="0"/>
        <w:pageBreakBefore w:val="0"/>
        <w:widowControl/>
        <w:kinsoku w:val="0"/>
        <w:wordWrap/>
        <w:overflowPunct/>
        <w:topLinePunct w:val="0"/>
        <w:autoSpaceDE w:val="0"/>
        <w:autoSpaceDN w:val="0"/>
        <w:bidi w:val="0"/>
        <w:adjustRightInd w:val="0"/>
        <w:snapToGrid w:val="0"/>
        <w:spacing w:line="240" w:lineRule="auto"/>
        <w:ind w:firstLine="0"/>
        <w:textAlignment w:val="baseline"/>
        <w:rPr>
          <w:rFonts w:hint="eastAsia" w:ascii="宋体" w:hAnsi="宋体" w:eastAsia="宋体" w:cs="宋体"/>
          <w:b/>
          <w:bCs/>
          <w:position w:val="-234"/>
          <w:sz w:val="24"/>
          <w:szCs w:val="24"/>
          <w:lang w:val="en-US" w:eastAsia="zh-CN"/>
        </w:rPr>
      </w:pPr>
      <w:r>
        <w:rPr>
          <w:rFonts w:hint="eastAsia" w:ascii="宋体" w:hAnsi="宋体" w:eastAsia="宋体" w:cs="宋体"/>
          <w:b/>
          <w:bCs/>
          <w:position w:val="-234"/>
          <w:sz w:val="24"/>
          <w:szCs w:val="24"/>
          <w:lang w:val="en-US" w:eastAsia="zh-CN"/>
        </w:rPr>
        <w:drawing>
          <wp:inline distT="0" distB="0" distL="114300" distR="114300">
            <wp:extent cx="5340985" cy="7560310"/>
            <wp:effectExtent l="0" t="0" r="8255" b="13970"/>
            <wp:docPr id="5" name="图片 5" descr="风电项目可行性研究报告审查意见的函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风电项目可行性研究报告审查意见的函_20"/>
                    <pic:cNvPicPr>
                      <a:picLocks noChangeAspect="1"/>
                    </pic:cNvPicPr>
                  </pic:nvPicPr>
                  <pic:blipFill>
                    <a:blip r:embed="rId392"/>
                    <a:stretch>
                      <a:fillRect/>
                    </a:stretch>
                  </pic:blipFill>
                  <pic:spPr>
                    <a:xfrm>
                      <a:off x="0" y="0"/>
                      <a:ext cx="5340985" cy="7560310"/>
                    </a:xfrm>
                    <a:prstGeom prst="rect">
                      <a:avLst/>
                    </a:prstGeom>
                  </pic:spPr>
                </pic:pic>
              </a:graphicData>
            </a:graphic>
          </wp:inline>
        </w:drawing>
      </w:r>
    </w:p>
    <w:p w14:paraId="18EC0023">
      <w:pPr>
        <w:keepNext w:val="0"/>
        <w:keepLines w:val="0"/>
        <w:pageBreakBefore w:val="0"/>
        <w:widowControl/>
        <w:kinsoku w:val="0"/>
        <w:wordWrap/>
        <w:overflowPunct/>
        <w:topLinePunct w:val="0"/>
        <w:autoSpaceDE w:val="0"/>
        <w:autoSpaceDN w:val="0"/>
        <w:bidi w:val="0"/>
        <w:adjustRightInd w:val="0"/>
        <w:snapToGrid w:val="0"/>
        <w:spacing w:line="240" w:lineRule="auto"/>
        <w:ind w:firstLine="0"/>
        <w:textAlignment w:val="baseline"/>
        <w:rPr>
          <w:rFonts w:hint="eastAsia" w:ascii="宋体" w:hAnsi="宋体" w:eastAsia="宋体" w:cs="宋体"/>
          <w:b/>
          <w:bCs/>
          <w:position w:val="-234"/>
          <w:sz w:val="24"/>
          <w:szCs w:val="24"/>
          <w:lang w:val="en-US" w:eastAsia="zh-CN"/>
        </w:rPr>
      </w:pPr>
      <w:r>
        <w:rPr>
          <w:rFonts w:hint="eastAsia" w:ascii="宋体" w:hAnsi="宋体" w:eastAsia="宋体" w:cs="宋体"/>
          <w:b/>
          <w:bCs/>
          <w:position w:val="-234"/>
          <w:sz w:val="24"/>
          <w:szCs w:val="24"/>
          <w:lang w:val="en-US" w:eastAsia="zh-CN"/>
        </w:rPr>
        <w:drawing>
          <wp:inline distT="0" distB="0" distL="114300" distR="114300">
            <wp:extent cx="5311775" cy="7519035"/>
            <wp:effectExtent l="0" t="0" r="6985" b="9525"/>
            <wp:docPr id="3" name="图片 3" descr="风电项目可行性研究报告审查意见的函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风电项目可行性研究报告审查意见的函_21"/>
                    <pic:cNvPicPr>
                      <a:picLocks noChangeAspect="1"/>
                    </pic:cNvPicPr>
                  </pic:nvPicPr>
                  <pic:blipFill>
                    <a:blip r:embed="rId393"/>
                    <a:stretch>
                      <a:fillRect/>
                    </a:stretch>
                  </pic:blipFill>
                  <pic:spPr>
                    <a:xfrm>
                      <a:off x="0" y="0"/>
                      <a:ext cx="5311775" cy="7519035"/>
                    </a:xfrm>
                    <a:prstGeom prst="rect">
                      <a:avLst/>
                    </a:prstGeom>
                  </pic:spPr>
                </pic:pic>
              </a:graphicData>
            </a:graphic>
          </wp:inline>
        </w:drawing>
      </w:r>
    </w:p>
    <w:p w14:paraId="0AE45367">
      <w:pPr>
        <w:keepNext w:val="0"/>
        <w:keepLines w:val="0"/>
        <w:pageBreakBefore w:val="0"/>
        <w:widowControl/>
        <w:kinsoku w:val="0"/>
        <w:wordWrap/>
        <w:overflowPunct/>
        <w:topLinePunct w:val="0"/>
        <w:autoSpaceDE w:val="0"/>
        <w:autoSpaceDN w:val="0"/>
        <w:bidi w:val="0"/>
        <w:adjustRightInd w:val="0"/>
        <w:snapToGrid w:val="0"/>
        <w:spacing w:line="240" w:lineRule="auto"/>
        <w:ind w:firstLine="0"/>
        <w:textAlignment w:val="baseline"/>
        <w:rPr>
          <w:rFonts w:hint="eastAsia" w:ascii="宋体" w:hAnsi="宋体" w:eastAsia="宋体" w:cs="宋体"/>
          <w:b/>
          <w:bCs/>
          <w:position w:val="-234"/>
          <w:sz w:val="24"/>
          <w:szCs w:val="24"/>
          <w:lang w:val="en-US" w:eastAsia="zh-CN"/>
        </w:rPr>
        <w:sectPr>
          <w:footerReference r:id="rId210" w:type="default"/>
          <w:pgSz w:w="11906" w:h="16838"/>
          <w:pgMar w:top="400" w:right="1785" w:bottom="1295" w:left="1785" w:header="0" w:footer="1133" w:gutter="0"/>
          <w:pgNumType w:fmt="decimal"/>
          <w:cols w:space="720" w:num="1"/>
        </w:sectPr>
      </w:pPr>
      <w:r>
        <w:rPr>
          <w:rFonts w:hint="eastAsia" w:ascii="宋体" w:hAnsi="宋体" w:eastAsia="宋体" w:cs="宋体"/>
          <w:b/>
          <w:bCs/>
          <w:position w:val="-234"/>
          <w:sz w:val="24"/>
          <w:szCs w:val="24"/>
          <w:lang w:val="en-US" w:eastAsia="zh-CN"/>
        </w:rPr>
        <w:drawing>
          <wp:inline distT="0" distB="0" distL="114300" distR="114300">
            <wp:extent cx="5419090" cy="7670800"/>
            <wp:effectExtent l="0" t="0" r="6350" b="10160"/>
            <wp:docPr id="1" name="图片 1" descr="风电项目可行性研究报告审查意见的函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风电项目可行性研究报告审查意见的函_22"/>
                    <pic:cNvPicPr>
                      <a:picLocks noChangeAspect="1"/>
                    </pic:cNvPicPr>
                  </pic:nvPicPr>
                  <pic:blipFill>
                    <a:blip r:embed="rId394"/>
                    <a:stretch>
                      <a:fillRect/>
                    </a:stretch>
                  </pic:blipFill>
                  <pic:spPr>
                    <a:xfrm>
                      <a:off x="0" y="0"/>
                      <a:ext cx="5419090" cy="7670800"/>
                    </a:xfrm>
                    <a:prstGeom prst="rect">
                      <a:avLst/>
                    </a:prstGeom>
                  </pic:spPr>
                </pic:pic>
              </a:graphicData>
            </a:graphic>
          </wp:inline>
        </w:drawing>
      </w:r>
    </w:p>
    <w:p w14:paraId="78193703">
      <w:pPr>
        <w:bidi w:val="0"/>
        <w:rPr>
          <w:rFonts w:hint="eastAsia"/>
          <w:lang w:val="en-US" w:eastAsia="zh-CN"/>
        </w:rPr>
      </w:pPr>
    </w:p>
    <w:p w14:paraId="3A9443A4">
      <w:pPr>
        <w:bidi w:val="0"/>
        <w:rPr>
          <w:rFonts w:hint="eastAsia"/>
          <w:lang w:val="en-US" w:eastAsia="zh-CN"/>
        </w:rPr>
      </w:pPr>
    </w:p>
    <w:p w14:paraId="15BF4D97">
      <w:pPr>
        <w:pStyle w:val="2"/>
        <w:bidi w:val="0"/>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附件 20 不予处罚决定书</w:t>
      </w:r>
    </w:p>
    <w:p w14:paraId="1285DF30">
      <w:pPr>
        <w:rPr>
          <w:rFonts w:hint="eastAsia"/>
          <w:lang w:val="en-US" w:eastAsia="zh-CN"/>
        </w:rPr>
      </w:pPr>
      <w:r>
        <w:rPr>
          <w:rFonts w:hint="eastAsia"/>
          <w:lang w:val="en-US" w:eastAsia="zh-CN"/>
        </w:rPr>
        <w:drawing>
          <wp:inline distT="0" distB="0" distL="114300" distR="114300">
            <wp:extent cx="5290185" cy="7488555"/>
            <wp:effectExtent l="0" t="0" r="13335" b="9525"/>
            <wp:docPr id="49" name="图片 49" descr="1-3通辽市生态环境局不予行政处罚决定书—通环不罚（2026）8-16号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1-3通辽市生态环境局不予行政处罚决定书—通环不罚（2026）8-16号_01"/>
                    <pic:cNvPicPr>
                      <a:picLocks noChangeAspect="1"/>
                    </pic:cNvPicPr>
                  </pic:nvPicPr>
                  <pic:blipFill>
                    <a:blip r:embed="rId395">
                      <a:grayscl/>
                    </a:blip>
                    <a:stretch>
                      <a:fillRect/>
                    </a:stretch>
                  </pic:blipFill>
                  <pic:spPr>
                    <a:xfrm>
                      <a:off x="0" y="0"/>
                      <a:ext cx="5290185" cy="7488555"/>
                    </a:xfrm>
                    <a:prstGeom prst="rect">
                      <a:avLst/>
                    </a:prstGeom>
                  </pic:spPr>
                </pic:pic>
              </a:graphicData>
            </a:graphic>
          </wp:inline>
        </w:drawing>
      </w:r>
    </w:p>
    <w:p w14:paraId="72C1462F">
      <w:pPr>
        <w:rPr>
          <w:rFonts w:hint="eastAsia"/>
          <w:lang w:val="en-US" w:eastAsia="zh-CN"/>
        </w:rPr>
      </w:pPr>
      <w:r>
        <w:rPr>
          <w:rFonts w:hint="eastAsia"/>
          <w:lang w:val="en-US" w:eastAsia="zh-CN"/>
        </w:rPr>
        <w:drawing>
          <wp:inline distT="0" distB="0" distL="114300" distR="114300">
            <wp:extent cx="5344795" cy="7565390"/>
            <wp:effectExtent l="0" t="0" r="4445" b="8890"/>
            <wp:docPr id="47" name="图片 47" descr="1-3通辽市生态环境局不予行政处罚决定书—通环不罚（2026）8-16号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1-3通辽市生态环境局不予行政处罚决定书—通环不罚（2026）8-16号_02"/>
                    <pic:cNvPicPr>
                      <a:picLocks noChangeAspect="1"/>
                    </pic:cNvPicPr>
                  </pic:nvPicPr>
                  <pic:blipFill>
                    <a:blip r:embed="rId396">
                      <a:grayscl/>
                    </a:blip>
                    <a:stretch>
                      <a:fillRect/>
                    </a:stretch>
                  </pic:blipFill>
                  <pic:spPr>
                    <a:xfrm>
                      <a:off x="0" y="0"/>
                      <a:ext cx="5344795" cy="7565390"/>
                    </a:xfrm>
                    <a:prstGeom prst="rect">
                      <a:avLst/>
                    </a:prstGeom>
                  </pic:spPr>
                </pic:pic>
              </a:graphicData>
            </a:graphic>
          </wp:inline>
        </w:drawing>
      </w:r>
    </w:p>
    <w:p w14:paraId="76678611">
      <w:pPr>
        <w:rPr>
          <w:rFonts w:hint="eastAsia"/>
          <w:lang w:val="en-US" w:eastAsia="zh-CN"/>
        </w:rPr>
      </w:pPr>
      <w:r>
        <w:rPr>
          <w:rFonts w:hint="eastAsia"/>
          <w:lang w:val="en-US" w:eastAsia="zh-CN"/>
        </w:rPr>
        <w:drawing>
          <wp:inline distT="0" distB="0" distL="114300" distR="114300">
            <wp:extent cx="5355590" cy="8153400"/>
            <wp:effectExtent l="0" t="0" r="8890" b="0"/>
            <wp:docPr id="45" name="图片 45" descr="1-3通辽市生态环境局不予行政处罚决定书—通环不罚（2026）8-16号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1-3通辽市生态环境局不予行政处罚决定书—通环不罚（2026）8-16号_03"/>
                    <pic:cNvPicPr>
                      <a:picLocks noChangeAspect="1"/>
                    </pic:cNvPicPr>
                  </pic:nvPicPr>
                  <pic:blipFill>
                    <a:blip r:embed="rId397">
                      <a:grayscl/>
                    </a:blip>
                    <a:stretch>
                      <a:fillRect/>
                    </a:stretch>
                  </pic:blipFill>
                  <pic:spPr>
                    <a:xfrm>
                      <a:off x="0" y="0"/>
                      <a:ext cx="5355590" cy="8153400"/>
                    </a:xfrm>
                    <a:prstGeom prst="rect">
                      <a:avLst/>
                    </a:prstGeom>
                  </pic:spPr>
                </pic:pic>
              </a:graphicData>
            </a:graphic>
          </wp:inline>
        </w:drawing>
      </w:r>
    </w:p>
    <w:p w14:paraId="6E1D3B23">
      <w:pPr>
        <w:spacing w:line="11722" w:lineRule="exact"/>
        <w:ind w:firstLine="14"/>
        <w:rPr>
          <w:position w:val="-234"/>
        </w:rPr>
      </w:pPr>
    </w:p>
    <w:sectPr>
      <w:footerReference r:id="rId211" w:type="default"/>
      <w:pgSz w:w="11906" w:h="16838"/>
      <w:pgMar w:top="400" w:right="1785" w:bottom="1295" w:left="1785" w:header="0" w:footer="113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MS UI Gothic">
    <w:panose1 w:val="020B0600070205080204"/>
    <w:charset w:val="86"/>
    <w:family w:val="auto"/>
    <w:pitch w:val="default"/>
    <w:sig w:usb0="E00002FF" w:usb1="6AC7FDFB" w:usb2="08000012" w:usb3="00000000" w:csb0="4002009F" w:csb1="DFD70000"/>
  </w:font>
  <w:font w:name="MS Gothic">
    <w:panose1 w:val="020B0609070205080204"/>
    <w:charset w:val="86"/>
    <w:family w:val="auto"/>
    <w:pitch w:val="default"/>
    <w:sig w:usb0="E00002FF" w:usb1="6AC7FDFB" w:usb2="08000012" w:usb3="00000000" w:csb0="4002009F" w:csb1="DFD7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9FC05">
    <w:pPr>
      <w:spacing w:line="176" w:lineRule="auto"/>
      <w:ind w:left="4866"/>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196EA">
    <w:pPr>
      <w:spacing w:line="176" w:lineRule="auto"/>
      <w:ind w:left="4849"/>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FF8D7">
    <w:pPr>
      <w:spacing w:line="176" w:lineRule="auto"/>
      <w:ind w:left="4852"/>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060AE">
    <w:pPr>
      <w:spacing w:line="176" w:lineRule="auto"/>
      <w:ind w:left="4848"/>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13E13">
    <w:pPr>
      <w:spacing w:line="173" w:lineRule="auto"/>
      <w:ind w:left="4854"/>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CF0B0">
    <w:pPr>
      <w:spacing w:line="176" w:lineRule="auto"/>
      <w:ind w:left="4853"/>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F0392C">
    <w:pPr>
      <w:spacing w:line="173" w:lineRule="auto"/>
      <w:ind w:left="4852"/>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3746D">
    <w:pPr>
      <w:spacing w:line="176" w:lineRule="auto"/>
      <w:ind w:left="4856"/>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90149">
    <w:pPr>
      <w:spacing w:line="176" w:lineRule="auto"/>
      <w:ind w:left="4852"/>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C05C6">
    <w:pPr>
      <w:spacing w:line="176" w:lineRule="auto"/>
      <w:ind w:left="4820"/>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10</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972F3">
    <w:pPr>
      <w:spacing w:line="176" w:lineRule="auto"/>
      <w:ind w:left="4823"/>
      <w:rPr>
        <w:rFonts w:ascii="Times New Roman" w:hAnsi="Times New Roman" w:eastAsia="Times New Roman" w:cs="Times New Roman"/>
        <w:sz w:val="18"/>
        <w:szCs w:val="18"/>
      </w:rPr>
    </w:pPr>
    <w:r>
      <w:rPr>
        <w:rFonts w:ascii="Times New Roman" w:hAnsi="Times New Roman" w:eastAsia="Times New Roman" w:cs="Times New Roman"/>
        <w:spacing w:val="-11"/>
        <w:sz w:val="18"/>
        <w:szCs w:val="18"/>
      </w:rPr>
      <w:t>11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21409">
    <w:pPr>
      <w:spacing w:line="176" w:lineRule="auto"/>
      <w:ind w:left="4820"/>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12</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DEE63">
    <w:pPr>
      <w:spacing w:line="176" w:lineRule="auto"/>
      <w:ind w:left="4820"/>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C5AC1">
    <w:pPr>
      <w:spacing w:line="176" w:lineRule="auto"/>
      <w:ind w:left="4649"/>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14</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3111F">
    <w:pPr>
      <w:spacing w:line="176" w:lineRule="auto"/>
      <w:ind w:left="4649"/>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15</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DC77C">
    <w:pPr>
      <w:spacing w:line="176" w:lineRule="auto"/>
      <w:ind w:left="4649"/>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16</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5C9FD">
    <w:pPr>
      <w:spacing w:line="176" w:lineRule="auto"/>
      <w:ind w:left="4649"/>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17</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DE5638">
    <w:pPr>
      <w:spacing w:line="176" w:lineRule="auto"/>
      <w:ind w:left="4649"/>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18</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A9652">
    <w:pPr>
      <w:spacing w:line="176" w:lineRule="auto"/>
      <w:ind w:left="4649"/>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19</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F1534">
    <w:pPr>
      <w:spacing w:line="176" w:lineRule="auto"/>
      <w:ind w:left="463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20</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CA3C0F">
    <w:pPr>
      <w:spacing w:line="176" w:lineRule="auto"/>
      <w:ind w:left="463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21</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D214D">
    <w:pPr>
      <w:spacing w:line="176" w:lineRule="auto"/>
      <w:ind w:left="463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22</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3DDE1">
    <w:pPr>
      <w:spacing w:line="176" w:lineRule="auto"/>
      <w:ind w:left="463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23</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19C94">
    <w:pPr>
      <w:spacing w:line="176" w:lineRule="auto"/>
      <w:ind w:left="463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24</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69587">
    <w:pPr>
      <w:spacing w:line="176" w:lineRule="auto"/>
      <w:ind w:left="463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48B8B">
    <w:pPr>
      <w:spacing w:line="176" w:lineRule="auto"/>
      <w:ind w:left="463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26</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A3F31">
    <w:pPr>
      <w:spacing w:line="176" w:lineRule="auto"/>
      <w:ind w:left="463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27</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BBCC8">
    <w:pPr>
      <w:spacing w:line="176" w:lineRule="auto"/>
      <w:ind w:left="463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28</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413300">
    <w:pPr>
      <w:spacing w:line="176" w:lineRule="auto"/>
      <w:ind w:left="463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29</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35490">
    <w:pPr>
      <w:spacing w:line="176" w:lineRule="auto"/>
      <w:ind w:left="463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30</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4FFFD">
    <w:pPr>
      <w:spacing w:line="176" w:lineRule="auto"/>
      <w:ind w:left="463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31</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644A7">
    <w:pPr>
      <w:spacing w:line="176" w:lineRule="auto"/>
      <w:ind w:left="463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32</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B4143">
    <w:pPr>
      <w:spacing w:line="176" w:lineRule="auto"/>
      <w:ind w:left="463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33</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FF9EC">
    <w:pPr>
      <w:spacing w:line="176" w:lineRule="auto"/>
      <w:ind w:left="463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34</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C583C">
    <w:pPr>
      <w:spacing w:line="176" w:lineRule="auto"/>
      <w:ind w:left="463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35</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B7A10">
    <w:pPr>
      <w:spacing w:line="176" w:lineRule="auto"/>
      <w:ind w:left="463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36</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B79B3">
    <w:pPr>
      <w:spacing w:line="176" w:lineRule="auto"/>
      <w:ind w:left="463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37</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1B37F">
    <w:pPr>
      <w:spacing w:line="176" w:lineRule="auto"/>
      <w:ind w:left="463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38</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A6191">
    <w:pPr>
      <w:spacing w:line="176" w:lineRule="auto"/>
      <w:ind w:left="463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39</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3DE25">
    <w:pPr>
      <w:spacing w:line="176" w:lineRule="auto"/>
      <w:ind w:left="463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37B7E">
    <w:pPr>
      <w:spacing w:line="176" w:lineRule="auto"/>
      <w:ind w:left="463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AD75A">
    <w:pPr>
      <w:spacing w:line="176" w:lineRule="auto"/>
      <w:ind w:left="463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CC7E6">
    <w:pPr>
      <w:spacing w:line="176" w:lineRule="auto"/>
      <w:ind w:left="463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83D3D">
    <w:pPr>
      <w:spacing w:line="176" w:lineRule="auto"/>
      <w:ind w:left="463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4EEC7">
    <w:pPr>
      <w:spacing w:line="176" w:lineRule="auto"/>
      <w:ind w:left="463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DEC7B">
    <w:pPr>
      <w:spacing w:line="176" w:lineRule="auto"/>
      <w:ind w:left="463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E0470">
    <w:pPr>
      <w:spacing w:line="176" w:lineRule="auto"/>
      <w:ind w:left="463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F3E54">
    <w:pPr>
      <w:spacing w:line="176" w:lineRule="auto"/>
      <w:ind w:left="463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8A946">
    <w:pPr>
      <w:spacing w:line="176" w:lineRule="auto"/>
      <w:ind w:left="4632"/>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13ADB">
    <w:pPr>
      <w:spacing w:line="176" w:lineRule="auto"/>
      <w:ind w:left="463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50</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9235F">
    <w:pPr>
      <w:spacing w:line="176" w:lineRule="auto"/>
      <w:ind w:left="4638"/>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51</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E8528">
    <w:pPr>
      <w:spacing w:line="176" w:lineRule="auto"/>
      <w:ind w:left="4901"/>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52</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1A565">
    <w:pPr>
      <w:spacing w:line="176" w:lineRule="auto"/>
      <w:ind w:left="4901"/>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53</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6EEC9">
    <w:pPr>
      <w:spacing w:line="176" w:lineRule="auto"/>
      <w:ind w:left="4901"/>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54</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1298F2">
    <w:pPr>
      <w:spacing w:line="173" w:lineRule="auto"/>
      <w:ind w:left="4901"/>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55</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08C19">
    <w:pPr>
      <w:spacing w:line="176" w:lineRule="auto"/>
      <w:ind w:left="4901"/>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56</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8D758">
    <w:pPr>
      <w:spacing w:line="173" w:lineRule="auto"/>
      <w:ind w:left="4901"/>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57</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E4AC6">
    <w:pPr>
      <w:spacing w:line="176" w:lineRule="auto"/>
      <w:ind w:left="4901"/>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58</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CE5006">
    <w:pPr>
      <w:spacing w:line="176" w:lineRule="auto"/>
      <w:ind w:left="4901"/>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59</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BC704">
    <w:pPr>
      <w:spacing w:line="176" w:lineRule="auto"/>
      <w:ind w:left="490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60</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7883D">
    <w:pPr>
      <w:spacing w:line="176" w:lineRule="auto"/>
      <w:ind w:left="490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61</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59A0E">
    <w:pPr>
      <w:spacing w:line="176" w:lineRule="auto"/>
      <w:ind w:left="490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62</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411B0">
    <w:pPr>
      <w:spacing w:line="176" w:lineRule="auto"/>
      <w:ind w:left="490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63</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B02BB">
    <w:pPr>
      <w:spacing w:line="176" w:lineRule="auto"/>
      <w:ind w:left="490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64</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29199">
    <w:pPr>
      <w:spacing w:line="176" w:lineRule="auto"/>
      <w:ind w:left="490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65</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BA20E">
    <w:pPr>
      <w:spacing w:line="176" w:lineRule="auto"/>
      <w:ind w:left="490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66</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89C33">
    <w:pPr>
      <w:spacing w:line="176" w:lineRule="auto"/>
      <w:ind w:left="490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67</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A2CD3">
    <w:pPr>
      <w:spacing w:line="176" w:lineRule="auto"/>
      <w:ind w:left="4900"/>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68</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3931D">
    <w:pPr>
      <w:spacing w:line="176" w:lineRule="auto"/>
      <w:ind w:left="4887"/>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69</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247791">
    <w:pPr>
      <w:spacing w:line="176" w:lineRule="auto"/>
      <w:ind w:left="48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70</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CF02E">
    <w:pPr>
      <w:spacing w:line="176" w:lineRule="auto"/>
      <w:ind w:left="48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71</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04D6B">
    <w:pPr>
      <w:spacing w:line="176" w:lineRule="auto"/>
      <w:ind w:left="48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72</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CAE35">
    <w:pPr>
      <w:spacing w:line="176" w:lineRule="auto"/>
      <w:ind w:left="48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73</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2BFE5">
    <w:pPr>
      <w:spacing w:line="176" w:lineRule="auto"/>
      <w:ind w:left="48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74</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071B5">
    <w:pPr>
      <w:spacing w:line="173" w:lineRule="auto"/>
      <w:ind w:left="48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75</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41C82">
    <w:pPr>
      <w:spacing w:line="176" w:lineRule="auto"/>
      <w:ind w:left="48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76</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EDE04">
    <w:pPr>
      <w:spacing w:line="173" w:lineRule="auto"/>
      <w:ind w:left="48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77</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60BA7">
    <w:pPr>
      <w:spacing w:line="176" w:lineRule="auto"/>
      <w:ind w:left="48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78</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5E761">
    <w:pPr>
      <w:spacing w:line="176" w:lineRule="auto"/>
      <w:ind w:left="4886"/>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79</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5497F">
    <w:pPr>
      <w:spacing w:line="176" w:lineRule="auto"/>
      <w:ind w:left="4890"/>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80</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876C2">
    <w:pPr>
      <w:spacing w:line="176" w:lineRule="auto"/>
      <w:ind w:left="4890"/>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81</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1806F">
    <w:pPr>
      <w:spacing w:line="176" w:lineRule="auto"/>
      <w:ind w:left="4890"/>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82</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C59DA">
    <w:pPr>
      <w:spacing w:line="176" w:lineRule="auto"/>
      <w:ind w:left="4890"/>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83</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1D61D">
    <w:pPr>
      <w:spacing w:line="176" w:lineRule="auto"/>
      <w:ind w:left="4890"/>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84</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E707C">
    <w:pPr>
      <w:spacing w:line="176" w:lineRule="auto"/>
      <w:ind w:left="694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85</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5F8AD">
    <w:pPr>
      <w:spacing w:line="176" w:lineRule="auto"/>
      <w:ind w:left="694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86</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8E4B8">
    <w:pPr>
      <w:spacing w:line="176" w:lineRule="auto"/>
      <w:ind w:left="694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87</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EC126">
    <w:pPr>
      <w:spacing w:line="176" w:lineRule="auto"/>
      <w:ind w:left="694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88</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86915">
    <w:pPr>
      <w:spacing w:line="176" w:lineRule="auto"/>
      <w:ind w:left="694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89</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DC623">
    <w:pPr>
      <w:spacing w:line="176" w:lineRule="auto"/>
      <w:ind w:left="6941"/>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90</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C4371">
    <w:pPr>
      <w:spacing w:line="176" w:lineRule="auto"/>
      <w:ind w:left="450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91</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1B802">
    <w:pPr>
      <w:spacing w:line="176" w:lineRule="auto"/>
      <w:ind w:left="412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92</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C2F44">
    <w:pPr>
      <w:spacing w:line="176" w:lineRule="auto"/>
      <w:ind w:left="426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93</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05E31">
    <w:pPr>
      <w:spacing w:line="176" w:lineRule="auto"/>
      <w:ind w:left="426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94</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8FF6A">
    <w:pPr>
      <w:spacing w:line="176" w:lineRule="auto"/>
      <w:ind w:left="4264"/>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95</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DDAAD">
    <w:pPr>
      <w:spacing w:line="176" w:lineRule="auto"/>
      <w:ind w:left="436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96</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C9111">
    <w:pPr>
      <w:spacing w:line="176" w:lineRule="auto"/>
      <w:ind w:left="4605"/>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97</w: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F8901">
    <w:pPr>
      <w:spacing w:line="176" w:lineRule="auto"/>
      <w:ind w:left="4496"/>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98</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CC87D">
    <w:pPr>
      <w:spacing w:line="176" w:lineRule="auto"/>
      <w:ind w:left="4363"/>
      <w:rPr>
        <w:rFonts w:ascii="Times New Roman" w:hAnsi="Times New Roman" w:eastAsia="Times New Roman" w:cs="Times New Roman"/>
        <w:sz w:val="18"/>
        <w:szCs w:val="18"/>
      </w:rPr>
    </w:pPr>
    <w:r>
      <w:rPr>
        <w:rFonts w:ascii="Times New Roman" w:hAnsi="Times New Roman" w:eastAsia="Times New Roman" w:cs="Times New Roman"/>
        <w:spacing w:val="-4"/>
        <w:sz w:val="18"/>
        <w:szCs w:val="18"/>
      </w:rPr>
      <w:t>99</w: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5AD59">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100</w: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AED97">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101</w: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AD754">
    <w:pPr>
      <w:spacing w:line="176" w:lineRule="auto"/>
      <w:ind w:left="7017"/>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l02</w: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31E23">
    <w:pPr>
      <w:spacing w:line="176" w:lineRule="auto"/>
      <w:ind w:left="7017"/>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l03</w:t>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34A9C">
    <w:pPr>
      <w:spacing w:line="176" w:lineRule="auto"/>
      <w:ind w:left="1050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l04</w: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9B6C1">
    <w:pPr>
      <w:spacing w:line="176" w:lineRule="auto"/>
      <w:ind w:left="7017"/>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l05</w: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0D0D2">
    <w:pPr>
      <w:spacing w:line="176" w:lineRule="auto"/>
      <w:ind w:left="7017"/>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l06</w: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A5CE6">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l07</w:t>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59B37">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l08</w: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EF2A2">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l09</w:t>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D39AE">
    <w:pPr>
      <w:spacing w:line="176" w:lineRule="auto"/>
      <w:ind w:left="4235"/>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110</w:t>
    </w: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F0DC3">
    <w:pPr>
      <w:spacing w:line="176" w:lineRule="auto"/>
      <w:ind w:left="4239"/>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111</w:t>
    </w: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1BFE8">
    <w:pPr>
      <w:spacing w:line="176" w:lineRule="auto"/>
      <w:ind w:left="4235"/>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112</w:t>
    </w: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9065">
    <w:pPr>
      <w:spacing w:line="176" w:lineRule="auto"/>
      <w:ind w:left="4235"/>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113</w:t>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492C88">
    <w:pPr>
      <w:spacing w:line="176" w:lineRule="auto"/>
      <w:ind w:left="4235"/>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114</w:t>
    </w: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A49684">
    <w:pPr>
      <w:spacing w:line="176" w:lineRule="auto"/>
      <w:ind w:left="4235"/>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115</w:t>
    </w: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DC526">
    <w:pPr>
      <w:spacing w:line="176" w:lineRule="auto"/>
      <w:ind w:left="4235"/>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116</w:t>
    </w: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09626E">
    <w:pPr>
      <w:spacing w:line="176" w:lineRule="auto"/>
      <w:ind w:left="4235"/>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117</w:t>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BA5D6">
    <w:pPr>
      <w:spacing w:line="176" w:lineRule="auto"/>
      <w:ind w:left="4235"/>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118</w:t>
    </w: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5CA29">
    <w:pPr>
      <w:spacing w:line="176" w:lineRule="auto"/>
      <w:ind w:left="4235"/>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119</w:t>
    </w: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D2138">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l20</w:t>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F4A66">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121</w:t>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E520B">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122</w:t>
    </w:r>
  </w:p>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FA397">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l23</w:t>
    </w:r>
  </w:p>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B7941">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l24</w:t>
    </w:r>
  </w:p>
</w:ftr>
</file>

<file path=word/footer1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2ED7A">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l25</w:t>
    </w:r>
  </w:p>
</w:ftr>
</file>

<file path=word/footer1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445D1">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l26</w:t>
    </w:r>
  </w:p>
</w:ftr>
</file>

<file path=word/footer1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A2F1E">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l27</w:t>
    </w:r>
  </w:p>
</w:ftr>
</file>

<file path=word/footer1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03D2C">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l28</w:t>
    </w:r>
  </w:p>
</w:ftr>
</file>

<file path=word/footer1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1EAFB">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l29</w:t>
    </w:r>
  </w:p>
</w:ftr>
</file>

<file path=word/footer1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51794">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l30</w:t>
    </w:r>
  </w:p>
</w:ftr>
</file>

<file path=word/footer1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B9B86">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131</w:t>
    </w:r>
  </w:p>
</w:ftr>
</file>

<file path=word/footer1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441F9">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l32</w:t>
    </w:r>
  </w:p>
</w:ftr>
</file>

<file path=word/footer1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2DF105">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133</w:t>
    </w:r>
  </w:p>
</w:ftr>
</file>

<file path=word/footer1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C089E4">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l34</w:t>
    </w:r>
  </w:p>
</w:ftr>
</file>

<file path=word/footer1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9F1B5">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l35</w:t>
    </w:r>
  </w:p>
</w:ftr>
</file>

<file path=word/footer1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22F12E">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l36</w:t>
    </w:r>
  </w:p>
</w:ftr>
</file>

<file path=word/footer1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81046">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l37</w:t>
    </w:r>
  </w:p>
</w:ftr>
</file>

<file path=word/footer1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B08F6">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l38</w:t>
    </w:r>
  </w:p>
</w:ftr>
</file>

<file path=word/footer1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3B4BC">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l39</w:t>
    </w:r>
  </w:p>
</w:ftr>
</file>

<file path=word/footer1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9CD7C">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l40</w:t>
    </w:r>
  </w:p>
</w:ftr>
</file>

<file path=word/footer1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0FE48">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141</w:t>
    </w:r>
  </w:p>
</w:ftr>
</file>

<file path=word/footer1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D4F16">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l42</w:t>
    </w:r>
  </w:p>
</w:ftr>
</file>

<file path=word/footer1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3636B">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l43</w:t>
    </w:r>
  </w:p>
</w:ftr>
</file>

<file path=word/footer1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B9AB4">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144</w:t>
    </w:r>
  </w:p>
</w:ftr>
</file>

<file path=word/footer1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F4CBB">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l45</w:t>
    </w:r>
  </w:p>
</w:ftr>
</file>

<file path=word/footer1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2506A">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l46</w:t>
    </w:r>
  </w:p>
</w:ftr>
</file>

<file path=word/footer1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86B76">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l47</w:t>
    </w:r>
  </w:p>
</w:ftr>
</file>

<file path=word/footer1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8C93F">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l48</w:t>
    </w:r>
  </w:p>
</w:ftr>
</file>

<file path=word/footer1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FA069">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l49</w:t>
    </w:r>
  </w:p>
</w:ftr>
</file>

<file path=word/footer1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2E2E74">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l50</w:t>
    </w:r>
  </w:p>
</w:ftr>
</file>

<file path=word/footer1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30830">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151</w:t>
    </w:r>
  </w:p>
</w:ftr>
</file>

<file path=word/footer1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869D3">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l52</w:t>
    </w:r>
  </w:p>
</w:ftr>
</file>

<file path=word/footer1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F3EB7">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l53</w:t>
    </w:r>
  </w:p>
</w:ftr>
</file>

<file path=word/footer1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461C0">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l54</w:t>
    </w:r>
  </w:p>
</w:ftr>
</file>

<file path=word/footer1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01AA8">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155</w:t>
    </w:r>
  </w:p>
</w:ftr>
</file>

<file path=word/footer1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061BE">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l56</w:t>
    </w:r>
  </w:p>
</w:ftr>
</file>

<file path=word/footer1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B012D">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l57</w:t>
    </w:r>
  </w:p>
</w:ftr>
</file>

<file path=word/footer1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D0F2E">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l58</w:t>
    </w:r>
  </w:p>
</w:ftr>
</file>

<file path=word/footer1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CF14C">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l59</w:t>
    </w:r>
  </w:p>
</w:ftr>
</file>

<file path=word/footer1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6CC46">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l60</w:t>
    </w:r>
  </w:p>
</w:ftr>
</file>

<file path=word/footer1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094FA">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161</w:t>
    </w:r>
  </w:p>
</w:ftr>
</file>

<file path=word/footer1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5A257">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l62</w:t>
    </w:r>
  </w:p>
</w:ftr>
</file>

<file path=word/footer1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6536D7">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l63</w:t>
    </w:r>
  </w:p>
</w:ftr>
</file>

<file path=word/footer1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68114">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l64</w:t>
    </w:r>
  </w:p>
</w:ftr>
</file>

<file path=word/footer1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77476">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l65</w:t>
    </w:r>
  </w:p>
</w:ftr>
</file>

<file path=word/footer1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FBB19">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166</w:t>
    </w:r>
  </w:p>
</w:ftr>
</file>

<file path=word/footer1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FCDF4">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l67</w:t>
    </w:r>
  </w:p>
</w:ftr>
</file>

<file path=word/footer1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244C8">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l68</w:t>
    </w:r>
  </w:p>
</w:ftr>
</file>

<file path=word/footer1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19D58">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l69</w:t>
    </w:r>
  </w:p>
</w:ftr>
</file>

<file path=word/footer1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0791A">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l70</w:t>
    </w:r>
  </w:p>
</w:ftr>
</file>

<file path=word/footer1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D6D76">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171</w:t>
    </w:r>
  </w:p>
</w:ftr>
</file>

<file path=word/footer1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EBC24">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l72</w:t>
    </w:r>
  </w:p>
</w:ftr>
</file>

<file path=word/footer1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BC8E3">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l73</w:t>
    </w:r>
  </w:p>
</w:ftr>
</file>

<file path=word/footer1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CE069">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l74</w:t>
    </w:r>
  </w:p>
</w:ftr>
</file>

<file path=word/footer1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DFDE8">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l75</w:t>
    </w:r>
  </w:p>
</w:ftr>
</file>

<file path=word/footer1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E603D">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l76</w:t>
    </w:r>
  </w:p>
</w:ftr>
</file>

<file path=word/footer1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1821A">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177</w:t>
    </w:r>
  </w:p>
</w:ftr>
</file>

<file path=word/footer1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26B89">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l78</w:t>
    </w:r>
  </w:p>
</w:ftr>
</file>

<file path=word/footer1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258D9">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l79</w:t>
    </w:r>
  </w:p>
</w:ftr>
</file>

<file path=word/footer1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C05C66">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l80</w:t>
    </w:r>
  </w:p>
</w:ftr>
</file>

<file path=word/footer1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014D9">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181</w:t>
    </w:r>
  </w:p>
</w:ftr>
</file>

<file path=word/footer1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C62B0">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l82</w:t>
    </w:r>
  </w:p>
</w:ftr>
</file>

<file path=word/footer1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6ED33">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l83</w:t>
    </w:r>
  </w:p>
</w:ftr>
</file>

<file path=word/footer1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F62B0">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l84</w:t>
    </w:r>
  </w:p>
</w:ftr>
</file>

<file path=word/footer1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A34E6">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l85</w:t>
    </w:r>
  </w:p>
</w:ftr>
</file>

<file path=word/footer1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7D748">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l86</w:t>
    </w:r>
  </w:p>
</w:ftr>
</file>

<file path=word/footer1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DB385">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l87</w:t>
    </w:r>
  </w:p>
</w:ftr>
</file>

<file path=word/footer1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658A7">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188</w:t>
    </w:r>
  </w:p>
</w:ftr>
</file>

<file path=word/footer1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6E68E">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l89</w:t>
    </w:r>
  </w:p>
</w:ftr>
</file>

<file path=word/footer1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04FFB">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l90</w:t>
    </w:r>
  </w:p>
</w:ftr>
</file>

<file path=word/footer1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94018">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191</w:t>
    </w:r>
  </w:p>
</w:ftr>
</file>

<file path=word/footer1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99163">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l92</w:t>
    </w:r>
  </w:p>
</w:ftr>
</file>

<file path=word/footer1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CC064">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l93</w:t>
    </w:r>
  </w:p>
</w:ftr>
</file>

<file path=word/footer1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13CED">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l94</w:t>
    </w:r>
  </w:p>
</w:ftr>
</file>

<file path=word/footer1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3BCB2">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l95</w:t>
    </w:r>
  </w:p>
</w:ftr>
</file>

<file path=word/footer1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6474C">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l96</w:t>
    </w:r>
  </w:p>
</w:ftr>
</file>

<file path=word/footer1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747A84">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l97</w:t>
    </w:r>
  </w:p>
</w:ftr>
</file>

<file path=word/footer1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F6A53">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6"/>
        <w:sz w:val="18"/>
        <w:szCs w:val="18"/>
      </w:rPr>
      <w:t>l98</w:t>
    </w:r>
  </w:p>
</w:ftr>
</file>

<file path=word/footer1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5E773">
    <w:pPr>
      <w:spacing w:line="176" w:lineRule="auto"/>
      <w:ind w:left="4232"/>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199</w:t>
    </w:r>
  </w:p>
</w:ftr>
</file>

<file path=word/footer2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1A5160">
    <w:pPr>
      <w:spacing w:line="176" w:lineRule="auto"/>
      <w:ind w:left="421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200</w:t>
    </w:r>
  </w:p>
</w:ftr>
</file>

<file path=word/footer2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ECA6A">
    <w:pPr>
      <w:spacing w:line="176" w:lineRule="auto"/>
      <w:ind w:left="421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201</w:t>
    </w:r>
  </w:p>
</w:ftr>
</file>

<file path=word/footer2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96F06">
    <w:pPr>
      <w:spacing w:line="176" w:lineRule="auto"/>
      <w:ind w:left="421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202</w:t>
    </w:r>
  </w:p>
</w:ftr>
</file>

<file path=word/footer2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885FC">
    <w:pPr>
      <w:spacing w:line="176" w:lineRule="auto"/>
      <w:ind w:left="4215"/>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203</w:t>
    </w:r>
  </w:p>
</w:ftr>
</file>

<file path=word/footer2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51E37">
    <w:pPr>
      <w:spacing w:line="176" w:lineRule="auto"/>
      <w:ind w:left="4215"/>
      <w:rPr>
        <w:rFonts w:hint="default" w:ascii="Times New Roman" w:hAnsi="Times New Roman" w:eastAsia="宋体" w:cs="Times New Roman"/>
        <w:sz w:val="18"/>
        <w:szCs w:val="18"/>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1F7A75">
                          <w:pPr>
                            <w:pStyle w:val="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WXXczAgAAY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B+vqfdVdwORZ&#10;Frb6wfKYJgrp7eoQIGbSOArUqdLrhtlLXerfSRzuP/cp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WXXczAgAAYwQAAA4AAAAAAAAAAQAgAAAAHwEAAGRycy9lMm9Eb2MueG1sUEsF&#10;BgAAAAAGAAYAWQEAAMQFAAAAAA==&#10;">
              <v:fill on="f" focussize="0,0"/>
              <v:stroke on="f" weight="0.5pt"/>
              <v:imagedata o:title=""/>
              <o:lock v:ext="edit" aspectratio="f"/>
              <v:textbox inset="0mm,0mm,0mm,0mm" style="mso-fit-shape-to-text:t;">
                <w:txbxContent>
                  <w:p w14:paraId="0B1F7A75">
                    <w:pPr>
                      <w:pStyle w:val="4"/>
                    </w:pPr>
                  </w:p>
                </w:txbxContent>
              </v:textbox>
            </v:shape>
          </w:pict>
        </mc:Fallback>
      </mc:AlternateContent>
    </w:r>
    <w:r>
      <w:rPr>
        <w:rFonts w:ascii="Times New Roman" w:hAnsi="Times New Roman" w:eastAsia="Times New Roman" w:cs="Times New Roman"/>
        <w:spacing w:val="-1"/>
        <w:sz w:val="18"/>
        <w:szCs w:val="18"/>
      </w:rPr>
      <w:t>2</w:t>
    </w:r>
    <w:r>
      <w:rPr>
        <w:rFonts w:hint="eastAsia" w:ascii="Times New Roman" w:hAnsi="Times New Roman" w:eastAsia="宋体" w:cs="Times New Roman"/>
        <w:spacing w:val="-1"/>
        <w:sz w:val="18"/>
        <w:szCs w:val="18"/>
        <w:lang w:val="en-US" w:eastAsia="zh-CN"/>
      </w:rPr>
      <w:t>25</w:t>
    </w:r>
  </w:p>
</w:ftr>
</file>

<file path=word/footer2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8666D7">
    <w:pPr>
      <w:spacing w:line="176" w:lineRule="auto"/>
      <w:ind w:left="4215"/>
      <w:rPr>
        <w:rFonts w:hint="default" w:ascii="Times New Roman" w:hAnsi="Times New Roman" w:eastAsia="宋体" w:cs="Times New Roman"/>
        <w:sz w:val="18"/>
        <w:szCs w:val="18"/>
        <w:lang w:val="en-US" w:eastAsia="zh-CN"/>
      </w:rPr>
    </w:pPr>
    <w:r>
      <w:rPr>
        <w:rFonts w:ascii="Times New Roman" w:hAnsi="Times New Roman" w:eastAsia="Times New Roman" w:cs="Times New Roman"/>
        <w:spacing w:val="-1"/>
        <w:sz w:val="18"/>
        <w:szCs w:val="18"/>
      </w:rPr>
      <w:t>2</w:t>
    </w:r>
    <w:r>
      <w:rPr>
        <w:rFonts w:hint="eastAsia" w:ascii="Times New Roman" w:hAnsi="Times New Roman" w:eastAsia="宋体" w:cs="Times New Roman"/>
        <w:spacing w:val="-1"/>
        <w:sz w:val="18"/>
        <w:szCs w:val="18"/>
        <w:lang w:val="en-US" w:eastAsia="zh-CN"/>
      </w:rPr>
      <w:t>29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AF550">
    <w:pPr>
      <w:pStyle w:val="3"/>
      <w:spacing w:line="14" w:lineRule="auto"/>
      <w:rPr>
        <w:sz w:val="2"/>
      </w:rPr>
    </w:pPr>
    <w:r>
      <w:pict>
        <v:shape id="WordPictureWatermark58" o:spid="_x0000_s2049" o:spt="75" type="#_x0000_t75" style="position:absolute;left:0pt;margin-left:90.45pt;margin-top:113.5pt;height:442.1pt;width:1009.6pt;mso-position-horizontal-relative:page;mso-position-vertical-relative:page;z-index:-251656192;mso-width-relative:page;mso-height-relative:page;" filled="f" stroked="f" coordsize="21600,21600" o:allowincell="f">
          <v:path/>
          <v:fill on="f" focussize="0,0"/>
          <v:stroke on="f"/>
          <v:imagedata r:id="rId1" o:title=""/>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9DF87">
    <w:pPr>
      <w:pStyle w:val="3"/>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hdrShapeDefaults>
    <o:shapelayout v:ext="edit">
      <o:idmap v:ext="edit" data="2"/>
    </o:shapelayout>
  </w:hdrShapeDefault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M2Q5MDA4YjdmMTY1ZjgwMmRlYjAwZGQ1YmNmZWQ3MGYifQ=="/>
  </w:docVars>
  <w:rsids>
    <w:rsidRoot w:val="00000000"/>
    <w:rsid w:val="0728153B"/>
    <w:rsid w:val="07776A2A"/>
    <w:rsid w:val="12B10BE9"/>
    <w:rsid w:val="7C973E6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unhideWhenUsed/>
    <w:qFormat/>
    <w:uiPriority w:val="0"/>
    <w:pPr>
      <w:keepNext/>
      <w:keepLines/>
      <w:adjustRightInd/>
      <w:snapToGrid/>
      <w:spacing w:beforeLines="0" w:beforeAutospacing="0" w:after="20" w:afterLines="20" w:afterAutospacing="0" w:line="520" w:lineRule="exact"/>
      <w:ind w:firstLine="0" w:firstLineChars="0"/>
      <w:outlineLvl w:val="1"/>
    </w:pPr>
    <w:rPr>
      <w:b/>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95.xml"/><Relationship Id="rId98" Type="http://schemas.openxmlformats.org/officeDocument/2006/relationships/footer" Target="footer94.xml"/><Relationship Id="rId97" Type="http://schemas.openxmlformats.org/officeDocument/2006/relationships/footer" Target="footer93.xml"/><Relationship Id="rId96" Type="http://schemas.openxmlformats.org/officeDocument/2006/relationships/footer" Target="footer92.xml"/><Relationship Id="rId95" Type="http://schemas.openxmlformats.org/officeDocument/2006/relationships/footer" Target="footer91.xml"/><Relationship Id="rId94" Type="http://schemas.openxmlformats.org/officeDocument/2006/relationships/footer" Target="footer90.xml"/><Relationship Id="rId93" Type="http://schemas.openxmlformats.org/officeDocument/2006/relationships/footer" Target="footer89.xml"/><Relationship Id="rId92" Type="http://schemas.openxmlformats.org/officeDocument/2006/relationships/footer" Target="footer88.xml"/><Relationship Id="rId91" Type="http://schemas.openxmlformats.org/officeDocument/2006/relationships/footer" Target="footer87.xml"/><Relationship Id="rId90" Type="http://schemas.openxmlformats.org/officeDocument/2006/relationships/footer" Target="footer86.xml"/><Relationship Id="rId9" Type="http://schemas.openxmlformats.org/officeDocument/2006/relationships/footer" Target="footer5.xml"/><Relationship Id="rId89" Type="http://schemas.openxmlformats.org/officeDocument/2006/relationships/footer" Target="footer85.xml"/><Relationship Id="rId88" Type="http://schemas.openxmlformats.org/officeDocument/2006/relationships/footer" Target="footer84.xml"/><Relationship Id="rId87" Type="http://schemas.openxmlformats.org/officeDocument/2006/relationships/footer" Target="footer83.xml"/><Relationship Id="rId86" Type="http://schemas.openxmlformats.org/officeDocument/2006/relationships/footer" Target="footer82.xml"/><Relationship Id="rId85" Type="http://schemas.openxmlformats.org/officeDocument/2006/relationships/footer" Target="footer81.xml"/><Relationship Id="rId84" Type="http://schemas.openxmlformats.org/officeDocument/2006/relationships/footer" Target="footer80.xml"/><Relationship Id="rId83" Type="http://schemas.openxmlformats.org/officeDocument/2006/relationships/footer" Target="footer79.xml"/><Relationship Id="rId82" Type="http://schemas.openxmlformats.org/officeDocument/2006/relationships/footer" Target="footer78.xml"/><Relationship Id="rId81" Type="http://schemas.openxmlformats.org/officeDocument/2006/relationships/footer" Target="footer77.xml"/><Relationship Id="rId80" Type="http://schemas.openxmlformats.org/officeDocument/2006/relationships/footer" Target="footer76.xml"/><Relationship Id="rId8" Type="http://schemas.openxmlformats.org/officeDocument/2006/relationships/footer" Target="footer4.xml"/><Relationship Id="rId79" Type="http://schemas.openxmlformats.org/officeDocument/2006/relationships/footer" Target="footer75.xml"/><Relationship Id="rId78" Type="http://schemas.openxmlformats.org/officeDocument/2006/relationships/footer" Target="footer74.xml"/><Relationship Id="rId77" Type="http://schemas.openxmlformats.org/officeDocument/2006/relationships/footer" Target="footer73.xml"/><Relationship Id="rId76" Type="http://schemas.openxmlformats.org/officeDocument/2006/relationships/footer" Target="footer72.xml"/><Relationship Id="rId75" Type="http://schemas.openxmlformats.org/officeDocument/2006/relationships/footer" Target="footer71.xml"/><Relationship Id="rId74" Type="http://schemas.openxmlformats.org/officeDocument/2006/relationships/footer" Target="footer70.xml"/><Relationship Id="rId73" Type="http://schemas.openxmlformats.org/officeDocument/2006/relationships/footer" Target="footer69.xml"/><Relationship Id="rId72" Type="http://schemas.openxmlformats.org/officeDocument/2006/relationships/footer" Target="footer68.xml"/><Relationship Id="rId71" Type="http://schemas.openxmlformats.org/officeDocument/2006/relationships/footer" Target="footer67.xml"/><Relationship Id="rId70" Type="http://schemas.openxmlformats.org/officeDocument/2006/relationships/footer" Target="footer66.xml"/><Relationship Id="rId7" Type="http://schemas.openxmlformats.org/officeDocument/2006/relationships/footer" Target="footer3.xml"/><Relationship Id="rId69" Type="http://schemas.openxmlformats.org/officeDocument/2006/relationships/footer" Target="footer65.xml"/><Relationship Id="rId68" Type="http://schemas.openxmlformats.org/officeDocument/2006/relationships/footer" Target="footer64.xml"/><Relationship Id="rId67" Type="http://schemas.openxmlformats.org/officeDocument/2006/relationships/footer" Target="footer63.xml"/><Relationship Id="rId66" Type="http://schemas.openxmlformats.org/officeDocument/2006/relationships/footer" Target="footer62.xml"/><Relationship Id="rId65" Type="http://schemas.openxmlformats.org/officeDocument/2006/relationships/footer" Target="footer61.xml"/><Relationship Id="rId64" Type="http://schemas.openxmlformats.org/officeDocument/2006/relationships/footer" Target="footer60.xml"/><Relationship Id="rId63" Type="http://schemas.openxmlformats.org/officeDocument/2006/relationships/footer" Target="footer59.xml"/><Relationship Id="rId62" Type="http://schemas.openxmlformats.org/officeDocument/2006/relationships/footer" Target="footer58.xml"/><Relationship Id="rId61" Type="http://schemas.openxmlformats.org/officeDocument/2006/relationships/footer" Target="footer57.xml"/><Relationship Id="rId60" Type="http://schemas.openxmlformats.org/officeDocument/2006/relationships/footer" Target="footer56.xml"/><Relationship Id="rId6" Type="http://schemas.openxmlformats.org/officeDocument/2006/relationships/footer" Target="footer2.xml"/><Relationship Id="rId59" Type="http://schemas.openxmlformats.org/officeDocument/2006/relationships/footer" Target="footer55.xml"/><Relationship Id="rId58" Type="http://schemas.openxmlformats.org/officeDocument/2006/relationships/footer" Target="footer54.xml"/><Relationship Id="rId57" Type="http://schemas.openxmlformats.org/officeDocument/2006/relationships/footer" Target="footer53.xml"/><Relationship Id="rId56" Type="http://schemas.openxmlformats.org/officeDocument/2006/relationships/footer" Target="footer52.xml"/><Relationship Id="rId55" Type="http://schemas.openxmlformats.org/officeDocument/2006/relationships/footer" Target="footer51.xml"/><Relationship Id="rId54" Type="http://schemas.openxmlformats.org/officeDocument/2006/relationships/footer" Target="footer50.xml"/><Relationship Id="rId53" Type="http://schemas.openxmlformats.org/officeDocument/2006/relationships/footer" Target="footer49.xml"/><Relationship Id="rId52" Type="http://schemas.openxmlformats.org/officeDocument/2006/relationships/footer" Target="footer48.xml"/><Relationship Id="rId51" Type="http://schemas.openxmlformats.org/officeDocument/2006/relationships/footer" Target="footer47.xml"/><Relationship Id="rId50" Type="http://schemas.openxmlformats.org/officeDocument/2006/relationships/footer" Target="footer46.xml"/><Relationship Id="rId5" Type="http://schemas.openxmlformats.org/officeDocument/2006/relationships/footer" Target="footer1.xml"/><Relationship Id="rId49" Type="http://schemas.openxmlformats.org/officeDocument/2006/relationships/footer" Target="footer45.xml"/><Relationship Id="rId48" Type="http://schemas.openxmlformats.org/officeDocument/2006/relationships/footer" Target="footer44.xml"/><Relationship Id="rId47" Type="http://schemas.openxmlformats.org/officeDocument/2006/relationships/footer" Target="footer43.xml"/><Relationship Id="rId46" Type="http://schemas.openxmlformats.org/officeDocument/2006/relationships/footer" Target="footer42.xml"/><Relationship Id="rId45" Type="http://schemas.openxmlformats.org/officeDocument/2006/relationships/footer" Target="footer41.xml"/><Relationship Id="rId44" Type="http://schemas.openxmlformats.org/officeDocument/2006/relationships/footer" Target="footer40.xml"/><Relationship Id="rId43" Type="http://schemas.openxmlformats.org/officeDocument/2006/relationships/footer" Target="footer39.xml"/><Relationship Id="rId42" Type="http://schemas.openxmlformats.org/officeDocument/2006/relationships/footer" Target="footer38.xml"/><Relationship Id="rId41" Type="http://schemas.openxmlformats.org/officeDocument/2006/relationships/footer" Target="footer37.xml"/><Relationship Id="rId400" Type="http://schemas.openxmlformats.org/officeDocument/2006/relationships/fontTable" Target="fontTable.xml"/><Relationship Id="rId40" Type="http://schemas.openxmlformats.org/officeDocument/2006/relationships/footer" Target="footer36.xml"/><Relationship Id="rId4" Type="http://schemas.openxmlformats.org/officeDocument/2006/relationships/endnotes" Target="endnotes.xml"/><Relationship Id="rId399" Type="http://schemas.openxmlformats.org/officeDocument/2006/relationships/customXml" Target="../customXml/item2.xml"/><Relationship Id="rId398" Type="http://schemas.openxmlformats.org/officeDocument/2006/relationships/customXml" Target="../customXml/item1.xml"/><Relationship Id="rId397" Type="http://schemas.openxmlformats.org/officeDocument/2006/relationships/image" Target="media/image186.jpeg"/><Relationship Id="rId396" Type="http://schemas.openxmlformats.org/officeDocument/2006/relationships/image" Target="media/image185.jpeg"/><Relationship Id="rId395" Type="http://schemas.openxmlformats.org/officeDocument/2006/relationships/image" Target="media/image184.jpeg"/><Relationship Id="rId394" Type="http://schemas.openxmlformats.org/officeDocument/2006/relationships/image" Target="media/image183.jpeg"/><Relationship Id="rId393" Type="http://schemas.openxmlformats.org/officeDocument/2006/relationships/image" Target="media/image182.jpeg"/><Relationship Id="rId392" Type="http://schemas.openxmlformats.org/officeDocument/2006/relationships/image" Target="media/image181.jpeg"/><Relationship Id="rId391" Type="http://schemas.openxmlformats.org/officeDocument/2006/relationships/image" Target="media/image180.jpeg"/><Relationship Id="rId390" Type="http://schemas.openxmlformats.org/officeDocument/2006/relationships/image" Target="media/image179.jpeg"/><Relationship Id="rId39" Type="http://schemas.openxmlformats.org/officeDocument/2006/relationships/footer" Target="footer35.xml"/><Relationship Id="rId389" Type="http://schemas.openxmlformats.org/officeDocument/2006/relationships/image" Target="media/image178.jpeg"/><Relationship Id="rId388" Type="http://schemas.openxmlformats.org/officeDocument/2006/relationships/image" Target="media/image177.jpeg"/><Relationship Id="rId387" Type="http://schemas.openxmlformats.org/officeDocument/2006/relationships/image" Target="media/image176.jpeg"/><Relationship Id="rId386" Type="http://schemas.openxmlformats.org/officeDocument/2006/relationships/image" Target="media/image175.jpeg"/><Relationship Id="rId385" Type="http://schemas.openxmlformats.org/officeDocument/2006/relationships/image" Target="media/image174.jpeg"/><Relationship Id="rId384" Type="http://schemas.openxmlformats.org/officeDocument/2006/relationships/image" Target="media/image173.jpeg"/><Relationship Id="rId383" Type="http://schemas.openxmlformats.org/officeDocument/2006/relationships/image" Target="media/image172.jpeg"/><Relationship Id="rId382" Type="http://schemas.openxmlformats.org/officeDocument/2006/relationships/image" Target="media/image171.jpeg"/><Relationship Id="rId381" Type="http://schemas.openxmlformats.org/officeDocument/2006/relationships/image" Target="media/image170.jpeg"/><Relationship Id="rId380" Type="http://schemas.openxmlformats.org/officeDocument/2006/relationships/image" Target="media/image169.jpeg"/><Relationship Id="rId38" Type="http://schemas.openxmlformats.org/officeDocument/2006/relationships/footer" Target="footer34.xml"/><Relationship Id="rId379" Type="http://schemas.openxmlformats.org/officeDocument/2006/relationships/image" Target="media/image168.jpeg"/><Relationship Id="rId378" Type="http://schemas.openxmlformats.org/officeDocument/2006/relationships/image" Target="media/image167.jpeg"/><Relationship Id="rId377" Type="http://schemas.openxmlformats.org/officeDocument/2006/relationships/image" Target="media/image166.jpeg"/><Relationship Id="rId376" Type="http://schemas.openxmlformats.org/officeDocument/2006/relationships/image" Target="media/image165.jpeg"/><Relationship Id="rId375" Type="http://schemas.openxmlformats.org/officeDocument/2006/relationships/image" Target="media/image164.jpeg"/><Relationship Id="rId374" Type="http://schemas.openxmlformats.org/officeDocument/2006/relationships/image" Target="media/image163.jpeg"/><Relationship Id="rId373" Type="http://schemas.openxmlformats.org/officeDocument/2006/relationships/image" Target="media/image162.jpeg"/><Relationship Id="rId372" Type="http://schemas.openxmlformats.org/officeDocument/2006/relationships/image" Target="media/image161.jpeg"/><Relationship Id="rId371" Type="http://schemas.openxmlformats.org/officeDocument/2006/relationships/image" Target="media/image160.jpeg"/><Relationship Id="rId370" Type="http://schemas.openxmlformats.org/officeDocument/2006/relationships/image" Target="media/image159.jpeg"/><Relationship Id="rId37" Type="http://schemas.openxmlformats.org/officeDocument/2006/relationships/footer" Target="footer33.xml"/><Relationship Id="rId369" Type="http://schemas.openxmlformats.org/officeDocument/2006/relationships/image" Target="media/image158.jpeg"/><Relationship Id="rId368" Type="http://schemas.openxmlformats.org/officeDocument/2006/relationships/image" Target="media/image157.jpeg"/><Relationship Id="rId367" Type="http://schemas.openxmlformats.org/officeDocument/2006/relationships/image" Target="media/image156.jpeg"/><Relationship Id="rId366" Type="http://schemas.openxmlformats.org/officeDocument/2006/relationships/image" Target="media/image155.jpeg"/><Relationship Id="rId365" Type="http://schemas.openxmlformats.org/officeDocument/2006/relationships/image" Target="media/image154.jpeg"/><Relationship Id="rId364" Type="http://schemas.openxmlformats.org/officeDocument/2006/relationships/image" Target="media/image153.jpeg"/><Relationship Id="rId363" Type="http://schemas.openxmlformats.org/officeDocument/2006/relationships/image" Target="media/image152.jpeg"/><Relationship Id="rId362" Type="http://schemas.openxmlformats.org/officeDocument/2006/relationships/image" Target="media/image151.jpeg"/><Relationship Id="rId361" Type="http://schemas.openxmlformats.org/officeDocument/2006/relationships/image" Target="media/image150.jpeg"/><Relationship Id="rId360" Type="http://schemas.openxmlformats.org/officeDocument/2006/relationships/image" Target="media/image149.jpeg"/><Relationship Id="rId36" Type="http://schemas.openxmlformats.org/officeDocument/2006/relationships/footer" Target="footer32.xml"/><Relationship Id="rId359" Type="http://schemas.openxmlformats.org/officeDocument/2006/relationships/image" Target="media/image148.jpeg"/><Relationship Id="rId358" Type="http://schemas.openxmlformats.org/officeDocument/2006/relationships/image" Target="media/image147.jpeg"/><Relationship Id="rId357" Type="http://schemas.openxmlformats.org/officeDocument/2006/relationships/image" Target="media/image146.jpeg"/><Relationship Id="rId356" Type="http://schemas.openxmlformats.org/officeDocument/2006/relationships/image" Target="media/image145.jpeg"/><Relationship Id="rId355" Type="http://schemas.openxmlformats.org/officeDocument/2006/relationships/image" Target="media/image144.jpeg"/><Relationship Id="rId354" Type="http://schemas.openxmlformats.org/officeDocument/2006/relationships/image" Target="media/image143.jpeg"/><Relationship Id="rId353" Type="http://schemas.openxmlformats.org/officeDocument/2006/relationships/image" Target="media/image142.jpeg"/><Relationship Id="rId352" Type="http://schemas.openxmlformats.org/officeDocument/2006/relationships/image" Target="media/image141.jpeg"/><Relationship Id="rId351" Type="http://schemas.openxmlformats.org/officeDocument/2006/relationships/image" Target="media/image140.jpeg"/><Relationship Id="rId350" Type="http://schemas.openxmlformats.org/officeDocument/2006/relationships/image" Target="media/image139.jpeg"/><Relationship Id="rId35" Type="http://schemas.openxmlformats.org/officeDocument/2006/relationships/footer" Target="footer31.xml"/><Relationship Id="rId349" Type="http://schemas.openxmlformats.org/officeDocument/2006/relationships/image" Target="media/image138.jpeg"/><Relationship Id="rId348" Type="http://schemas.openxmlformats.org/officeDocument/2006/relationships/image" Target="media/image137.jpeg"/><Relationship Id="rId347" Type="http://schemas.openxmlformats.org/officeDocument/2006/relationships/image" Target="media/image136.jpeg"/><Relationship Id="rId346" Type="http://schemas.openxmlformats.org/officeDocument/2006/relationships/image" Target="media/image135.jpeg"/><Relationship Id="rId345" Type="http://schemas.openxmlformats.org/officeDocument/2006/relationships/image" Target="media/image134.jpeg"/><Relationship Id="rId344" Type="http://schemas.openxmlformats.org/officeDocument/2006/relationships/image" Target="media/image133.jpeg"/><Relationship Id="rId343" Type="http://schemas.openxmlformats.org/officeDocument/2006/relationships/image" Target="media/image132.jpeg"/><Relationship Id="rId342" Type="http://schemas.openxmlformats.org/officeDocument/2006/relationships/image" Target="media/image131.jpeg"/><Relationship Id="rId341" Type="http://schemas.openxmlformats.org/officeDocument/2006/relationships/image" Target="media/image130.jpeg"/><Relationship Id="rId340" Type="http://schemas.openxmlformats.org/officeDocument/2006/relationships/image" Target="media/image129.jpeg"/><Relationship Id="rId34" Type="http://schemas.openxmlformats.org/officeDocument/2006/relationships/footer" Target="footer30.xml"/><Relationship Id="rId339" Type="http://schemas.openxmlformats.org/officeDocument/2006/relationships/image" Target="media/image128.jpeg"/><Relationship Id="rId338" Type="http://schemas.openxmlformats.org/officeDocument/2006/relationships/image" Target="media/image127.jpeg"/><Relationship Id="rId337" Type="http://schemas.openxmlformats.org/officeDocument/2006/relationships/image" Target="media/image126.jpeg"/><Relationship Id="rId336" Type="http://schemas.openxmlformats.org/officeDocument/2006/relationships/image" Target="media/image125.jpeg"/><Relationship Id="rId335" Type="http://schemas.openxmlformats.org/officeDocument/2006/relationships/image" Target="media/image124.jpeg"/><Relationship Id="rId334" Type="http://schemas.openxmlformats.org/officeDocument/2006/relationships/image" Target="media/image123.jpeg"/><Relationship Id="rId333" Type="http://schemas.openxmlformats.org/officeDocument/2006/relationships/image" Target="media/image122.jpeg"/><Relationship Id="rId332" Type="http://schemas.openxmlformats.org/officeDocument/2006/relationships/image" Target="media/image121.jpeg"/><Relationship Id="rId331" Type="http://schemas.openxmlformats.org/officeDocument/2006/relationships/image" Target="media/image120.jpeg"/><Relationship Id="rId330" Type="http://schemas.openxmlformats.org/officeDocument/2006/relationships/image" Target="media/image119.jpeg"/><Relationship Id="rId33" Type="http://schemas.openxmlformats.org/officeDocument/2006/relationships/footer" Target="footer29.xml"/><Relationship Id="rId329" Type="http://schemas.openxmlformats.org/officeDocument/2006/relationships/image" Target="media/image118.jpeg"/><Relationship Id="rId328" Type="http://schemas.openxmlformats.org/officeDocument/2006/relationships/image" Target="media/image117.jpeg"/><Relationship Id="rId327" Type="http://schemas.openxmlformats.org/officeDocument/2006/relationships/image" Target="media/image116.jpeg"/><Relationship Id="rId326" Type="http://schemas.openxmlformats.org/officeDocument/2006/relationships/image" Target="media/image115.jpeg"/><Relationship Id="rId325" Type="http://schemas.openxmlformats.org/officeDocument/2006/relationships/image" Target="media/image114.jpeg"/><Relationship Id="rId324" Type="http://schemas.openxmlformats.org/officeDocument/2006/relationships/image" Target="media/image113.jpeg"/><Relationship Id="rId323" Type="http://schemas.openxmlformats.org/officeDocument/2006/relationships/image" Target="media/image112.jpeg"/><Relationship Id="rId322" Type="http://schemas.openxmlformats.org/officeDocument/2006/relationships/image" Target="media/image111.jpeg"/><Relationship Id="rId321" Type="http://schemas.openxmlformats.org/officeDocument/2006/relationships/image" Target="media/image110.jpeg"/><Relationship Id="rId320" Type="http://schemas.openxmlformats.org/officeDocument/2006/relationships/image" Target="media/image109.jpeg"/><Relationship Id="rId32" Type="http://schemas.openxmlformats.org/officeDocument/2006/relationships/footer" Target="footer28.xml"/><Relationship Id="rId319" Type="http://schemas.openxmlformats.org/officeDocument/2006/relationships/image" Target="media/image108.jpeg"/><Relationship Id="rId318" Type="http://schemas.openxmlformats.org/officeDocument/2006/relationships/image" Target="media/image107.jpeg"/><Relationship Id="rId317" Type="http://schemas.openxmlformats.org/officeDocument/2006/relationships/image" Target="media/image106.jpeg"/><Relationship Id="rId316" Type="http://schemas.openxmlformats.org/officeDocument/2006/relationships/image" Target="media/image105.jpeg"/><Relationship Id="rId315" Type="http://schemas.openxmlformats.org/officeDocument/2006/relationships/image" Target="media/image104.jpeg"/><Relationship Id="rId314" Type="http://schemas.openxmlformats.org/officeDocument/2006/relationships/image" Target="media/image103.jpeg"/><Relationship Id="rId313" Type="http://schemas.openxmlformats.org/officeDocument/2006/relationships/image" Target="media/image102.jpeg"/><Relationship Id="rId312" Type="http://schemas.openxmlformats.org/officeDocument/2006/relationships/image" Target="media/image101.jpeg"/><Relationship Id="rId311" Type="http://schemas.openxmlformats.org/officeDocument/2006/relationships/image" Target="media/image100.jpeg"/><Relationship Id="rId310" Type="http://schemas.openxmlformats.org/officeDocument/2006/relationships/image" Target="media/image99.jpeg"/><Relationship Id="rId31" Type="http://schemas.openxmlformats.org/officeDocument/2006/relationships/footer" Target="footer27.xml"/><Relationship Id="rId309" Type="http://schemas.openxmlformats.org/officeDocument/2006/relationships/image" Target="media/image98.jpeg"/><Relationship Id="rId308" Type="http://schemas.openxmlformats.org/officeDocument/2006/relationships/image" Target="media/image97.jpeg"/><Relationship Id="rId307" Type="http://schemas.openxmlformats.org/officeDocument/2006/relationships/image" Target="media/image96.jpeg"/><Relationship Id="rId306" Type="http://schemas.openxmlformats.org/officeDocument/2006/relationships/image" Target="media/image95.jpeg"/><Relationship Id="rId305" Type="http://schemas.openxmlformats.org/officeDocument/2006/relationships/image" Target="media/image94.jpeg"/><Relationship Id="rId304" Type="http://schemas.openxmlformats.org/officeDocument/2006/relationships/image" Target="media/image93.jpeg"/><Relationship Id="rId303" Type="http://schemas.openxmlformats.org/officeDocument/2006/relationships/image" Target="media/image92.jpeg"/><Relationship Id="rId302" Type="http://schemas.openxmlformats.org/officeDocument/2006/relationships/image" Target="media/image91.jpeg"/><Relationship Id="rId301" Type="http://schemas.openxmlformats.org/officeDocument/2006/relationships/image" Target="media/image90.jpeg"/><Relationship Id="rId300" Type="http://schemas.openxmlformats.org/officeDocument/2006/relationships/image" Target="media/image89.jpeg"/><Relationship Id="rId30" Type="http://schemas.openxmlformats.org/officeDocument/2006/relationships/footer" Target="footer26.xml"/><Relationship Id="rId3" Type="http://schemas.openxmlformats.org/officeDocument/2006/relationships/footnotes" Target="footnotes.xml"/><Relationship Id="rId299" Type="http://schemas.openxmlformats.org/officeDocument/2006/relationships/image" Target="media/image88.jpeg"/><Relationship Id="rId298" Type="http://schemas.openxmlformats.org/officeDocument/2006/relationships/image" Target="media/image87.jpeg"/><Relationship Id="rId297" Type="http://schemas.openxmlformats.org/officeDocument/2006/relationships/image" Target="media/image86.jpeg"/><Relationship Id="rId296" Type="http://schemas.openxmlformats.org/officeDocument/2006/relationships/image" Target="media/image85.jpeg"/><Relationship Id="rId295" Type="http://schemas.openxmlformats.org/officeDocument/2006/relationships/image" Target="media/image84.jpeg"/><Relationship Id="rId294" Type="http://schemas.openxmlformats.org/officeDocument/2006/relationships/image" Target="media/image83.jpeg"/><Relationship Id="rId293" Type="http://schemas.openxmlformats.org/officeDocument/2006/relationships/image" Target="media/image82.jpeg"/><Relationship Id="rId292" Type="http://schemas.openxmlformats.org/officeDocument/2006/relationships/image" Target="media/image81.jpeg"/><Relationship Id="rId291" Type="http://schemas.openxmlformats.org/officeDocument/2006/relationships/image" Target="media/image80.jpeg"/><Relationship Id="rId290" Type="http://schemas.openxmlformats.org/officeDocument/2006/relationships/image" Target="media/image79.jpeg"/><Relationship Id="rId29" Type="http://schemas.openxmlformats.org/officeDocument/2006/relationships/footer" Target="footer25.xml"/><Relationship Id="rId289" Type="http://schemas.openxmlformats.org/officeDocument/2006/relationships/image" Target="media/image78.jpeg"/><Relationship Id="rId288" Type="http://schemas.openxmlformats.org/officeDocument/2006/relationships/image" Target="media/image77.jpeg"/><Relationship Id="rId287" Type="http://schemas.openxmlformats.org/officeDocument/2006/relationships/image" Target="media/image76.jpeg"/><Relationship Id="rId286" Type="http://schemas.openxmlformats.org/officeDocument/2006/relationships/image" Target="media/image75.jpeg"/><Relationship Id="rId285" Type="http://schemas.openxmlformats.org/officeDocument/2006/relationships/image" Target="media/image74.jpeg"/><Relationship Id="rId284" Type="http://schemas.openxmlformats.org/officeDocument/2006/relationships/image" Target="media/image73.jpeg"/><Relationship Id="rId283" Type="http://schemas.openxmlformats.org/officeDocument/2006/relationships/image" Target="media/image72.jpeg"/><Relationship Id="rId282" Type="http://schemas.openxmlformats.org/officeDocument/2006/relationships/image" Target="media/image71.jpeg"/><Relationship Id="rId281" Type="http://schemas.openxmlformats.org/officeDocument/2006/relationships/image" Target="media/image70.jpeg"/><Relationship Id="rId280" Type="http://schemas.openxmlformats.org/officeDocument/2006/relationships/image" Target="media/image69.jpeg"/><Relationship Id="rId28" Type="http://schemas.openxmlformats.org/officeDocument/2006/relationships/footer" Target="footer24.xml"/><Relationship Id="rId279" Type="http://schemas.openxmlformats.org/officeDocument/2006/relationships/image" Target="media/image68.jpeg"/><Relationship Id="rId278" Type="http://schemas.openxmlformats.org/officeDocument/2006/relationships/image" Target="media/image67.jpeg"/><Relationship Id="rId277" Type="http://schemas.openxmlformats.org/officeDocument/2006/relationships/image" Target="media/image66.jpeg"/><Relationship Id="rId276" Type="http://schemas.openxmlformats.org/officeDocument/2006/relationships/image" Target="media/image65.jpeg"/><Relationship Id="rId275" Type="http://schemas.openxmlformats.org/officeDocument/2006/relationships/image" Target="media/image64.png"/><Relationship Id="rId274" Type="http://schemas.openxmlformats.org/officeDocument/2006/relationships/image" Target="media/image63.jpeg"/><Relationship Id="rId273" Type="http://schemas.openxmlformats.org/officeDocument/2006/relationships/image" Target="media/image62.png"/><Relationship Id="rId272" Type="http://schemas.openxmlformats.org/officeDocument/2006/relationships/image" Target="media/image61.png"/><Relationship Id="rId271" Type="http://schemas.openxmlformats.org/officeDocument/2006/relationships/image" Target="media/image60.png"/><Relationship Id="rId270" Type="http://schemas.openxmlformats.org/officeDocument/2006/relationships/image" Target="media/image59.png"/><Relationship Id="rId27" Type="http://schemas.openxmlformats.org/officeDocument/2006/relationships/footer" Target="footer23.xml"/><Relationship Id="rId269" Type="http://schemas.openxmlformats.org/officeDocument/2006/relationships/image" Target="media/image58.png"/><Relationship Id="rId268" Type="http://schemas.openxmlformats.org/officeDocument/2006/relationships/image" Target="media/image57.png"/><Relationship Id="rId267" Type="http://schemas.openxmlformats.org/officeDocument/2006/relationships/image" Target="media/image56.jpeg"/><Relationship Id="rId266" Type="http://schemas.openxmlformats.org/officeDocument/2006/relationships/image" Target="media/image55.png"/><Relationship Id="rId265" Type="http://schemas.openxmlformats.org/officeDocument/2006/relationships/image" Target="media/image54.jpeg"/><Relationship Id="rId264" Type="http://schemas.openxmlformats.org/officeDocument/2006/relationships/image" Target="media/image53.png"/><Relationship Id="rId263" Type="http://schemas.openxmlformats.org/officeDocument/2006/relationships/image" Target="media/image52.png"/><Relationship Id="rId262" Type="http://schemas.openxmlformats.org/officeDocument/2006/relationships/image" Target="media/image51.png"/><Relationship Id="rId261" Type="http://schemas.openxmlformats.org/officeDocument/2006/relationships/image" Target="media/image50.jpeg"/><Relationship Id="rId260" Type="http://schemas.openxmlformats.org/officeDocument/2006/relationships/image" Target="media/image49.jpeg"/><Relationship Id="rId26" Type="http://schemas.openxmlformats.org/officeDocument/2006/relationships/footer" Target="footer22.xml"/><Relationship Id="rId259" Type="http://schemas.openxmlformats.org/officeDocument/2006/relationships/image" Target="media/image48.jpeg"/><Relationship Id="rId258" Type="http://schemas.openxmlformats.org/officeDocument/2006/relationships/image" Target="media/image47.png"/><Relationship Id="rId257" Type="http://schemas.openxmlformats.org/officeDocument/2006/relationships/image" Target="media/image46.png"/><Relationship Id="rId256" Type="http://schemas.openxmlformats.org/officeDocument/2006/relationships/image" Target="media/image45.jpeg"/><Relationship Id="rId255" Type="http://schemas.openxmlformats.org/officeDocument/2006/relationships/image" Target="media/image44.jpeg"/><Relationship Id="rId254" Type="http://schemas.openxmlformats.org/officeDocument/2006/relationships/image" Target="media/image43.jpeg"/><Relationship Id="rId253" Type="http://schemas.openxmlformats.org/officeDocument/2006/relationships/image" Target="media/image42.jpeg"/><Relationship Id="rId252" Type="http://schemas.openxmlformats.org/officeDocument/2006/relationships/image" Target="media/image41.jpeg"/><Relationship Id="rId251" Type="http://schemas.openxmlformats.org/officeDocument/2006/relationships/image" Target="media/image40.png"/><Relationship Id="rId250" Type="http://schemas.openxmlformats.org/officeDocument/2006/relationships/image" Target="media/image39.jpeg"/><Relationship Id="rId25" Type="http://schemas.openxmlformats.org/officeDocument/2006/relationships/footer" Target="footer21.xml"/><Relationship Id="rId249" Type="http://schemas.openxmlformats.org/officeDocument/2006/relationships/image" Target="media/image38.png"/><Relationship Id="rId248" Type="http://schemas.openxmlformats.org/officeDocument/2006/relationships/image" Target="media/image37.png"/><Relationship Id="rId247" Type="http://schemas.openxmlformats.org/officeDocument/2006/relationships/image" Target="media/image36.jpeg"/><Relationship Id="rId246" Type="http://schemas.openxmlformats.org/officeDocument/2006/relationships/image" Target="media/image35.jpeg"/><Relationship Id="rId245" Type="http://schemas.openxmlformats.org/officeDocument/2006/relationships/image" Target="media/image34.jpeg"/><Relationship Id="rId244" Type="http://schemas.openxmlformats.org/officeDocument/2006/relationships/image" Target="media/image33.jpeg"/><Relationship Id="rId243" Type="http://schemas.openxmlformats.org/officeDocument/2006/relationships/image" Target="media/image32.jpeg"/><Relationship Id="rId242" Type="http://schemas.openxmlformats.org/officeDocument/2006/relationships/image" Target="media/image31.jpeg"/><Relationship Id="rId241" Type="http://schemas.openxmlformats.org/officeDocument/2006/relationships/image" Target="media/image30.jpeg"/><Relationship Id="rId240" Type="http://schemas.openxmlformats.org/officeDocument/2006/relationships/image" Target="media/image29.jpeg"/><Relationship Id="rId24" Type="http://schemas.openxmlformats.org/officeDocument/2006/relationships/footer" Target="footer20.xml"/><Relationship Id="rId239" Type="http://schemas.openxmlformats.org/officeDocument/2006/relationships/image" Target="media/image28.jpeg"/><Relationship Id="rId238" Type="http://schemas.openxmlformats.org/officeDocument/2006/relationships/image" Target="media/image27.jpeg"/><Relationship Id="rId237" Type="http://schemas.openxmlformats.org/officeDocument/2006/relationships/image" Target="media/image26.jpeg"/><Relationship Id="rId236" Type="http://schemas.openxmlformats.org/officeDocument/2006/relationships/image" Target="media/image25.jpeg"/><Relationship Id="rId235" Type="http://schemas.openxmlformats.org/officeDocument/2006/relationships/image" Target="media/image24.jpeg"/><Relationship Id="rId234" Type="http://schemas.openxmlformats.org/officeDocument/2006/relationships/image" Target="media/image23.jpeg"/><Relationship Id="rId233" Type="http://schemas.openxmlformats.org/officeDocument/2006/relationships/image" Target="media/image22.jpeg"/><Relationship Id="rId232" Type="http://schemas.openxmlformats.org/officeDocument/2006/relationships/image" Target="media/image21.jpeg"/><Relationship Id="rId231" Type="http://schemas.openxmlformats.org/officeDocument/2006/relationships/image" Target="media/image20.jpeg"/><Relationship Id="rId230" Type="http://schemas.openxmlformats.org/officeDocument/2006/relationships/image" Target="media/image19.jpeg"/><Relationship Id="rId23" Type="http://schemas.openxmlformats.org/officeDocument/2006/relationships/footer" Target="footer19.xml"/><Relationship Id="rId229" Type="http://schemas.openxmlformats.org/officeDocument/2006/relationships/image" Target="media/image18.jpeg"/><Relationship Id="rId228" Type="http://schemas.openxmlformats.org/officeDocument/2006/relationships/image" Target="media/image17.jpeg"/><Relationship Id="rId227" Type="http://schemas.openxmlformats.org/officeDocument/2006/relationships/image" Target="media/image16.jpeg"/><Relationship Id="rId226" Type="http://schemas.openxmlformats.org/officeDocument/2006/relationships/image" Target="media/image15.jpeg"/><Relationship Id="rId225" Type="http://schemas.openxmlformats.org/officeDocument/2006/relationships/image" Target="media/image14.jpeg"/><Relationship Id="rId224" Type="http://schemas.openxmlformats.org/officeDocument/2006/relationships/image" Target="media/image13.jpeg"/><Relationship Id="rId223" Type="http://schemas.openxmlformats.org/officeDocument/2006/relationships/image" Target="media/image12.png"/><Relationship Id="rId222" Type="http://schemas.openxmlformats.org/officeDocument/2006/relationships/image" Target="media/image11.png"/><Relationship Id="rId221" Type="http://schemas.openxmlformats.org/officeDocument/2006/relationships/image" Target="media/image10.jpeg"/><Relationship Id="rId220" Type="http://schemas.openxmlformats.org/officeDocument/2006/relationships/image" Target="media/image9.jpeg"/><Relationship Id="rId22" Type="http://schemas.openxmlformats.org/officeDocument/2006/relationships/footer" Target="footer18.xml"/><Relationship Id="rId219" Type="http://schemas.openxmlformats.org/officeDocument/2006/relationships/image" Target="media/image8.png"/><Relationship Id="rId218" Type="http://schemas.openxmlformats.org/officeDocument/2006/relationships/image" Target="media/image7.png"/><Relationship Id="rId217" Type="http://schemas.openxmlformats.org/officeDocument/2006/relationships/image" Target="media/image6.png"/><Relationship Id="rId216" Type="http://schemas.openxmlformats.org/officeDocument/2006/relationships/image" Target="media/image5.jpeg"/><Relationship Id="rId215" Type="http://schemas.openxmlformats.org/officeDocument/2006/relationships/image" Target="media/image4.jpeg"/><Relationship Id="rId214" Type="http://schemas.openxmlformats.org/officeDocument/2006/relationships/image" Target="media/image3.jpeg"/><Relationship Id="rId213" Type="http://schemas.openxmlformats.org/officeDocument/2006/relationships/image" Target="media/image2.jpeg"/><Relationship Id="rId212" Type="http://schemas.openxmlformats.org/officeDocument/2006/relationships/theme" Target="theme/theme1.xml"/><Relationship Id="rId211" Type="http://schemas.openxmlformats.org/officeDocument/2006/relationships/footer" Target="footer205.xml"/><Relationship Id="rId210" Type="http://schemas.openxmlformats.org/officeDocument/2006/relationships/footer" Target="footer204.xml"/><Relationship Id="rId21" Type="http://schemas.openxmlformats.org/officeDocument/2006/relationships/footer" Target="footer17.xml"/><Relationship Id="rId209" Type="http://schemas.openxmlformats.org/officeDocument/2006/relationships/footer" Target="footer203.xml"/><Relationship Id="rId208" Type="http://schemas.openxmlformats.org/officeDocument/2006/relationships/footer" Target="footer202.xml"/><Relationship Id="rId207" Type="http://schemas.openxmlformats.org/officeDocument/2006/relationships/footer" Target="footer201.xml"/><Relationship Id="rId206" Type="http://schemas.openxmlformats.org/officeDocument/2006/relationships/footer" Target="footer200.xml"/><Relationship Id="rId205" Type="http://schemas.openxmlformats.org/officeDocument/2006/relationships/footer" Target="footer199.xml"/><Relationship Id="rId204" Type="http://schemas.openxmlformats.org/officeDocument/2006/relationships/footer" Target="footer198.xml"/><Relationship Id="rId203" Type="http://schemas.openxmlformats.org/officeDocument/2006/relationships/footer" Target="footer197.xml"/><Relationship Id="rId202" Type="http://schemas.openxmlformats.org/officeDocument/2006/relationships/footer" Target="footer196.xml"/><Relationship Id="rId201" Type="http://schemas.openxmlformats.org/officeDocument/2006/relationships/footer" Target="footer195.xml"/><Relationship Id="rId200" Type="http://schemas.openxmlformats.org/officeDocument/2006/relationships/footer" Target="footer194.xml"/><Relationship Id="rId20" Type="http://schemas.openxmlformats.org/officeDocument/2006/relationships/footer" Target="footer16.xml"/><Relationship Id="rId2" Type="http://schemas.openxmlformats.org/officeDocument/2006/relationships/settings" Target="settings.xml"/><Relationship Id="rId199" Type="http://schemas.openxmlformats.org/officeDocument/2006/relationships/footer" Target="footer193.xml"/><Relationship Id="rId198" Type="http://schemas.openxmlformats.org/officeDocument/2006/relationships/footer" Target="footer192.xml"/><Relationship Id="rId197" Type="http://schemas.openxmlformats.org/officeDocument/2006/relationships/footer" Target="footer191.xml"/><Relationship Id="rId196" Type="http://schemas.openxmlformats.org/officeDocument/2006/relationships/footer" Target="footer190.xml"/><Relationship Id="rId195" Type="http://schemas.openxmlformats.org/officeDocument/2006/relationships/footer" Target="footer189.xml"/><Relationship Id="rId194" Type="http://schemas.openxmlformats.org/officeDocument/2006/relationships/footer" Target="footer188.xml"/><Relationship Id="rId193" Type="http://schemas.openxmlformats.org/officeDocument/2006/relationships/footer" Target="footer187.xml"/><Relationship Id="rId192" Type="http://schemas.openxmlformats.org/officeDocument/2006/relationships/footer" Target="footer186.xml"/><Relationship Id="rId191" Type="http://schemas.openxmlformats.org/officeDocument/2006/relationships/footer" Target="footer185.xml"/><Relationship Id="rId190" Type="http://schemas.openxmlformats.org/officeDocument/2006/relationships/footer" Target="footer184.xml"/><Relationship Id="rId19" Type="http://schemas.openxmlformats.org/officeDocument/2006/relationships/footer" Target="footer15.xml"/><Relationship Id="rId189" Type="http://schemas.openxmlformats.org/officeDocument/2006/relationships/footer" Target="footer183.xml"/><Relationship Id="rId188" Type="http://schemas.openxmlformats.org/officeDocument/2006/relationships/footer" Target="footer182.xml"/><Relationship Id="rId187" Type="http://schemas.openxmlformats.org/officeDocument/2006/relationships/footer" Target="footer181.xml"/><Relationship Id="rId186" Type="http://schemas.openxmlformats.org/officeDocument/2006/relationships/footer" Target="footer180.xml"/><Relationship Id="rId185" Type="http://schemas.openxmlformats.org/officeDocument/2006/relationships/footer" Target="footer179.xml"/><Relationship Id="rId184" Type="http://schemas.openxmlformats.org/officeDocument/2006/relationships/footer" Target="footer178.xml"/><Relationship Id="rId183" Type="http://schemas.openxmlformats.org/officeDocument/2006/relationships/footer" Target="footer177.xml"/><Relationship Id="rId182" Type="http://schemas.openxmlformats.org/officeDocument/2006/relationships/footer" Target="footer176.xml"/><Relationship Id="rId181" Type="http://schemas.openxmlformats.org/officeDocument/2006/relationships/footer" Target="footer175.xml"/><Relationship Id="rId180" Type="http://schemas.openxmlformats.org/officeDocument/2006/relationships/footer" Target="footer174.xml"/><Relationship Id="rId18" Type="http://schemas.openxmlformats.org/officeDocument/2006/relationships/footer" Target="footer14.xml"/><Relationship Id="rId179" Type="http://schemas.openxmlformats.org/officeDocument/2006/relationships/footer" Target="footer173.xml"/><Relationship Id="rId178" Type="http://schemas.openxmlformats.org/officeDocument/2006/relationships/footer" Target="footer172.xml"/><Relationship Id="rId177" Type="http://schemas.openxmlformats.org/officeDocument/2006/relationships/footer" Target="footer171.xml"/><Relationship Id="rId176" Type="http://schemas.openxmlformats.org/officeDocument/2006/relationships/footer" Target="footer170.xml"/><Relationship Id="rId175" Type="http://schemas.openxmlformats.org/officeDocument/2006/relationships/footer" Target="footer169.xml"/><Relationship Id="rId174" Type="http://schemas.openxmlformats.org/officeDocument/2006/relationships/footer" Target="footer168.xml"/><Relationship Id="rId173" Type="http://schemas.openxmlformats.org/officeDocument/2006/relationships/footer" Target="footer167.xml"/><Relationship Id="rId172" Type="http://schemas.openxmlformats.org/officeDocument/2006/relationships/footer" Target="footer166.xml"/><Relationship Id="rId171" Type="http://schemas.openxmlformats.org/officeDocument/2006/relationships/footer" Target="footer165.xml"/><Relationship Id="rId170" Type="http://schemas.openxmlformats.org/officeDocument/2006/relationships/footer" Target="footer164.xml"/><Relationship Id="rId17" Type="http://schemas.openxmlformats.org/officeDocument/2006/relationships/footer" Target="footer13.xml"/><Relationship Id="rId169" Type="http://schemas.openxmlformats.org/officeDocument/2006/relationships/footer" Target="footer163.xml"/><Relationship Id="rId168" Type="http://schemas.openxmlformats.org/officeDocument/2006/relationships/footer" Target="footer162.xml"/><Relationship Id="rId167" Type="http://schemas.openxmlformats.org/officeDocument/2006/relationships/footer" Target="footer161.xml"/><Relationship Id="rId166" Type="http://schemas.openxmlformats.org/officeDocument/2006/relationships/footer" Target="footer160.xml"/><Relationship Id="rId165" Type="http://schemas.openxmlformats.org/officeDocument/2006/relationships/footer" Target="footer159.xml"/><Relationship Id="rId164" Type="http://schemas.openxmlformats.org/officeDocument/2006/relationships/footer" Target="footer158.xml"/><Relationship Id="rId163" Type="http://schemas.openxmlformats.org/officeDocument/2006/relationships/footer" Target="footer157.xml"/><Relationship Id="rId162" Type="http://schemas.openxmlformats.org/officeDocument/2006/relationships/footer" Target="footer156.xml"/><Relationship Id="rId161" Type="http://schemas.openxmlformats.org/officeDocument/2006/relationships/footer" Target="footer155.xml"/><Relationship Id="rId160" Type="http://schemas.openxmlformats.org/officeDocument/2006/relationships/footer" Target="footer154.xml"/><Relationship Id="rId16" Type="http://schemas.openxmlformats.org/officeDocument/2006/relationships/footer" Target="footer12.xml"/><Relationship Id="rId159" Type="http://schemas.openxmlformats.org/officeDocument/2006/relationships/footer" Target="footer153.xml"/><Relationship Id="rId158" Type="http://schemas.openxmlformats.org/officeDocument/2006/relationships/footer" Target="footer152.xml"/><Relationship Id="rId157" Type="http://schemas.openxmlformats.org/officeDocument/2006/relationships/footer" Target="footer151.xml"/><Relationship Id="rId156" Type="http://schemas.openxmlformats.org/officeDocument/2006/relationships/footer" Target="footer150.xml"/><Relationship Id="rId155" Type="http://schemas.openxmlformats.org/officeDocument/2006/relationships/footer" Target="footer149.xml"/><Relationship Id="rId154" Type="http://schemas.openxmlformats.org/officeDocument/2006/relationships/footer" Target="footer148.xml"/><Relationship Id="rId153" Type="http://schemas.openxmlformats.org/officeDocument/2006/relationships/footer" Target="footer147.xml"/><Relationship Id="rId152" Type="http://schemas.openxmlformats.org/officeDocument/2006/relationships/footer" Target="footer146.xml"/><Relationship Id="rId151" Type="http://schemas.openxmlformats.org/officeDocument/2006/relationships/footer" Target="footer145.xml"/><Relationship Id="rId150" Type="http://schemas.openxmlformats.org/officeDocument/2006/relationships/footer" Target="footer144.xml"/><Relationship Id="rId15" Type="http://schemas.openxmlformats.org/officeDocument/2006/relationships/footer" Target="footer11.xml"/><Relationship Id="rId149" Type="http://schemas.openxmlformats.org/officeDocument/2006/relationships/footer" Target="footer143.xml"/><Relationship Id="rId148" Type="http://schemas.openxmlformats.org/officeDocument/2006/relationships/footer" Target="footer142.xml"/><Relationship Id="rId147" Type="http://schemas.openxmlformats.org/officeDocument/2006/relationships/footer" Target="footer141.xml"/><Relationship Id="rId146" Type="http://schemas.openxmlformats.org/officeDocument/2006/relationships/footer" Target="footer140.xml"/><Relationship Id="rId145" Type="http://schemas.openxmlformats.org/officeDocument/2006/relationships/footer" Target="footer139.xml"/><Relationship Id="rId144" Type="http://schemas.openxmlformats.org/officeDocument/2006/relationships/footer" Target="footer138.xml"/><Relationship Id="rId143" Type="http://schemas.openxmlformats.org/officeDocument/2006/relationships/footer" Target="footer137.xml"/><Relationship Id="rId142" Type="http://schemas.openxmlformats.org/officeDocument/2006/relationships/footer" Target="footer136.xml"/><Relationship Id="rId141" Type="http://schemas.openxmlformats.org/officeDocument/2006/relationships/footer" Target="footer135.xml"/><Relationship Id="rId140" Type="http://schemas.openxmlformats.org/officeDocument/2006/relationships/footer" Target="footer134.xml"/><Relationship Id="rId14" Type="http://schemas.openxmlformats.org/officeDocument/2006/relationships/footer" Target="footer10.xml"/><Relationship Id="rId139" Type="http://schemas.openxmlformats.org/officeDocument/2006/relationships/footer" Target="footer133.xml"/><Relationship Id="rId138" Type="http://schemas.openxmlformats.org/officeDocument/2006/relationships/footer" Target="footer132.xml"/><Relationship Id="rId137" Type="http://schemas.openxmlformats.org/officeDocument/2006/relationships/footer" Target="footer131.xml"/><Relationship Id="rId136" Type="http://schemas.openxmlformats.org/officeDocument/2006/relationships/footer" Target="footer130.xml"/><Relationship Id="rId135" Type="http://schemas.openxmlformats.org/officeDocument/2006/relationships/footer" Target="footer129.xml"/><Relationship Id="rId134" Type="http://schemas.openxmlformats.org/officeDocument/2006/relationships/footer" Target="footer128.xml"/><Relationship Id="rId133" Type="http://schemas.openxmlformats.org/officeDocument/2006/relationships/footer" Target="footer127.xml"/><Relationship Id="rId132" Type="http://schemas.openxmlformats.org/officeDocument/2006/relationships/footer" Target="footer126.xml"/><Relationship Id="rId131" Type="http://schemas.openxmlformats.org/officeDocument/2006/relationships/footer" Target="footer125.xml"/><Relationship Id="rId130" Type="http://schemas.openxmlformats.org/officeDocument/2006/relationships/footer" Target="footer124.xml"/><Relationship Id="rId13" Type="http://schemas.openxmlformats.org/officeDocument/2006/relationships/footer" Target="footer9.xml"/><Relationship Id="rId129" Type="http://schemas.openxmlformats.org/officeDocument/2006/relationships/footer" Target="footer123.xml"/><Relationship Id="rId128" Type="http://schemas.openxmlformats.org/officeDocument/2006/relationships/footer" Target="footer122.xml"/><Relationship Id="rId127" Type="http://schemas.openxmlformats.org/officeDocument/2006/relationships/footer" Target="footer121.xml"/><Relationship Id="rId126" Type="http://schemas.openxmlformats.org/officeDocument/2006/relationships/footer" Target="footer120.xml"/><Relationship Id="rId125" Type="http://schemas.openxmlformats.org/officeDocument/2006/relationships/footer" Target="footer119.xml"/><Relationship Id="rId124" Type="http://schemas.openxmlformats.org/officeDocument/2006/relationships/footer" Target="footer118.xml"/><Relationship Id="rId123" Type="http://schemas.openxmlformats.org/officeDocument/2006/relationships/footer" Target="footer117.xml"/><Relationship Id="rId122" Type="http://schemas.openxmlformats.org/officeDocument/2006/relationships/footer" Target="footer116.xml"/><Relationship Id="rId121" Type="http://schemas.openxmlformats.org/officeDocument/2006/relationships/footer" Target="footer115.xml"/><Relationship Id="rId120" Type="http://schemas.openxmlformats.org/officeDocument/2006/relationships/footer" Target="footer114.xml"/><Relationship Id="rId12" Type="http://schemas.openxmlformats.org/officeDocument/2006/relationships/footer" Target="footer8.xml"/><Relationship Id="rId119" Type="http://schemas.openxmlformats.org/officeDocument/2006/relationships/footer" Target="footer113.xml"/><Relationship Id="rId118" Type="http://schemas.openxmlformats.org/officeDocument/2006/relationships/footer" Target="footer112.xml"/><Relationship Id="rId117" Type="http://schemas.openxmlformats.org/officeDocument/2006/relationships/footer" Target="footer111.xml"/><Relationship Id="rId116" Type="http://schemas.openxmlformats.org/officeDocument/2006/relationships/footer" Target="footer110.xml"/><Relationship Id="rId115" Type="http://schemas.openxmlformats.org/officeDocument/2006/relationships/footer" Target="footer109.xml"/><Relationship Id="rId114" Type="http://schemas.openxmlformats.org/officeDocument/2006/relationships/footer" Target="footer108.xml"/><Relationship Id="rId113" Type="http://schemas.openxmlformats.org/officeDocument/2006/relationships/footer" Target="footer107.xml"/><Relationship Id="rId112" Type="http://schemas.openxmlformats.org/officeDocument/2006/relationships/footer" Target="footer106.xml"/><Relationship Id="rId111" Type="http://schemas.openxmlformats.org/officeDocument/2006/relationships/footer" Target="footer105.xml"/><Relationship Id="rId110" Type="http://schemas.openxmlformats.org/officeDocument/2006/relationships/header" Target="header2.xml"/><Relationship Id="rId11" Type="http://schemas.openxmlformats.org/officeDocument/2006/relationships/footer" Target="footer7.xml"/><Relationship Id="rId109" Type="http://schemas.openxmlformats.org/officeDocument/2006/relationships/footer" Target="footer104.xml"/><Relationship Id="rId108" Type="http://schemas.openxmlformats.org/officeDocument/2006/relationships/header" Target="header1.xml"/><Relationship Id="rId107" Type="http://schemas.openxmlformats.org/officeDocument/2006/relationships/footer" Target="footer103.xml"/><Relationship Id="rId106" Type="http://schemas.openxmlformats.org/officeDocument/2006/relationships/footer" Target="footer102.xml"/><Relationship Id="rId105" Type="http://schemas.openxmlformats.org/officeDocument/2006/relationships/footer" Target="footer101.xml"/><Relationship Id="rId104" Type="http://schemas.openxmlformats.org/officeDocument/2006/relationships/footer" Target="footer100.xml"/><Relationship Id="rId103" Type="http://schemas.openxmlformats.org/officeDocument/2006/relationships/footer" Target="footer99.xml"/><Relationship Id="rId102" Type="http://schemas.openxmlformats.org/officeDocument/2006/relationships/footer" Target="footer98.xml"/><Relationship Id="rId101" Type="http://schemas.openxmlformats.org/officeDocument/2006/relationships/footer" Target="footer97.xml"/><Relationship Id="rId100" Type="http://schemas.openxmlformats.org/officeDocument/2006/relationships/footer" Target="footer96.xml"/><Relationship Id="rId10" Type="http://schemas.openxmlformats.org/officeDocument/2006/relationships/footer" Target="footer6.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1026" textRotate="1"/>
    <customShpInfo spid="_x0000_s1027"/>
    <customShpInfo spid="_x0000_s1028"/>
    <customShpInfo spid="_x0000_s1029"/>
    <customShpInfo spid="_x0000_s1030"/>
    <customShpInfo spid="_x0000_s1032"/>
    <customShpInfo spid="_x0000_s1033"/>
    <customShpInfo spid="_x0000_s1031"/>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9"/>
    <customShpInfo spid="_x0000_s1050"/>
    <customShpInfo spid="_x0000_s1048"/>
    <customShpInfo spid="_x0000_s1052"/>
    <customShpInfo spid="_x0000_s1053"/>
    <customShpInfo spid="_x0000_s1051"/>
    <customShpInfo spid="_x0000_s1054"/>
    <customShpInfo spid="_x0000_s1056"/>
    <customShpInfo spid="_x0000_s1057"/>
    <customShpInfo spid="_x0000_s1058"/>
    <customShpInfo spid="_x0000_s1055"/>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dccb1a-6e62-4be2-91ec-71a6413c013f}">
  <ds:schemaRefs/>
</ds:datastoreItem>
</file>

<file path=docProps/app.xml><?xml version="1.0" encoding="utf-8"?>
<Properties xmlns="http://schemas.openxmlformats.org/officeDocument/2006/extended-properties" xmlns:vt="http://schemas.openxmlformats.org/officeDocument/2006/docPropsVTypes">
  <Pages>240</Pages>
  <Words>20692</Words>
  <Characters>23110</Characters>
  <TotalTime>7</TotalTime>
  <ScaleCrop>false</ScaleCrop>
  <LinksUpToDate>false</LinksUpToDate>
  <CharactersWithSpaces>24227</CharactersWithSpaces>
  <Application>WPS Office_12.1.0.18608_F1E327BC-269C-435d-A152-05C5408002CA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2026-09-17T15:28:00Z</dcterms:created>
  <dc:creator>lhj</dc:creator>
  <cp:lastModifiedBy>dr</cp:lastModifiedBy>
  <dcterms:modified xsi:type="dcterms:W3CDTF">2026-09-22T08:32:11Z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2026-09-17T15:35:38Z</vt:filetime>
  </property>
  <property fmtid="{D5CDD505-2E9C-101B-9397-08002B2CF9AE}" pid="4" name="KSOTemplateDocerSaveRecord">
    <vt:lpwstr>eyJoZGlkIjoiYjE3NTI4MGQwOGRlODM2NzdkNmZlNjE4MzlmZTExMjYiLCJ1c2VySWQiOiIyMjc5OTg0MTkifQ==</vt:lpwstr>
  </property>
  <property fmtid="{D5CDD505-2E9C-101B-9397-08002B2CF9AE}" pid="5" name="KSOProductBuildVer">
    <vt:lpwstr>2052-12.1.0.18608</vt:lpwstr>
  </property>
  <property fmtid="{D5CDD505-2E9C-101B-9397-08002B2CF9AE}" pid="6" name="ICV">
    <vt:lpwstr>C3C8DC1CF65F492F82A3D9E024FEF2E3_12</vt:lpwstr>
  </property>
</Properties>
</file>