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关于中节能风力发电股份有限公司察右前旗（兴和县）50万千瓦工业园区绿色供电项目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（察右前旗部分）220kV升压站工程建设</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 xml:space="preserve">项目环境影响报告表的批复 </w:t>
      </w:r>
      <w:bookmarkEnd w:id="0"/>
    </w:p>
    <mc:AlternateContent>
      <mc:Choice Requires="wpsCustomData">
        <wpsCustomData:docfieldEnd id="0"/>
      </mc:Choice>
    </mc:AlternateContent>
    <w:p>
      <w:pPr>
        <w:pStyle w:val="2"/>
        <w:jc w:val="center"/>
        <w:rPr>
          <w:rFonts w:hint="eastAsia"/>
          <w:lang w:eastAsia="zh-CN"/>
        </w:rPr>
      </w:pPr>
      <w:bookmarkStart w:id="1" w:name="文号"/>
      <mc:AlternateContent>
        <mc:Choice Requires="wpsCustomData">
          <wpsCustomData:docfieldStart id="1" docfieldname="文号" hidden="false" print="true" readonly="false" index="1"/>
        </mc:Choice>
      </mc:AlternateContent>
      <w:bookmarkStart w:id="5" w:name="_GoBack"/>
      <w:r>
        <w:rPr>
          <w:rFonts w:hint="eastAsia" w:ascii="仿宋_GB2312" w:hAnsi="仿宋" w:eastAsia="仿宋_GB2312"/>
          <w:b w:val="0"/>
          <w:bCs w:val="0"/>
          <w:sz w:val="32"/>
          <w:szCs w:val="32"/>
          <w:lang w:eastAsia="zh-CN"/>
        </w:rPr>
        <w:t>内环表〔2025〕319号</w:t>
      </w:r>
      <w:bookmarkEnd w:id="1"/>
      <mc:AlternateContent>
        <mc:Choice Requires="wpsCustomData">
          <wpsCustomData:docfieldEnd id="1"/>
        </mc:Choice>
      </mc:AlternateContent>
      <w:bookmarkEnd w:id="5"/>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中节能（察哈尔右翼前旗）风力发电有限公司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20"/>
        <w:spacing w:line="560" w:lineRule="exact"/>
        <w:ind w:firstLine="643"/>
        <w:rPr>
          <w:rFonts w:ascii="仿宋_GB2312" w:eastAsia="仿宋_GB2312"/>
          <w:sz w:val="32"/>
          <w:szCs w:val="32"/>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hAnsi="仿宋_GB2312" w:eastAsia="仿宋_GB2312"/>
          <w:bCs/>
          <w:color w:val="auto"/>
          <w:sz w:val="32"/>
          <w:szCs w:val="32"/>
        </w:rPr>
        <w:t>你公司报送的《中节能风力发电股份有限公司察右前旗（兴和县）50万千瓦工业园区绿色供电项目（察右前旗部分）220kV升压站工程</w:t>
      </w:r>
      <w:r>
        <w:rPr>
          <w:rFonts w:hint="eastAsia" w:ascii="仿宋_GB2312" w:hAnsi="仿宋_GB2312" w:eastAsia="仿宋_GB2312"/>
          <w:bCs/>
          <w:color w:val="auto"/>
          <w:sz w:val="32"/>
          <w:szCs w:val="32"/>
          <w:highlight w:val="none"/>
        </w:rPr>
        <w:t>建设项</w:t>
      </w:r>
      <w:r>
        <w:rPr>
          <w:rFonts w:hint="eastAsia" w:ascii="仿宋_GB2312" w:hAnsi="仿宋_GB2312" w:eastAsia="仿宋_GB2312"/>
          <w:bCs/>
          <w:color w:val="auto"/>
          <w:sz w:val="32"/>
          <w:szCs w:val="32"/>
        </w:rPr>
        <w:t>目</w:t>
      </w:r>
      <w:r>
        <w:rPr>
          <w:rFonts w:hint="eastAsia" w:ascii="仿宋_GB2312" w:hAnsi="仿宋" w:eastAsia="仿宋_GB2312"/>
          <w:color w:val="auto"/>
          <w:sz w:val="32"/>
          <w:szCs w:val="32"/>
        </w:rPr>
        <w:t>环境影响报告表》（以下简称《报告表》）收悉。经研究，批复如下：</w:t>
      </w:r>
    </w:p>
    <w:p>
      <w:pPr>
        <w:pStyle w:val="21"/>
        <w:spacing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20"/>
        <w:pageBreakBefore w:val="0"/>
        <w:kinsoku/>
        <w:wordWrap/>
        <w:overflowPunct/>
        <w:topLinePunct w:val="0"/>
        <w:bidi w:val="0"/>
        <w:snapToGrid/>
        <w:spacing w:line="560" w:lineRule="exact"/>
        <w:ind w:firstLine="643"/>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新建1座220kV升压站，建设2×250MVA主变，220kV出线1</w:t>
      </w:r>
      <w:r>
        <w:rPr>
          <w:rFonts w:hint="eastAsia" w:ascii="仿宋_GB2312" w:hAnsi="仿宋_GB2312" w:eastAsia="仿宋_GB2312" w:cs="仿宋_GB2312"/>
          <w:bCs/>
          <w:sz w:val="32"/>
          <w:szCs w:val="32"/>
          <w:lang w:eastAsia="zh-CN"/>
        </w:rPr>
        <w:t>回</w:t>
      </w:r>
      <w:r>
        <w:rPr>
          <w:rFonts w:hint="eastAsia" w:ascii="仿宋_GB2312" w:hAnsi="仿宋_GB2312" w:eastAsia="仿宋_GB2312" w:cs="仿宋_GB2312"/>
          <w:bCs/>
          <w:sz w:val="32"/>
          <w:szCs w:val="32"/>
        </w:rPr>
        <w:t>。</w:t>
      </w:r>
    </w:p>
    <w:p>
      <w:pPr>
        <w:widowControl/>
        <w:spacing w:line="56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bCs/>
          <w:sz w:val="32"/>
          <w:szCs w:val="32"/>
        </w:rPr>
        <w:t>本项目建设地点位于内蒙古自治区乌兰察布市</w:t>
      </w:r>
      <w:r>
        <w:rPr>
          <w:rFonts w:hint="eastAsia" w:ascii="仿宋_GB2312" w:eastAsia="仿宋_GB2312"/>
          <w:bCs/>
          <w:kern w:val="0"/>
          <w:sz w:val="32"/>
          <w:szCs w:val="32"/>
        </w:rPr>
        <w:t>察哈尔右翼</w:t>
      </w:r>
      <w:r>
        <w:rPr>
          <w:rFonts w:hint="eastAsia" w:ascii="仿宋_GB2312" w:eastAsia="仿宋_GB2312"/>
          <w:bCs/>
          <w:kern w:val="0"/>
          <w:sz w:val="32"/>
          <w:szCs w:val="32"/>
          <w:lang w:eastAsia="zh-CN"/>
        </w:rPr>
        <w:t>前</w:t>
      </w:r>
      <w:r>
        <w:rPr>
          <w:rFonts w:hint="eastAsia" w:ascii="仿宋_GB2312" w:eastAsia="仿宋_GB2312"/>
          <w:bCs/>
          <w:kern w:val="0"/>
          <w:sz w:val="32"/>
          <w:szCs w:val="32"/>
        </w:rPr>
        <w:t>旗</w:t>
      </w:r>
      <w:r>
        <w:rPr>
          <w:rFonts w:hint="eastAsia" w:ascii="仿宋_GB2312" w:eastAsia="仿宋_GB2312"/>
          <w:bCs/>
          <w:sz w:val="32"/>
          <w:szCs w:val="32"/>
        </w:rPr>
        <w:t>境内。</w:t>
      </w:r>
    </w:p>
    <w:p>
      <w:pPr>
        <w:pStyle w:val="20"/>
        <w:spacing w:line="560" w:lineRule="exact"/>
        <w:ind w:firstLine="640"/>
        <w:rPr>
          <w:rFonts w:ascii="仿宋_GB2312" w:hAnsi="仿宋" w:eastAsia="仿宋_GB2312" w:cs="宋体"/>
          <w:sz w:val="32"/>
          <w:szCs w:val="32"/>
        </w:rPr>
      </w:pPr>
      <w:r>
        <w:rPr>
          <w:rFonts w:hint="eastAsia" w:ascii="仿宋_GB2312" w:hAnsi="仿宋" w:eastAsia="仿宋_GB2312" w:cs="宋体"/>
          <w:sz w:val="32"/>
          <w:szCs w:val="32"/>
        </w:rPr>
        <w:t>二、总体意见</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eastAsia="仿宋_GB2312"/>
          <w:sz w:val="32"/>
          <w:szCs w:val="32"/>
        </w:rPr>
        <w:t>本项目在严格落实《报告表》提出的各项环境保护措</w:t>
      </w:r>
      <w:r>
        <w:rPr>
          <w:rFonts w:hint="eastAsia" w:ascii="仿宋_GB2312" w:hAnsi="仿宋" w:eastAsia="仿宋_GB2312"/>
          <w:sz w:val="32"/>
          <w:szCs w:val="32"/>
        </w:rPr>
        <w:t>施后，对</w:t>
      </w:r>
      <w:r>
        <w:rPr>
          <w:rFonts w:hint="eastAsia" w:ascii="仿宋_GB2312" w:hAnsi="仿宋_GB2312" w:eastAsia="仿宋_GB2312"/>
          <w:bCs/>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sz w:val="32"/>
          <w:szCs w:val="32"/>
        </w:rPr>
        <w:t>建设。</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（二）认真落实《报告表》中提出的控制和改善工频电场、工频磁场对周边环境影响的措施和方法，监测值应符合《电磁环境控制限值》（GB8702-2014）要求。</w:t>
      </w:r>
    </w:p>
    <w:p>
      <w:pPr>
        <w:pStyle w:val="20"/>
        <w:spacing w:line="560" w:lineRule="exact"/>
        <w:ind w:firstLine="640"/>
        <w:rPr>
          <w:rFonts w:hint="eastAsia" w:ascii="仿宋_GB2312" w:hAnsi="仿宋" w:eastAsia="仿宋_GB2312"/>
          <w:sz w:val="32"/>
          <w:szCs w:val="32"/>
        </w:rPr>
      </w:pPr>
      <w:r>
        <w:rPr>
          <w:rFonts w:hint="eastAsia" w:ascii="仿宋_GB2312" w:hAnsi="仿宋" w:eastAsia="仿宋_GB2312"/>
          <w:color w:val="000000" w:themeColor="text1"/>
          <w:sz w:val="32"/>
          <w:szCs w:val="32"/>
          <w14:textFill>
            <w14:solidFill>
              <w14:schemeClr w14:val="tx1"/>
            </w14:solidFill>
          </w14:textFill>
        </w:rPr>
        <w:t>（三）</w:t>
      </w:r>
      <w:r>
        <w:rPr>
          <w:rFonts w:hint="eastAsia" w:ascii="仿宋_GB2312" w:hAnsi="仿宋" w:eastAsia="仿宋_GB2312"/>
          <w:color w:val="000000" w:themeColor="text1"/>
          <w:sz w:val="32"/>
          <w:szCs w:val="32"/>
          <w:lang w:val="en-US" w:eastAsia="zh-CN"/>
          <w14:textFill>
            <w14:solidFill>
              <w14:schemeClr w14:val="tx1"/>
            </w14:solidFill>
          </w14:textFill>
        </w:rPr>
        <w:t>运营期升压站生活污水经化粪池及生活污水一体化处理设备处理后冬季储存，夏季用于绿化、道路洒水。</w:t>
      </w:r>
      <w:r>
        <w:rPr>
          <w:rFonts w:hint="eastAsia" w:ascii="仿宋_GB2312" w:hAnsi="仿宋" w:eastAsia="仿宋_GB2312"/>
          <w:color w:val="000000" w:themeColor="text1"/>
          <w:kern w:val="2"/>
          <w:sz w:val="32"/>
          <w:szCs w:val="32"/>
          <w:lang w:val="en-US"/>
          <w14:textFill>
            <w14:solidFill>
              <w14:schemeClr w14:val="tx1"/>
            </w14:solidFill>
          </w14:textFill>
        </w:rPr>
        <w:t>对设备维修过程中产生的废变压器油、废蓄电池等应全部回收，如不能全部回收，必须单独存放，</w:t>
      </w:r>
      <w:r>
        <w:rPr>
          <w:rFonts w:hint="eastAsia" w:ascii="仿宋_GB2312" w:hAnsi="仿宋" w:eastAsia="仿宋_GB2312"/>
          <w:color w:val="000000" w:themeColor="text1"/>
          <w:sz w:val="32"/>
          <w:szCs w:val="32"/>
          <w14:textFill>
            <w14:solidFill>
              <w14:schemeClr w14:val="tx1"/>
            </w14:solidFill>
          </w14:textFill>
        </w:rPr>
        <w:t>集中送交有相应危险废物经营许可资质的单位处置。</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四</w:t>
      </w:r>
      <w:r>
        <w:rPr>
          <w:rFonts w:hint="eastAsia" w:ascii="仿宋_GB2312" w:hAnsi="仿宋" w:eastAsia="仿宋_GB2312"/>
          <w:sz w:val="32"/>
          <w:szCs w:val="32"/>
        </w:rPr>
        <w:t>）项目施工期及运行期的噪声值及防噪措施应满足《报告表》中提出的要求，监测值应符合国家评价标准限值要求。</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五</w:t>
      </w:r>
      <w:r>
        <w:rPr>
          <w:rFonts w:hint="eastAsia" w:ascii="仿宋_GB2312" w:hAnsi="仿宋" w:eastAsia="仿宋_GB2312"/>
          <w:sz w:val="32"/>
          <w:szCs w:val="32"/>
        </w:rPr>
        <w:t>）环境影响报告表经批准后，项目的性质、规模、地点或生态保护、污染防治措施发生重大变动的，应当按要求重新报批。</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五、我厅委托</w:t>
      </w:r>
      <w:r>
        <w:rPr>
          <w:rFonts w:hint="eastAsia" w:ascii="仿宋_GB2312" w:eastAsia="仿宋_GB2312"/>
          <w:bCs/>
          <w:sz w:val="32"/>
          <w:szCs w:val="32"/>
        </w:rPr>
        <w:t>乌兰察布市</w:t>
      </w:r>
      <w:r>
        <w:rPr>
          <w:rFonts w:hint="eastAsia" w:ascii="仿宋_GB2312" w:hAnsi="仿宋" w:eastAsia="仿宋_GB2312"/>
          <w:color w:val="000000" w:themeColor="text1"/>
          <w:sz w:val="32"/>
          <w:szCs w:val="32"/>
          <w14:textFill>
            <w14:solidFill>
              <w14:schemeClr w14:val="tx1"/>
            </w14:solidFill>
          </w14:textFill>
        </w:rPr>
        <w:t>生态环境局</w:t>
      </w:r>
      <w:r>
        <w:rPr>
          <w:rFonts w:hint="eastAsia" w:ascii="仿宋_GB2312" w:hAnsi="仿宋" w:eastAsia="仿宋_GB2312"/>
          <w:sz w:val="32"/>
          <w:szCs w:val="32"/>
        </w:rPr>
        <w:t>负责该项目施工期的监督检查工作。</w:t>
      </w:r>
    </w:p>
    <w:p>
      <w:pPr>
        <w:pStyle w:val="2"/>
        <w:rPr>
          <w:rFonts w:ascii="仿宋_GB2312" w:hAnsi="仿宋" w:eastAsia="仿宋_GB2312"/>
          <w:spacing w:val="-4"/>
          <w:sz w:val="32"/>
          <w:szCs w:val="32"/>
        </w:rPr>
      </w:pPr>
    </w:p>
    <mc:AlternateContent>
      <mc:Choice Requires="wpsCustomData">
        <wpsCustomData:docfieldEnd id="3"/>
      </mc:Choice>
    </mc:AlternateContent>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4"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2025年11月18日</w:t>
      </w:r>
      <mc:AlternateContent>
        <mc:Choice Requires="wpsCustomData">
          <wpsCustomData:docfieldEnd id="4"/>
        </mc:Choice>
      </mc:AlternateContent>
      <w:bookmarkEnd w:id="4"/>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Pr>
        <w:pStyle w:val="2"/>
      </w:pPr>
    </w:p>
    <w:p/>
    <w:p>
      <w:pPr>
        <w:spacing w:line="14" w:lineRule="exact"/>
        <w:ind w:right="315" w:rightChars="150"/>
        <w:rPr>
          <w:rFonts w:ascii="仿宋_GB2312" w:hAnsi="仿宋" w:eastAsia="仿宋_GB2312"/>
          <w:sz w:val="28"/>
          <w:szCs w:val="28"/>
        </w:rPr>
      </w:pPr>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BFF7329"/>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8E5E7A3C"/>
    <w:rsid w:val="DF4FEC23"/>
    <w:rsid w:val="FB737E87"/>
    <w:rsid w:val="FDBE67B1"/>
    <w:rsid w:val="FDEEA370"/>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708</Words>
  <Characters>736</Characters>
  <Lines>5</Lines>
  <Paragraphs>1</Paragraphs>
  <TotalTime>0</TotalTime>
  <ScaleCrop>false</ScaleCrop>
  <LinksUpToDate>false</LinksUpToDate>
  <CharactersWithSpaces>736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2023-02-15T00:32:00Z</dcterms:created>
  <dc:creator>白都荣</dc:creator>
  <cp:lastModifiedBy>hjt</cp:lastModifiedBy>
  <cp:lastPrinted>2023-12-05T10:16:00Z</cp:lastPrinted>
  <dcterms:modified xsi:type="dcterms:W3CDTF">2025-11-25T17:34:26Z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