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简体" w:hAnsi="宋体" w:eastAsia="方正小标宋简体"/>
          <w:sz w:val="44"/>
          <w:szCs w:val="44"/>
          <w:lang w:eastAsia="zh-CN"/>
        </w:rPr>
      </w:pPr>
      <mc:AlternateContent>
        <mc:Choice Requires="wpsCustomData">
          <wpsCustomData:docfieldStart id="0" docfieldname="标题" hidden="false" print="true" readonly="false" index="2"/>
        </mc:Choice>
      </mc:AlternateContent>
      <w:bookmarkStart w:id="0" w:name="标题"/>
      <w:r>
        <w:rPr>
          <w:rFonts w:hint="eastAsia" w:ascii="方正小标宋简体" w:hAnsi="宋体" w:eastAsia="方正小标宋简体"/>
          <w:sz w:val="44"/>
          <w:szCs w:val="44"/>
          <w:lang w:eastAsia="zh-CN"/>
        </w:rPr>
        <w:t>内蒙古自治区生态环境厅</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关于蒙宁时代沙井300MW/1200MWh</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 xml:space="preserve">独立储能电站项目220kV升压站工程建设项目环境影响报告表的批复 </w:t>
      </w:r>
      <w:bookmarkEnd w:id="0"/>
    </w:p>
    <mc:AlternateContent>
      <mc:Choice Requires="wpsCustomData">
        <wpsCustomData:docfieldEnd id="0"/>
      </mc:Choice>
    </mc:AlternateContent>
    <w:p>
      <w:pPr>
        <w:pStyle w:val="2"/>
        <w:jc w:val="center"/>
        <w:rPr>
          <w:rFonts w:hint="eastAsia"/>
          <w:lang w:eastAsia="zh-CN"/>
        </w:rPr>
      </w:pPr>
      <mc:AlternateContent>
        <mc:Choice Requires="wpsCustomData">
          <wpsCustomData:docfieldStart id="1" docfieldname="文号" hidden="false" print="true" readonly="false" index="1"/>
        </mc:Choice>
      </mc:AlternateContent>
      <w:bookmarkStart w:id="1" w:name="文号"/>
      <w:r>
        <w:rPr>
          <w:rFonts w:hint="eastAsia" w:ascii="仿宋_GB2312" w:hAnsi="仿宋" w:eastAsia="仿宋_GB2312"/>
          <w:sz w:val="32"/>
          <w:szCs w:val="32"/>
          <w:lang w:eastAsia="zh-CN"/>
        </w:rPr>
        <w:t>内环表〔2026〕91号</w:t>
      </w:r>
      <w:bookmarkEnd w:id="1"/>
      <mc:AlternateContent>
        <mc:Choice Requires="wpsCustomData">
          <wpsCustomData:docfieldEnd id="1"/>
        </mc:Choice>
      </mc:AlternateContent>
    </w:p>
    <w:p>
      <w:pPr>
        <w:spacing w:line="560" w:lineRule="exact"/>
        <w:rPr>
          <w:rFonts w:ascii="仿宋" w:hAnsi="仿宋" w:eastAsia="仿宋"/>
          <w:sz w:val="28"/>
        </w:rPr>
      </w:pPr>
    </w:p>
    <w:p>
      <w:pPr>
        <w:spacing w:line="560" w:lineRule="exact"/>
        <w:rPr>
          <w:rFonts w:ascii="仿宋_GB2312" w:hAnsi="仿宋" w:eastAsia="仿宋_GB2312"/>
          <w:bCs/>
          <w:sz w:val="32"/>
          <w:szCs w:val="32"/>
        </w:rPr>
      </w:pPr>
      <mc:AlternateContent>
        <mc:Choice Requires="wpsCustomData">
          <wpsCustomData:docfieldStart id="2" docfieldname="主送单位" hidden="false" print="true" readonly="false" index="3"/>
        </mc:Choice>
      </mc:AlternateContent>
      <w:bookmarkStart w:id="2" w:name="主送单位"/>
      <w:r>
        <w:rPr>
          <w:rFonts w:hint="eastAsia" w:ascii="仿宋_GB2312" w:hAnsi="仿宋" w:eastAsia="仿宋_GB2312"/>
          <w:bCs/>
          <w:sz w:val="32"/>
          <w:szCs w:val="32"/>
          <w:lang w:eastAsia="zh-CN"/>
        </w:rPr>
        <w:t>内蒙古蒙宁时代储能科技有限公司</w:t>
      </w:r>
      <mc:AlternateContent>
        <mc:Choice Requires="wpsCustomData">
          <wpsCustomData:docfieldEnd id="2"/>
        </mc:Choice>
      </mc:AlternateContent>
      <w:bookmarkEnd w:id="2"/>
      <w:r>
        <w:rPr>
          <w:rFonts w:hint="eastAsia" w:ascii="仿宋_GB2312" w:hAnsi="仿宋" w:eastAsia="仿宋_GB2312"/>
          <w:bCs/>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bookmarkStart w:id="3" w:name="正文文件"/>
      <w:bookmarkEnd w:id="3"/>
      <mc:AlternateContent>
        <mc:Choice Requires="wpsCustomData">
          <wpsCustomData:docfieldStart id="3" docfieldname="正文文件" hidden="false" print="true" readonly="false" index="4"/>
        </mc:Choice>
      </mc:AlternateContent>
      <w:r>
        <w:rPr>
          <w:rFonts w:hint="eastAsia" w:ascii="仿宋_GB2312" w:hAnsi="仿宋_GB2312" w:eastAsia="仿宋_GB2312"/>
          <w:bCs/>
          <w:color w:val="auto"/>
          <w:sz w:val="32"/>
          <w:szCs w:val="32"/>
        </w:rPr>
        <w:t>你公司报送的《蒙宁时代沙井300MW/1200MWh独立储能电站项目220kV升压站工程</w:t>
      </w:r>
      <w:r>
        <w:rPr>
          <w:rFonts w:hint="eastAsia" w:ascii="仿宋_GB2312" w:hAnsi="仿宋_GB2312" w:eastAsia="仿宋_GB2312"/>
          <w:bCs/>
          <w:color w:val="auto"/>
          <w:sz w:val="32"/>
          <w:szCs w:val="32"/>
          <w:highlight w:val="none"/>
        </w:rPr>
        <w:t>建设项</w:t>
      </w:r>
      <w:r>
        <w:rPr>
          <w:rFonts w:hint="eastAsia" w:ascii="仿宋_GB2312" w:hAnsi="仿宋_GB2312" w:eastAsia="仿宋_GB2312"/>
          <w:bCs/>
          <w:color w:val="auto"/>
          <w:sz w:val="32"/>
          <w:szCs w:val="32"/>
        </w:rPr>
        <w:t>目</w:t>
      </w:r>
      <w:r>
        <w:rPr>
          <w:rFonts w:hint="eastAsia" w:ascii="仿宋_GB2312" w:hAnsi="仿宋" w:eastAsia="仿宋_GB2312"/>
          <w:color w:val="auto"/>
          <w:sz w:val="32"/>
          <w:szCs w:val="32"/>
        </w:rPr>
        <w:t>环境影响报告表》（以下简称《报告表》）收悉。根据《建设项目环境影响评价分类管理目录》（2021年版），经研究，批复如下：</w:t>
      </w:r>
    </w:p>
    <w:p>
      <w:pPr>
        <w:pStyle w:val="23"/>
        <w:spacing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一、项目建设基本情况</w:t>
      </w:r>
    </w:p>
    <w:p>
      <w:pPr>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bCs/>
          <w:color w:val="auto"/>
          <w:kern w:val="0"/>
          <w:sz w:val="32"/>
          <w:szCs w:val="32"/>
          <w:lang w:val="en-US" w:eastAsia="zh-CN"/>
        </w:rPr>
      </w:pPr>
      <w:r>
        <w:rPr>
          <w:rFonts w:hint="eastAsia" w:ascii="仿宋_GB2312" w:hAnsi="Times New Roman" w:eastAsia="仿宋_GB2312" w:cs="Times New Roman"/>
          <w:b w:val="0"/>
          <w:bCs w:val="0"/>
          <w:color w:val="auto"/>
          <w:sz w:val="32"/>
          <w:szCs w:val="32"/>
          <w:lang w:val="en-US" w:eastAsia="zh-CN"/>
        </w:rPr>
        <w:t>新建220kV升压站，建设1×360MVA主变，220kV出线间隔1回。</w:t>
      </w:r>
    </w:p>
    <w:p>
      <w:pPr>
        <w:keepNext w:val="0"/>
        <w:keepLines w:val="0"/>
        <w:pageBreakBefore w:val="0"/>
        <w:widowControl/>
        <w:suppressLineNumbers w:val="0"/>
        <w:kinsoku/>
        <w:wordWrap/>
        <w:overflowPunct/>
        <w:topLinePunct w:val="0"/>
        <w:bidi w:val="0"/>
        <w:adjustRightInd/>
        <w:snapToGrid/>
        <w:spacing w:line="56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Cs/>
          <w:sz w:val="32"/>
          <w:szCs w:val="32"/>
        </w:rPr>
        <w:t>本项目建设地点位于</w:t>
      </w:r>
      <w:r>
        <w:rPr>
          <w:rFonts w:hint="eastAsia" w:ascii="仿宋_GB2312" w:eastAsia="仿宋_GB2312"/>
          <w:b w:val="0"/>
          <w:bCs w:val="0"/>
          <w:color w:val="auto"/>
          <w:sz w:val="32"/>
          <w:szCs w:val="32"/>
          <w:lang w:eastAsia="zh-CN"/>
        </w:rPr>
        <w:t>内蒙古自治区鄂尔多斯市杭锦旗境内</w:t>
      </w:r>
      <w:r>
        <w:rPr>
          <w:rFonts w:hint="eastAsia" w:ascii="仿宋_GB2312" w:eastAsia="仿宋_GB2312"/>
          <w:bCs/>
          <w:color w:val="auto"/>
          <w:kern w:val="0"/>
          <w:sz w:val="32"/>
          <w:szCs w:val="32"/>
          <w:lang w:val="en-US" w:eastAsia="zh-CN"/>
        </w:rPr>
        <w:t>。</w:t>
      </w:r>
    </w:p>
    <w:p>
      <w:pPr>
        <w:pStyle w:val="22"/>
        <w:spacing w:line="560" w:lineRule="exact"/>
        <w:ind w:firstLine="640"/>
        <w:rPr>
          <w:rFonts w:ascii="仿宋_GB2312" w:hAnsi="仿宋" w:eastAsia="仿宋_GB2312" w:cs="宋体"/>
          <w:sz w:val="32"/>
          <w:szCs w:val="32"/>
        </w:rPr>
      </w:pPr>
      <w:r>
        <w:rPr>
          <w:rFonts w:hint="eastAsia" w:ascii="仿宋_GB2312" w:hAnsi="仿宋" w:eastAsia="仿宋_GB2312" w:cs="宋体"/>
          <w:sz w:val="32"/>
          <w:szCs w:val="32"/>
        </w:rPr>
        <w:t>二、总体意见</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eastAsia="仿宋_GB2312"/>
          <w:sz w:val="32"/>
          <w:szCs w:val="32"/>
        </w:rPr>
        <w:t>本项目在严格落实《报告表》提出的各项环境保护措</w:t>
      </w:r>
      <w:r>
        <w:rPr>
          <w:rFonts w:hint="eastAsia" w:ascii="仿宋_GB2312" w:hAnsi="仿宋" w:eastAsia="仿宋_GB2312"/>
          <w:sz w:val="32"/>
          <w:szCs w:val="32"/>
        </w:rPr>
        <w:t>施后，对</w:t>
      </w:r>
      <w:r>
        <w:rPr>
          <w:rFonts w:hint="eastAsia" w:ascii="仿宋_GB2312" w:hAnsi="仿宋_GB2312" w:eastAsia="仿宋_GB2312"/>
          <w:bCs/>
          <w:sz w:val="32"/>
          <w:szCs w:val="32"/>
        </w:rPr>
        <w:t>环境的不利影响和可能存在的环境风险在可控范围内。从环境保护角度分析，我厅原则同意本项目按照《报告表》中所列的性质、规模、地点和拟采取的环保措施进行</w:t>
      </w:r>
      <w:r>
        <w:rPr>
          <w:rFonts w:hint="eastAsia" w:ascii="仿宋_GB2312" w:hAnsi="仿宋" w:eastAsia="仿宋_GB2312"/>
          <w:sz w:val="32"/>
          <w:szCs w:val="32"/>
        </w:rPr>
        <w:t>建设。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三、项目建设及运行期间应做好的工作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（一）严格落实项目施工期、运营期生态环境保护措施，做好生态保护与恢复工作。施工期严格控制施工活动范围，合理布局，尽量减少土地占用和植被破坏。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（二）认真落实《报告表》中提出的控制和改善工频电场、工频磁场对周边环境影响的措施和方法，监测值应符合《电磁环境控制限值》（GB8702-2014）要求。</w:t>
      </w:r>
    </w:p>
    <w:p>
      <w:pPr>
        <w:pStyle w:val="22"/>
        <w:spacing w:line="560" w:lineRule="exact"/>
        <w:ind w:firstLine="640"/>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（三）</w:t>
      </w:r>
      <w:r>
        <w:rPr>
          <w:rFonts w:hint="eastAsia" w:ascii="仿宋_GB2312" w:hAnsi="仿宋" w:eastAsia="仿宋_GB2312"/>
          <w:color w:val="000000" w:themeColor="text1"/>
          <w:sz w:val="32"/>
          <w:szCs w:val="32"/>
          <w:highlight w:val="none"/>
          <w:lang w:eastAsia="zh-CN"/>
          <w14:textFill>
            <w14:solidFill>
              <w14:schemeClr w14:val="tx1"/>
            </w14:solidFill>
          </w14:textFill>
        </w:rPr>
        <w:t>运营期升压站生活污水经化粪池及地埋式一体化污水处理设施处理后，夏季用于道路冲洗，冬季定期清运</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olor w:val="000000" w:themeColor="text1"/>
          <w:kern w:val="2"/>
          <w:sz w:val="32"/>
          <w:szCs w:val="32"/>
          <w:highlight w:val="none"/>
          <w:lang w:val="en-US"/>
          <w14:textFill>
            <w14:solidFill>
              <w14:schemeClr w14:val="tx1"/>
            </w14:solidFill>
          </w14:textFill>
        </w:rPr>
        <w:t>对设备维修过程中产生的废变压器油、废蓄电池等应全部回收，如不能全部回收，必须单独存放，</w:t>
      </w:r>
      <w:r>
        <w:rPr>
          <w:rFonts w:hint="eastAsia" w:ascii="仿宋_GB2312" w:hAnsi="仿宋" w:eastAsia="仿宋_GB2312"/>
          <w:color w:val="000000" w:themeColor="text1"/>
          <w:sz w:val="32"/>
          <w:szCs w:val="32"/>
          <w:highlight w:val="none"/>
          <w14:textFill>
            <w14:solidFill>
              <w14:schemeClr w14:val="tx1"/>
            </w14:solidFill>
          </w14:textFill>
        </w:rPr>
        <w:t>集中送交有相应危险废物经营许可资质的单位处置。</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（四）项目施工期及运行期的噪声值及防噪措施应满足《报告表》中提出的要求，监测值应符合国家评价标准限值要求。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（五）环境影响报告表经批准后，项目的性质、规模、地点或生态保护、污染防治措施发生重大变动的，应当按要求重新报批。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四、建设单位按规定程序完成竣工环境保护验收后，项目方可投入正式运行。</w:t>
      </w:r>
    </w:p>
    <w:p>
      <w:pPr>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五、我厅委托</w:t>
      </w:r>
      <w:r>
        <w:rPr>
          <w:rFonts w:hint="eastAsia" w:ascii="仿宋_GB2312" w:eastAsia="仿宋_GB2312"/>
          <w:b w:val="0"/>
          <w:bCs w:val="0"/>
          <w:color w:val="auto"/>
          <w:sz w:val="32"/>
          <w:szCs w:val="32"/>
          <w:lang w:eastAsia="zh-CN"/>
        </w:rPr>
        <w:t>鄂尔多斯市</w:t>
      </w:r>
      <w:r>
        <w:rPr>
          <w:rFonts w:hint="eastAsia" w:ascii="仿宋_GB2312" w:hAnsi="仿宋" w:eastAsia="仿宋_GB2312"/>
          <w:color w:val="000000" w:themeColor="text1"/>
          <w:sz w:val="32"/>
          <w:szCs w:val="32"/>
          <w14:textFill>
            <w14:solidFill>
              <w14:schemeClr w14:val="tx1"/>
            </w14:solidFill>
          </w14:textFill>
        </w:rPr>
        <w:t>生态环境局</w:t>
      </w:r>
      <w:r>
        <w:rPr>
          <w:rFonts w:hint="eastAsia" w:ascii="仿宋_GB2312" w:hAnsi="仿宋" w:eastAsia="仿宋_GB2312"/>
          <w:sz w:val="32"/>
          <w:szCs w:val="32"/>
        </w:rPr>
        <w:t>负责该项目施工期的监督检查工作。</w:t>
      </w:r>
    </w:p>
    <w:p>
      <w:pPr>
        <w:spacing w:line="560" w:lineRule="exact"/>
        <w:ind w:firstLine="640" w:firstLineChars="200"/>
        <w:jc w:val="both"/>
        <w:rPr>
          <w:highlight w:val="none"/>
        </w:rPr>
      </w:pPr>
      <w:r>
        <w:rPr>
          <w:rFonts w:hint="eastAsia" w:ascii="仿宋_GB2312" w:hAnsi="仿宋_GB2312" w:eastAsia="仿宋_GB2312" w:cs="仿宋_GB2312"/>
          <w:sz w:val="32"/>
          <w:szCs w:val="32"/>
          <w:highlight w:val="none"/>
          <w:lang w:eastAsia="zh-CN"/>
        </w:rPr>
        <w:t>六、本批复不具有其他行政审批前置效力。</w:t>
      </w:r>
    </w:p>
    <w:p>
      <w:pPr>
        <w:spacing w:line="560" w:lineRule="exact"/>
        <w:ind w:firstLine="640" w:firstLineChars="200"/>
        <w:rPr>
          <w:rFonts w:ascii="仿宋_GB2312" w:hAnsi="仿宋" w:eastAsia="仿宋_GB2312"/>
          <w:sz w:val="32"/>
          <w:szCs w:val="32"/>
        </w:rPr>
      </w:pPr>
    </w:p>
    <w:p/>
    <mc:AlternateContent>
      <mc:Choice Requires="wpsCustomData">
        <wpsCustomData:docfieldEnd id="3"/>
      </mc:Choice>
    </mc:AlternateContent>
    <w:p>
      <w:pPr>
        <w:spacing w:line="560" w:lineRule="exact"/>
        <w:ind w:firstLine="624" w:firstLineChars="200"/>
        <w:rPr>
          <w:rFonts w:ascii="仿宋_GB2312" w:hAnsi="仿宋" w:eastAsia="仿宋_GB2312"/>
          <w:spacing w:val="-4"/>
          <w:sz w:val="32"/>
          <w:szCs w:val="32"/>
        </w:rPr>
      </w:pPr>
    </w:p>
    <w:p>
      <w:pPr>
        <w:spacing w:line="560" w:lineRule="exact"/>
        <w:jc w:val="left"/>
        <w:rPr>
          <w:rFonts w:ascii="仿宋_GB2312" w:hAnsi="仿宋" w:eastAsia="仿宋_GB2312"/>
          <w:sz w:val="32"/>
          <w:szCs w:val="32"/>
        </w:rPr>
      </w:pPr>
      <w:r>
        <w:rPr>
          <w:rFonts w:hint="eastAsia" w:ascii="仿宋_GB2312" w:hAnsi="仿宋" w:eastAsia="仿宋_GB2312"/>
          <w:spacing w:val="-4"/>
          <w:sz w:val="32"/>
          <w:szCs w:val="32"/>
        </w:rPr>
        <w:t xml:space="preserve">                           内蒙古自治区生态环境厅  </w:t>
      </w:r>
      <w:r>
        <w:rPr>
          <w:rFonts w:hint="eastAsia" w:ascii="仿宋_GB2312" w:hAnsi="仿宋" w:eastAsia="仿宋_GB2312"/>
          <w:sz w:val="32"/>
          <w:szCs w:val="32"/>
        </w:rPr>
        <w:t xml:space="preserve"> </w:t>
      </w:r>
    </w:p>
    <w:p>
      <w:pPr>
        <w:spacing w:line="560" w:lineRule="exact"/>
        <w:ind w:right="55" w:rightChars="26"/>
        <w:jc w:val="left"/>
        <w:rPr>
          <w:rFonts w:hint="eastAsia" w:ascii="仿宋_GB2312" w:hAnsi="仿宋" w:eastAsia="仿宋_GB2312"/>
          <w:sz w:val="32"/>
          <w:szCs w:val="32"/>
          <w:lang w:eastAsia="zh-CN"/>
        </w:rPr>
      </w:pPr>
      <w:r>
        <w:rPr>
          <w:rFonts w:hint="eastAsia" w:ascii="仿宋_GB2312" w:hAnsi="仿宋" w:eastAsia="仿宋_GB2312"/>
          <w:sz w:val="32"/>
          <w:szCs w:val="32"/>
        </w:rPr>
        <w:t xml:space="preserve">                             </w:t>
      </w:r>
      <mc:AlternateContent>
        <mc:Choice Requires="wpsCustomData">
          <wpsCustomData:docfieldStart id="4" docfieldname="签发日期" hidden="false" print="true" readonly="false" index="5"/>
        </mc:Choice>
      </mc:AlternateContent>
      <w:bookmarkStart w:id="4" w:name="签发日期"/>
      <w:r>
        <w:rPr>
          <w:rFonts w:hint="eastAsia" w:ascii="仿宋_GB2312" w:hAnsi="仿宋" w:eastAsia="仿宋_GB2312"/>
          <w:sz w:val="32"/>
          <w:szCs w:val="32"/>
          <w:lang w:eastAsia="zh-CN"/>
        </w:rPr>
        <w:t>2026年6月3日</w:t>
      </w:r>
      <mc:AlternateContent>
        <mc:Choice Requires="wpsCustomData">
          <wpsCustomData:docfieldEnd id="4"/>
        </mc:Choice>
      </mc:AlternateContent>
      <w:bookmarkEnd w:id="4"/>
    </w:p>
    <w:p>
      <w:pPr>
        <w:spacing w:line="56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4" w:lineRule="exact"/>
        <w:ind w:right="315" w:rightChars="150"/>
        <w:rPr>
          <w:rFonts w:ascii="仿宋_GB2312" w:hAnsi="仿宋" w:eastAsia="仿宋_GB2312"/>
          <w:sz w:val="28"/>
          <w:szCs w:val="28"/>
        </w:rPr>
      </w:pPr>
      <w:bookmarkStart w:id="5" w:name="_GoBack"/>
      <w:bookmarkEnd w:id="5"/>
    </w:p>
    <w:sectPr>
      <w:headerReference r:id="rId3" w:type="default"/>
      <w:footerReference r:id="rId5" w:type="default"/>
      <w:headerReference r:id="rId4" w:type="even"/>
      <w:footerReference r:id="rId6" w:type="even"/>
      <w:type w:val="continuous"/>
      <w:pgSz w:w="11907" w:h="16840"/>
      <w:pgMar w:top="2041" w:right="1531" w:bottom="204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591185" cy="230505"/>
              <wp:effectExtent l="0" t="0" r="0" b="0"/>
              <wp:wrapNone/>
              <wp:docPr id="3" name="Quad Arrow 3"/>
              <wp:cNvGraphicFramePr/>
              <a:graphic xmlns:a="http://schemas.openxmlformats.org/drawingml/2006/main">
                <a:graphicData uri="http://schemas.microsoft.com/office/word/2010/wordprocessingShape">
                  <wps:wsp>
                    <wps:cNvSpPr txBox="true"/>
                    <wps:spPr>
                      <a:xfrm>
                        <a:off x="0" y="0"/>
                        <a:ext cx="591185" cy="230505"/>
                      </a:xfrm>
                      <a:prstGeom prst="rect">
                        <a:avLst/>
                      </a:prstGeom>
                      <a:noFill/>
                      <a:ln>
                        <a:noFill/>
                      </a:ln>
                    </wps:spPr>
                    <wps:txbx>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3" o:spid="_x0000_s1026" o:spt="202" type="#_x0000_t202" style="position:absolute;left:0pt;margin-top:0.05pt;height:18.15pt;width:46.55pt;mso-position-horizontal:outside;mso-position-horizontal-relative:margin;z-index:251659264;mso-width-relative:page;mso-height-relative:page;" filled="f" stroked="f" coordsize="21600,21600" o:gfxdata="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ripQTtQAAAADAQAADwAAAAAAAAABACAAAAA4AAAAZHJzL2Rvd25yZXYueG1sUEsBAhQAFAAAAAgA&#10;h07iQLGQ83+hAQAAOQMAAA4AAAAAAAAAAQAgAAAAOQEAAGRycy9lMm9Eb2MueG1sUEsFBgAAAAAG&#10;AAYAWQEAAEwFAAAAAA==&#10;">
              <v:fill on="f" focussize="0,0"/>
              <v:stroke on="f"/>
              <v:imagedata o:title=""/>
              <o:lock v:ext="edit" aspectratio="f"/>
              <v:textbox inset="0mm,0mm,0mm,0mm">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wp:posOffset>
              </wp:positionV>
              <wp:extent cx="608965" cy="230505"/>
              <wp:effectExtent l="0" t="0" r="0" b="0"/>
              <wp:wrapNone/>
              <wp:docPr id="4" name="Quad Arrow 4"/>
              <wp:cNvGraphicFramePr/>
              <a:graphic xmlns:a="http://schemas.openxmlformats.org/drawingml/2006/main">
                <a:graphicData uri="http://schemas.microsoft.com/office/word/2010/wordprocessingShape">
                  <wps:wsp>
                    <wps:cNvSpPr txBox="true"/>
                    <wps:spPr>
                      <a:xfrm>
                        <a:off x="0" y="0"/>
                        <a:ext cx="608965" cy="230505"/>
                      </a:xfrm>
                      <a:prstGeom prst="rect">
                        <a:avLst/>
                      </a:prstGeom>
                      <a:noFill/>
                      <a:ln>
                        <a:noFill/>
                      </a:ln>
                    </wps:spPr>
                    <wps:txbx>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square" lIns="0" tIns="0" rIns="0" bIns="0" upright="false"/>
                  </wps:wsp>
                </a:graphicData>
              </a:graphic>
            </wp:anchor>
          </w:drawing>
        </mc:Choice>
        <mc:Fallback>
          <w:pict>
            <v:shape id="Quad Arrow 4" o:spid="_x0000_s1026" o:spt="202" type="#_x0000_t202" style="position:absolute;left:0pt;margin-top:0.05pt;height:18.15pt;width:47.95pt;mso-position-horizontal:outside;mso-position-horizontal-relative:margin;z-index:251660288;mso-width-relative:page;mso-height-relative:page;" filled="f" stroked="f" coordsize="21600,21600" o:gfxdata="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q&#10;8m6J0wAAAAMBAAAPAAAAAAAAAAEAIAAAADgAAABkcnMvZG93bnJldi54bWxQSwECFAAUAAAACACH&#10;TuJA+pDoVqEBAAA5AwAADgAAAAAAAAABACAAAAA4AQAAZHJzL2Uyb0RvYy54bWxQSwUGAAAAAAYA&#10;BgBZAQAASwUAAAAA&#10;">
              <v:fill on="f" focussize="0,0"/>
              <v:stroke on="f"/>
              <v:imagedata o:title=""/>
              <o:lock v:ext="edit" aspectratio="f"/>
              <v:textbox inset="0mm,0mm,0mm,0mm">
                <w:txbxContent>
                  <w:p>
                    <w:pPr>
                      <w:pStyle w:val="9"/>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01"/>
    <w:rsid w:val="000502D9"/>
    <w:rsid w:val="00053C74"/>
    <w:rsid w:val="00081DD9"/>
    <w:rsid w:val="000A43C9"/>
    <w:rsid w:val="000F448F"/>
    <w:rsid w:val="00104AD5"/>
    <w:rsid w:val="00107F1D"/>
    <w:rsid w:val="00112653"/>
    <w:rsid w:val="00161599"/>
    <w:rsid w:val="0019160D"/>
    <w:rsid w:val="00212159"/>
    <w:rsid w:val="002203D3"/>
    <w:rsid w:val="002432A7"/>
    <w:rsid w:val="002778D8"/>
    <w:rsid w:val="00290DA8"/>
    <w:rsid w:val="002B7D95"/>
    <w:rsid w:val="002D6AFC"/>
    <w:rsid w:val="002F0DE2"/>
    <w:rsid w:val="0030486D"/>
    <w:rsid w:val="00323B61"/>
    <w:rsid w:val="003619FA"/>
    <w:rsid w:val="00393E71"/>
    <w:rsid w:val="003B1A02"/>
    <w:rsid w:val="003C6CE9"/>
    <w:rsid w:val="00424C6E"/>
    <w:rsid w:val="00452E4A"/>
    <w:rsid w:val="004B7461"/>
    <w:rsid w:val="004C640A"/>
    <w:rsid w:val="004D3FC2"/>
    <w:rsid w:val="004F50C6"/>
    <w:rsid w:val="00505381"/>
    <w:rsid w:val="00544386"/>
    <w:rsid w:val="0056424C"/>
    <w:rsid w:val="0057112D"/>
    <w:rsid w:val="00571F6F"/>
    <w:rsid w:val="00577293"/>
    <w:rsid w:val="0058220B"/>
    <w:rsid w:val="00585C83"/>
    <w:rsid w:val="00590474"/>
    <w:rsid w:val="00592CC9"/>
    <w:rsid w:val="005A5BF2"/>
    <w:rsid w:val="006132A1"/>
    <w:rsid w:val="00624B4A"/>
    <w:rsid w:val="006661A4"/>
    <w:rsid w:val="006A7884"/>
    <w:rsid w:val="006B38F9"/>
    <w:rsid w:val="006E1CA5"/>
    <w:rsid w:val="006E2329"/>
    <w:rsid w:val="006F6255"/>
    <w:rsid w:val="00701535"/>
    <w:rsid w:val="0070579B"/>
    <w:rsid w:val="00715743"/>
    <w:rsid w:val="007173A8"/>
    <w:rsid w:val="00761FB3"/>
    <w:rsid w:val="0076589A"/>
    <w:rsid w:val="00786B2F"/>
    <w:rsid w:val="007925F1"/>
    <w:rsid w:val="0079344F"/>
    <w:rsid w:val="007A1610"/>
    <w:rsid w:val="007C0101"/>
    <w:rsid w:val="007D373D"/>
    <w:rsid w:val="00835942"/>
    <w:rsid w:val="00847C4B"/>
    <w:rsid w:val="00861920"/>
    <w:rsid w:val="008643C3"/>
    <w:rsid w:val="00873CD5"/>
    <w:rsid w:val="008804D9"/>
    <w:rsid w:val="008838C5"/>
    <w:rsid w:val="00883BA1"/>
    <w:rsid w:val="0089055A"/>
    <w:rsid w:val="00896DE4"/>
    <w:rsid w:val="008A4595"/>
    <w:rsid w:val="008B77EC"/>
    <w:rsid w:val="008C34AF"/>
    <w:rsid w:val="008D27CA"/>
    <w:rsid w:val="00907606"/>
    <w:rsid w:val="00922F9C"/>
    <w:rsid w:val="0095741D"/>
    <w:rsid w:val="00964200"/>
    <w:rsid w:val="0096751F"/>
    <w:rsid w:val="00967FB8"/>
    <w:rsid w:val="00971513"/>
    <w:rsid w:val="0099392B"/>
    <w:rsid w:val="009950F5"/>
    <w:rsid w:val="00996316"/>
    <w:rsid w:val="009F0D7E"/>
    <w:rsid w:val="009F4F97"/>
    <w:rsid w:val="00A03E70"/>
    <w:rsid w:val="00A14283"/>
    <w:rsid w:val="00A16266"/>
    <w:rsid w:val="00A32DBE"/>
    <w:rsid w:val="00A3438E"/>
    <w:rsid w:val="00A36EAB"/>
    <w:rsid w:val="00A42722"/>
    <w:rsid w:val="00A43C93"/>
    <w:rsid w:val="00AA5ECB"/>
    <w:rsid w:val="00AF257E"/>
    <w:rsid w:val="00B057C0"/>
    <w:rsid w:val="00B16355"/>
    <w:rsid w:val="00B22816"/>
    <w:rsid w:val="00B2798A"/>
    <w:rsid w:val="00B4476C"/>
    <w:rsid w:val="00B46191"/>
    <w:rsid w:val="00B61218"/>
    <w:rsid w:val="00B86149"/>
    <w:rsid w:val="00B91AFD"/>
    <w:rsid w:val="00BA1A77"/>
    <w:rsid w:val="00BA3600"/>
    <w:rsid w:val="00BD25C9"/>
    <w:rsid w:val="00BD4473"/>
    <w:rsid w:val="00BE3516"/>
    <w:rsid w:val="00BE5282"/>
    <w:rsid w:val="00BF428E"/>
    <w:rsid w:val="00BF6CDF"/>
    <w:rsid w:val="00C113FC"/>
    <w:rsid w:val="00C26472"/>
    <w:rsid w:val="00C51E40"/>
    <w:rsid w:val="00C56BFB"/>
    <w:rsid w:val="00C577B3"/>
    <w:rsid w:val="00C621D4"/>
    <w:rsid w:val="00C746BE"/>
    <w:rsid w:val="00C85C1B"/>
    <w:rsid w:val="00C93108"/>
    <w:rsid w:val="00CA6FED"/>
    <w:rsid w:val="00CD05D4"/>
    <w:rsid w:val="00CE37E8"/>
    <w:rsid w:val="00CE5F3B"/>
    <w:rsid w:val="00CE6186"/>
    <w:rsid w:val="00CF1A19"/>
    <w:rsid w:val="00CF24AC"/>
    <w:rsid w:val="00D01418"/>
    <w:rsid w:val="00D04066"/>
    <w:rsid w:val="00D32923"/>
    <w:rsid w:val="00D50FC8"/>
    <w:rsid w:val="00D80399"/>
    <w:rsid w:val="00D809A3"/>
    <w:rsid w:val="00D902CF"/>
    <w:rsid w:val="00D94E37"/>
    <w:rsid w:val="00DC1210"/>
    <w:rsid w:val="00DC440E"/>
    <w:rsid w:val="00DD67D3"/>
    <w:rsid w:val="00E012C8"/>
    <w:rsid w:val="00E157E5"/>
    <w:rsid w:val="00E50C21"/>
    <w:rsid w:val="00E62075"/>
    <w:rsid w:val="00E7161E"/>
    <w:rsid w:val="00E7452B"/>
    <w:rsid w:val="00E90476"/>
    <w:rsid w:val="00EB0809"/>
    <w:rsid w:val="00EE242A"/>
    <w:rsid w:val="00F06195"/>
    <w:rsid w:val="00F2401B"/>
    <w:rsid w:val="00F373F3"/>
    <w:rsid w:val="00F556D9"/>
    <w:rsid w:val="00FC281C"/>
    <w:rsid w:val="00FF0974"/>
    <w:rsid w:val="01067184"/>
    <w:rsid w:val="01283F97"/>
    <w:rsid w:val="02034156"/>
    <w:rsid w:val="035D2B78"/>
    <w:rsid w:val="03696E5B"/>
    <w:rsid w:val="03EA6B8D"/>
    <w:rsid w:val="04AF3D28"/>
    <w:rsid w:val="06414C48"/>
    <w:rsid w:val="06FD2E81"/>
    <w:rsid w:val="078C4B32"/>
    <w:rsid w:val="0C293B57"/>
    <w:rsid w:val="0E4627D6"/>
    <w:rsid w:val="0FF01CE2"/>
    <w:rsid w:val="11DB31C3"/>
    <w:rsid w:val="125A4F9B"/>
    <w:rsid w:val="166710AD"/>
    <w:rsid w:val="171D0934"/>
    <w:rsid w:val="1750305B"/>
    <w:rsid w:val="17BE3596"/>
    <w:rsid w:val="17CC3694"/>
    <w:rsid w:val="18BF59B2"/>
    <w:rsid w:val="1C3B00DC"/>
    <w:rsid w:val="1EC02023"/>
    <w:rsid w:val="201A69CD"/>
    <w:rsid w:val="20A91A11"/>
    <w:rsid w:val="21C84299"/>
    <w:rsid w:val="22904BBD"/>
    <w:rsid w:val="238A2596"/>
    <w:rsid w:val="24A86E33"/>
    <w:rsid w:val="251E1B7F"/>
    <w:rsid w:val="259B6FBE"/>
    <w:rsid w:val="28044EC3"/>
    <w:rsid w:val="293C7576"/>
    <w:rsid w:val="2A4C74AD"/>
    <w:rsid w:val="2D3E0262"/>
    <w:rsid w:val="3078340E"/>
    <w:rsid w:val="377E1867"/>
    <w:rsid w:val="3C032EFE"/>
    <w:rsid w:val="3C431296"/>
    <w:rsid w:val="3D997D89"/>
    <w:rsid w:val="3FFA2708"/>
    <w:rsid w:val="40DE7A76"/>
    <w:rsid w:val="41E57898"/>
    <w:rsid w:val="43BE5DA5"/>
    <w:rsid w:val="48D80B0B"/>
    <w:rsid w:val="4955784C"/>
    <w:rsid w:val="4E08718E"/>
    <w:rsid w:val="500F600B"/>
    <w:rsid w:val="52D72F1B"/>
    <w:rsid w:val="55BA08E6"/>
    <w:rsid w:val="56354618"/>
    <w:rsid w:val="56770825"/>
    <w:rsid w:val="58CA2C35"/>
    <w:rsid w:val="5A0A5B88"/>
    <w:rsid w:val="5A2A1A16"/>
    <w:rsid w:val="5F001B36"/>
    <w:rsid w:val="5F0D4001"/>
    <w:rsid w:val="610B5ACF"/>
    <w:rsid w:val="615D0E52"/>
    <w:rsid w:val="622C3B53"/>
    <w:rsid w:val="625C4B72"/>
    <w:rsid w:val="647C4CF5"/>
    <w:rsid w:val="64B557C6"/>
    <w:rsid w:val="653806B8"/>
    <w:rsid w:val="67C12074"/>
    <w:rsid w:val="67CD23C4"/>
    <w:rsid w:val="68AC3246"/>
    <w:rsid w:val="69EE13C7"/>
    <w:rsid w:val="6A9579E6"/>
    <w:rsid w:val="6AE33BBB"/>
    <w:rsid w:val="6C5D38C7"/>
    <w:rsid w:val="6E0A6B18"/>
    <w:rsid w:val="6E401570"/>
    <w:rsid w:val="71D96AFD"/>
    <w:rsid w:val="72536B1A"/>
    <w:rsid w:val="73942F17"/>
    <w:rsid w:val="73ED7448"/>
    <w:rsid w:val="73FF04CC"/>
    <w:rsid w:val="775DCE8C"/>
    <w:rsid w:val="77DD9F1B"/>
    <w:rsid w:val="77E77440"/>
    <w:rsid w:val="7BE16A25"/>
    <w:rsid w:val="7BFF4D51"/>
    <w:rsid w:val="7D6F7921"/>
    <w:rsid w:val="7D754DCD"/>
    <w:rsid w:val="7E705781"/>
    <w:rsid w:val="DF4FEC23"/>
    <w:rsid w:val="E52774BC"/>
    <w:rsid w:val="FB737E87"/>
    <w:rsid w:val="FDBE67B1"/>
    <w:rsid w:val="FED44B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0正文"/>
    <w:basedOn w:val="3"/>
    <w:qFormat/>
    <w:uiPriority w:val="0"/>
    <w:pPr>
      <w:spacing w:line="360" w:lineRule="auto"/>
      <w:ind w:firstLine="720" w:firstLineChars="200"/>
    </w:pPr>
  </w:style>
  <w:style w:type="paragraph" w:styleId="3">
    <w:name w:val="Normal (Web)"/>
    <w:basedOn w:val="1"/>
    <w:qFormat/>
    <w:uiPriority w:val="0"/>
    <w:pPr>
      <w:spacing w:before="100" w:beforeAutospacing="1" w:after="100" w:afterAutospacing="1"/>
      <w:ind w:left="0" w:right="0"/>
      <w:jc w:val="left"/>
    </w:pPr>
    <w:rPr>
      <w:rFonts w:eastAsia="宋体" w:cs="Times New Roman"/>
      <w:kern w:val="0"/>
      <w:sz w:val="24"/>
      <w:szCs w:val="20"/>
      <w:lang w:val="en-US" w:eastAsia="zh-CN"/>
    </w:rPr>
  </w:style>
  <w:style w:type="paragraph" w:styleId="5">
    <w:name w:val="Body Text"/>
    <w:basedOn w:val="1"/>
    <w:next w:val="6"/>
    <w:unhideWhenUsed/>
    <w:qFormat/>
    <w:uiPriority w:val="99"/>
    <w:pPr>
      <w:spacing w:after="120"/>
    </w:pPr>
    <w:rPr>
      <w:rFonts w:eastAsia="宋体" w:cs="Times New Roman"/>
      <w:szCs w:val="20"/>
    </w:rPr>
  </w:style>
  <w:style w:type="paragraph" w:styleId="6">
    <w:name w:val="Body Text 2"/>
    <w:basedOn w:val="1"/>
    <w:qFormat/>
    <w:uiPriority w:val="0"/>
    <w:rPr>
      <w:rFonts w:eastAsia="宋体" w:cs="Times New Roman"/>
      <w:color w:val="0000FF"/>
      <w:szCs w:val="20"/>
    </w:rPr>
  </w:style>
  <w:style w:type="paragraph" w:styleId="7">
    <w:name w:val="Body Text Indent"/>
    <w:basedOn w:val="1"/>
    <w:next w:val="1"/>
    <w:unhideWhenUsed/>
    <w:qFormat/>
    <w:uiPriority w:val="99"/>
    <w:pPr>
      <w:spacing w:after="120"/>
      <w:ind w:left="420" w:leftChars="200"/>
    </w:pPr>
    <w:rPr>
      <w:rFonts w:eastAsia="宋体" w:cs="Times New Roman"/>
      <w:szCs w:val="20"/>
    </w:rPr>
  </w:style>
  <w:style w:type="paragraph" w:styleId="8">
    <w:name w:val="Balloon Text"/>
    <w:basedOn w:val="1"/>
    <w:link w:val="18"/>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kern w:val="0"/>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First Indent"/>
    <w:basedOn w:val="5"/>
    <w:next w:val="1"/>
    <w:unhideWhenUsed/>
    <w:qFormat/>
    <w:uiPriority w:val="99"/>
    <w:pPr>
      <w:ind w:firstLine="420" w:firstLineChars="100"/>
    </w:pPr>
  </w:style>
  <w:style w:type="paragraph" w:styleId="12">
    <w:name w:val="Body Text First Indent 2"/>
    <w:basedOn w:val="7"/>
    <w:next w:val="11"/>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semiHidden/>
    <w:unhideWhenUsed/>
    <w:qFormat/>
    <w:uiPriority w:val="0"/>
  </w:style>
  <w:style w:type="character" w:customStyle="1" w:styleId="17">
    <w:name w:val="页眉 Char"/>
    <w:link w:val="10"/>
    <w:semiHidden/>
    <w:qFormat/>
    <w:uiPriority w:val="99"/>
    <w:rPr>
      <w:sz w:val="18"/>
      <w:szCs w:val="18"/>
    </w:rPr>
  </w:style>
  <w:style w:type="character" w:customStyle="1" w:styleId="18">
    <w:name w:val="批注框文本 Char"/>
    <w:basedOn w:val="15"/>
    <w:link w:val="8"/>
    <w:semiHidden/>
    <w:qFormat/>
    <w:uiPriority w:val="99"/>
    <w:rPr>
      <w:kern w:val="2"/>
      <w:sz w:val="18"/>
      <w:szCs w:val="18"/>
    </w:rPr>
  </w:style>
  <w:style w:type="character" w:customStyle="1" w:styleId="19">
    <w:name w:val="页脚 Char"/>
    <w:link w:val="9"/>
    <w:semiHidden/>
    <w:qFormat/>
    <w:uiPriority w:val="99"/>
    <w:rPr>
      <w:sz w:val="18"/>
      <w:szCs w:val="18"/>
    </w:rPr>
  </w:style>
  <w:style w:type="character" w:customStyle="1" w:styleId="20">
    <w:name w:val="页脚 字符"/>
    <w:basedOn w:val="15"/>
    <w:link w:val="9"/>
    <w:qFormat/>
    <w:uiPriority w:val="0"/>
    <w:rPr>
      <w:rFonts w:ascii="Calibri" w:hAnsi="Calibri" w:eastAsia="宋体" w:cs="Times New Roman"/>
      <w:kern w:val="2"/>
      <w:sz w:val="18"/>
      <w:szCs w:val="18"/>
    </w:rPr>
  </w:style>
  <w:style w:type="character" w:customStyle="1" w:styleId="21">
    <w:name w:val="页眉 字符"/>
    <w:basedOn w:val="15"/>
    <w:link w:val="10"/>
    <w:qFormat/>
    <w:uiPriority w:val="0"/>
    <w:rPr>
      <w:rFonts w:ascii="Calibri" w:hAnsi="Calibri" w:eastAsia="宋体" w:cs="Times New Roman"/>
      <w:kern w:val="2"/>
      <w:sz w:val="18"/>
      <w:szCs w:val="18"/>
    </w:rPr>
  </w:style>
  <w:style w:type="paragraph" w:customStyle="1" w:styleId="22">
    <w:name w:val="[1]正文"/>
    <w:basedOn w:val="1"/>
    <w:qFormat/>
    <w:uiPriority w:val="0"/>
    <w:pPr>
      <w:autoSpaceDE w:val="0"/>
      <w:autoSpaceDN w:val="0"/>
      <w:ind w:firstLine="200" w:firstLineChars="200"/>
    </w:pPr>
    <w:rPr>
      <w:rFonts w:ascii="Times New Roman" w:hAnsi="Times New Roman" w:eastAsia="宋体" w:cs="Times New Roman"/>
      <w:color w:val="000000"/>
      <w:kern w:val="0"/>
      <w:szCs w:val="24"/>
      <w:lang w:val="zh-CN"/>
    </w:rPr>
  </w:style>
  <w:style w:type="paragraph" w:customStyle="1" w:styleId="2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2</Pages>
  <Words>694</Words>
  <Characters>733</Characters>
  <Lines>5</Lines>
  <Paragraphs>1</Paragraphs>
  <TotalTime>0</TotalTime>
  <ScaleCrop>false</ScaleCrop>
  <LinksUpToDate>false</LinksUpToDate>
  <CharactersWithSpaces>733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2023-02-15T00:32:00Z</dcterms:created>
  <dc:creator>白都荣</dc:creator>
  <cp:lastModifiedBy>hjt</cp:lastModifiedBy>
  <cp:lastPrinted>2023-12-05T10:16:00Z</cp:lastPrinted>
  <dcterms:modified xsi:type="dcterms:W3CDTF">2026-06-07T15:42:31Z</dcterms:modified>
  <dc:title>你公司报送的《固阳县弘元多晶硅项目220kV线路工程建设项目环境影响报告表》（以下简称《报告表》）收悉。经研究，批复如下：</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3A3E9ACF1B5C4802B330381ABAEA2165</vt:lpwstr>
  </property>
  <property fmtid="{D5CDD505-2E9C-101B-9397-08002B2CF9AE}" pid="4" name="KSOTemplateDocerSaveRecord">
    <vt:lpwstr>eyJoZGlkIjoiNDA0NmFmMTliYWVhNWJiZGI5Mjc1OTkxMjg3Yzg2MzQiLCJ1c2VySWQiOiIxNzAwNDE4NDE5In0=</vt:lpwstr>
  </property>
</Properties>
</file>