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锡林郭勒盟新创智汇能源科技（内蒙古）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有限公司苏尼特右旗55万千瓦源网荷储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一体化项目配套接网工程建设项目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环境影响报告表的批复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sz w:val="32"/>
          <w:szCs w:val="32"/>
          <w:lang w:eastAsia="zh-CN"/>
        </w:rPr>
        <w:t>内环表〔2026〕92号</w:t>
      </w:r>
      <mc:AlternateContent>
        <mc:Choice Requires="wpsCustomData">
          <wpsCustomData:docfieldEnd id="1"/>
        </mc:Choice>
      </mc:AlternateContent>
      <w:bookmarkEnd w:id="1"/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内蒙古电力（集团）有限责任公司锡林郭勒供电分公司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2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mc:AlternateContent>
        <mc:Choice Requires="wpsCustomData">
          <wpsCustomData:docfieldStart id="3" docfieldname="正文文件" hidden="false" print="true" readonly="false" index="4"/>
        </mc:Choice>
      </mc:AlternateContent>
      <w:bookmarkStart w:id="3" w:name="正文文件"/>
      <w:bookmarkEnd w:id="3"/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</w:t>
      </w:r>
      <w:r>
        <w:rPr>
          <w:rFonts w:hint="eastAsia" w:ascii="仿宋_GB2312" w:hAnsi="仿宋_GB2312" w:eastAsia="仿宋_GB2312" w:cs="Times New Roman"/>
          <w:bCs/>
          <w:color w:val="auto"/>
          <w:sz w:val="32"/>
          <w:szCs w:val="32"/>
        </w:rPr>
        <w:t>《</w:t>
      </w:r>
      <w:r>
        <w:rPr>
          <w:rFonts w:hint="default" w:ascii="仿宋_GB2312" w:hAnsi="仿宋_GB2312" w:eastAsia="仿宋_GB2312" w:cs="Times New Roman"/>
          <w:bCs/>
          <w:color w:val="auto"/>
          <w:sz w:val="32"/>
          <w:szCs w:val="32"/>
          <w:lang w:val="en-US" w:eastAsia="zh-CN"/>
        </w:rPr>
        <w:t>锡林郭勒盟新创智汇能源科技（内蒙古）有限公司苏尼特右旗55万千瓦源网荷储一体化项目配套接网工程</w:t>
      </w:r>
      <w:r>
        <w:rPr>
          <w:rFonts w:hint="eastAsia" w:ascii="仿宋_GB2312" w:hAnsi="仿宋_GB2312" w:eastAsia="仿宋_GB2312" w:cs="Times New Roman"/>
          <w:bCs/>
          <w:color w:val="auto"/>
          <w:sz w:val="32"/>
          <w:szCs w:val="32"/>
        </w:rPr>
        <w:t>建设项目环境影响报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告表》（以下简称《报告表》）收悉。经研究，批复如下：</w:t>
      </w:r>
    </w:p>
    <w:p>
      <w:pPr>
        <w:pStyle w:val="23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变电工程。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温都尔220kV变电站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扩建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220kV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出线间隔6回。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（二）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线路工程。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新建新创总降站-温都尔220kV电缆线路，新建线路长0.583km，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单回电缆敷设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22"/>
        <w:spacing w:line="560" w:lineRule="exact"/>
        <w:ind w:firstLine="643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内蒙古自治区锡林郭勒盟苏尼特右旗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境内。</w:t>
      </w:r>
    </w:p>
    <w:p>
      <w:pPr>
        <w:pStyle w:val="22"/>
        <w:spacing w:line="560" w:lineRule="exact"/>
        <w:ind w:firstLine="64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锡林郭勒盟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生态环境局</w:t>
      </w:r>
      <w:r>
        <w:rPr>
          <w:rFonts w:hint="eastAsia" w:ascii="仿宋_GB2312" w:hAnsi="仿宋" w:eastAsia="仿宋_GB2312"/>
          <w:sz w:val="32"/>
          <w:szCs w:val="32"/>
        </w:rPr>
        <w:t>负责该项目施工期的监督检查工作。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pStyle w:val="2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2026年6月3日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AEC7212C"/>
    <w:rsid w:val="DF4FEC23"/>
    <w:rsid w:val="FABE6429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basedOn w:val="3"/>
    <w:qFormat/>
    <w:uiPriority w:val="0"/>
    <w:pPr>
      <w:spacing w:line="360" w:lineRule="auto"/>
      <w:ind w:firstLine="7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 w:cs="Times New Roman"/>
      <w:kern w:val="0"/>
      <w:sz w:val="24"/>
      <w:szCs w:val="20"/>
      <w:lang w:val="en-US" w:eastAsia="zh-CN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6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1"/>
    <w:qFormat/>
    <w:uiPriority w:val="0"/>
    <w:pPr>
      <w:ind w:firstLine="420" w:firstLineChars="200"/>
    </w:pPr>
    <w:rPr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semiHidden/>
    <w:unhideWhenUsed/>
    <w:qFormat/>
    <w:uiPriority w:val="0"/>
  </w:style>
  <w:style w:type="character" w:customStyle="1" w:styleId="17">
    <w:name w:val="页眉 Char"/>
    <w:link w:val="10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link w:val="9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眉 字符"/>
    <w:basedOn w:val="15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2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646</Words>
  <Characters>675</Characters>
  <Lines>5</Lines>
  <Paragraphs>1</Paragraphs>
  <TotalTime>0</TotalTime>
  <ScaleCrop>false</ScaleCrop>
  <LinksUpToDate>false</LinksUpToDate>
  <CharactersWithSpaces>675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2023-02-15T16:32:00Z</dcterms:created>
  <dc:creator>白都荣</dc:creator>
  <cp:lastModifiedBy>hjt</cp:lastModifiedBy>
  <cp:lastPrinted>2023-12-06T02:16:00Z</cp:lastPrinted>
  <dcterms:modified xsi:type="dcterms:W3CDTF">2026-06-07T15:46:39Z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