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关于中煤林西县风光制氢一体化项目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（一期10万千瓦光伏发电部分）220kV升压站工程建设项目环境影响报告表的批复 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内环表〔2026〕95号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中煤（林西）生物能源有限公司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mc:AlternateContent>
        <mc:Choice Requires="wpsCustomData">
          <wpsCustomData:docfieldStart id="3" docfieldname="正文文件" hidden="false" print="true" readonly="false" index="4"/>
        </mc:Choice>
      </mc:AlternateContent>
      <w:bookmarkStart w:id="3" w:name="正文文件"/>
      <w:bookmarkEnd w:id="3"/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lang w:val="en-US" w:eastAsia="zh-CN"/>
        </w:rPr>
        <w:t>中煤林西县风光制氢一体化项目（一期10万千瓦光伏发电部分）220kV升压站工程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2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新建220kV升压站，建设1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96MVA主变，220kV出线间隔1回。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内蒙古自治区赤峰市林西县境内。</w:t>
      </w:r>
    </w:p>
    <w:p>
      <w:pPr>
        <w:pStyle w:val="21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1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运营期升压站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生活污水经一体化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污水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处理设施处理后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回用，冬季定期清运，不外排。</w:t>
      </w:r>
      <w:r>
        <w:rPr>
          <w:rFonts w:hint="eastAsia" w:ascii="仿宋_GB2312" w:hAnsi="仿宋" w:eastAsia="仿宋_GB2312"/>
          <w:color w:val="000000" w:themeColor="text1"/>
          <w:kern w:val="2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</w:t>
      </w:r>
      <w:r>
        <w:rPr>
          <w:rFonts w:hint="eastAsia" w:ascii="仿宋_GB2312" w:hAnsi="仿宋" w:eastAsia="仿宋_GB2312"/>
          <w:sz w:val="32"/>
          <w:szCs w:val="32"/>
        </w:rPr>
        <w:t>负责该项目施工期的监督检查工作。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/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83EB9"/>
    <w:rsid w:val="7BFF4D51"/>
    <w:rsid w:val="7D6F7921"/>
    <w:rsid w:val="7D754DCD"/>
    <w:rsid w:val="7E705781"/>
    <w:rsid w:val="DF4FEC23"/>
    <w:rsid w:val="FB737E87"/>
    <w:rsid w:val="FDBE67B1"/>
    <w:rsid w:val="FDDAFE70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szCs w:val="20"/>
      <w:lang w:val="en-US" w:eastAsia="zh-CN"/>
    </w:rPr>
  </w:style>
  <w:style w:type="paragraph" w:styleId="10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  <w:rPr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unhideWhenUsed/>
    <w:qFormat/>
    <w:uiPriority w:val="0"/>
  </w:style>
  <w:style w:type="character" w:customStyle="1" w:styleId="16">
    <w:name w:val="页眉 Char"/>
    <w:link w:val="8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link w:val="7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字符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0正文"/>
    <w:basedOn w:val="9"/>
    <w:qFormat/>
    <w:uiPriority w:val="0"/>
    <w:pPr>
      <w:spacing w:line="360" w:lineRule="auto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691</Words>
  <Characters>718</Characters>
  <Lines>5</Lines>
  <Paragraphs>1</Paragraphs>
  <TotalTime>0</TotalTime>
  <ScaleCrop>false</ScaleCrop>
  <LinksUpToDate>false</LinksUpToDate>
  <CharactersWithSpaces>718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2023-02-15T08:32:00Z</dcterms:created>
  <dc:creator>白都荣</dc:creator>
  <cp:lastModifiedBy>hjt</cp:lastModifiedBy>
  <cp:lastPrinted>2023-12-05T18:16:00Z</cp:lastPrinted>
  <dcterms:modified xsi:type="dcterms:W3CDTF">2026-06-07T15:50:02Z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