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乌后旗500千伏主变扩建及加强至河套Ⅱ回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线路工程建设项目环境影响报告书的批复</w:t>
      </w:r>
      <w:bookmarkEnd w:id="0"/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sz w:val="32"/>
          <w:szCs w:val="32"/>
          <w:lang w:eastAsia="zh-CN"/>
        </w:rPr>
        <w:t>内环审〔2026〕61号</w:t>
      </w:r>
      <w:bookmarkEnd w:id="1"/>
      <mc:AlternateContent>
        <mc:Choice Requires="wpsCustomData">
          <wpsCustomData:docfieldEnd id="1"/>
        </mc:Choice>
      </mc:AlternateContent>
    </w:p>
    <mc:AlternateContent>
      <mc:Choice Requires="wpsCustomData">
        <wpsCustomData:docfieldEnd id="0"/>
      </mc:Choice>
    </mc:AlternateContent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内蒙古电力（集团）有限责任公司乌海超高压供电分公司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16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kern w:val="2"/>
          <w:sz w:val="32"/>
          <w:szCs w:val="32"/>
          <w:highlight w:val="none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</w:rPr>
        <w:t>你公司报送的《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/>
        </w:rPr>
        <w:t>乌后旗500千伏主变扩建及加强至河套Ⅱ回线路工程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建设项目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</w:rPr>
        <w:t>环境影响报告书》（以下简称《报告书》）收悉。经研究，批复如下：</w:t>
      </w:r>
    </w:p>
    <w:p>
      <w:pPr>
        <w:pStyle w:val="16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一、项目建设基本情况</w:t>
      </w:r>
    </w:p>
    <w:p>
      <w:pPr>
        <w:pStyle w:val="7"/>
        <w:spacing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变电工程。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（1）乌后旗500kV变电站扩建2×750MVA主变，500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zh-CN" w:eastAsia="zh-CN" w:bidi="ar"/>
        </w:rPr>
        <w:t>kV出线间隔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1回。（2）河套500kV变电站扩建500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zh-CN" w:eastAsia="zh-CN" w:bidi="ar"/>
        </w:rPr>
        <w:t>kV出线间隔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1回。</w:t>
      </w:r>
    </w:p>
    <w:p>
      <w:pPr>
        <w:pStyle w:val="7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线路工程。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已建乌后旗-河套Ⅱ回500kV输电线路，建设线路长15.7km，单回路架设，立塔41基。利用已建500kV线路（神华国华乌拉特后旗风电场至临河北220kV（500kV）送电线路工程）50.46km，利用升压工程500kV线路（乌拉特后旗500千伏输变电工程）0.45km。</w:t>
      </w:r>
    </w:p>
    <w:p>
      <w:pPr>
        <w:pStyle w:val="7"/>
        <w:spacing w:line="560" w:lineRule="exact"/>
        <w:ind w:firstLine="640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已建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输电线路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不可避让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穿越乌拉特后旗防风固沙生态保护红线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0.85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km，立塔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基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7"/>
        <w:spacing w:line="560" w:lineRule="exact"/>
        <w:ind w:firstLine="64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本项目建设地点位于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内蒙古自治区巴彦淖尔市乌拉特后旗境内。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二、总体意见</w:t>
      </w:r>
    </w:p>
    <w:p>
      <w:pPr>
        <w:pStyle w:val="16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该项目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2025年4月开工建设，目前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尚未建成投运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巴彦淖尔市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生态环境局于202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出具行政处罚决定书（巴环（7）罚字〔2026〕2号）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。根据原环境保护部《关于建设项目“未批先建”违法行为法律适用问题的意见》（环政法函〔2018〕31号），从环境保护及政策角度分析，该项目符合相关文件要求，我厅原则同意该项目的环境影响评价批复。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三、项目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建设及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（一）严格落实项目施工期、运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（二）认真落实</w:t>
      </w:r>
      <w:r>
        <w:rPr>
          <w:rFonts w:ascii="仿宋_GB2312" w:hAnsi="仿宋" w:eastAsia="仿宋_GB2312"/>
          <w:sz w:val="32"/>
          <w:szCs w:val="32"/>
          <w:highlight w:val="none"/>
          <w:lang w:val="en"/>
        </w:rPr>
        <w:t>《报告书》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中提出的控制和改善工频电场、工频磁场对周边环境影响的措施和方法，监测值应符合《电磁环境控制限值》（GB8702-2014）要求。</w:t>
      </w:r>
    </w:p>
    <w:p>
      <w:pPr>
        <w:pStyle w:val="17"/>
        <w:spacing w:line="560" w:lineRule="exact"/>
        <w:ind w:firstLine="640"/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hint="eastAsia" w:ascii="仿宋_GB2312" w:hAnsi="仿宋" w:eastAsia="仿宋_GB2312"/>
          <w:kern w:val="2"/>
          <w:sz w:val="32"/>
          <w:szCs w:val="32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sz w:val="32"/>
          <w:szCs w:val="32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）项目施工期及运行期的噪声值及防噪措施应满足</w:t>
      </w:r>
      <w:r>
        <w:rPr>
          <w:rFonts w:ascii="仿宋_GB2312" w:hAnsi="仿宋" w:eastAsia="仿宋_GB2312"/>
          <w:sz w:val="32"/>
          <w:szCs w:val="32"/>
          <w:highlight w:val="none"/>
          <w:lang w:val="en"/>
        </w:rPr>
        <w:t>《报告书》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）环境影响报告书经批准后，项目的性质、规模、地点或生态保护、污染防治措施发生重大变动的，应当按要求重新报批。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五、我厅委托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巴彦淖尔</w:t>
      </w:r>
      <w:r>
        <w:rPr>
          <w:rFonts w:hint="eastAsia" w:ascii="仿宋_GB2312" w:eastAsia="仿宋_GB2312"/>
          <w:sz w:val="32"/>
          <w:szCs w:val="32"/>
          <w:highlight w:val="none"/>
        </w:rPr>
        <w:t>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生态环境局负责该项目施工期的监督检查工作。</w:t>
      </w:r>
    </w:p>
    <w:p>
      <w:pPr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rPr>
          <w:highlight w:val="none"/>
        </w:rPr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2026年6月9日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D58DB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8DD49AF"/>
    <w:rsid w:val="0C293B57"/>
    <w:rsid w:val="0E4627D6"/>
    <w:rsid w:val="0EE3138A"/>
    <w:rsid w:val="0FF01CE2"/>
    <w:rsid w:val="119A7394"/>
    <w:rsid w:val="11DB31C3"/>
    <w:rsid w:val="125A4F9B"/>
    <w:rsid w:val="13C46FB9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C351E0C"/>
    <w:rsid w:val="2D3E0262"/>
    <w:rsid w:val="3078340E"/>
    <w:rsid w:val="377E1867"/>
    <w:rsid w:val="39A04924"/>
    <w:rsid w:val="3C032EFE"/>
    <w:rsid w:val="3C431296"/>
    <w:rsid w:val="3D997D89"/>
    <w:rsid w:val="3FF6E001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6DD58DB"/>
    <w:rsid w:val="58CA2C35"/>
    <w:rsid w:val="5A0A5B88"/>
    <w:rsid w:val="5A2A1A16"/>
    <w:rsid w:val="5F001B36"/>
    <w:rsid w:val="5F0D4001"/>
    <w:rsid w:val="5FFF9794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584999"/>
    <w:rsid w:val="73942F17"/>
    <w:rsid w:val="73ED7448"/>
    <w:rsid w:val="73FF04CC"/>
    <w:rsid w:val="775DCE8C"/>
    <w:rsid w:val="77E77440"/>
    <w:rsid w:val="7BBF4224"/>
    <w:rsid w:val="7BE16A25"/>
    <w:rsid w:val="7BFF4D51"/>
    <w:rsid w:val="7C7F82FD"/>
    <w:rsid w:val="7D6F7921"/>
    <w:rsid w:val="7D754DCD"/>
    <w:rsid w:val="7E705781"/>
    <w:rsid w:val="7FF985B6"/>
    <w:rsid w:val="7FF9CE74"/>
    <w:rsid w:val="CF7F7AB5"/>
    <w:rsid w:val="DF4FEC23"/>
    <w:rsid w:val="EF95A3C8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szCs w:val="20"/>
      <w:lang w:val="en-US" w:eastAsia="zh-CN"/>
    </w:rPr>
  </w:style>
  <w:style w:type="paragraph" w:styleId="7">
    <w:name w:val="Body Text First Indent 2"/>
    <w:basedOn w:val="1"/>
    <w:next w:val="1"/>
    <w:qFormat/>
    <w:uiPriority w:val="0"/>
    <w:pPr>
      <w:ind w:firstLine="420" w:firstLineChars="200"/>
    </w:pPr>
    <w:rPr>
      <w:rFonts w:ascii="Times New Roman" w:hAnsi="Times New Roman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semiHidden/>
    <w:qFormat/>
    <w:uiPriority w:val="99"/>
    <w:rPr>
      <w:sz w:val="18"/>
      <w:szCs w:val="18"/>
    </w:rPr>
  </w:style>
  <w:style w:type="paragraph" w:customStyle="1" w:styleId="15">
    <w:name w:val="0正文"/>
    <w:basedOn w:val="6"/>
    <w:qFormat/>
    <w:uiPriority w:val="0"/>
    <w:pPr>
      <w:spacing w:line="360" w:lineRule="auto"/>
      <w:ind w:firstLine="7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2026-06-10T13:07:44Z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