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jc w:val="center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mc:AlternateContent>
        <mc:Choice Requires="wpsCustomData">
          <wpsCustomData:docfieldStart id="0" docfieldname="标题" hidden="false" print="true" readonly="false" index="2"/>
        </mc:Choice>
      </mc:AlternateContent>
      <w:bookmarkStart w:id="0" w:name="标题"/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内蒙古自治区生态环境厅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关于华电扎鲁特旗10万千瓦上网消纳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风电项目升压站工程建设项目环境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影响报告表的批复</w:t>
      </w:r>
      <w:bookmarkEnd w:id="0"/>
    </w:p>
    <mc:AlternateContent>
      <mc:Choice Requires="wpsCustomData">
        <wpsCustomData:docfieldEnd id="0"/>
      </mc:Choice>
    </mc:AlternateContent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bookmarkStart w:id="1" w:name="文号"/>
      <mc:AlternateContent>
        <mc:Choice Requires="wpsCustomData">
          <wpsCustomData:docfieldStart id="1" docfieldname="文号" hidden="false" print="true" readonly="false" index="1"/>
        </mc:Choice>
      </mc:AlternateContent>
      <w:r>
        <w:rPr>
          <w:rFonts w:hint="eastAsia" w:ascii="仿宋_GB2312" w:hAnsi="仿宋" w:eastAsia="仿宋_GB2312"/>
          <w:sz w:val="32"/>
          <w:szCs w:val="32"/>
          <w:lang w:eastAsia="zh-CN"/>
        </w:rPr>
        <w:t>内环表〔2026〕145号</w:t>
      </w:r>
      <w:bookmarkEnd w:id="1"/>
      <mc:AlternateContent>
        <mc:Choice Requires="wpsCustomData">
          <wpsCustomData:docfieldEnd id="1"/>
        </mc:Choice>
      </mc:AlternateContent>
    </w:p>
    <w:p>
      <w:pPr>
        <w:spacing w:line="560" w:lineRule="exact"/>
        <w:rPr>
          <w:rFonts w:ascii="仿宋" w:hAnsi="仿宋" w:eastAsia="仿宋"/>
          <w:sz w:val="28"/>
        </w:rPr>
      </w:pPr>
    </w:p>
    <w:p>
      <w:pPr>
        <w:spacing w:line="560" w:lineRule="exact"/>
        <w:rPr>
          <w:rFonts w:ascii="仿宋_GB2312" w:hAnsi="仿宋" w:eastAsia="仿宋_GB2312"/>
          <w:bCs/>
          <w:sz w:val="32"/>
          <w:szCs w:val="32"/>
        </w:rPr>
      </w:pPr>
      <w:bookmarkStart w:id="2" w:name="主送单位"/>
      <mc:AlternateContent>
        <mc:Choice Requires="wpsCustomData">
          <wpsCustomData:docfieldStart id="2" docfieldname="主送单位" hidden="false" print="true" readonly="false" index="3"/>
        </mc:Choice>
      </mc:AlternateContent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内蒙古华电惠康新能源有限公司</w:t>
      </w:r>
      <mc:AlternateContent>
        <mc:Choice Requires="wpsCustomData">
          <wpsCustomData:docfieldEnd id="2"/>
        </mc:Choice>
      </mc:AlternateContent>
      <w:bookmarkEnd w:id="2"/>
      <w:r>
        <w:rPr>
          <w:rFonts w:hint="eastAsia" w:ascii="仿宋_GB2312" w:hAnsi="仿宋" w:eastAsia="仿宋_GB2312"/>
          <w:bCs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/>
          <w:color w:val="000000"/>
          <w:sz w:val="32"/>
          <w:szCs w:val="32"/>
        </w:rPr>
      </w:pPr>
      <mc:AlternateContent>
        <mc:Choice Requires="wpsCustomData">
          <wpsCustomData:docfieldStart id="3" docfieldname="正文文件" hidden="false" print="true" readonly="false" index="4"/>
        </mc:Choice>
      </mc:AlternateContent>
      <w:bookmarkStart w:id="3" w:name="正文文件"/>
      <w:bookmarkEnd w:id="3"/>
      <w:r>
        <w:rPr>
          <w:rFonts w:hint="eastAsia" w:ascii="仿宋_GB2312" w:eastAsia="仿宋_GB2312"/>
          <w:bCs/>
          <w:sz w:val="32"/>
          <w:szCs w:val="32"/>
        </w:rPr>
        <w:t>你公司</w:t>
      </w:r>
      <w:r>
        <w:rPr>
          <w:rFonts w:hint="eastAsia" w:ascii="仿宋_GB2312" w:eastAsia="仿宋_GB2312" w:cs="Times New Roman"/>
          <w:color w:val="000000"/>
          <w:sz w:val="32"/>
          <w:szCs w:val="32"/>
        </w:rPr>
        <w:t>报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送的《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华电扎鲁特旗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10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万千瓦上网消纳风电项目升压站工程</w:t>
      </w:r>
      <w:r>
        <w:rPr>
          <w:rFonts w:hint="eastAsia" w:ascii="仿宋_GB2312" w:hAns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建设项目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环境影响报告表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》（</w:t>
      </w:r>
      <w:r>
        <w:rPr>
          <w:rFonts w:hint="eastAsia" w:ascii="仿宋_GB2312" w:eastAsia="仿宋_GB2312"/>
          <w:color w:val="000000"/>
          <w:sz w:val="32"/>
          <w:szCs w:val="32"/>
        </w:rPr>
        <w:t>以下简称《报告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表</w:t>
      </w:r>
      <w:r>
        <w:rPr>
          <w:rFonts w:hint="eastAsia" w:ascii="仿宋_GB2312" w:eastAsia="仿宋_GB2312"/>
          <w:color w:val="000000"/>
          <w:sz w:val="32"/>
          <w:szCs w:val="32"/>
        </w:rPr>
        <w:t>》）收悉。经研究，批复如下：</w:t>
      </w:r>
    </w:p>
    <w:p>
      <w:pPr>
        <w:pStyle w:val="17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一、项目建设基本情况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新建220kV升压站，建设1×100MVA主变，220kV出线间隔1回。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Times New Roman"/>
          <w:bCs w:val="0"/>
          <w:color w:val="000000"/>
          <w:sz w:val="32"/>
          <w:szCs w:val="32"/>
        </w:rPr>
        <w:t>本项目建设地点位于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内蒙古自治区通辽市扎鲁特旗境内。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二、总体意见</w:t>
      </w:r>
    </w:p>
    <w:p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本项目在严格落实</w:t>
      </w:r>
      <w:r>
        <w:rPr>
          <w:rFonts w:ascii="仿宋_GB2312" w:eastAsia="仿宋_GB2312"/>
          <w:sz w:val="32"/>
          <w:szCs w:val="32"/>
          <w:lang w:val="en"/>
        </w:rPr>
        <w:t>《报告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表</w:t>
      </w:r>
      <w:r>
        <w:rPr>
          <w:rFonts w:ascii="仿宋_GB2312" w:eastAsia="仿宋_GB2312"/>
          <w:sz w:val="32"/>
          <w:szCs w:val="32"/>
          <w:lang w:val="en"/>
        </w:rPr>
        <w:t>》</w:t>
      </w:r>
      <w:r>
        <w:rPr>
          <w:rFonts w:hint="eastAsia" w:ascii="仿宋_GB2312" w:eastAsia="仿宋_GB2312"/>
          <w:sz w:val="32"/>
          <w:szCs w:val="32"/>
        </w:rPr>
        <w:t>提出的各项环境保护措</w:t>
      </w:r>
      <w:r>
        <w:rPr>
          <w:rFonts w:hint="eastAsia" w:ascii="仿宋_GB2312" w:hAnsi="仿宋" w:eastAsia="仿宋_GB2312"/>
          <w:sz w:val="32"/>
          <w:szCs w:val="32"/>
        </w:rPr>
        <w:t>施后，对</w:t>
      </w:r>
      <w:r>
        <w:rPr>
          <w:rFonts w:hint="eastAsia" w:ascii="仿宋_GB2312" w:hAnsi="仿宋_GB2312" w:eastAsia="仿宋_GB2312"/>
          <w:bCs/>
          <w:color w:val="000000"/>
          <w:sz w:val="32"/>
          <w:szCs w:val="32"/>
        </w:rPr>
        <w:t>环境的不利影响和可能存在的环境风险在可控范围内。从环境保护角度分析，我厅原则同意本项目按照</w:t>
      </w:r>
      <w:r>
        <w:rPr>
          <w:rFonts w:ascii="仿宋_GB2312" w:hAnsi="仿宋_GB2312" w:eastAsia="仿宋_GB2312"/>
          <w:bCs/>
          <w:color w:val="000000"/>
          <w:sz w:val="32"/>
          <w:szCs w:val="32"/>
          <w:lang w:val="en"/>
        </w:rPr>
        <w:t>《报告</w:t>
      </w:r>
      <w:r>
        <w:rPr>
          <w:rFonts w:hint="eastAsia" w:ascii="仿宋_GB2312" w:hAnsi="仿宋_GB2312" w:eastAsia="仿宋_GB2312"/>
          <w:bCs/>
          <w:color w:val="000000"/>
          <w:sz w:val="32"/>
          <w:szCs w:val="32"/>
          <w:lang w:val="en-US" w:eastAsia="zh-CN"/>
        </w:rPr>
        <w:t>表</w:t>
      </w:r>
      <w:r>
        <w:rPr>
          <w:rFonts w:ascii="仿宋_GB2312" w:hAnsi="仿宋_GB2312" w:eastAsia="仿宋_GB2312"/>
          <w:bCs/>
          <w:color w:val="000000"/>
          <w:sz w:val="32"/>
          <w:szCs w:val="32"/>
          <w:lang w:val="en"/>
        </w:rPr>
        <w:t>》</w:t>
      </w:r>
      <w:r>
        <w:rPr>
          <w:rFonts w:hint="eastAsia" w:ascii="仿宋_GB2312" w:hAnsi="仿宋_GB2312" w:eastAsia="仿宋_GB2312"/>
          <w:bCs/>
          <w:color w:val="000000"/>
          <w:sz w:val="32"/>
          <w:szCs w:val="32"/>
        </w:rPr>
        <w:t>中所列的性质、规模、地点和拟采取的环保措施进行</w:t>
      </w:r>
      <w:r>
        <w:rPr>
          <w:rFonts w:hint="eastAsia" w:ascii="仿宋_GB2312" w:hAnsi="仿宋" w:eastAsia="仿宋_GB2312"/>
          <w:sz w:val="32"/>
          <w:szCs w:val="32"/>
        </w:rPr>
        <w:t>建设。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三、项目建设及运行期间应做好的工作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（一）严格落实项目施工期、运营期生态环境保护措施，做好生态保护与恢复工作。施工期严格控制施工活动范围，合理布局，尽量减少土地占用和植被破坏。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（二）认真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落实</w:t>
      </w:r>
      <w:r>
        <w:rPr>
          <w:rFonts w:ascii="仿宋_GB2312" w:hAnsi="仿宋" w:eastAsia="仿宋_GB2312"/>
          <w:color w:val="auto"/>
          <w:sz w:val="32"/>
          <w:szCs w:val="32"/>
          <w:lang w:val="en"/>
        </w:rPr>
        <w:t>《报告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表</w:t>
      </w:r>
      <w:r>
        <w:rPr>
          <w:rFonts w:ascii="仿宋_GB2312" w:hAnsi="仿宋" w:eastAsia="仿宋_GB2312"/>
          <w:color w:val="auto"/>
          <w:sz w:val="32"/>
          <w:szCs w:val="32"/>
          <w:lang w:val="en"/>
        </w:rPr>
        <w:t>》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中提出的控制和改善工频电场、工频磁场对周边环境影响的措施和方法，监测值应符合《电磁环境控制限值》（GB8702-2014）要求。</w:t>
      </w:r>
    </w:p>
    <w:p>
      <w:pPr>
        <w:pStyle w:val="16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（三）运营期升压站生活污水经化粪池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地埋式一体化污水处理设施处理后用于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站内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绿化。</w:t>
      </w:r>
      <w:r>
        <w:rPr>
          <w:rFonts w:hint="eastAsia" w:ascii="仿宋_GB2312" w:hAnsi="仿宋" w:eastAsia="仿宋_GB2312"/>
          <w:color w:val="000000" w:themeColor="text1"/>
          <w:kern w:val="2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对设备维修过程中产生的废变压器油、废蓄电池等应全部回收，如不能全部回收，必须单独存放，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集中送交有相应危险废物经营许可资质的单位处置。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项目施工期及运行期的噪声值及防噪措施应满足</w:t>
      </w:r>
      <w:r>
        <w:rPr>
          <w:rFonts w:ascii="仿宋_GB2312" w:hAnsi="仿宋" w:eastAsia="仿宋_GB2312"/>
          <w:sz w:val="32"/>
          <w:szCs w:val="32"/>
          <w:lang w:val="en"/>
        </w:rPr>
        <w:t>《报告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表</w:t>
      </w:r>
      <w:r>
        <w:rPr>
          <w:rFonts w:ascii="仿宋_GB2312" w:hAnsi="仿宋" w:eastAsia="仿宋_GB2312"/>
          <w:sz w:val="32"/>
          <w:szCs w:val="32"/>
          <w:lang w:val="en"/>
        </w:rPr>
        <w:t>》</w:t>
      </w:r>
      <w:r>
        <w:rPr>
          <w:rFonts w:hint="eastAsia" w:ascii="仿宋_GB2312" w:hAnsi="仿宋" w:eastAsia="仿宋_GB2312"/>
          <w:sz w:val="32"/>
          <w:szCs w:val="32"/>
        </w:rPr>
        <w:t>中提出的要求，监测值应符合国家评价标准限值要求。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" w:eastAsia="仿宋_GB2312"/>
          <w:sz w:val="32"/>
          <w:szCs w:val="32"/>
        </w:rPr>
        <w:t>）环境影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响报告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表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经批准后，项目的性质、规模、地点或生态保护、污染防治措施发生重大变动的，应当按要求重新报批。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四、建设单位按规定程序完成竣工环境保护验收后，项目方可投入正式运行。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五、我厅委</w:t>
      </w:r>
      <w:r>
        <w:rPr>
          <w:rFonts w:hint="eastAsia" w:ascii="仿宋_GB2312" w:hAnsi="仿宋" w:eastAsia="仿宋_GB2312" w:cs="Times New Roman"/>
          <w:sz w:val="32"/>
          <w:szCs w:val="32"/>
        </w:rPr>
        <w:t>托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通辽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市</w:t>
      </w:r>
      <w:r>
        <w:rPr>
          <w:rFonts w:hint="eastAsia" w:ascii="仿宋_GB2312" w:hAnsi="仿宋" w:eastAsia="仿宋_GB2312" w:cs="Times New Roman"/>
          <w:sz w:val="32"/>
          <w:szCs w:val="32"/>
        </w:rPr>
        <w:t>生态环</w:t>
      </w:r>
      <w:r>
        <w:rPr>
          <w:rFonts w:hint="eastAsia" w:ascii="仿宋_GB2312" w:hAnsi="仿宋" w:eastAsia="仿宋_GB2312"/>
          <w:sz w:val="32"/>
          <w:szCs w:val="32"/>
        </w:rPr>
        <w:t>境局负责该项目施工期的监督检查工作。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六、本批复不具有其他行政审批前置效力。</w:t>
      </w:r>
    </w:p>
    <w:p>
      <w:pPr>
        <w:pStyle w:val="16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sz w:val="32"/>
          <w:szCs w:val="32"/>
        </w:rPr>
      </w:pPr>
    </w:p>
    <mc:AlternateContent>
      <mc:Choice Requires="wpsCustomData">
        <wpsCustomData:docfieldEnd id="3"/>
      </mc:Choice>
    </mc:AlternateContent>
    <w:p>
      <w:pPr>
        <w:spacing w:line="560" w:lineRule="exact"/>
        <w:ind w:firstLine="624" w:firstLineChars="200"/>
        <w:rPr>
          <w:rFonts w:ascii="仿宋_GB2312" w:hAnsi="仿宋" w:eastAsia="仿宋_GB2312"/>
          <w:spacing w:val="-4"/>
          <w:sz w:val="32"/>
          <w:szCs w:val="32"/>
        </w:rPr>
      </w:pPr>
    </w:p>
    <w:p>
      <w:pPr>
        <w:spacing w:line="560" w:lineRule="exact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pacing w:val="-4"/>
          <w:sz w:val="32"/>
          <w:szCs w:val="32"/>
        </w:rPr>
        <w:t xml:space="preserve">                           内蒙古自治区生态环境厅  </w:t>
      </w:r>
      <w:r>
        <w:rPr>
          <w:rFonts w:hint="eastAsia" w:ascii="仿宋_GB2312" w:hAnsi="仿宋" w:eastAsia="仿宋_GB2312"/>
          <w:sz w:val="32"/>
          <w:szCs w:val="32"/>
        </w:rPr>
        <w:t xml:space="preserve"> </w:t>
      </w:r>
    </w:p>
    <w:p>
      <w:pPr>
        <w:spacing w:line="560" w:lineRule="exact"/>
        <w:ind w:right="55" w:rightChars="26"/>
        <w:jc w:val="left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 </w:t>
      </w:r>
      <w:bookmarkStart w:id="4" w:name="签发日期"/>
      <mc:AlternateContent>
        <mc:Choice Requires="wpsCustomData">
          <wpsCustomData:docfieldStart id="4" docfieldname="签发日期" hidden="false" print="true" readonly="false" index="5"/>
        </mc:Choice>
      </mc:AlternateContent>
      <w:r>
        <w:rPr>
          <w:rFonts w:hint="eastAsia" w:ascii="仿宋_GB2312" w:hAnsi="仿宋" w:eastAsia="仿宋_GB2312"/>
          <w:sz w:val="32"/>
          <w:szCs w:val="32"/>
          <w:lang w:eastAsia="zh-CN"/>
        </w:rPr>
        <w:t>2026年7月16日</w:t>
      </w:r>
      <w:bookmarkEnd w:id="4"/>
      <mc:AlternateContent>
        <mc:Choice Requires="wpsCustomData">
          <wpsCustomData:docfieldEnd id="4"/>
        </mc:Choice>
      </mc:AlternateContent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14" w:lineRule="exact"/>
        <w:ind w:right="315" w:rightChars="150"/>
        <w:rPr>
          <w:rFonts w:ascii="仿宋_GB2312" w:hAnsi="仿宋" w:eastAsia="仿宋_GB2312"/>
          <w:sz w:val="28"/>
          <w:szCs w:val="28"/>
        </w:rPr>
      </w:pPr>
      <w:bookmarkStart w:id="5" w:name="_GoBack"/>
      <w:bookmarkEnd w:id="5"/>
    </w:p>
    <w:sectPr>
      <w:headerReference r:id="rId3" w:type="default"/>
      <w:footerReference r:id="rId5" w:type="default"/>
      <w:headerReference r:id="rId4" w:type="even"/>
      <w:footerReference r:id="rId6" w:type="even"/>
      <w:type w:val="continuous"/>
      <w:pgSz w:w="11907" w:h="16840"/>
      <w:pgMar w:top="2041" w:right="1531" w:bottom="2041" w:left="1531" w:header="851" w:footer="158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591185" cy="230505"/>
              <wp:effectExtent l="0" t="0" r="0" b="0"/>
              <wp:wrapNone/>
              <wp:docPr id="3" name="Quad Arrow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59118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false"/>
                  </wps:wsp>
                </a:graphicData>
              </a:graphic>
            </wp:anchor>
          </w:drawing>
        </mc:Choice>
        <mc:Fallback>
          <w:pict>
            <v:shape id="Quad Arrow 3" o:spid="_x0000_s1026" o:spt="202" type="#_x0000_t202" style="position:absolute;left:0pt;margin-top:0.05pt;height:18.15pt;width:46.55pt;mso-position-horizontal:outside;mso-position-horizontal-relative:margin;z-index:251659264;mso-width-relative:page;mso-height-relative:page;" filled="f" stroked="f" coordsize="21600,21600" o:gfxdata="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FgAAAGRycy9QSwECFAAUAAAACACHTuJA&#10;ripQTtQAAAADAQAADwAAAAAAAAABACAAAAA4AAAAZHJzL2Rvd25yZXYueG1sUEsBAhQAFAAAAAgA&#10;h07iQLGQ83+hAQAAOQMAAA4AAAAAAAAAAQAgAAAAO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608965" cy="230505"/>
              <wp:effectExtent l="0" t="0" r="0" b="0"/>
              <wp:wrapNone/>
              <wp:docPr id="4" name="Quad Arrow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60896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false"/>
                  </wps:wsp>
                </a:graphicData>
              </a:graphic>
            </wp:anchor>
          </w:drawing>
        </mc:Choice>
        <mc:Fallback>
          <w:pict>
            <v:shape id="Quad Arrow 4" o:spid="_x0000_s1026" o:spt="202" type="#_x0000_t202" style="position:absolute;left:0pt;margin-top:0.05pt;height:18.15pt;width:47.95pt;mso-position-horizontal:outside;mso-position-horizontal-relative:margin;z-index:251660288;mso-width-relative:page;mso-height-relative:page;" filled="f" stroked="f" coordsize="21600,21600" o:gfxdata="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WAAAAZHJzL1BLAQIUABQAAAAIAIdO4kBq&#10;8m6J0wAAAAMBAAAPAAAAAAAAAAEAIAAAADgAAABkcnMvZG93bnJldi54bWxQSwECFAAUAAAACACH&#10;TuJA+pDoVqEBAAA5AwAADgAAAAAAAAABACAAAAA4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101"/>
    <w:rsid w:val="000502D9"/>
    <w:rsid w:val="00053C74"/>
    <w:rsid w:val="00081DD9"/>
    <w:rsid w:val="000A43C9"/>
    <w:rsid w:val="000F448F"/>
    <w:rsid w:val="00104AD5"/>
    <w:rsid w:val="00107F1D"/>
    <w:rsid w:val="00112653"/>
    <w:rsid w:val="00161599"/>
    <w:rsid w:val="0019160D"/>
    <w:rsid w:val="00212159"/>
    <w:rsid w:val="002203D3"/>
    <w:rsid w:val="002432A7"/>
    <w:rsid w:val="002778D8"/>
    <w:rsid w:val="00290DA8"/>
    <w:rsid w:val="002B7D95"/>
    <w:rsid w:val="002D6AFC"/>
    <w:rsid w:val="002F0DE2"/>
    <w:rsid w:val="0030486D"/>
    <w:rsid w:val="00323B61"/>
    <w:rsid w:val="003619FA"/>
    <w:rsid w:val="00393E71"/>
    <w:rsid w:val="003B1A02"/>
    <w:rsid w:val="003C6CE9"/>
    <w:rsid w:val="00424C6E"/>
    <w:rsid w:val="00452E4A"/>
    <w:rsid w:val="004B7461"/>
    <w:rsid w:val="004C640A"/>
    <w:rsid w:val="004D3FC2"/>
    <w:rsid w:val="004F50C6"/>
    <w:rsid w:val="00505381"/>
    <w:rsid w:val="00544386"/>
    <w:rsid w:val="0056424C"/>
    <w:rsid w:val="0057112D"/>
    <w:rsid w:val="00571F6F"/>
    <w:rsid w:val="00577293"/>
    <w:rsid w:val="0058220B"/>
    <w:rsid w:val="00585C83"/>
    <w:rsid w:val="00590474"/>
    <w:rsid w:val="00592CC9"/>
    <w:rsid w:val="005A5BF2"/>
    <w:rsid w:val="006132A1"/>
    <w:rsid w:val="00624B4A"/>
    <w:rsid w:val="006661A4"/>
    <w:rsid w:val="006A7884"/>
    <w:rsid w:val="006B38F9"/>
    <w:rsid w:val="006E1CA5"/>
    <w:rsid w:val="006E2329"/>
    <w:rsid w:val="006F6255"/>
    <w:rsid w:val="00701535"/>
    <w:rsid w:val="0070579B"/>
    <w:rsid w:val="00715743"/>
    <w:rsid w:val="007173A8"/>
    <w:rsid w:val="00761FB3"/>
    <w:rsid w:val="0076589A"/>
    <w:rsid w:val="00786B2F"/>
    <w:rsid w:val="007925F1"/>
    <w:rsid w:val="0079344F"/>
    <w:rsid w:val="007A1610"/>
    <w:rsid w:val="007C0101"/>
    <w:rsid w:val="007D373D"/>
    <w:rsid w:val="00835942"/>
    <w:rsid w:val="00847C4B"/>
    <w:rsid w:val="00861920"/>
    <w:rsid w:val="008643C3"/>
    <w:rsid w:val="00873CD5"/>
    <w:rsid w:val="008804D9"/>
    <w:rsid w:val="008838C5"/>
    <w:rsid w:val="00883BA1"/>
    <w:rsid w:val="0089055A"/>
    <w:rsid w:val="00896DE4"/>
    <w:rsid w:val="008A4595"/>
    <w:rsid w:val="008B77EC"/>
    <w:rsid w:val="008C34AF"/>
    <w:rsid w:val="008D27CA"/>
    <w:rsid w:val="00907606"/>
    <w:rsid w:val="00922F9C"/>
    <w:rsid w:val="0095741D"/>
    <w:rsid w:val="00964200"/>
    <w:rsid w:val="0096751F"/>
    <w:rsid w:val="00967FB8"/>
    <w:rsid w:val="00971513"/>
    <w:rsid w:val="0099392B"/>
    <w:rsid w:val="009950F5"/>
    <w:rsid w:val="00996316"/>
    <w:rsid w:val="009F0D7E"/>
    <w:rsid w:val="009F4F97"/>
    <w:rsid w:val="00A03E70"/>
    <w:rsid w:val="00A14283"/>
    <w:rsid w:val="00A16266"/>
    <w:rsid w:val="00A32DBE"/>
    <w:rsid w:val="00A3438E"/>
    <w:rsid w:val="00A36EAB"/>
    <w:rsid w:val="00A42722"/>
    <w:rsid w:val="00A43C93"/>
    <w:rsid w:val="00AA5ECB"/>
    <w:rsid w:val="00AF257E"/>
    <w:rsid w:val="00B057C0"/>
    <w:rsid w:val="00B16355"/>
    <w:rsid w:val="00B22816"/>
    <w:rsid w:val="00B2798A"/>
    <w:rsid w:val="00B4476C"/>
    <w:rsid w:val="00B46191"/>
    <w:rsid w:val="00B61218"/>
    <w:rsid w:val="00B86149"/>
    <w:rsid w:val="00B91AFD"/>
    <w:rsid w:val="00BA1A77"/>
    <w:rsid w:val="00BA3600"/>
    <w:rsid w:val="00BD25C9"/>
    <w:rsid w:val="00BD4473"/>
    <w:rsid w:val="00BE3516"/>
    <w:rsid w:val="00BE5282"/>
    <w:rsid w:val="00BF428E"/>
    <w:rsid w:val="00BF6CDF"/>
    <w:rsid w:val="00C113FC"/>
    <w:rsid w:val="00C26472"/>
    <w:rsid w:val="00C51E40"/>
    <w:rsid w:val="00C56BFB"/>
    <w:rsid w:val="00C577B3"/>
    <w:rsid w:val="00C621D4"/>
    <w:rsid w:val="00C746BE"/>
    <w:rsid w:val="00C85C1B"/>
    <w:rsid w:val="00C93108"/>
    <w:rsid w:val="00CA6FED"/>
    <w:rsid w:val="00CD05D4"/>
    <w:rsid w:val="00CE37E8"/>
    <w:rsid w:val="00CE5F3B"/>
    <w:rsid w:val="00CE6186"/>
    <w:rsid w:val="00CF1A19"/>
    <w:rsid w:val="00CF24AC"/>
    <w:rsid w:val="00D01418"/>
    <w:rsid w:val="00D04066"/>
    <w:rsid w:val="00D32923"/>
    <w:rsid w:val="00D50FC8"/>
    <w:rsid w:val="00D80399"/>
    <w:rsid w:val="00D809A3"/>
    <w:rsid w:val="00D902CF"/>
    <w:rsid w:val="00D94E37"/>
    <w:rsid w:val="00DC1210"/>
    <w:rsid w:val="00DC440E"/>
    <w:rsid w:val="00DD67D3"/>
    <w:rsid w:val="00E012C8"/>
    <w:rsid w:val="00E157E5"/>
    <w:rsid w:val="00E50C21"/>
    <w:rsid w:val="00E62075"/>
    <w:rsid w:val="00E7161E"/>
    <w:rsid w:val="00E7452B"/>
    <w:rsid w:val="00E90476"/>
    <w:rsid w:val="00EB0809"/>
    <w:rsid w:val="00EE242A"/>
    <w:rsid w:val="00F06195"/>
    <w:rsid w:val="00F2401B"/>
    <w:rsid w:val="00F373F3"/>
    <w:rsid w:val="00F556D9"/>
    <w:rsid w:val="00FC281C"/>
    <w:rsid w:val="00FF0974"/>
    <w:rsid w:val="01067184"/>
    <w:rsid w:val="01283F97"/>
    <w:rsid w:val="02034156"/>
    <w:rsid w:val="035D2B78"/>
    <w:rsid w:val="03696E5B"/>
    <w:rsid w:val="03EA6B8D"/>
    <w:rsid w:val="04AF3D28"/>
    <w:rsid w:val="06414C48"/>
    <w:rsid w:val="06FD2E81"/>
    <w:rsid w:val="078C4B32"/>
    <w:rsid w:val="0C293B57"/>
    <w:rsid w:val="0E4627D6"/>
    <w:rsid w:val="0FF01CE2"/>
    <w:rsid w:val="11DB31C3"/>
    <w:rsid w:val="125A4F9B"/>
    <w:rsid w:val="166710AD"/>
    <w:rsid w:val="171D0934"/>
    <w:rsid w:val="1750305B"/>
    <w:rsid w:val="17BE3596"/>
    <w:rsid w:val="17CC3694"/>
    <w:rsid w:val="18BF59B2"/>
    <w:rsid w:val="1C3B00DC"/>
    <w:rsid w:val="1EC02023"/>
    <w:rsid w:val="201A69CD"/>
    <w:rsid w:val="20A91A11"/>
    <w:rsid w:val="21C84299"/>
    <w:rsid w:val="22904BBD"/>
    <w:rsid w:val="238A2596"/>
    <w:rsid w:val="24A86E33"/>
    <w:rsid w:val="251E1B7F"/>
    <w:rsid w:val="259B6FBE"/>
    <w:rsid w:val="28044EC3"/>
    <w:rsid w:val="293C7576"/>
    <w:rsid w:val="2A4C74AD"/>
    <w:rsid w:val="2D3E0262"/>
    <w:rsid w:val="3078340E"/>
    <w:rsid w:val="377E1867"/>
    <w:rsid w:val="3C032EFE"/>
    <w:rsid w:val="3C431296"/>
    <w:rsid w:val="3D997D89"/>
    <w:rsid w:val="40DE7A76"/>
    <w:rsid w:val="41E57898"/>
    <w:rsid w:val="43BE5DA5"/>
    <w:rsid w:val="48D80B0B"/>
    <w:rsid w:val="4955784C"/>
    <w:rsid w:val="4E08718E"/>
    <w:rsid w:val="500F600B"/>
    <w:rsid w:val="52D72F1B"/>
    <w:rsid w:val="55BA08E6"/>
    <w:rsid w:val="56354618"/>
    <w:rsid w:val="56770825"/>
    <w:rsid w:val="58CA2C35"/>
    <w:rsid w:val="5A0A5B88"/>
    <w:rsid w:val="5A2A1A16"/>
    <w:rsid w:val="5F001B36"/>
    <w:rsid w:val="5F0D4001"/>
    <w:rsid w:val="610B5ACF"/>
    <w:rsid w:val="615D0E52"/>
    <w:rsid w:val="622C3B53"/>
    <w:rsid w:val="625C4B72"/>
    <w:rsid w:val="647C4CF5"/>
    <w:rsid w:val="64B557C6"/>
    <w:rsid w:val="653806B8"/>
    <w:rsid w:val="67C12074"/>
    <w:rsid w:val="67CD23C4"/>
    <w:rsid w:val="68AC3246"/>
    <w:rsid w:val="69EE13C7"/>
    <w:rsid w:val="6A9579E6"/>
    <w:rsid w:val="6AE33BBB"/>
    <w:rsid w:val="6C5D38C7"/>
    <w:rsid w:val="6E0A6B18"/>
    <w:rsid w:val="6E401570"/>
    <w:rsid w:val="6FB7F347"/>
    <w:rsid w:val="71D96AFD"/>
    <w:rsid w:val="72536B1A"/>
    <w:rsid w:val="73942F17"/>
    <w:rsid w:val="73ED7448"/>
    <w:rsid w:val="73FF04CC"/>
    <w:rsid w:val="775DCE8C"/>
    <w:rsid w:val="77E77440"/>
    <w:rsid w:val="7BE16A25"/>
    <w:rsid w:val="7BFF4D51"/>
    <w:rsid w:val="7D6F7921"/>
    <w:rsid w:val="7D754DCD"/>
    <w:rsid w:val="7E705781"/>
    <w:rsid w:val="BBFF90A5"/>
    <w:rsid w:val="DF4FEC23"/>
    <w:rsid w:val="FB737E87"/>
    <w:rsid w:val="FDBE67B1"/>
    <w:rsid w:val="FED44B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6"/>
    <w:basedOn w:val="1"/>
    <w:next w:val="1"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 w:eastAsia="宋体" w:cs="Times New Roman"/>
      <w:b/>
      <w:bCs/>
      <w:sz w:val="24"/>
      <w:szCs w:val="24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szCs w:val="24"/>
      <w:lang w:val="en-US" w:eastAsia="zh-CN"/>
    </w:rPr>
  </w:style>
  <w:style w:type="paragraph" w:styleId="7">
    <w:name w:val="Body Text First Indent 2"/>
    <w:basedOn w:val="1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  <w:sz w:val="24"/>
      <w:szCs w:val="24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页眉 Char"/>
    <w:link w:val="5"/>
    <w:semiHidden/>
    <w:qFormat/>
    <w:uiPriority w:val="99"/>
    <w:rPr>
      <w:sz w:val="18"/>
      <w:szCs w:val="18"/>
    </w:rPr>
  </w:style>
  <w:style w:type="character" w:customStyle="1" w:styleId="13">
    <w:name w:val="批注框文本 Char"/>
    <w:basedOn w:val="10"/>
    <w:link w:val="3"/>
    <w:semiHidden/>
    <w:qFormat/>
    <w:uiPriority w:val="99"/>
    <w:rPr>
      <w:kern w:val="2"/>
      <w:sz w:val="18"/>
      <w:szCs w:val="18"/>
    </w:rPr>
  </w:style>
  <w:style w:type="character" w:customStyle="1" w:styleId="14">
    <w:name w:val="页脚 Char"/>
    <w:link w:val="4"/>
    <w:semiHidden/>
    <w:qFormat/>
    <w:uiPriority w:val="99"/>
    <w:rPr>
      <w:sz w:val="18"/>
      <w:szCs w:val="18"/>
    </w:rPr>
  </w:style>
  <w:style w:type="paragraph" w:customStyle="1" w:styleId="15">
    <w:name w:val="0正文"/>
    <w:basedOn w:val="6"/>
    <w:qFormat/>
    <w:uiPriority w:val="0"/>
    <w:pPr>
      <w:spacing w:line="360" w:lineRule="auto"/>
      <w:ind w:firstLine="720" w:firstLineChars="200"/>
    </w:pPr>
  </w:style>
  <w:style w:type="paragraph" w:customStyle="1" w:styleId="16">
    <w:name w:val="[1]正文"/>
    <w:basedOn w:val="1"/>
    <w:qFormat/>
    <w:uiPriority w:val="0"/>
    <w:pPr>
      <w:autoSpaceDE w:val="0"/>
      <w:autoSpaceDN w:val="0"/>
      <w:ind w:firstLine="200" w:firstLineChars="200"/>
    </w:pPr>
    <w:rPr>
      <w:rFonts w:ascii="Times New Roman" w:hAnsi="Times New Roman" w:eastAsia="宋体" w:cs="Times New Roman"/>
      <w:color w:val="000000"/>
      <w:kern w:val="0"/>
      <w:szCs w:val="24"/>
      <w:lang w:val="zh-CN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Foundertech</Company>
  <Pages>2</Pages>
  <Words>680</Words>
  <Characters>700</Characters>
  <Lines>0</Lines>
  <Paragraphs>0</Paragraphs>
  <TotalTime>0</TotalTime>
  <ScaleCrop>false</ScaleCrop>
  <LinksUpToDate>false</LinksUpToDate>
  <CharactersWithSpaces>700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2026-06-12T07:13:00Z</dcterms:created>
  <dc:creator>王玮</dc:creator>
  <cp:lastModifiedBy>hjt</cp:lastModifiedBy>
  <cp:lastPrinted>2018-11-14T17:34:00Z</cp:lastPrinted>
  <dcterms:modified xsi:type="dcterms:W3CDTF">2026-07-17T12:50:36Z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3A3E9ACF1B5C4802B330381ABAEA2165</vt:lpwstr>
  </property>
  <property fmtid="{D5CDD505-2E9C-101B-9397-08002B2CF9AE}" pid="4" name="KSOTemplateDocerSaveRecord">
    <vt:lpwstr>eyJoZGlkIjoiNDA0NmFmMTliYWVhNWJiZGI5Mjc1OTkxMjg3Yzg2MzQiLCJ1c2VySWQiOiIxNzAwNDE4NDE5In0=</vt:lpwstr>
  </property>
</Properties>
</file>