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line="560" w:lineRule="exact"/>
        <w:jc w:val="center"/>
        <w:rPr>
          <w:rFonts w:hint="eastAsia" w:ascii="方正小标宋简体" w:hAnsi="宋体" w:eastAsia="方正小标宋简体"/>
          <w:sz w:val="44"/>
          <w:szCs w:val="44"/>
          <w:lang w:eastAsia="zh-CN"/>
        </w:rPr>
      </w:pPr>
      <mc:AlternateContent>
        <mc:Choice Requires="wpsCustomData">
          <wpsCustomData:docfieldStart id="0" docfieldname="标题" hidden="false" print="true" readonly="false" index="2"/>
        </mc:Choice>
      </mc:AlternateContent>
      <w:bookmarkStart w:id="0" w:name="标题"/>
      <w:r>
        <w:rPr>
          <w:rFonts w:hint="eastAsia" w:ascii="方正小标宋简体" w:hAnsi="宋体" w:eastAsia="方正小标宋简体"/>
          <w:sz w:val="44"/>
          <w:szCs w:val="44"/>
          <w:lang w:eastAsia="zh-CN"/>
        </w:rPr>
        <w:t>内蒙古自治区生态环境厅</w:t>
      </w:r>
    </w:p>
    <w:p>
      <w:pPr>
        <w:spacing w:line="560" w:lineRule="exact"/>
        <w:jc w:val="center"/>
        <w:rPr>
          <w:rFonts w:hint="eastAsia" w:ascii="方正小标宋简体" w:hAnsi="宋体" w:eastAsia="方正小标宋简体"/>
          <w:sz w:val="44"/>
          <w:szCs w:val="44"/>
          <w:lang w:eastAsia="zh-CN"/>
        </w:rPr>
      </w:pPr>
      <w:r>
        <w:rPr>
          <w:rFonts w:hint="eastAsia" w:ascii="方正小标宋简体" w:hAnsi="宋体" w:eastAsia="方正小标宋简体"/>
          <w:sz w:val="44"/>
          <w:szCs w:val="44"/>
          <w:lang w:eastAsia="zh-CN"/>
        </w:rPr>
        <w:t>关于蒙东兴安乌兰浩特市200MW/800MWh</w:t>
      </w:r>
    </w:p>
    <w:p>
      <w:pPr>
        <w:spacing w:line="560" w:lineRule="exact"/>
        <w:jc w:val="center"/>
        <w:rPr>
          <w:rFonts w:hint="eastAsia" w:ascii="方正小标宋简体" w:hAnsi="宋体" w:eastAsia="方正小标宋简体"/>
          <w:sz w:val="44"/>
          <w:szCs w:val="44"/>
          <w:lang w:eastAsia="zh-CN"/>
        </w:rPr>
      </w:pPr>
      <w:r>
        <w:rPr>
          <w:rFonts w:hint="eastAsia" w:ascii="方正小标宋简体" w:hAnsi="宋体" w:eastAsia="方正小标宋简体"/>
          <w:sz w:val="44"/>
          <w:szCs w:val="44"/>
          <w:lang w:eastAsia="zh-CN"/>
        </w:rPr>
        <w:t>储能电站项目220kV送出工程建设项目</w:t>
      </w:r>
    </w:p>
    <w:p>
      <w:pPr>
        <w:spacing w:line="560" w:lineRule="exact"/>
        <w:jc w:val="center"/>
        <w:rPr>
          <w:rFonts w:hint="eastAsia" w:ascii="方正小标宋简体" w:hAnsi="宋体" w:eastAsia="方正小标宋简体"/>
          <w:sz w:val="44"/>
          <w:szCs w:val="44"/>
          <w:lang w:eastAsia="zh-CN"/>
        </w:rPr>
      </w:pPr>
      <w:r>
        <w:rPr>
          <w:rFonts w:hint="eastAsia" w:ascii="方正小标宋简体" w:hAnsi="宋体" w:eastAsia="方正小标宋简体"/>
          <w:sz w:val="44"/>
          <w:szCs w:val="44"/>
          <w:lang w:eastAsia="zh-CN"/>
        </w:rPr>
        <w:t>环境影响报告表的批复</w:t>
      </w:r>
      <w:bookmarkEnd w:id="0"/>
    </w:p>
    <mc:AlternateContent>
      <mc:Choice Requires="wpsCustomData">
        <wpsCustomData:docfieldEnd id="0"/>
      </mc:Choice>
    </mc:AlternateContent>
    <w:p>
      <w:pPr>
        <w:spacing w:line="560" w:lineRule="exact"/>
        <w:jc w:val="center"/>
        <w:rPr>
          <w:rFonts w:hint="eastAsia" w:ascii="方正小标宋简体" w:hAnsi="宋体" w:eastAsia="方正小标宋简体"/>
          <w:sz w:val="44"/>
          <w:szCs w:val="44"/>
          <w:lang w:eastAsia="zh-CN"/>
        </w:rPr>
      </w:pPr>
      <mc:AlternateContent>
        <mc:Choice Requires="wpsCustomData">
          <wpsCustomData:docfieldStart id="1" docfieldname="文号" hidden="false" print="true" readonly="false" index="1"/>
        </mc:Choice>
      </mc:AlternateContent>
      <w:bookmarkStart w:id="1" w:name="文号"/>
      <w:r>
        <w:rPr>
          <w:rFonts w:hint="eastAsia" w:ascii="仿宋_GB2312" w:hAnsi="仿宋" w:eastAsia="仿宋_GB2312"/>
          <w:sz w:val="32"/>
          <w:szCs w:val="32"/>
          <w:lang w:eastAsia="zh-CN"/>
        </w:rPr>
        <w:t>内环表〔2026〕146号</w:t>
      </w:r>
      <w:bookmarkEnd w:id="1"/>
      <mc:AlternateContent>
        <mc:Choice Requires="wpsCustomData">
          <wpsCustomData:docfieldEnd id="1"/>
        </mc:Choice>
      </mc:AlternateContent>
    </w:p>
    <w:p>
      <w:pPr>
        <w:spacing w:line="560" w:lineRule="exact"/>
        <w:rPr>
          <w:rFonts w:ascii="仿宋" w:hAnsi="仿宋" w:eastAsia="仿宋"/>
          <w:sz w:val="28"/>
        </w:rPr>
      </w:pPr>
    </w:p>
    <w:p>
      <w:pPr>
        <w:spacing w:line="560" w:lineRule="exact"/>
        <w:rPr>
          <w:rFonts w:ascii="仿宋_GB2312" w:hAnsi="仿宋" w:eastAsia="仿宋_GB2312"/>
          <w:bCs/>
          <w:sz w:val="32"/>
          <w:szCs w:val="32"/>
        </w:rPr>
      </w:pPr>
      <w:bookmarkStart w:id="2" w:name="主送单位"/>
      <mc:AlternateContent>
        <mc:Choice Requires="wpsCustomData">
          <wpsCustomData:docfieldStart id="2" docfieldname="主送单位" hidden="false" print="true" readonly="false" index="3"/>
        </mc:Choice>
      </mc:AlternateContent>
      <w:r>
        <w:rPr>
          <w:rFonts w:hint="eastAsia" w:ascii="仿宋_GB2312" w:hAnsi="仿宋" w:eastAsia="仿宋_GB2312"/>
          <w:bCs/>
          <w:sz w:val="32"/>
          <w:szCs w:val="32"/>
          <w:lang w:eastAsia="zh-CN"/>
        </w:rPr>
        <w:t>国网内蒙古东部电力有限公司兴安供电公司</w:t>
      </w:r>
      <w:bookmarkEnd w:id="2"/>
      <mc:AlternateContent>
        <mc:Choice Requires="wpsCustomData">
          <wpsCustomData:docfieldEnd id="2"/>
        </mc:Choice>
      </mc:AlternateContent>
      <w:r>
        <w:rPr>
          <w:rFonts w:hint="eastAsia" w:ascii="仿宋_GB2312" w:hAnsi="仿宋" w:eastAsia="仿宋_GB2312"/>
          <w:bCs/>
          <w:sz w:val="32"/>
          <w:szCs w:val="32"/>
        </w:rPr>
        <w:t>：</w:t>
      </w:r>
    </w:p>
    <w:p>
      <w:pPr>
        <w:pStyle w:val="21"/>
        <w:spacing w:line="560" w:lineRule="exact"/>
        <w:ind w:firstLine="643"/>
        <w:rPr>
          <w:rFonts w:ascii="仿宋_GB2312" w:eastAsia="仿宋_GB2312"/>
          <w:color w:val="auto"/>
          <w:sz w:val="32"/>
          <w:szCs w:val="32"/>
          <w:highlight w:val="none"/>
        </w:rPr>
      </w:pPr>
      <mc:AlternateContent>
        <mc:Choice Requires="wpsCustomData">
          <wpsCustomData:docfieldStart id="3" docfieldname="正文文件" hidden="false" print="true" readonly="false" index="4"/>
        </mc:Choice>
      </mc:AlternateContent>
      <w:bookmarkStart w:id="3" w:name="正文文件"/>
      <w:bookmarkEnd w:id="3"/>
      <w:r>
        <w:rPr>
          <w:rFonts w:hint="eastAsia" w:ascii="仿宋_GB2312" w:hAnsi="仿宋_GB2312" w:eastAsia="仿宋_GB2312"/>
          <w:bCs/>
          <w:color w:val="auto"/>
          <w:sz w:val="32"/>
          <w:szCs w:val="32"/>
          <w:highlight w:val="none"/>
        </w:rPr>
        <w:t>你公司报送的《</w:t>
      </w:r>
      <w:r>
        <w:rPr>
          <w:rFonts w:hint="eastAsia" w:ascii="仿宋_GB2312" w:hAnsi="仿宋_GB2312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  <w:t>蒙东兴安乌兰浩特市200MW/800MWh储能电站项目220kV送出工程</w:t>
      </w:r>
      <w:r>
        <w:rPr>
          <w:rFonts w:hint="eastAsia" w:ascii="仿宋_GB2312" w:hAnsi="仿宋_GB2312" w:eastAsia="仿宋_GB2312" w:cs="Times New Roman"/>
          <w:bCs/>
          <w:color w:val="auto"/>
          <w:sz w:val="32"/>
          <w:szCs w:val="32"/>
          <w:highlight w:val="none"/>
        </w:rPr>
        <w:t>建设项目环境影响报告表》（以下简称《报告表》）收悉。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</w:rPr>
        <w:t>经研究，批复如下：</w:t>
      </w:r>
    </w:p>
    <w:p>
      <w:pPr>
        <w:pStyle w:val="22"/>
        <w:spacing w:line="560" w:lineRule="exact"/>
        <w:ind w:firstLine="640" w:firstLineChars="200"/>
        <w:jc w:val="both"/>
        <w:rPr>
          <w:rFonts w:ascii="仿宋_GB2312" w:hAnsi="仿宋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" w:eastAsia="仿宋_GB2312"/>
          <w:color w:val="auto"/>
          <w:sz w:val="32"/>
          <w:szCs w:val="32"/>
          <w:highlight w:val="none"/>
        </w:rPr>
        <w:t>一、项目建设基本情况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2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1"/>
          <w:szCs w:val="31"/>
          <w:lang w:val="en-US" w:eastAsia="zh-CN" w:bidi="ar"/>
        </w:rPr>
        <w:t>新建220kV输电线路，起于乌兰浩特市200MW/800MWh储能电站升压站，止于乌兰哈达变电站。线路全长3.7km，其中单回路架设2.2km，双回路架设1.5km，新建塔基13基。</w:t>
      </w:r>
    </w:p>
    <w:p>
      <w:pPr>
        <w:pStyle w:val="21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3"/>
        <w:jc w:val="both"/>
        <w:textAlignment w:val="auto"/>
        <w:rPr>
          <w:rFonts w:hint="eastAsia" w:ascii="仿宋_GB2312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/>
          <w:bCs/>
          <w:color w:val="auto"/>
          <w:sz w:val="32"/>
          <w:szCs w:val="32"/>
          <w:highlight w:val="none"/>
        </w:rPr>
        <w:t>本项目建设地点位于</w:t>
      </w:r>
      <w:r>
        <w:rPr>
          <w:rFonts w:hint="eastAsia" w:ascii="仿宋_GB2312" w:hAnsi="仿宋_GB2312" w:eastAsia="仿宋_GB2312" w:cs="仿宋_GB2312"/>
          <w:color w:val="auto"/>
          <w:kern w:val="0"/>
          <w:sz w:val="31"/>
          <w:szCs w:val="31"/>
          <w:lang w:val="en-US" w:eastAsia="zh-CN" w:bidi="ar"/>
        </w:rPr>
        <w:t>内蒙古自治区兴安盟乌兰浩特市</w:t>
      </w:r>
      <w:r>
        <w:rPr>
          <w:rFonts w:hint="eastAsia" w:ascii="仿宋_GB2312" w:hAnsi="仿宋_GB2312" w:eastAsia="仿宋_GB2312" w:cs="仿宋_GB2312"/>
          <w:color w:val="auto"/>
          <w:kern w:val="0"/>
          <w:sz w:val="31"/>
          <w:szCs w:val="31"/>
          <w:highlight w:val="none"/>
          <w:lang w:val="en-US" w:eastAsia="zh-CN" w:bidi="ar"/>
        </w:rPr>
        <w:t>境内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  <w:highlight w:val="none"/>
          <w:lang w:bidi="ar"/>
        </w:rPr>
        <w:t>。</w:t>
      </w:r>
    </w:p>
    <w:p>
      <w:pPr>
        <w:pStyle w:val="21"/>
        <w:spacing w:line="560" w:lineRule="exact"/>
        <w:ind w:firstLine="640"/>
        <w:rPr>
          <w:rFonts w:ascii="仿宋_GB2312" w:hAnsi="仿宋" w:eastAsia="仿宋_GB2312" w:cs="宋体"/>
          <w:color w:val="auto"/>
          <w:sz w:val="32"/>
          <w:szCs w:val="32"/>
          <w:highlight w:val="none"/>
        </w:rPr>
      </w:pPr>
      <w:r>
        <w:rPr>
          <w:rFonts w:hint="eastAsia" w:ascii="仿宋_GB2312" w:hAnsi="仿宋" w:eastAsia="仿宋_GB2312" w:cs="宋体"/>
          <w:color w:val="auto"/>
          <w:sz w:val="32"/>
          <w:szCs w:val="32"/>
          <w:highlight w:val="none"/>
        </w:rPr>
        <w:t>二、总体意见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rPr>
          <w:rFonts w:ascii="仿宋_GB2312" w:hAnsi="仿宋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本项目在严格落实《报告表》提出的各项环境保护措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</w:rPr>
        <w:t>施后，对</w:t>
      </w:r>
      <w:r>
        <w:rPr>
          <w:rFonts w:hint="eastAsia" w:ascii="仿宋_GB2312" w:hAnsi="仿宋_GB2312" w:eastAsia="仿宋_GB2312"/>
          <w:bCs/>
          <w:color w:val="auto"/>
          <w:sz w:val="32"/>
          <w:szCs w:val="32"/>
          <w:highlight w:val="none"/>
        </w:rPr>
        <w:t>环境的不利影响和可能存在的环境风险在可控范围内。从环境保护角度分析，我厅原则同意本项目按照《报告表》中所列的性质、规模、地点和拟采取的环保措施进行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</w:rPr>
        <w:t>建设。</w:t>
      </w:r>
    </w:p>
    <w:p>
      <w:pPr>
        <w:spacing w:line="560" w:lineRule="exact"/>
        <w:ind w:firstLine="640" w:firstLineChars="200"/>
        <w:rPr>
          <w:rFonts w:ascii="仿宋_GB2312" w:hAnsi="仿宋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" w:eastAsia="仿宋_GB2312"/>
          <w:color w:val="auto"/>
          <w:sz w:val="32"/>
          <w:szCs w:val="32"/>
          <w:highlight w:val="none"/>
        </w:rPr>
        <w:t>三、项目建设及运行期间应做好的工作</w:t>
      </w:r>
    </w:p>
    <w:p>
      <w:pPr>
        <w:spacing w:line="560" w:lineRule="exact"/>
        <w:ind w:firstLine="640" w:firstLineChars="200"/>
        <w:rPr>
          <w:rFonts w:ascii="仿宋_GB2312" w:hAnsi="仿宋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" w:eastAsia="仿宋_GB2312"/>
          <w:color w:val="auto"/>
          <w:sz w:val="32"/>
          <w:szCs w:val="32"/>
          <w:highlight w:val="none"/>
        </w:rPr>
        <w:t>（一）严格落实项目施工期、运营期生态环境保护措施，做好生态保护与恢复工作。施工期严格控制施工活动范围，合理布局，尽量减少土地占用和植被破坏。</w:t>
      </w:r>
    </w:p>
    <w:p>
      <w:pPr>
        <w:spacing w:line="560" w:lineRule="exact"/>
        <w:ind w:firstLine="640" w:firstLineChars="200"/>
        <w:rPr>
          <w:rFonts w:hint="eastAsia" w:ascii="仿宋_GB2312" w:hAnsi="仿宋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" w:eastAsia="仿宋_GB2312"/>
          <w:color w:val="auto"/>
          <w:sz w:val="32"/>
          <w:szCs w:val="32"/>
          <w:highlight w:val="none"/>
        </w:rPr>
        <w:t>（二）认真落实《报告表》中提出的控制和改善工频电场、工频磁场对周边环境影响的措施和方法，监测值应符合《电磁环境控制限值》（GB8702-2014）要求。</w:t>
      </w:r>
    </w:p>
    <w:p>
      <w:pPr>
        <w:pStyle w:val="21"/>
        <w:spacing w:line="560" w:lineRule="exact"/>
        <w:ind w:firstLine="640"/>
        <w:rPr>
          <w:rFonts w:ascii="仿宋_GB2312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" w:eastAsia="仿宋_GB2312"/>
          <w:color w:val="auto"/>
          <w:sz w:val="32"/>
          <w:szCs w:val="32"/>
          <w:highlight w:val="none"/>
        </w:rPr>
        <w:t>（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  <w:lang w:val="en-US" w:eastAsia="zh-CN"/>
        </w:rPr>
        <w:t>三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</w:rPr>
        <w:t>）项目施工期及运行期的噪声值及防噪措施应满足《报告表》中提出的要求，监测值应符合国家评价标准限值要求。</w:t>
      </w:r>
    </w:p>
    <w:p>
      <w:pPr>
        <w:spacing w:line="560" w:lineRule="exact"/>
        <w:ind w:firstLine="640" w:firstLineChars="200"/>
        <w:rPr>
          <w:rFonts w:ascii="仿宋_GB2312" w:hAnsi="仿宋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" w:eastAsia="仿宋_GB2312"/>
          <w:color w:val="auto"/>
          <w:sz w:val="32"/>
          <w:szCs w:val="32"/>
          <w:highlight w:val="none"/>
        </w:rPr>
        <w:t>（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  <w:lang w:val="en-US" w:eastAsia="zh-CN"/>
        </w:rPr>
        <w:t>四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</w:rPr>
        <w:t>）环境影响报告表经批准后，项目的性质、规模、地点或生态保护、污染防治措施发生重大变动的，应当按要求重新报批。</w:t>
      </w:r>
    </w:p>
    <w:p>
      <w:pPr>
        <w:spacing w:line="560" w:lineRule="exact"/>
        <w:ind w:firstLine="640" w:firstLineChars="200"/>
        <w:rPr>
          <w:rFonts w:ascii="仿宋_GB2312" w:hAnsi="仿宋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" w:eastAsia="仿宋_GB2312"/>
          <w:color w:val="auto"/>
          <w:sz w:val="32"/>
          <w:szCs w:val="32"/>
          <w:highlight w:val="none"/>
        </w:rPr>
        <w:t>四、建设单位按规定程序完成竣工环境保护验收后，项目方可投入正式运行。</w:t>
      </w:r>
    </w:p>
    <w:p>
      <w:pPr>
        <w:spacing w:line="560" w:lineRule="exact"/>
        <w:ind w:firstLine="640" w:firstLineChars="200"/>
        <w:rPr>
          <w:rFonts w:hint="eastAsia" w:ascii="仿宋_GB2312" w:hAnsi="仿宋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" w:eastAsia="仿宋_GB2312"/>
          <w:color w:val="auto"/>
          <w:sz w:val="32"/>
          <w:szCs w:val="32"/>
          <w:highlight w:val="none"/>
        </w:rPr>
        <w:t>五、我厅委托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兴安盟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</w:rPr>
        <w:t>生态环境局负责该项目施工期的监督检查工作。</w:t>
      </w:r>
    </w:p>
    <w:p>
      <w:pPr>
        <w:spacing w:line="560" w:lineRule="exact"/>
        <w:ind w:firstLine="640" w:firstLineChars="200"/>
        <w:rPr>
          <w:rFonts w:hint="eastAsia" w:ascii="仿宋_GB2312" w:hAnsi="仿宋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" w:eastAsia="仿宋_GB2312"/>
          <w:color w:val="auto"/>
          <w:sz w:val="32"/>
          <w:szCs w:val="32"/>
          <w:highlight w:val="none"/>
        </w:rPr>
        <w:t>六、本批复不具有其他行政审批前置效力。</w:t>
      </w:r>
    </w:p>
    <w:p>
      <w:pPr>
        <w:spacing w:line="560" w:lineRule="exact"/>
        <w:ind w:firstLine="624" w:firstLineChars="200"/>
        <w:rPr>
          <w:rFonts w:ascii="仿宋_GB2312" w:hAnsi="仿宋" w:eastAsia="仿宋_GB2312"/>
          <w:spacing w:val="-4"/>
          <w:sz w:val="32"/>
          <w:szCs w:val="32"/>
        </w:rPr>
      </w:pPr>
    </w:p>
    <w:p>
      <w:pPr>
        <w:spacing w:line="560" w:lineRule="exact"/>
        <w:ind w:firstLine="624" w:firstLineChars="200"/>
        <w:rPr>
          <w:rFonts w:ascii="仿宋_GB2312" w:hAnsi="仿宋" w:eastAsia="仿宋_GB2312"/>
          <w:spacing w:val="-4"/>
          <w:sz w:val="32"/>
          <w:szCs w:val="32"/>
        </w:rPr>
      </w:pPr>
    </w:p>
    <w:p>
      <w:pPr>
        <w:spacing w:line="560" w:lineRule="exact"/>
        <w:ind w:firstLine="624" w:firstLineChars="200"/>
        <w:rPr>
          <w:rFonts w:ascii="仿宋_GB2312" w:hAnsi="仿宋" w:eastAsia="仿宋_GB2312"/>
          <w:spacing w:val="-4"/>
          <w:sz w:val="32"/>
          <w:szCs w:val="32"/>
        </w:rPr>
      </w:pPr>
    </w:p>
    <mc:AlternateContent>
      <mc:Choice Requires="wpsCustomData">
        <wpsCustomData:docfieldEnd id="3"/>
      </mc:Choice>
    </mc:AlternateContent>
    <w:p>
      <w:pPr>
        <w:spacing w:line="560" w:lineRule="exact"/>
        <w:ind w:firstLine="624" w:firstLineChars="200"/>
        <w:rPr>
          <w:rFonts w:ascii="仿宋_GB2312" w:hAnsi="仿宋" w:eastAsia="仿宋_GB2312"/>
          <w:spacing w:val="-4"/>
          <w:sz w:val="32"/>
          <w:szCs w:val="32"/>
        </w:rPr>
      </w:pPr>
    </w:p>
    <w:p>
      <w:pPr>
        <w:spacing w:line="560" w:lineRule="exact"/>
        <w:jc w:val="left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pacing w:val="-4"/>
          <w:sz w:val="32"/>
          <w:szCs w:val="32"/>
        </w:rPr>
        <w:t xml:space="preserve">                           内蒙古自治区生态环境厅  </w:t>
      </w:r>
      <w:r>
        <w:rPr>
          <w:rFonts w:hint="eastAsia" w:ascii="仿宋_GB2312" w:hAnsi="仿宋" w:eastAsia="仿宋_GB2312"/>
          <w:sz w:val="32"/>
          <w:szCs w:val="32"/>
        </w:rPr>
        <w:t xml:space="preserve"> </w:t>
      </w:r>
    </w:p>
    <w:p>
      <w:pPr>
        <w:spacing w:line="560" w:lineRule="exact"/>
        <w:ind w:right="55" w:rightChars="26"/>
        <w:jc w:val="left"/>
        <w:rPr>
          <w:rFonts w:hint="eastAsia" w:ascii="仿宋_GB2312" w:hAnsi="仿宋" w:eastAsia="仿宋_GB2312"/>
          <w:sz w:val="32"/>
          <w:szCs w:val="32"/>
          <w:lang w:eastAsia="zh-CN"/>
        </w:rPr>
      </w:pPr>
      <w:r>
        <w:rPr>
          <w:rFonts w:hint="eastAsia" w:ascii="仿宋_GB2312" w:hAnsi="仿宋" w:eastAsia="仿宋_GB2312"/>
          <w:sz w:val="32"/>
          <w:szCs w:val="32"/>
        </w:rPr>
        <w:t xml:space="preserve">                             </w:t>
      </w:r>
      <w:bookmarkStart w:id="4" w:name="签发日期"/>
      <mc:AlternateContent>
        <mc:Choice Requires="wpsCustomData">
          <wpsCustomData:docfieldStart id="4" docfieldname="签发日期" hidden="false" print="true" readonly="false" index="5"/>
        </mc:Choice>
      </mc:AlternateContent>
      <w:r>
        <w:rPr>
          <w:rFonts w:hint="eastAsia" w:ascii="仿宋_GB2312" w:hAnsi="仿宋" w:eastAsia="仿宋_GB2312"/>
          <w:sz w:val="32"/>
          <w:szCs w:val="32"/>
          <w:lang w:eastAsia="zh-CN"/>
        </w:rPr>
        <w:t>2026年7月16日</w:t>
      </w:r>
      <mc:AlternateContent>
        <mc:Choice Requires="wpsCustomData">
          <wpsCustomData:docfieldEnd id="4"/>
        </mc:Choice>
      </mc:AlternateContent>
      <w:bookmarkEnd w:id="4"/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</w:pPr>
    </w:p>
    <w:p>
      <w:pPr>
        <w:spacing w:line="14" w:lineRule="exact"/>
        <w:ind w:right="315" w:rightChars="150"/>
        <w:rPr>
          <w:rFonts w:ascii="仿宋_GB2312" w:hAnsi="仿宋" w:eastAsia="仿宋_GB2312"/>
          <w:sz w:val="28"/>
          <w:szCs w:val="28"/>
        </w:rPr>
      </w:pPr>
      <w:bookmarkStart w:id="5" w:name="_GoBack"/>
      <w:bookmarkEnd w:id="5"/>
    </w:p>
    <w:sectPr>
      <w:headerReference r:id="rId3" w:type="default"/>
      <w:footerReference r:id="rId5" w:type="default"/>
      <w:headerReference r:id="rId4" w:type="even"/>
      <w:footerReference r:id="rId6" w:type="even"/>
      <w:type w:val="continuous"/>
      <w:pgSz w:w="11907" w:h="16840"/>
      <w:pgMar w:top="2041" w:right="1531" w:bottom="2041" w:left="1531" w:header="851" w:footer="1587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7A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2010600030101010101"/>
    <w:charset w:val="80"/>
    <w:family w:val="auto"/>
    <w:pitch w:val="default"/>
    <w:sig w:usb0="00000000" w:usb1="00000000" w:usb2="00000006" w:usb3="00000000" w:csb0="00040001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FreeSerif"/>
    <w:panose1 w:val="02040503050406030204"/>
    <w:charset w:val="00"/>
    <w:family w:val="roman"/>
    <w:pitch w:val="default"/>
    <w:sig w:usb0="00000000" w:usb1="00000000" w:usb2="0000000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altName w:val="微软雅黑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rFonts w:ascii="Calibri" w:hAnsi="Calibri" w:eastAsia="宋体" w:cs="Times New Roman"/>
        <w:kern w:val="0"/>
        <w:sz w:val="1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635</wp:posOffset>
              </wp:positionV>
              <wp:extent cx="591185" cy="230505"/>
              <wp:effectExtent l="0" t="0" r="0" b="0"/>
              <wp:wrapNone/>
              <wp:docPr id="3" name="Quad Arrow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59118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7"/>
                            <w:jc w:val="center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upright="false"/>
                  </wps:wsp>
                </a:graphicData>
              </a:graphic>
            </wp:anchor>
          </w:drawing>
        </mc:Choice>
        <mc:Fallback>
          <w:pict>
            <v:shape id="Quad Arrow 3" o:spid="_x0000_s1026" o:spt="202" type="#_x0000_t202" style="position:absolute;left:0pt;margin-top:0.05pt;height:18.15pt;width:46.55pt;mso-position-horizontal:outside;mso-position-horizontal-relative:margin;z-index:251659264;mso-width-relative:page;mso-height-relative:page;" filled="f" stroked="f" coordsize="21600,21600" o:gfxdata="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FgAAAGRycy9QSwECFAAUAAAACACHTuJA&#10;ripQTtQAAAADAQAADwAAAAAAAAABACAAAAA4AAAAZHJzL2Rvd25yZXYueG1sUEsBAhQAFAAAAAgA&#10;h07iQLGQ83+hAQAAOQMAAA4AAAAAAAAAAQAgAAAAOQEAAGRycy9lMm9Eb2MueG1sUEsFBgAAAAAG&#10;AAYAWQEAAEw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7"/>
                      <w:jc w:val="center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right="360"/>
    </w:pPr>
    <w:r>
      <w:rPr>
        <w:rFonts w:ascii="Calibri" w:hAnsi="Calibri" w:eastAsia="宋体" w:cs="Times New Roman"/>
        <w:kern w:val="0"/>
        <w:sz w:val="1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635</wp:posOffset>
              </wp:positionV>
              <wp:extent cx="608965" cy="230505"/>
              <wp:effectExtent l="0" t="0" r="0" b="0"/>
              <wp:wrapNone/>
              <wp:docPr id="4" name="Quad Arrow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60896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7"/>
                            <w:jc w:val="center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upright="false"/>
                  </wps:wsp>
                </a:graphicData>
              </a:graphic>
            </wp:anchor>
          </w:drawing>
        </mc:Choice>
        <mc:Fallback>
          <w:pict>
            <v:shape id="Quad Arrow 4" o:spid="_x0000_s1026" o:spt="202" type="#_x0000_t202" style="position:absolute;left:0pt;margin-top:0.05pt;height:18.15pt;width:47.95pt;mso-position-horizontal:outside;mso-position-horizontal-relative:margin;z-index:251660288;mso-width-relative:page;mso-height-relative:page;" filled="f" stroked="f" coordsize="21600,21600" o:gfxdata="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WAAAAZHJzL1BLAQIUABQAAAAIAIdO4kBq&#10;8m6J0wAAAAMBAAAPAAAAAAAAAAEAIAAAADgAAABkcnMvZG93bnJldi54bWxQSwECFAAUAAAACACH&#10;TuJA+pDoVqEBAAA5AwAADgAAAAAAAAABACAAAAA4AQAAZHJzL2Uyb0RvYy54bWxQSwUGAAAAAAYA&#10;BgBZAQAAS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7"/>
                      <w:jc w:val="center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true"/>
  <w:bordersDoNotSurroundFooter w:val="tru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evenAndOddHeaders w:val="true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101"/>
    <w:rsid w:val="000502D9"/>
    <w:rsid w:val="00053C74"/>
    <w:rsid w:val="00081DD9"/>
    <w:rsid w:val="000A43C9"/>
    <w:rsid w:val="000F448F"/>
    <w:rsid w:val="00104AD5"/>
    <w:rsid w:val="00107F1D"/>
    <w:rsid w:val="00112653"/>
    <w:rsid w:val="00161599"/>
    <w:rsid w:val="0019160D"/>
    <w:rsid w:val="00212159"/>
    <w:rsid w:val="002203D3"/>
    <w:rsid w:val="002432A7"/>
    <w:rsid w:val="002778D8"/>
    <w:rsid w:val="00290DA8"/>
    <w:rsid w:val="002B7D95"/>
    <w:rsid w:val="002D6AFC"/>
    <w:rsid w:val="002F0DE2"/>
    <w:rsid w:val="0030486D"/>
    <w:rsid w:val="00323B61"/>
    <w:rsid w:val="003619FA"/>
    <w:rsid w:val="00393E71"/>
    <w:rsid w:val="003B1A02"/>
    <w:rsid w:val="003C6CE9"/>
    <w:rsid w:val="00424C6E"/>
    <w:rsid w:val="00452E4A"/>
    <w:rsid w:val="004B7461"/>
    <w:rsid w:val="004C640A"/>
    <w:rsid w:val="004D3FC2"/>
    <w:rsid w:val="004F50C6"/>
    <w:rsid w:val="00505381"/>
    <w:rsid w:val="00544386"/>
    <w:rsid w:val="0056424C"/>
    <w:rsid w:val="0057112D"/>
    <w:rsid w:val="00571F6F"/>
    <w:rsid w:val="00577293"/>
    <w:rsid w:val="0058220B"/>
    <w:rsid w:val="00585C83"/>
    <w:rsid w:val="00590474"/>
    <w:rsid w:val="00592CC9"/>
    <w:rsid w:val="005A5BF2"/>
    <w:rsid w:val="006132A1"/>
    <w:rsid w:val="00624B4A"/>
    <w:rsid w:val="006661A4"/>
    <w:rsid w:val="006A7884"/>
    <w:rsid w:val="006B38F9"/>
    <w:rsid w:val="006E1CA5"/>
    <w:rsid w:val="006E2329"/>
    <w:rsid w:val="006F6255"/>
    <w:rsid w:val="00701535"/>
    <w:rsid w:val="0070579B"/>
    <w:rsid w:val="00715743"/>
    <w:rsid w:val="007173A8"/>
    <w:rsid w:val="00761FB3"/>
    <w:rsid w:val="0076589A"/>
    <w:rsid w:val="00786B2F"/>
    <w:rsid w:val="007925F1"/>
    <w:rsid w:val="0079344F"/>
    <w:rsid w:val="007A1610"/>
    <w:rsid w:val="007C0101"/>
    <w:rsid w:val="007D373D"/>
    <w:rsid w:val="00835942"/>
    <w:rsid w:val="00847C4B"/>
    <w:rsid w:val="00861920"/>
    <w:rsid w:val="008643C3"/>
    <w:rsid w:val="00873CD5"/>
    <w:rsid w:val="008804D9"/>
    <w:rsid w:val="008838C5"/>
    <w:rsid w:val="00883BA1"/>
    <w:rsid w:val="0089055A"/>
    <w:rsid w:val="00896DE4"/>
    <w:rsid w:val="008A4595"/>
    <w:rsid w:val="008B77EC"/>
    <w:rsid w:val="008C34AF"/>
    <w:rsid w:val="008D27CA"/>
    <w:rsid w:val="00907606"/>
    <w:rsid w:val="00922F9C"/>
    <w:rsid w:val="0095741D"/>
    <w:rsid w:val="00964200"/>
    <w:rsid w:val="0096751F"/>
    <w:rsid w:val="00967FB8"/>
    <w:rsid w:val="00971513"/>
    <w:rsid w:val="0099392B"/>
    <w:rsid w:val="009950F5"/>
    <w:rsid w:val="00996316"/>
    <w:rsid w:val="009F0D7E"/>
    <w:rsid w:val="009F4F97"/>
    <w:rsid w:val="00A03E70"/>
    <w:rsid w:val="00A14283"/>
    <w:rsid w:val="00A16266"/>
    <w:rsid w:val="00A32DBE"/>
    <w:rsid w:val="00A3438E"/>
    <w:rsid w:val="00A36EAB"/>
    <w:rsid w:val="00A42722"/>
    <w:rsid w:val="00A43C93"/>
    <w:rsid w:val="00AA5ECB"/>
    <w:rsid w:val="00AF257E"/>
    <w:rsid w:val="00B057C0"/>
    <w:rsid w:val="00B16355"/>
    <w:rsid w:val="00B22816"/>
    <w:rsid w:val="00B2798A"/>
    <w:rsid w:val="00B4476C"/>
    <w:rsid w:val="00B46191"/>
    <w:rsid w:val="00B61218"/>
    <w:rsid w:val="00B86149"/>
    <w:rsid w:val="00B91AFD"/>
    <w:rsid w:val="00BA1A77"/>
    <w:rsid w:val="00BA3600"/>
    <w:rsid w:val="00BD25C9"/>
    <w:rsid w:val="00BD4473"/>
    <w:rsid w:val="00BE3516"/>
    <w:rsid w:val="00BE5282"/>
    <w:rsid w:val="00BF428E"/>
    <w:rsid w:val="00BF6CDF"/>
    <w:rsid w:val="00C113FC"/>
    <w:rsid w:val="00C26472"/>
    <w:rsid w:val="00C51E40"/>
    <w:rsid w:val="00C56BFB"/>
    <w:rsid w:val="00C577B3"/>
    <w:rsid w:val="00C621D4"/>
    <w:rsid w:val="00C746BE"/>
    <w:rsid w:val="00C85C1B"/>
    <w:rsid w:val="00C93108"/>
    <w:rsid w:val="00CA6FED"/>
    <w:rsid w:val="00CD05D4"/>
    <w:rsid w:val="00CE37E8"/>
    <w:rsid w:val="00CE5F3B"/>
    <w:rsid w:val="00CE6186"/>
    <w:rsid w:val="00CF1A19"/>
    <w:rsid w:val="00CF24AC"/>
    <w:rsid w:val="00D01418"/>
    <w:rsid w:val="00D04066"/>
    <w:rsid w:val="00D32923"/>
    <w:rsid w:val="00D50FC8"/>
    <w:rsid w:val="00D80399"/>
    <w:rsid w:val="00D809A3"/>
    <w:rsid w:val="00D902CF"/>
    <w:rsid w:val="00D94E37"/>
    <w:rsid w:val="00DC1210"/>
    <w:rsid w:val="00DC440E"/>
    <w:rsid w:val="00DD67D3"/>
    <w:rsid w:val="00E012C8"/>
    <w:rsid w:val="00E157E5"/>
    <w:rsid w:val="00E50C21"/>
    <w:rsid w:val="00E62075"/>
    <w:rsid w:val="00E7161E"/>
    <w:rsid w:val="00E7452B"/>
    <w:rsid w:val="00E90476"/>
    <w:rsid w:val="00EB0809"/>
    <w:rsid w:val="00EE242A"/>
    <w:rsid w:val="00F06195"/>
    <w:rsid w:val="00F2401B"/>
    <w:rsid w:val="00F373F3"/>
    <w:rsid w:val="00F556D9"/>
    <w:rsid w:val="00FC281C"/>
    <w:rsid w:val="00FF0974"/>
    <w:rsid w:val="01067184"/>
    <w:rsid w:val="01283F97"/>
    <w:rsid w:val="02034156"/>
    <w:rsid w:val="035D2B78"/>
    <w:rsid w:val="03696E5B"/>
    <w:rsid w:val="03EA6B8D"/>
    <w:rsid w:val="04AF3D28"/>
    <w:rsid w:val="06414C48"/>
    <w:rsid w:val="06FD2E81"/>
    <w:rsid w:val="078C4B32"/>
    <w:rsid w:val="0C293B57"/>
    <w:rsid w:val="0E4627D6"/>
    <w:rsid w:val="0FF01CE2"/>
    <w:rsid w:val="11DB31C3"/>
    <w:rsid w:val="125A4F9B"/>
    <w:rsid w:val="166710AD"/>
    <w:rsid w:val="171D0934"/>
    <w:rsid w:val="1750305B"/>
    <w:rsid w:val="17BE3596"/>
    <w:rsid w:val="17CC3694"/>
    <w:rsid w:val="18BF59B2"/>
    <w:rsid w:val="1C3B00DC"/>
    <w:rsid w:val="1EC02023"/>
    <w:rsid w:val="201A69CD"/>
    <w:rsid w:val="20A91A11"/>
    <w:rsid w:val="21C84299"/>
    <w:rsid w:val="22904BBD"/>
    <w:rsid w:val="238A2596"/>
    <w:rsid w:val="24A86E33"/>
    <w:rsid w:val="251E1B7F"/>
    <w:rsid w:val="259B6FBE"/>
    <w:rsid w:val="28044EC3"/>
    <w:rsid w:val="293C7576"/>
    <w:rsid w:val="2A4C74AD"/>
    <w:rsid w:val="2D3E0262"/>
    <w:rsid w:val="3078340E"/>
    <w:rsid w:val="377E1867"/>
    <w:rsid w:val="3B734099"/>
    <w:rsid w:val="3C032EFE"/>
    <w:rsid w:val="3C431296"/>
    <w:rsid w:val="3D997D89"/>
    <w:rsid w:val="40DE7A76"/>
    <w:rsid w:val="41E57898"/>
    <w:rsid w:val="43BE5DA5"/>
    <w:rsid w:val="48D80B0B"/>
    <w:rsid w:val="4955784C"/>
    <w:rsid w:val="4E08718E"/>
    <w:rsid w:val="500F600B"/>
    <w:rsid w:val="52D72F1B"/>
    <w:rsid w:val="55BA08E6"/>
    <w:rsid w:val="56354618"/>
    <w:rsid w:val="56770825"/>
    <w:rsid w:val="58CA2C35"/>
    <w:rsid w:val="5A0A5B88"/>
    <w:rsid w:val="5A2A1A16"/>
    <w:rsid w:val="5F001B36"/>
    <w:rsid w:val="5F0D4001"/>
    <w:rsid w:val="610B5ACF"/>
    <w:rsid w:val="615D0E52"/>
    <w:rsid w:val="622C3B53"/>
    <w:rsid w:val="625C4B72"/>
    <w:rsid w:val="647C4CF5"/>
    <w:rsid w:val="64B557C6"/>
    <w:rsid w:val="653806B8"/>
    <w:rsid w:val="67C12074"/>
    <w:rsid w:val="67CD23C4"/>
    <w:rsid w:val="68AC3246"/>
    <w:rsid w:val="69EE13C7"/>
    <w:rsid w:val="6A9579E6"/>
    <w:rsid w:val="6AE33BBB"/>
    <w:rsid w:val="6C5D38C7"/>
    <w:rsid w:val="6E0A6B18"/>
    <w:rsid w:val="6E401570"/>
    <w:rsid w:val="71D96AFD"/>
    <w:rsid w:val="72536B1A"/>
    <w:rsid w:val="73942F17"/>
    <w:rsid w:val="73ED7448"/>
    <w:rsid w:val="73FF04CC"/>
    <w:rsid w:val="775DCE8C"/>
    <w:rsid w:val="77E77440"/>
    <w:rsid w:val="7BE16A25"/>
    <w:rsid w:val="7BFF4D51"/>
    <w:rsid w:val="7D6F7921"/>
    <w:rsid w:val="7D754DCD"/>
    <w:rsid w:val="7E705781"/>
    <w:rsid w:val="DF4FEC23"/>
    <w:rsid w:val="DFBF0299"/>
    <w:rsid w:val="FB737E87"/>
    <w:rsid w:val="FDBE67B1"/>
    <w:rsid w:val="FED44BB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iPriority="99" w:semiHidden="0" w:name="Body Text"/>
    <w:lsdException w:qFormat="1" w:uiPriority="99" w:semiHidden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qFormat="1" w:uiPriority="99" w:semiHidden="0" w:name="Body Text First Indent"/>
    <w:lsdException w:qFormat="1" w:unhideWhenUsed="0" w:uiPriority="0" w:semiHidden="0" w:name="Body Text First Indent 2"/>
    <w:lsdException w:uiPriority="0" w:name="Note Heading"/>
    <w:lsdException w:qFormat="1" w:unhideWhenUsed="0" w:uiPriority="0" w:semiHidden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6"/>
    <w:basedOn w:val="1"/>
    <w:next w:val="1"/>
    <w:qFormat/>
    <w:uiPriority w:val="0"/>
    <w:pPr>
      <w:keepNext/>
      <w:keepLines/>
      <w:spacing w:before="240" w:after="64" w:line="320" w:lineRule="auto"/>
      <w:outlineLvl w:val="5"/>
    </w:pPr>
    <w:rPr>
      <w:rFonts w:ascii="Cambria" w:hAnsi="Cambria" w:eastAsia="宋体" w:cs="Times New Roman"/>
      <w:b/>
      <w:bCs/>
      <w:sz w:val="24"/>
      <w:szCs w:val="24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unhideWhenUsed/>
    <w:qFormat/>
    <w:uiPriority w:val="99"/>
    <w:pPr>
      <w:spacing w:after="120"/>
    </w:pPr>
    <w:rPr>
      <w:rFonts w:eastAsia="宋体" w:cs="Times New Roman"/>
      <w:szCs w:val="20"/>
    </w:rPr>
  </w:style>
  <w:style w:type="paragraph" w:styleId="4">
    <w:name w:val="Body Text 2"/>
    <w:basedOn w:val="1"/>
    <w:qFormat/>
    <w:uiPriority w:val="0"/>
    <w:rPr>
      <w:rFonts w:eastAsia="宋体" w:cs="Times New Roman"/>
      <w:color w:val="0000FF"/>
      <w:szCs w:val="20"/>
    </w:rPr>
  </w:style>
  <w:style w:type="paragraph" w:styleId="5">
    <w:name w:val="Body Text Indent"/>
    <w:basedOn w:val="1"/>
    <w:next w:val="1"/>
    <w:unhideWhenUsed/>
    <w:qFormat/>
    <w:uiPriority w:val="99"/>
    <w:pPr>
      <w:spacing w:after="120"/>
      <w:ind w:left="420" w:leftChars="200"/>
    </w:pPr>
    <w:rPr>
      <w:rFonts w:eastAsia="宋体" w:cs="Times New Roman"/>
      <w:szCs w:val="20"/>
    </w:rPr>
  </w:style>
  <w:style w:type="paragraph" w:styleId="6">
    <w:name w:val="Balloon Text"/>
    <w:basedOn w:val="1"/>
    <w:link w:val="16"/>
    <w:qFormat/>
    <w:uiPriority w:val="0"/>
    <w:rPr>
      <w:sz w:val="18"/>
      <w:szCs w:val="18"/>
    </w:rPr>
  </w:style>
  <w:style w:type="paragraph" w:styleId="7">
    <w:name w:val="footer"/>
    <w:basedOn w:val="1"/>
    <w:link w:val="19"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8">
    <w:name w:val="header"/>
    <w:basedOn w:val="1"/>
    <w:link w:val="2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9">
    <w:name w:val="Body Text First Indent"/>
    <w:basedOn w:val="3"/>
    <w:next w:val="1"/>
    <w:unhideWhenUsed/>
    <w:qFormat/>
    <w:uiPriority w:val="99"/>
    <w:pPr>
      <w:ind w:firstLine="420" w:firstLineChars="100"/>
    </w:pPr>
  </w:style>
  <w:style w:type="paragraph" w:styleId="10">
    <w:name w:val="Body Text First Indent 2"/>
    <w:basedOn w:val="5"/>
    <w:next w:val="9"/>
    <w:qFormat/>
    <w:uiPriority w:val="0"/>
    <w:pPr>
      <w:ind w:firstLine="420" w:firstLineChars="200"/>
    </w:pPr>
    <w:rPr>
      <w:sz w:val="24"/>
    </w:rPr>
  </w:style>
  <w:style w:type="table" w:styleId="12">
    <w:name w:val="Table Grid"/>
    <w:basedOn w:val="11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page number"/>
    <w:basedOn w:val="13"/>
    <w:semiHidden/>
    <w:unhideWhenUsed/>
    <w:qFormat/>
    <w:uiPriority w:val="0"/>
  </w:style>
  <w:style w:type="character" w:customStyle="1" w:styleId="15">
    <w:name w:val="页眉 Char"/>
    <w:link w:val="8"/>
    <w:semiHidden/>
    <w:qFormat/>
    <w:uiPriority w:val="99"/>
    <w:rPr>
      <w:sz w:val="18"/>
      <w:szCs w:val="18"/>
    </w:rPr>
  </w:style>
  <w:style w:type="character" w:customStyle="1" w:styleId="16">
    <w:name w:val="批注框文本 Char"/>
    <w:basedOn w:val="13"/>
    <w:link w:val="6"/>
    <w:semiHidden/>
    <w:qFormat/>
    <w:uiPriority w:val="99"/>
    <w:rPr>
      <w:kern w:val="2"/>
      <w:sz w:val="18"/>
      <w:szCs w:val="18"/>
    </w:rPr>
  </w:style>
  <w:style w:type="character" w:customStyle="1" w:styleId="17">
    <w:name w:val="页脚 Char"/>
    <w:link w:val="7"/>
    <w:semiHidden/>
    <w:qFormat/>
    <w:uiPriority w:val="99"/>
    <w:rPr>
      <w:sz w:val="18"/>
      <w:szCs w:val="18"/>
    </w:rPr>
  </w:style>
  <w:style w:type="paragraph" w:customStyle="1" w:styleId="18">
    <w:name w:val="表头"/>
    <w:basedOn w:val="1"/>
    <w:next w:val="1"/>
    <w:qFormat/>
    <w:uiPriority w:val="0"/>
    <w:pPr>
      <w:adjustRightInd w:val="0"/>
      <w:spacing w:before="120"/>
      <w:jc w:val="left"/>
    </w:pPr>
    <w:rPr>
      <w:rFonts w:ascii="Calibri" w:hAnsi="Calibri" w:eastAsia="宋体" w:cs="Times New Roman"/>
      <w:sz w:val="26"/>
      <w:szCs w:val="22"/>
    </w:rPr>
  </w:style>
  <w:style w:type="character" w:customStyle="1" w:styleId="19">
    <w:name w:val="页脚 字符"/>
    <w:basedOn w:val="13"/>
    <w:link w:val="7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20">
    <w:name w:val="页眉 字符"/>
    <w:basedOn w:val="13"/>
    <w:link w:val="8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paragraph" w:customStyle="1" w:styleId="21">
    <w:name w:val="[1]正文"/>
    <w:basedOn w:val="1"/>
    <w:qFormat/>
    <w:uiPriority w:val="0"/>
    <w:pPr>
      <w:autoSpaceDE w:val="0"/>
      <w:autoSpaceDN w:val="0"/>
      <w:ind w:firstLine="200" w:firstLineChars="200"/>
    </w:pPr>
    <w:rPr>
      <w:rFonts w:ascii="Times New Roman" w:hAnsi="Times New Roman" w:eastAsia="宋体" w:cs="Times New Roman"/>
      <w:color w:val="000000"/>
      <w:kern w:val="0"/>
      <w:szCs w:val="24"/>
      <w:lang w:val="zh-CN"/>
    </w:rPr>
  </w:style>
  <w:style w:type="paragraph" w:customStyle="1" w:styleId="22">
    <w:name w:val="Default"/>
    <w:qFormat/>
    <w:uiPriority w:val="0"/>
    <w:pPr>
      <w:widowControl w:val="0"/>
      <w:autoSpaceDE w:val="0"/>
      <w:autoSpaceDN w:val="0"/>
      <w:adjustRightInd w:val="0"/>
    </w:pPr>
    <w:rPr>
      <w:rFonts w:ascii="Calibri" w:hAnsi="Calibri" w:eastAsia="宋体" w:cs="Times New Roman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Foundertech</Company>
  <Pages>2</Pages>
  <Words>648</Words>
  <Characters>704</Characters>
  <Lines>5</Lines>
  <Paragraphs>1</Paragraphs>
  <TotalTime>0</TotalTime>
  <ScaleCrop>false</ScaleCrop>
  <LinksUpToDate>false</LinksUpToDate>
  <CharactersWithSpaces>704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2023-02-15T00:32:00Z</dcterms:created>
  <dc:creator>白都荣</dc:creator>
  <cp:lastModifiedBy>hjt</cp:lastModifiedBy>
  <cp:lastPrinted>2023-12-05T10:16:00Z</cp:lastPrinted>
  <dcterms:modified xsi:type="dcterms:W3CDTF">2026-07-17T12:53:19Z</dcterms:modified>
  <dc:title>你公司报送的《固阳县弘元多晶硅项目220kV线路工程建设项目环境影响报告表》（以下简称《报告表》）收悉。经研究，批复如下：</dc:title>
  <cp:revision>164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ICV">
    <vt:lpwstr>3A3E9ACF1B5C4802B330381ABAEA2165</vt:lpwstr>
  </property>
  <property fmtid="{D5CDD505-2E9C-101B-9397-08002B2CF9AE}" pid="4" name="KSOTemplateDocerSaveRecord">
    <vt:lpwstr>eyJoZGlkIjoiNDA0NmFmMTliYWVhNWJiZGI5Mjc1OTkxMjg3Yzg2MzQiLCJ1c2VySWQiOiIxNzAwNDE4NDE5In0=</vt:lpwstr>
  </property>
</Properties>
</file>