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hint="eastAsia" w:ascii="方正小标宋简体" w:hAnsi="宋体" w:eastAsia="方正小标宋简体"/>
          <w:sz w:val="44"/>
          <w:szCs w:val="44"/>
          <w:lang w:eastAsia="zh-CN"/>
        </w:rPr>
      </w:pPr>
      <w:bookmarkStart w:id="0" w:name="标题"/>
      <mc:AlternateContent>
        <mc:Choice Requires="wpsCustomData">
          <wpsCustomData:docfieldStart id="0" docfieldname="标题" hidden="false" print="true" readonly="false" index="2"/>
        </mc:Choice>
      </mc:AlternateContent>
      <w:r>
        <w:rPr>
          <w:rFonts w:hint="eastAsia" w:ascii="方正小标宋简体" w:hAnsi="宋体" w:eastAsia="方正小标宋简体"/>
          <w:sz w:val="44"/>
          <w:szCs w:val="44"/>
          <w:lang w:eastAsia="zh-CN"/>
        </w:rPr>
        <w:t>内蒙古自治区生态环境厅</w:t>
      </w:r>
    </w:p>
    <w:p>
      <w:pPr>
        <w:spacing w:line="560" w:lineRule="exact"/>
        <w:jc w:val="center"/>
        <w:rPr>
          <w:rFonts w:hint="eastAsia" w:ascii="方正小标宋简体" w:hAnsi="宋体" w:eastAsia="方正小标宋简体"/>
          <w:sz w:val="44"/>
          <w:szCs w:val="44"/>
          <w:lang w:eastAsia="zh-CN"/>
        </w:rPr>
      </w:pPr>
      <w:r>
        <w:rPr>
          <w:rFonts w:hint="eastAsia" w:ascii="方正小标宋简体" w:hAnsi="宋体" w:eastAsia="方正小标宋简体"/>
          <w:sz w:val="44"/>
          <w:szCs w:val="44"/>
          <w:lang w:eastAsia="zh-CN"/>
        </w:rPr>
        <w:t>关于内蒙古和镁新能源有限责任公司库伦旗30万千瓦源网荷储一体化项目（输变电工程）建设项目环境影响报告表的批复</w:t>
      </w:r>
      <w:bookmarkEnd w:id="0"/>
    </w:p>
    <mc:AlternateContent>
      <mc:Choice Requires="wpsCustomData">
        <wpsCustomData:docfieldEnd id="0"/>
      </mc:Choice>
    </mc:AlternateContent>
    <w:p>
      <w:pPr>
        <w:pStyle w:val="2"/>
        <w:jc w:val="center"/>
        <w:rPr>
          <w:rFonts w:hint="eastAsia"/>
          <w:lang w:eastAsia="zh-CN"/>
        </w:rPr>
      </w:pPr>
      <mc:AlternateContent>
        <mc:Choice Requires="wpsCustomData">
          <wpsCustomData:docfieldStart id="1" docfieldname="文号" hidden="false" print="true" readonly="false" index="1"/>
        </mc:Choice>
      </mc:AlternateContent>
      <w:bookmarkStart w:id="1" w:name="文号"/>
      <w:r>
        <w:rPr>
          <w:rFonts w:hint="eastAsia" w:ascii="仿宋_GB2312" w:hAnsi="仿宋" w:eastAsia="仿宋_GB2312"/>
          <w:b w:val="0"/>
          <w:bCs w:val="0"/>
          <w:sz w:val="32"/>
          <w:szCs w:val="32"/>
          <w:lang w:eastAsia="zh-CN"/>
        </w:rPr>
        <w:t>内环表〔2026〕149号</w:t>
      </w:r>
      <w:bookmarkEnd w:id="1"/>
      <mc:AlternateContent>
        <mc:Choice Requires="wpsCustomData">
          <wpsCustomData:docfieldEnd id="1"/>
        </mc:Choice>
      </mc:AlternateContent>
    </w:p>
    <w:p>
      <w:pPr>
        <w:spacing w:line="560" w:lineRule="exact"/>
        <w:rPr>
          <w:rFonts w:ascii="仿宋" w:hAnsi="仿宋" w:eastAsia="仿宋"/>
          <w:sz w:val="28"/>
        </w:rPr>
      </w:pPr>
    </w:p>
    <w:p>
      <w:pPr>
        <w:spacing w:line="560" w:lineRule="exact"/>
        <w:rPr>
          <w:rFonts w:ascii="仿宋_GB2312" w:hAnsi="仿宋" w:eastAsia="仿宋_GB2312"/>
          <w:bCs/>
          <w:sz w:val="32"/>
          <w:szCs w:val="32"/>
        </w:rPr>
      </w:pPr>
      <mc:AlternateContent>
        <mc:Choice Requires="wpsCustomData">
          <wpsCustomData:docfieldStart id="2" docfieldname="主送单位" hidden="false" print="true" readonly="false" index="3"/>
        </mc:Choice>
      </mc:AlternateContent>
      <w:bookmarkStart w:id="2" w:name="主送单位"/>
      <w:r>
        <w:rPr>
          <w:rFonts w:hint="eastAsia" w:ascii="仿宋_GB2312" w:hAnsi="仿宋" w:eastAsia="仿宋_GB2312"/>
          <w:bCs/>
          <w:sz w:val="32"/>
          <w:szCs w:val="32"/>
          <w:lang w:eastAsia="zh-CN"/>
        </w:rPr>
        <w:t>内蒙古和镁新能源有限责任公司</w:t>
      </w:r>
      <w:bookmarkEnd w:id="2"/>
      <mc:AlternateContent>
        <mc:Choice Requires="wpsCustomData">
          <wpsCustomData:docfieldEnd id="2"/>
        </mc:Choice>
      </mc:AlternateContent>
      <w:r>
        <w:rPr>
          <w:rFonts w:hint="eastAsia" w:ascii="仿宋_GB2312" w:hAnsi="仿宋" w:eastAsia="仿宋_GB2312"/>
          <w:bCs/>
          <w:sz w:val="32"/>
          <w:szCs w:val="32"/>
        </w:rPr>
        <w:t>：</w:t>
      </w:r>
    </w:p>
    <w:p>
      <w:pPr>
        <w:keepNext w:val="0"/>
        <w:keepLines w:val="0"/>
        <w:pageBreakBefore w:val="0"/>
        <w:kinsoku/>
        <w:wordWrap/>
        <w:overflowPunct/>
        <w:topLinePunct w:val="0"/>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mc:AlternateContent>
        <mc:Choice Requires="wpsCustomData">
          <wpsCustomData:docfieldStart id="3" docfieldname="正文文件" hidden="false" print="true" readonly="false" index="4"/>
        </mc:Choice>
      </mc:AlternateContent>
      <w:bookmarkStart w:id="3" w:name="正文文件"/>
      <w:bookmarkEnd w:id="3"/>
      <w:r>
        <w:rPr>
          <w:rFonts w:hint="eastAsia" w:ascii="仿宋_GB2312" w:hAnsi="仿宋_GB2312" w:eastAsia="仿宋_GB2312" w:cs="仿宋_GB2312"/>
          <w:bCs/>
          <w:color w:val="auto"/>
          <w:sz w:val="32"/>
          <w:szCs w:val="32"/>
        </w:rPr>
        <w:t>你公司报送</w:t>
      </w:r>
      <w:r>
        <w:rPr>
          <w:rFonts w:hint="eastAsia" w:ascii="仿宋_GB2312" w:hAnsi="仿宋_GB2312" w:eastAsia="仿宋_GB2312" w:cs="仿宋_GB2312"/>
          <w:b w:val="0"/>
          <w:bCs/>
          <w:color w:val="auto"/>
          <w:sz w:val="32"/>
          <w:szCs w:val="32"/>
        </w:rPr>
        <w:t>的《</w:t>
      </w:r>
      <w:r>
        <w:rPr>
          <w:rFonts w:hint="eastAsia" w:ascii="仿宋_GB2312" w:hAnsi="仿宋_GB2312" w:eastAsia="仿宋_GB2312" w:cs="仿宋_GB2312"/>
          <w:b w:val="0"/>
          <w:bCs/>
          <w:color w:val="000000"/>
          <w:kern w:val="2"/>
          <w:sz w:val="32"/>
          <w:szCs w:val="32"/>
          <w:lang w:val="en-US" w:eastAsia="zh-CN" w:bidi="ar-SA"/>
        </w:rPr>
        <w:t>内蒙古和镁新能源有限责任公司库伦旗30万千瓦源网荷储一体化项目（输变电工程）</w:t>
      </w:r>
      <w:r>
        <w:rPr>
          <w:rFonts w:hint="eastAsia" w:ascii="仿宋_GB2312" w:hAnsi="仿宋_GB2312" w:eastAsia="仿宋_GB2312" w:cs="仿宋_GB2312"/>
          <w:b w:val="0"/>
          <w:bCs/>
          <w:color w:val="auto"/>
          <w:sz w:val="32"/>
          <w:szCs w:val="32"/>
          <w:highlight w:val="none"/>
        </w:rPr>
        <w:t>建设项</w:t>
      </w:r>
      <w:r>
        <w:rPr>
          <w:rFonts w:hint="eastAsia" w:ascii="仿宋_GB2312" w:hAnsi="仿宋_GB2312" w:eastAsia="仿宋_GB2312" w:cs="仿宋_GB2312"/>
          <w:b w:val="0"/>
          <w:bCs/>
          <w:color w:val="auto"/>
          <w:sz w:val="32"/>
          <w:szCs w:val="32"/>
        </w:rPr>
        <w:t>目环境影响报告表》（以下简称《报告表》）收悉。</w:t>
      </w:r>
      <w:r>
        <w:rPr>
          <w:rFonts w:hint="eastAsia" w:ascii="仿宋_GB2312" w:hAnsi="仿宋_GB2312" w:eastAsia="仿宋_GB2312" w:cs="仿宋_GB2312"/>
          <w:bCs/>
          <w:color w:val="auto"/>
          <w:sz w:val="32"/>
          <w:szCs w:val="32"/>
          <w:highlight w:val="none"/>
        </w:rPr>
        <w:t>根据《建设项目环境影响评价分类管理目录》（2021年版）</w:t>
      </w:r>
      <w:r>
        <w:rPr>
          <w:rFonts w:hint="eastAsia" w:ascii="仿宋_GB2312" w:hAnsi="仿宋_GB2312" w:eastAsia="仿宋_GB2312" w:cs="仿宋_GB2312"/>
          <w:bCs/>
          <w:color w:val="auto"/>
          <w:sz w:val="32"/>
          <w:szCs w:val="32"/>
          <w:highlight w:val="none"/>
          <w:lang w:eastAsia="zh-CN"/>
        </w:rPr>
        <w:t>，</w:t>
      </w:r>
      <w:r>
        <w:rPr>
          <w:rFonts w:hint="eastAsia" w:ascii="仿宋_GB2312" w:hAnsi="仿宋_GB2312" w:eastAsia="仿宋_GB2312" w:cs="仿宋_GB2312"/>
          <w:b w:val="0"/>
          <w:bCs/>
          <w:color w:val="auto"/>
          <w:sz w:val="32"/>
          <w:szCs w:val="32"/>
        </w:rPr>
        <w:t>经研究，</w:t>
      </w:r>
      <w:r>
        <w:rPr>
          <w:rFonts w:hint="eastAsia" w:ascii="仿宋_GB2312" w:hAnsi="仿宋_GB2312" w:eastAsia="仿宋_GB2312" w:cs="仿宋_GB2312"/>
          <w:color w:val="auto"/>
          <w:sz w:val="32"/>
          <w:szCs w:val="32"/>
        </w:rPr>
        <w:t>批复如下：</w:t>
      </w:r>
    </w:p>
    <w:p>
      <w:pPr>
        <w:pStyle w:val="13"/>
        <w:keepNext w:val="0"/>
        <w:keepLines w:val="0"/>
        <w:pageBreakBefore w:val="0"/>
        <w:kinsoku/>
        <w:wordWrap/>
        <w:overflowPunct/>
        <w:topLinePunct w:val="0"/>
        <w:bidi w:val="0"/>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一、项目建设基本情况</w:t>
      </w:r>
    </w:p>
    <w:p>
      <w:pPr>
        <w:keepNext w:val="0"/>
        <w:keepLines w:val="0"/>
        <w:pageBreakBefore w:val="0"/>
        <w:widowControl/>
        <w:suppressLineNumbers w:val="0"/>
        <w:kinsoku/>
        <w:wordWrap/>
        <w:overflowPunct/>
        <w:topLinePunct w:val="0"/>
        <w:bidi w:val="0"/>
        <w:adjustRightInd/>
        <w:snapToGrid/>
        <w:spacing w:line="560" w:lineRule="exact"/>
        <w:ind w:firstLine="640" w:firstLineChars="200"/>
        <w:jc w:val="both"/>
        <w:textAlignment w:val="auto"/>
        <w:rPr>
          <w:rFonts w:hint="eastAsia" w:ascii="仿宋_GB2312" w:hAnsi="Times New Roman" w:eastAsia="仿宋_GB2312" w:cs="Times New Roman"/>
          <w:b w:val="0"/>
          <w:bCs/>
          <w:color w:val="000000"/>
          <w:kern w:val="2"/>
          <w:sz w:val="32"/>
          <w:szCs w:val="32"/>
          <w:lang w:val="en-US" w:eastAsia="zh-CN" w:bidi="ar-SA"/>
        </w:rPr>
      </w:pPr>
      <w:r>
        <w:rPr>
          <w:rFonts w:hint="eastAsia" w:ascii="仿宋_GB2312" w:hAnsi="Times New Roman" w:eastAsia="仿宋_GB2312" w:cs="Times New Roman"/>
          <w:b w:val="0"/>
          <w:bCs/>
          <w:color w:val="000000"/>
          <w:kern w:val="2"/>
          <w:sz w:val="32"/>
          <w:szCs w:val="32"/>
          <w:lang w:val="en-US" w:eastAsia="zh-CN" w:bidi="ar-SA"/>
        </w:rPr>
        <w:t>（一）变电工程。新建220kV升压站，建设2×150MVA主变，220kV出线间隔1个。（2）新建电熔镁砂厂区220kV降压站，建设2×150MVA+2×50MVA主变，220kV出线间隔2个。</w:t>
      </w:r>
    </w:p>
    <w:p>
      <w:pPr>
        <w:keepNext w:val="0"/>
        <w:keepLines w:val="0"/>
        <w:pageBreakBefore w:val="0"/>
        <w:widowControl/>
        <w:suppressLineNumbers w:val="0"/>
        <w:kinsoku/>
        <w:wordWrap/>
        <w:overflowPunct/>
        <w:topLinePunct w:val="0"/>
        <w:bidi w:val="0"/>
        <w:adjustRightInd/>
        <w:snapToGrid/>
        <w:spacing w:line="560" w:lineRule="exact"/>
        <w:ind w:firstLine="640" w:firstLineChars="200"/>
        <w:jc w:val="both"/>
        <w:textAlignment w:val="auto"/>
        <w:rPr>
          <w:rFonts w:hint="eastAsia" w:ascii="仿宋_GB2312" w:hAnsi="Times New Roman" w:eastAsia="仿宋_GB2312" w:cs="Times New Roman"/>
          <w:b w:val="0"/>
          <w:bCs/>
          <w:color w:val="000000"/>
          <w:kern w:val="2"/>
          <w:sz w:val="32"/>
          <w:szCs w:val="32"/>
          <w:lang w:val="en-US" w:eastAsia="zh-CN" w:bidi="ar-SA"/>
        </w:rPr>
      </w:pPr>
      <w:r>
        <w:rPr>
          <w:rFonts w:hint="eastAsia" w:ascii="仿宋_GB2312" w:hAnsi="Times New Roman" w:eastAsia="仿宋_GB2312" w:cs="Times New Roman"/>
          <w:b w:val="0"/>
          <w:bCs/>
          <w:color w:val="000000"/>
          <w:kern w:val="2"/>
          <w:sz w:val="32"/>
          <w:szCs w:val="32"/>
          <w:lang w:val="en-US" w:eastAsia="zh-CN" w:bidi="ar-SA"/>
        </w:rPr>
        <w:t>（二）线路工程。新建220kV升压站-220kV降压站220kV输电线路，新建线路长46.75km，其中单回架空线路长37.3km，同塔双回架空线路长9.3km，电缆线路长0.15km，立塔141基。</w:t>
      </w:r>
    </w:p>
    <w:p>
      <w:pPr>
        <w:keepNext w:val="0"/>
        <w:keepLines w:val="0"/>
        <w:pageBreakBefore w:val="0"/>
        <w:kinsoku/>
        <w:wordWrap/>
        <w:overflowPunct/>
        <w:topLinePunct w:val="0"/>
        <w:autoSpaceDE w:val="0"/>
        <w:autoSpaceDN w:val="0"/>
        <w:bidi w:val="0"/>
        <w:adjustRightInd w:val="0"/>
        <w:snapToGrid/>
        <w:spacing w:line="560" w:lineRule="exact"/>
        <w:ind w:firstLine="640" w:firstLineChars="200"/>
        <w:jc w:val="both"/>
        <w:textAlignment w:val="auto"/>
        <w:rPr>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新建输电线路分6次跨越库伦旗-科尔沁沙地防风固沙生态功能重要区，累计跨越长度663.5m，不立塔；跨越库伦旗防风固沙生态功能重要区域长度30m，不立塔。</w:t>
      </w:r>
    </w:p>
    <w:p>
      <w:pPr>
        <w:keepNext w:val="0"/>
        <w:keepLines w:val="0"/>
        <w:pageBreakBefore w:val="0"/>
        <w:widowControl/>
        <w:suppressLineNumbers w:val="0"/>
        <w:kinsoku/>
        <w:wordWrap/>
        <w:overflowPunct/>
        <w:topLinePunct w:val="0"/>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bCs/>
          <w:sz w:val="32"/>
          <w:szCs w:val="32"/>
        </w:rPr>
        <w:t>本项目建设地点位于</w:t>
      </w:r>
      <w:r>
        <w:rPr>
          <w:rFonts w:hint="eastAsia" w:ascii="仿宋_GB2312" w:hAnsi="仿宋_GB2312" w:eastAsia="仿宋_GB2312" w:cs="仿宋_GB2312"/>
          <w:b w:val="0"/>
          <w:bCs/>
          <w:color w:val="000000"/>
          <w:kern w:val="2"/>
          <w:sz w:val="32"/>
          <w:szCs w:val="32"/>
          <w:lang w:val="en-US" w:eastAsia="zh-CN" w:bidi="ar-SA"/>
        </w:rPr>
        <w:t>内蒙古自治区通辽市库伦旗境内。</w:t>
      </w:r>
    </w:p>
    <w:p>
      <w:pPr>
        <w:pStyle w:val="14"/>
        <w:keepNext w:val="0"/>
        <w:keepLines w:val="0"/>
        <w:pageBreakBefore w:val="0"/>
        <w:kinsoku/>
        <w:wordWrap/>
        <w:overflowPunct/>
        <w:topLinePunct w:val="0"/>
        <w:bidi w:val="0"/>
        <w:snapToGrid/>
        <w:spacing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二、总体意见</w:t>
      </w:r>
    </w:p>
    <w:p>
      <w:pPr>
        <w:keepNext w:val="0"/>
        <w:keepLines w:val="0"/>
        <w:pageBreakBefore w:val="0"/>
        <w:kinsoku/>
        <w:wordWrap/>
        <w:overflowPunct/>
        <w:topLinePunct w:val="0"/>
        <w:autoSpaceDE w:val="0"/>
        <w:autoSpaceDN w:val="0"/>
        <w:bidi w:val="0"/>
        <w:adjustRightInd w:val="0"/>
        <w:snapToGrid/>
        <w:spacing w:line="560" w:lineRule="exact"/>
        <w:ind w:firstLine="640" w:firstLineChars="200"/>
        <w:jc w:val="both"/>
        <w:textAlignment w:val="auto"/>
        <w:rPr>
          <w:rFonts w:ascii="仿宋_GB2312" w:hAnsi="仿宋" w:eastAsia="仿宋_GB2312"/>
          <w:sz w:val="32"/>
          <w:szCs w:val="32"/>
        </w:rPr>
      </w:pPr>
      <w:r>
        <w:rPr>
          <w:rFonts w:hint="eastAsia" w:ascii="仿宋_GB2312" w:eastAsia="仿宋_GB2312"/>
          <w:sz w:val="32"/>
          <w:szCs w:val="32"/>
        </w:rPr>
        <w:t>本项目在严格落实《报告表》提出的各项环境保护措</w:t>
      </w:r>
      <w:r>
        <w:rPr>
          <w:rFonts w:hint="eastAsia" w:ascii="仿宋_GB2312" w:hAnsi="仿宋" w:eastAsia="仿宋_GB2312"/>
          <w:sz w:val="32"/>
          <w:szCs w:val="32"/>
        </w:rPr>
        <w:t>施</w:t>
      </w:r>
      <w:r>
        <w:rPr>
          <w:rFonts w:hint="eastAsia" w:ascii="仿宋_GB2312" w:hAnsi="仿宋" w:eastAsia="仿宋_GB2312"/>
          <w:sz w:val="32"/>
          <w:szCs w:val="32"/>
          <w:lang w:eastAsia="zh-CN"/>
        </w:rPr>
        <w:t>和下列工作要求</w:t>
      </w:r>
      <w:r>
        <w:rPr>
          <w:rFonts w:hint="eastAsia" w:ascii="仿宋_GB2312" w:hAnsi="仿宋" w:eastAsia="仿宋_GB2312"/>
          <w:sz w:val="32"/>
          <w:szCs w:val="32"/>
        </w:rPr>
        <w:t>后，</w:t>
      </w:r>
      <w:r>
        <w:rPr>
          <w:rFonts w:hint="eastAsia" w:ascii="仿宋_GB2312" w:hAnsi="仿宋" w:eastAsia="仿宋_GB2312"/>
          <w:sz w:val="32"/>
          <w:szCs w:val="32"/>
          <w:lang w:eastAsia="zh-CN"/>
        </w:rPr>
        <w:t>可以满足国家生态环境保护相关法律法规和标准的要求。</w:t>
      </w:r>
      <w:r>
        <w:rPr>
          <w:rFonts w:hint="eastAsia" w:ascii="仿宋_GB2312" w:hAnsi="仿宋" w:eastAsia="仿宋_GB2312"/>
          <w:sz w:val="32"/>
          <w:szCs w:val="32"/>
        </w:rPr>
        <w:t>从环境保护角度</w:t>
      </w:r>
      <w:r>
        <w:rPr>
          <w:rFonts w:hint="eastAsia" w:ascii="仿宋_GB2312" w:eastAsia="仿宋_GB2312"/>
          <w:sz w:val="32"/>
          <w:szCs w:val="32"/>
        </w:rPr>
        <w:t>分析，</w:t>
      </w:r>
      <w:r>
        <w:rPr>
          <w:rFonts w:hint="eastAsia" w:ascii="仿宋_GB2312" w:hAnsi="仿宋" w:eastAsia="仿宋_GB2312"/>
          <w:sz w:val="32"/>
          <w:szCs w:val="32"/>
        </w:rPr>
        <w:t>我厅原则同意本项目按照《报告表》中所列的性质、规模、地点和拟采取的环保措施进行建设。</w:t>
      </w:r>
    </w:p>
    <w:p>
      <w:pPr>
        <w:keepNext w:val="0"/>
        <w:keepLines w:val="0"/>
        <w:pageBreakBefore w:val="0"/>
        <w:kinsoku/>
        <w:wordWrap/>
        <w:overflowPunct/>
        <w:topLinePunct w:val="0"/>
        <w:bidi w:val="0"/>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三、项目建设及运行期间应做好的工作</w:t>
      </w:r>
    </w:p>
    <w:p>
      <w:pPr>
        <w:keepNext w:val="0"/>
        <w:keepLines w:val="0"/>
        <w:pageBreakBefore w:val="0"/>
        <w:kinsoku/>
        <w:wordWrap/>
        <w:overflowPunct/>
        <w:topLinePunct w:val="0"/>
        <w:bidi w:val="0"/>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（一）严格落实项目施工期、运营期生态环境保护措施，做好生态保护与恢复工作。施工期严格控制施工活动范围，合理布局，尽量减少土地占用和植被破坏。</w:t>
      </w:r>
    </w:p>
    <w:p>
      <w:pPr>
        <w:keepNext w:val="0"/>
        <w:keepLines w:val="0"/>
        <w:pageBreakBefore w:val="0"/>
        <w:kinsoku/>
        <w:wordWrap/>
        <w:overflowPunct/>
        <w:topLinePunct w:val="0"/>
        <w:bidi w:val="0"/>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（二）认真落实《报告表》中提出的控制和改善工频电场、工频磁场对周边环境影响的措施和方法，监测值应符合《电磁环境控制限值》（GB8702-2014）要求。</w:t>
      </w:r>
    </w:p>
    <w:p>
      <w:pPr>
        <w:pStyle w:val="14"/>
        <w:keepNext w:val="0"/>
        <w:keepLines w:val="0"/>
        <w:pageBreakBefore w:val="0"/>
        <w:kinsoku/>
        <w:wordWrap/>
        <w:overflowPunct/>
        <w:topLinePunct w:val="0"/>
        <w:bidi w:val="0"/>
        <w:snapToGrid/>
        <w:spacing w:line="560" w:lineRule="exact"/>
        <w:ind w:firstLine="64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（三）对设备维修过程中产生的废变压器油、废蓄电池等应全部回收，如不能全部回收，必须单独存放，集中送交有相应危险废物经营许可资质的单位处置。</w:t>
      </w:r>
    </w:p>
    <w:p>
      <w:pPr>
        <w:keepNext w:val="0"/>
        <w:keepLines w:val="0"/>
        <w:pageBreakBefore w:val="0"/>
        <w:kinsoku/>
        <w:wordWrap/>
        <w:overflowPunct/>
        <w:topLinePunct w:val="0"/>
        <w:autoSpaceDE w:val="0"/>
        <w:autoSpaceDN w:val="0"/>
        <w:bidi w:val="0"/>
        <w:adjustRightInd w:val="0"/>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（四）项目施工期及运行期的噪声值及防噪措施应满足《报告表》中提出的要求，监测值应符合国家评价标准限值要求。</w:t>
      </w:r>
    </w:p>
    <w:p>
      <w:pPr>
        <w:keepNext w:val="0"/>
        <w:keepLines w:val="0"/>
        <w:pageBreakBefore w:val="0"/>
        <w:kinsoku/>
        <w:wordWrap/>
        <w:overflowPunct/>
        <w:topLinePunct w:val="0"/>
        <w:bidi w:val="0"/>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（五）环境影响报告表经批准后，项目的性质、规模、地点或生态保护、污染防治措施发生重大变动的，应当按要求重新报批。</w:t>
      </w:r>
    </w:p>
    <w:p>
      <w:pPr>
        <w:keepNext w:val="0"/>
        <w:keepLines w:val="0"/>
        <w:pageBreakBefore w:val="0"/>
        <w:kinsoku/>
        <w:wordWrap/>
        <w:overflowPunct/>
        <w:topLinePunct w:val="0"/>
        <w:bidi w:val="0"/>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四、建设单位按规定程序完成竣工环境保护验收后，项目方可投入正式运行。</w:t>
      </w:r>
    </w:p>
    <w:p>
      <w:pPr>
        <w:keepNext w:val="0"/>
        <w:keepLines w:val="0"/>
        <w:pageBreakBefore w:val="0"/>
        <w:kinsoku/>
        <w:wordWrap/>
        <w:overflowPunct/>
        <w:topLinePunct w:val="0"/>
        <w:bidi w:val="0"/>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五、我厅委托</w:t>
      </w:r>
      <w:r>
        <w:rPr>
          <w:rFonts w:hint="eastAsia" w:ascii="仿宋_GB2312" w:hAnsi="仿宋_GB2312" w:eastAsia="仿宋_GB2312" w:cs="仿宋_GB2312"/>
          <w:sz w:val="32"/>
          <w:szCs w:val="32"/>
          <w:lang w:eastAsia="zh-CN"/>
        </w:rPr>
        <w:t>通辽市</w:t>
      </w:r>
      <w:r>
        <w:rPr>
          <w:rFonts w:hint="eastAsia" w:ascii="仿宋_GB2312" w:hAnsi="仿宋_GB2312" w:eastAsia="仿宋_GB2312" w:cs="仿宋_GB2312"/>
          <w:color w:val="000000"/>
          <w:sz w:val="32"/>
          <w:szCs w:val="32"/>
        </w:rPr>
        <w:t>生态环境局</w:t>
      </w:r>
      <w:r>
        <w:rPr>
          <w:rFonts w:hint="eastAsia" w:ascii="仿宋_GB2312" w:hAnsi="仿宋_GB2312" w:eastAsia="仿宋_GB2312" w:cs="仿宋_GB2312"/>
          <w:sz w:val="32"/>
          <w:szCs w:val="32"/>
        </w:rPr>
        <w:t>负责该项目施工期的监督检查工作。</w:t>
      </w:r>
    </w:p>
    <w:p>
      <w:pPr>
        <w:keepNext w:val="0"/>
        <w:keepLines w:val="0"/>
        <w:pageBreakBefore w:val="0"/>
        <w:kinsoku/>
        <w:wordWrap/>
        <w:overflowPunct/>
        <w:topLinePunct w:val="0"/>
        <w:bidi w:val="0"/>
        <w:snapToGrid/>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六、本批复不具有其他行政审批前置效力。</w:t>
      </w:r>
    </w:p>
    <w:p>
      <w:pPr>
        <w:keepNext w:val="0"/>
        <w:keepLines w:val="0"/>
        <w:pageBreakBefore w:val="0"/>
        <w:kinsoku/>
        <w:wordWrap/>
        <w:overflowPunct/>
        <w:topLinePunct w:val="0"/>
        <w:bidi w:val="0"/>
        <w:snapToGrid/>
        <w:spacing w:line="560" w:lineRule="exact"/>
        <w:ind w:firstLine="640" w:firstLineChars="200"/>
        <w:jc w:val="both"/>
        <w:textAlignment w:val="auto"/>
        <w:rPr>
          <w:rFonts w:hint="eastAsia"/>
          <w:sz w:val="32"/>
          <w:szCs w:val="32"/>
        </w:rPr>
      </w:pPr>
      <w:r>
        <w:rPr>
          <w:rFonts w:hint="eastAsia" w:ascii="仿宋_GB2312" w:hAnsi="仿宋_GB2312" w:eastAsia="仿宋_GB2312" w:cs="仿宋_GB2312"/>
          <w:sz w:val="32"/>
          <w:szCs w:val="32"/>
          <w:lang w:eastAsia="zh-CN"/>
        </w:rPr>
        <w:t>七、原《内蒙古自治区生态环境厅关于内蒙古和镁新能源有限责任公司库伦旗30万千瓦源网荷储一体化项目（输变电工程）建设项目环境影响报告表的批复》</w:t>
      </w:r>
      <w:r>
        <w:rPr>
          <w:rFonts w:hint="eastAsia" w:ascii="仿宋_GB2312" w:hAnsi="仿宋_GB2312" w:eastAsia="仿宋_GB2312" w:cs="黑体"/>
          <w:color w:val="auto"/>
          <w:sz w:val="32"/>
          <w:szCs w:val="32"/>
          <w:lang w:val="en-US" w:eastAsia="zh-CN"/>
        </w:rPr>
        <w:t>（内环表</w:t>
      </w:r>
      <w:r>
        <w:rPr>
          <w:rFonts w:hint="eastAsia" w:ascii="仿宋_GB2312" w:hAnsi="仿宋_GB2312" w:eastAsia="仿宋_GB2312" w:cs="仿宋_GB2312"/>
          <w:color w:val="auto"/>
          <w:sz w:val="32"/>
          <w:szCs w:val="32"/>
          <w:lang w:val="en-US" w:eastAsia="zh-CN"/>
        </w:rPr>
        <w:t>〔2026〕111号</w:t>
      </w:r>
      <w:r>
        <w:rPr>
          <w:rFonts w:hint="eastAsia" w:ascii="仿宋_GB2312" w:hAnsi="仿宋_GB2312" w:eastAsia="仿宋_GB2312" w:cs="黑体"/>
          <w:color w:val="auto"/>
          <w:sz w:val="32"/>
          <w:szCs w:val="32"/>
          <w:lang w:val="en-US" w:eastAsia="zh-CN"/>
        </w:rPr>
        <w:t>）作废。</w:t>
      </w:r>
    </w:p>
    <w:p>
      <w:pPr>
        <w:spacing w:line="560" w:lineRule="exact"/>
        <w:ind w:firstLine="624" w:firstLineChars="200"/>
        <w:rPr>
          <w:rFonts w:ascii="仿宋_GB2312" w:hAnsi="仿宋" w:eastAsia="仿宋_GB2312"/>
          <w:spacing w:val="-4"/>
          <w:sz w:val="32"/>
          <w:szCs w:val="32"/>
        </w:rPr>
      </w:pPr>
    </w:p>
    <mc:AlternateContent>
      <mc:Choice Requires="wpsCustomData">
        <wpsCustomData:docfieldEnd id="3"/>
      </mc:Choice>
    </mc:AlternateContent>
    <w:p>
      <w:pPr>
        <w:pStyle w:val="2"/>
      </w:pPr>
    </w:p>
    <w:p>
      <w:pPr>
        <w:spacing w:line="560" w:lineRule="exact"/>
        <w:jc w:val="left"/>
        <w:rPr>
          <w:rFonts w:ascii="仿宋_GB2312" w:hAnsi="仿宋" w:eastAsia="仿宋_GB2312"/>
          <w:sz w:val="32"/>
          <w:szCs w:val="32"/>
        </w:rPr>
      </w:pPr>
      <w:r>
        <w:rPr>
          <w:rFonts w:hint="eastAsia" w:ascii="仿宋_GB2312" w:hAnsi="仿宋" w:eastAsia="仿宋_GB2312"/>
          <w:spacing w:val="-4"/>
          <w:sz w:val="32"/>
          <w:szCs w:val="32"/>
        </w:rPr>
        <w:t xml:space="preserve">                           内蒙古自治区生态环境厅  </w:t>
      </w:r>
      <w:r>
        <w:rPr>
          <w:rFonts w:hint="eastAsia" w:ascii="仿宋_GB2312" w:hAnsi="仿宋" w:eastAsia="仿宋_GB2312"/>
          <w:sz w:val="32"/>
          <w:szCs w:val="32"/>
        </w:rPr>
        <w:t xml:space="preserve"> </w:t>
      </w:r>
    </w:p>
    <w:p>
      <w:pPr>
        <w:spacing w:line="560" w:lineRule="exact"/>
        <w:ind w:right="55" w:rightChars="26"/>
        <w:jc w:val="left"/>
        <w:rPr>
          <w:rFonts w:hint="eastAsia" w:ascii="仿宋_GB2312" w:hAnsi="仿宋" w:eastAsia="仿宋_GB2312"/>
          <w:sz w:val="32"/>
          <w:szCs w:val="32"/>
          <w:lang w:eastAsia="zh-CN"/>
        </w:rPr>
      </w:pPr>
      <w:r>
        <w:rPr>
          <w:rFonts w:hint="eastAsia" w:ascii="仿宋_GB2312" w:hAnsi="仿宋" w:eastAsia="仿宋_GB2312"/>
          <w:sz w:val="32"/>
          <w:szCs w:val="32"/>
        </w:rPr>
        <w:t xml:space="preserve">                             </w:t>
      </w:r>
      <w:bookmarkStart w:id="4" w:name="签发日期"/>
      <mc:AlternateContent>
        <mc:Choice Requires="wpsCustomData">
          <wpsCustomData:docfieldStart id="4" docfieldname="签发日期" hidden="false" print="true" readonly="false" index="5"/>
        </mc:Choice>
      </mc:AlternateContent>
      <w:r>
        <w:rPr>
          <w:rFonts w:hint="eastAsia" w:ascii="仿宋_GB2312" w:hAnsi="仿宋" w:eastAsia="仿宋_GB2312"/>
          <w:sz w:val="32"/>
          <w:szCs w:val="32"/>
          <w:lang w:eastAsia="zh-CN"/>
        </w:rPr>
        <w:t>2026年7月16日</w:t>
      </w:r>
      <w:bookmarkEnd w:id="4"/>
      <mc:AlternateContent>
        <mc:Choice Requires="wpsCustomData">
          <wpsCustomData:docfieldEnd id="4"/>
        </mc:Choice>
      </mc:AlternateContent>
    </w:p>
    <w:p>
      <w:pPr>
        <w:spacing w:line="560" w:lineRule="exact"/>
      </w:pPr>
    </w:p>
    <w:p>
      <w:pPr>
        <w:pStyle w:val="2"/>
      </w:pPr>
    </w:p>
    <w:p/>
    <w:p>
      <w:pPr>
        <w:pStyle w:val="2"/>
      </w:pPr>
    </w:p>
    <w:p/>
    <w:p>
      <w:pPr>
        <w:pStyle w:val="2"/>
      </w:pPr>
    </w:p>
    <w:p/>
    <w:p>
      <w:pPr>
        <w:pStyle w:val="2"/>
      </w:pPr>
    </w:p>
    <w:p/>
    <w:p>
      <w:pPr>
        <w:pStyle w:val="2"/>
      </w:pPr>
    </w:p>
    <w:p/>
    <w:p>
      <w:pPr>
        <w:pStyle w:val="2"/>
      </w:pPr>
    </w:p>
    <w:p/>
    <w:p>
      <w:pPr>
        <w:pStyle w:val="2"/>
      </w:pPr>
    </w:p>
    <w:p/>
    <w:p>
      <w:pPr>
        <w:pStyle w:val="2"/>
      </w:pPr>
    </w:p>
    <w:p>
      <w:pPr>
        <w:pStyle w:val="2"/>
      </w:pPr>
    </w:p>
    <w:p/>
    <w:p>
      <w:pPr>
        <w:pStyle w:val="2"/>
      </w:pPr>
    </w:p>
    <w:p/>
    <w:p>
      <w:pPr>
        <w:pStyle w:val="2"/>
      </w:pPr>
    </w:p>
    <w:p>
      <w:pPr>
        <w:spacing w:line="14" w:lineRule="exact"/>
        <w:ind w:right="315" w:rightChars="150"/>
        <w:rPr>
          <w:rFonts w:ascii="仿宋_GB2312" w:hAnsi="仿宋" w:eastAsia="仿宋_GB2312"/>
          <w:sz w:val="28"/>
          <w:szCs w:val="28"/>
        </w:rPr>
      </w:pPr>
      <w:bookmarkStart w:id="5" w:name="_GoBack"/>
      <w:bookmarkEnd w:id="5"/>
    </w:p>
    <w:sectPr>
      <w:headerReference r:id="rId3" w:type="default"/>
      <w:footerReference r:id="rId5" w:type="default"/>
      <w:headerReference r:id="rId4" w:type="even"/>
      <w:footerReference r:id="rId6" w:type="even"/>
      <w:type w:val="continuous"/>
      <w:pgSz w:w="11907" w:h="16840"/>
      <w:pgMar w:top="2041" w:right="1531" w:bottom="2041" w:left="1531" w:header="851" w:footer="1587"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roman"/>
    <w:pitch w:val="default"/>
    <w:sig w:usb0="00000000" w:usb1="00000000"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仿宋">
    <w:altName w:val="微软雅黑"/>
    <w:panose1 w:val="02010609060101010101"/>
    <w:charset w:val="86"/>
    <w:family w:val="auto"/>
    <w:pitch w:val="default"/>
    <w:sig w:usb0="00000000" w:usb1="00000000"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书宋_GBK">
    <w:panose1 w:val="02000000000000000000"/>
    <w:charset w:val="86"/>
    <w:family w:val="auto"/>
    <w:pitch w:val="default"/>
    <w:sig w:usb0="00000001" w:usb1="08000000" w:usb2="00000000" w:usb3="00000000" w:csb0="00040000" w:csb1="00000000"/>
  </w:font>
  <w:font w:name="微软雅黑">
    <w:panose1 w:val="020B0503020204020204"/>
    <w:charset w:val="86"/>
    <w:family w:val="auto"/>
    <w:pitch w:val="default"/>
    <w:sig w:usb0="80000287" w:usb1="2A0F3C52" w:usb2="00000016" w:usb3="00000000" w:csb0="0004001F" w:csb1="00000000"/>
  </w:font>
  <w:font w:name="FreeSerif">
    <w:panose1 w:val="02020603050405020304"/>
    <w:charset w:val="00"/>
    <w:family w:val="auto"/>
    <w:pitch w:val="default"/>
    <w:sig w:usb0="E59FAFFF" w:usb1="C200FDFF" w:usb2="43501B29" w:usb3="04000043" w:csb0="600101FF" w:csb1="FFFF0000"/>
  </w:font>
  <w:font w:name="DejaVu Sans">
    <w:panose1 w:val="020B0603030804020204"/>
    <w:charset w:val="00"/>
    <w:family w:val="auto"/>
    <w:pitch w:val="default"/>
    <w:sig w:usb0="E7006EFF" w:usb1="D200FDFF" w:usb2="0A246029" w:usb3="0400200C" w:csb0="600001FF" w:csb1="DFFF0000"/>
  </w:font>
  <w:font w:name="Standard Symbols PS">
    <w:panose1 w:val="05050102010706020507"/>
    <w:charset w:val="00"/>
    <w:family w:val="auto"/>
    <w:pitch w:val="default"/>
    <w:sig w:usb0="00000003" w:usb1="00000000" w:usb2="00000000" w:usb3="00000000" w:csb0="00000001"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ascii="Calibri" w:hAnsi="Calibri" w:eastAsia="宋体" w:cs="Times New Roman"/>
        <w:kern w:val="0"/>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635</wp:posOffset>
              </wp:positionV>
              <wp:extent cx="591185" cy="230505"/>
              <wp:effectExtent l="0" t="0" r="0" b="0"/>
              <wp:wrapNone/>
              <wp:docPr id="3" name="Quad Arrow 3"/>
              <wp:cNvGraphicFramePr/>
              <a:graphic xmlns:a="http://schemas.openxmlformats.org/drawingml/2006/main">
                <a:graphicData uri="http://schemas.microsoft.com/office/word/2010/wordprocessingShape">
                  <wps:wsp>
                    <wps:cNvSpPr txBox="true"/>
                    <wps:spPr>
                      <a:xfrm>
                        <a:off x="0" y="0"/>
                        <a:ext cx="591185" cy="230505"/>
                      </a:xfrm>
                      <a:prstGeom prst="rect">
                        <a:avLst/>
                      </a:prstGeom>
                      <a:noFill/>
                      <a:ln>
                        <a:noFill/>
                      </a:ln>
                    </wps:spPr>
                    <wps:txbx>
                      <w:txbxContent>
                        <w:p>
                          <w:pPr>
                            <w:pStyle w:val="4"/>
                            <w:jc w:val="center"/>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wrap="square" lIns="0" tIns="0" rIns="0" bIns="0" upright="false"/>
                  </wps:wsp>
                </a:graphicData>
              </a:graphic>
            </wp:anchor>
          </w:drawing>
        </mc:Choice>
        <mc:Fallback>
          <w:pict>
            <v:shape id="Quad Arrow 3" o:spid="_x0000_s1026" o:spt="202" type="#_x0000_t202" style="position:absolute;left:0pt;margin-top:0.05pt;height:18.15pt;width:46.55pt;mso-position-horizontal:outside;mso-position-horizontal-relative:margin;z-index:251659264;mso-width-relative:page;mso-height-relative:page;" filled="f" stroked="f" coordsize="21600,21600" o:gfxdata="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FgAAAGRycy9QSwECFAAUAAAACACHTuJA&#10;ripQTtQAAAADAQAADwAAAAAAAAABACAAAAA4AAAAZHJzL2Rvd25yZXYueG1sUEsBAhQAFAAAAAgA&#10;h07iQLGQ83+hAQAAOQMAAA4AAAAAAAAAAQAgAAAAOQEAAGRycy9lMm9Eb2MueG1sUEsFBgAAAAAG&#10;AAYAWQEAAEwFAAAAAA==&#10;">
              <v:fill on="f" focussize="0,0"/>
              <v:stroke on="f"/>
              <v:imagedata o:title=""/>
              <o:lock v:ext="edit" aspectratio="f"/>
              <v:textbox inset="0mm,0mm,0mm,0mm">
                <w:txbxContent>
                  <w:p>
                    <w:pPr>
                      <w:pStyle w:val="4"/>
                      <w:jc w:val="center"/>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pPr>
    <w:r>
      <w:rPr>
        <w:rFonts w:ascii="Calibri" w:hAnsi="Calibri" w:eastAsia="宋体" w:cs="Times New Roman"/>
        <w:kern w:val="0"/>
        <w:sz w:val="18"/>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635</wp:posOffset>
              </wp:positionV>
              <wp:extent cx="608965" cy="230505"/>
              <wp:effectExtent l="0" t="0" r="0" b="0"/>
              <wp:wrapNone/>
              <wp:docPr id="4" name="Quad Arrow 4"/>
              <wp:cNvGraphicFramePr/>
              <a:graphic xmlns:a="http://schemas.openxmlformats.org/drawingml/2006/main">
                <a:graphicData uri="http://schemas.microsoft.com/office/word/2010/wordprocessingShape">
                  <wps:wsp>
                    <wps:cNvSpPr txBox="true"/>
                    <wps:spPr>
                      <a:xfrm>
                        <a:off x="0" y="0"/>
                        <a:ext cx="608965" cy="230505"/>
                      </a:xfrm>
                      <a:prstGeom prst="rect">
                        <a:avLst/>
                      </a:prstGeom>
                      <a:noFill/>
                      <a:ln>
                        <a:noFill/>
                      </a:ln>
                    </wps:spPr>
                    <wps:txbx>
                      <w:txbxContent>
                        <w:p>
                          <w:pPr>
                            <w:pStyle w:val="4"/>
                            <w:jc w:val="center"/>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- 2 -</w:t>
                          </w:r>
                          <w:r>
                            <w:rPr>
                              <w:rFonts w:hint="eastAsia" w:ascii="宋体" w:hAnsi="宋体" w:eastAsia="宋体" w:cs="宋体"/>
                              <w:sz w:val="28"/>
                              <w:szCs w:val="28"/>
                            </w:rPr>
                            <w:fldChar w:fldCharType="end"/>
                          </w:r>
                        </w:p>
                      </w:txbxContent>
                    </wps:txbx>
                    <wps:bodyPr wrap="square" lIns="0" tIns="0" rIns="0" bIns="0" upright="false"/>
                  </wps:wsp>
                </a:graphicData>
              </a:graphic>
            </wp:anchor>
          </w:drawing>
        </mc:Choice>
        <mc:Fallback>
          <w:pict>
            <v:shape id="Quad Arrow 4" o:spid="_x0000_s1026" o:spt="202" type="#_x0000_t202" style="position:absolute;left:0pt;margin-top:0.05pt;height:18.15pt;width:47.95pt;mso-position-horizontal:outside;mso-position-horizontal-relative:margin;z-index:251660288;mso-width-relative:page;mso-height-relative:page;" filled="f" stroked="f" coordsize="21600,21600" o:gfxdata="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WAAAAZHJzL1BLAQIUABQAAAAIAIdO4kBq&#10;8m6J0wAAAAMBAAAPAAAAAAAAAAEAIAAAADgAAABkcnMvZG93bnJldi54bWxQSwECFAAUAAAACACH&#10;TuJA+pDoVqEBAAA5AwAADgAAAAAAAAABACAAAAA4AQAAZHJzL2Uyb0RvYy54bWxQSwUGAAAAAAYA&#10;BgBZAQAASwUAAAAA&#10;">
              <v:fill on="f" focussize="0,0"/>
              <v:stroke on="f"/>
              <v:imagedata o:title=""/>
              <o:lock v:ext="edit" aspectratio="f"/>
              <v:textbox inset="0mm,0mm,0mm,0mm">
                <w:txbxContent>
                  <w:p>
                    <w:pPr>
                      <w:pStyle w:val="4"/>
                      <w:jc w:val="center"/>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- 2 -</w:t>
                    </w:r>
                    <w:r>
                      <w:rPr>
                        <w:rFonts w:hint="eastAsia" w:ascii="宋体" w:hAnsi="宋体" w:eastAsia="宋体" w:cs="宋体"/>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true"/>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502D9"/>
    <w:rsid w:val="00053C74"/>
    <w:rsid w:val="00081DD9"/>
    <w:rsid w:val="000A43C9"/>
    <w:rsid w:val="000F448F"/>
    <w:rsid w:val="00104AD5"/>
    <w:rsid w:val="00107F1D"/>
    <w:rsid w:val="00112653"/>
    <w:rsid w:val="00161599"/>
    <w:rsid w:val="0019160D"/>
    <w:rsid w:val="00212159"/>
    <w:rsid w:val="002203D3"/>
    <w:rsid w:val="002432A7"/>
    <w:rsid w:val="002778D8"/>
    <w:rsid w:val="00290DA8"/>
    <w:rsid w:val="002B7D95"/>
    <w:rsid w:val="002D6AFC"/>
    <w:rsid w:val="002F0DE2"/>
    <w:rsid w:val="0030486D"/>
    <w:rsid w:val="00323B61"/>
    <w:rsid w:val="003619FA"/>
    <w:rsid w:val="00393E71"/>
    <w:rsid w:val="003B1A02"/>
    <w:rsid w:val="003C6CE9"/>
    <w:rsid w:val="00424C6E"/>
    <w:rsid w:val="00452E4A"/>
    <w:rsid w:val="004B7461"/>
    <w:rsid w:val="004C640A"/>
    <w:rsid w:val="004D3FC2"/>
    <w:rsid w:val="004F50C6"/>
    <w:rsid w:val="00505381"/>
    <w:rsid w:val="00544386"/>
    <w:rsid w:val="0056424C"/>
    <w:rsid w:val="0057112D"/>
    <w:rsid w:val="00571F6F"/>
    <w:rsid w:val="00577293"/>
    <w:rsid w:val="0058220B"/>
    <w:rsid w:val="00585C83"/>
    <w:rsid w:val="00590474"/>
    <w:rsid w:val="00592CC9"/>
    <w:rsid w:val="005A5BF2"/>
    <w:rsid w:val="006132A1"/>
    <w:rsid w:val="00624B4A"/>
    <w:rsid w:val="006661A4"/>
    <w:rsid w:val="006A7884"/>
    <w:rsid w:val="006B38F9"/>
    <w:rsid w:val="006E1CA5"/>
    <w:rsid w:val="006E2329"/>
    <w:rsid w:val="006F6255"/>
    <w:rsid w:val="00701535"/>
    <w:rsid w:val="0070579B"/>
    <w:rsid w:val="00715743"/>
    <w:rsid w:val="007173A8"/>
    <w:rsid w:val="00761FB3"/>
    <w:rsid w:val="0076589A"/>
    <w:rsid w:val="00786B2F"/>
    <w:rsid w:val="007925F1"/>
    <w:rsid w:val="0079344F"/>
    <w:rsid w:val="007A1610"/>
    <w:rsid w:val="007C0101"/>
    <w:rsid w:val="007D373D"/>
    <w:rsid w:val="00835942"/>
    <w:rsid w:val="00847C4B"/>
    <w:rsid w:val="00861920"/>
    <w:rsid w:val="008643C3"/>
    <w:rsid w:val="00873CD5"/>
    <w:rsid w:val="008804D9"/>
    <w:rsid w:val="008838C5"/>
    <w:rsid w:val="00883BA1"/>
    <w:rsid w:val="0089055A"/>
    <w:rsid w:val="00896DE4"/>
    <w:rsid w:val="008A4595"/>
    <w:rsid w:val="008B77EC"/>
    <w:rsid w:val="008C34AF"/>
    <w:rsid w:val="008D27CA"/>
    <w:rsid w:val="00907606"/>
    <w:rsid w:val="00922F9C"/>
    <w:rsid w:val="0095741D"/>
    <w:rsid w:val="00964200"/>
    <w:rsid w:val="0096751F"/>
    <w:rsid w:val="00967FB8"/>
    <w:rsid w:val="00971513"/>
    <w:rsid w:val="0099392B"/>
    <w:rsid w:val="009950F5"/>
    <w:rsid w:val="00996316"/>
    <w:rsid w:val="009F0D7E"/>
    <w:rsid w:val="009F4F97"/>
    <w:rsid w:val="00A03E70"/>
    <w:rsid w:val="00A14283"/>
    <w:rsid w:val="00A16266"/>
    <w:rsid w:val="00A32DBE"/>
    <w:rsid w:val="00A3438E"/>
    <w:rsid w:val="00A36EAB"/>
    <w:rsid w:val="00A42722"/>
    <w:rsid w:val="00A43C93"/>
    <w:rsid w:val="00AA5ECB"/>
    <w:rsid w:val="00AF257E"/>
    <w:rsid w:val="00B057C0"/>
    <w:rsid w:val="00B16355"/>
    <w:rsid w:val="00B22816"/>
    <w:rsid w:val="00B2798A"/>
    <w:rsid w:val="00B4476C"/>
    <w:rsid w:val="00B46191"/>
    <w:rsid w:val="00B61218"/>
    <w:rsid w:val="00B86149"/>
    <w:rsid w:val="00B91AFD"/>
    <w:rsid w:val="00BA1A77"/>
    <w:rsid w:val="00BA3600"/>
    <w:rsid w:val="00BD25C9"/>
    <w:rsid w:val="00BD4473"/>
    <w:rsid w:val="00BE3516"/>
    <w:rsid w:val="00BE5282"/>
    <w:rsid w:val="00BF428E"/>
    <w:rsid w:val="00BF6CDF"/>
    <w:rsid w:val="00C113FC"/>
    <w:rsid w:val="00C26472"/>
    <w:rsid w:val="00C51E40"/>
    <w:rsid w:val="00C56BFB"/>
    <w:rsid w:val="00C577B3"/>
    <w:rsid w:val="00C621D4"/>
    <w:rsid w:val="00C746BE"/>
    <w:rsid w:val="00C85C1B"/>
    <w:rsid w:val="00C93108"/>
    <w:rsid w:val="00CA6FED"/>
    <w:rsid w:val="00CD05D4"/>
    <w:rsid w:val="00CE37E8"/>
    <w:rsid w:val="00CE5F3B"/>
    <w:rsid w:val="00CE6186"/>
    <w:rsid w:val="00CF1A19"/>
    <w:rsid w:val="00CF24AC"/>
    <w:rsid w:val="00D01418"/>
    <w:rsid w:val="00D04066"/>
    <w:rsid w:val="00D32923"/>
    <w:rsid w:val="00D50FC8"/>
    <w:rsid w:val="00D80399"/>
    <w:rsid w:val="00D809A3"/>
    <w:rsid w:val="00D902CF"/>
    <w:rsid w:val="00D94E37"/>
    <w:rsid w:val="00DC1210"/>
    <w:rsid w:val="00DC440E"/>
    <w:rsid w:val="00DD67D3"/>
    <w:rsid w:val="00E012C8"/>
    <w:rsid w:val="00E157E5"/>
    <w:rsid w:val="00E50C21"/>
    <w:rsid w:val="00E62075"/>
    <w:rsid w:val="00E7161E"/>
    <w:rsid w:val="00E7452B"/>
    <w:rsid w:val="00E90476"/>
    <w:rsid w:val="00EB0809"/>
    <w:rsid w:val="00EE242A"/>
    <w:rsid w:val="00F06195"/>
    <w:rsid w:val="00F2401B"/>
    <w:rsid w:val="00F373F3"/>
    <w:rsid w:val="00F556D9"/>
    <w:rsid w:val="00FC281C"/>
    <w:rsid w:val="00FF0974"/>
    <w:rsid w:val="01067184"/>
    <w:rsid w:val="01283F97"/>
    <w:rsid w:val="02034156"/>
    <w:rsid w:val="035D2B78"/>
    <w:rsid w:val="03696E5B"/>
    <w:rsid w:val="03DA715F"/>
    <w:rsid w:val="03EA6B8D"/>
    <w:rsid w:val="04AF3D28"/>
    <w:rsid w:val="06414C48"/>
    <w:rsid w:val="06FD2E81"/>
    <w:rsid w:val="078C4B32"/>
    <w:rsid w:val="095B2A39"/>
    <w:rsid w:val="0C293B57"/>
    <w:rsid w:val="0E4627D6"/>
    <w:rsid w:val="0EB74D33"/>
    <w:rsid w:val="0FF01CE2"/>
    <w:rsid w:val="11DB31C3"/>
    <w:rsid w:val="125A4F9B"/>
    <w:rsid w:val="166710AD"/>
    <w:rsid w:val="171D0934"/>
    <w:rsid w:val="1750305B"/>
    <w:rsid w:val="177C6796"/>
    <w:rsid w:val="17BE3596"/>
    <w:rsid w:val="17CC3694"/>
    <w:rsid w:val="18BF59B2"/>
    <w:rsid w:val="19A40F43"/>
    <w:rsid w:val="1C3B00DC"/>
    <w:rsid w:val="1D7A55B8"/>
    <w:rsid w:val="1E007B0D"/>
    <w:rsid w:val="1EC02023"/>
    <w:rsid w:val="201A69CD"/>
    <w:rsid w:val="20A91A11"/>
    <w:rsid w:val="21C84299"/>
    <w:rsid w:val="22904BBD"/>
    <w:rsid w:val="238A2596"/>
    <w:rsid w:val="23C245F9"/>
    <w:rsid w:val="24A86E33"/>
    <w:rsid w:val="251E1B7F"/>
    <w:rsid w:val="259B6FBE"/>
    <w:rsid w:val="28044EC3"/>
    <w:rsid w:val="293C7576"/>
    <w:rsid w:val="2A4C74AD"/>
    <w:rsid w:val="2D3E0262"/>
    <w:rsid w:val="3078340E"/>
    <w:rsid w:val="31997B75"/>
    <w:rsid w:val="32132BEF"/>
    <w:rsid w:val="377E1867"/>
    <w:rsid w:val="3C032EFE"/>
    <w:rsid w:val="3C431296"/>
    <w:rsid w:val="3C4E200D"/>
    <w:rsid w:val="3D6548C9"/>
    <w:rsid w:val="3D997D89"/>
    <w:rsid w:val="3F8B2050"/>
    <w:rsid w:val="40DE7A76"/>
    <w:rsid w:val="41E57898"/>
    <w:rsid w:val="43BE5DA5"/>
    <w:rsid w:val="4517434D"/>
    <w:rsid w:val="48D80B0B"/>
    <w:rsid w:val="4955784C"/>
    <w:rsid w:val="4E08718E"/>
    <w:rsid w:val="500F600B"/>
    <w:rsid w:val="52383C85"/>
    <w:rsid w:val="52D72F1B"/>
    <w:rsid w:val="55BA08E6"/>
    <w:rsid w:val="56354618"/>
    <w:rsid w:val="56770825"/>
    <w:rsid w:val="58CA2C35"/>
    <w:rsid w:val="5A0A5B88"/>
    <w:rsid w:val="5A2A1A16"/>
    <w:rsid w:val="5B2D4374"/>
    <w:rsid w:val="5E082F75"/>
    <w:rsid w:val="5EAB10EC"/>
    <w:rsid w:val="5F001B36"/>
    <w:rsid w:val="5F0D4001"/>
    <w:rsid w:val="610B5ACF"/>
    <w:rsid w:val="615D0E52"/>
    <w:rsid w:val="622C3B53"/>
    <w:rsid w:val="625C4B72"/>
    <w:rsid w:val="647C4CF5"/>
    <w:rsid w:val="64B557C6"/>
    <w:rsid w:val="653806B8"/>
    <w:rsid w:val="67C12074"/>
    <w:rsid w:val="67CD23C4"/>
    <w:rsid w:val="68AC3246"/>
    <w:rsid w:val="69EE13C7"/>
    <w:rsid w:val="6A9579E6"/>
    <w:rsid w:val="6AE33BBB"/>
    <w:rsid w:val="6B8571A4"/>
    <w:rsid w:val="6C5D38C7"/>
    <w:rsid w:val="6E0A6B18"/>
    <w:rsid w:val="6E401570"/>
    <w:rsid w:val="6FE33E19"/>
    <w:rsid w:val="719E17CE"/>
    <w:rsid w:val="71D96AFD"/>
    <w:rsid w:val="72536B1A"/>
    <w:rsid w:val="73942F17"/>
    <w:rsid w:val="73CC675A"/>
    <w:rsid w:val="73ED7448"/>
    <w:rsid w:val="73FF04CC"/>
    <w:rsid w:val="766C0C0C"/>
    <w:rsid w:val="775DCE8C"/>
    <w:rsid w:val="77E77440"/>
    <w:rsid w:val="79FA209C"/>
    <w:rsid w:val="7A6A32E4"/>
    <w:rsid w:val="7BE16A25"/>
    <w:rsid w:val="7BFE117C"/>
    <w:rsid w:val="7BFF4D51"/>
    <w:rsid w:val="7D6F7921"/>
    <w:rsid w:val="7D754DCD"/>
    <w:rsid w:val="7DBF115D"/>
    <w:rsid w:val="7E705781"/>
    <w:rsid w:val="7EF63CBF"/>
    <w:rsid w:val="7F1E2FD0"/>
    <w:rsid w:val="DF4FEC23"/>
    <w:rsid w:val="DFEFB47D"/>
    <w:rsid w:val="FB737E87"/>
    <w:rsid w:val="FDBE67B1"/>
    <w:rsid w:val="FED44BB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6"/>
    <w:basedOn w:val="1"/>
    <w:next w:val="1"/>
    <w:qFormat/>
    <w:uiPriority w:val="0"/>
    <w:pPr>
      <w:keepNext/>
      <w:keepLines/>
      <w:spacing w:before="240" w:after="64" w:line="320" w:lineRule="auto"/>
      <w:outlineLvl w:val="5"/>
    </w:pPr>
    <w:rPr>
      <w:rFonts w:ascii="Cambria" w:hAnsi="Cambria"/>
      <w:b/>
      <w:bCs/>
      <w:sz w:val="24"/>
      <w:szCs w:val="24"/>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alloon Text"/>
    <w:basedOn w:val="1"/>
    <w:link w:val="11"/>
    <w:qFormat/>
    <w:uiPriority w:val="0"/>
    <w:rPr>
      <w:sz w:val="18"/>
      <w:szCs w:val="18"/>
    </w:rPr>
  </w:style>
  <w:style w:type="paragraph" w:styleId="4">
    <w:name w:val="footer"/>
    <w:basedOn w:val="1"/>
    <w:link w:val="12"/>
    <w:qFormat/>
    <w:uiPriority w:val="0"/>
    <w:pPr>
      <w:tabs>
        <w:tab w:val="center" w:pos="4153"/>
        <w:tab w:val="right" w:pos="8306"/>
      </w:tabs>
      <w:snapToGrid w:val="0"/>
      <w:jc w:val="left"/>
    </w:pPr>
    <w:rPr>
      <w:kern w:val="0"/>
      <w:sz w:val="18"/>
      <w:szCs w:val="18"/>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kern w:val="0"/>
      <w:sz w:val="18"/>
      <w:szCs w:val="18"/>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0"/>
  </w:style>
  <w:style w:type="character" w:customStyle="1" w:styleId="10">
    <w:name w:val="页眉 Char"/>
    <w:link w:val="5"/>
    <w:semiHidden/>
    <w:qFormat/>
    <w:uiPriority w:val="99"/>
    <w:rPr>
      <w:sz w:val="18"/>
      <w:szCs w:val="18"/>
    </w:rPr>
  </w:style>
  <w:style w:type="character" w:customStyle="1" w:styleId="11">
    <w:name w:val="批注框文本 Char"/>
    <w:basedOn w:val="8"/>
    <w:link w:val="3"/>
    <w:semiHidden/>
    <w:qFormat/>
    <w:uiPriority w:val="99"/>
    <w:rPr>
      <w:kern w:val="2"/>
      <w:sz w:val="18"/>
      <w:szCs w:val="18"/>
    </w:rPr>
  </w:style>
  <w:style w:type="character" w:customStyle="1" w:styleId="12">
    <w:name w:val="页脚 Char"/>
    <w:link w:val="4"/>
    <w:semiHidden/>
    <w:qFormat/>
    <w:uiPriority w:val="99"/>
    <w:rPr>
      <w:sz w:val="18"/>
      <w:szCs w:val="18"/>
    </w:rPr>
  </w:style>
  <w:style w:type="paragraph" w:customStyle="1" w:styleId="13">
    <w:name w:val="Default"/>
    <w:qFormat/>
    <w:uiPriority w:val="0"/>
    <w:pPr>
      <w:widowControl w:val="0"/>
      <w:autoSpaceDE w:val="0"/>
      <w:autoSpaceDN w:val="0"/>
      <w:adjustRightInd w:val="0"/>
    </w:pPr>
    <w:rPr>
      <w:rFonts w:ascii="Calibri" w:hAnsi="Calibri" w:eastAsia="宋体" w:cs="Times New Roman"/>
      <w:color w:val="000000"/>
      <w:sz w:val="24"/>
      <w:szCs w:val="24"/>
      <w:lang w:val="en-US" w:eastAsia="zh-CN" w:bidi="ar-SA"/>
    </w:rPr>
  </w:style>
  <w:style w:type="paragraph" w:customStyle="1" w:styleId="14">
    <w:name w:val="[1]正文"/>
    <w:basedOn w:val="1"/>
    <w:qFormat/>
    <w:uiPriority w:val="0"/>
    <w:pPr>
      <w:autoSpaceDE w:val="0"/>
      <w:autoSpaceDN w:val="0"/>
      <w:ind w:firstLine="200" w:firstLineChars="200"/>
    </w:pPr>
    <w:rPr>
      <w:rFonts w:ascii="Times New Roman" w:hAnsi="Times New Roman"/>
      <w:color w:val="000000"/>
      <w:kern w:val="0"/>
      <w:szCs w:val="24"/>
      <w:lang w:val="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Foundertech</Company>
  <Pages>1</Pages>
  <Words>28</Words>
  <Characters>160</Characters>
  <Lines>1</Lines>
  <Paragraphs>1</Paragraphs>
  <TotalTime>0</TotalTime>
  <ScaleCrop>false</ScaleCrop>
  <LinksUpToDate>false</LinksUpToDate>
  <CharactersWithSpaces>0</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2021-10-25T21:08:00Z</dcterms:created>
  <dc:creator>袁迎辉</dc:creator>
  <cp:lastModifiedBy>hjt</cp:lastModifiedBy>
  <cp:lastPrinted>2018-11-14T17:34:00Z</cp:lastPrinted>
  <dcterms:modified xsi:type="dcterms:W3CDTF">2026-07-17T12:54:58Z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3A3E9ACF1B5C4802B330381ABAEA2165</vt:lpwstr>
  </property>
</Properties>
</file>