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仿宋_GB2312" w:hAnsi="仿宋" w:eastAsia="仿宋_GB2312"/>
          <w:sz w:val="32"/>
          <w:szCs w:val="32"/>
        </w:rPr>
      </w:pPr>
    </w:p>
    <w:p>
      <w:pPr>
        <w:spacing w:line="560" w:lineRule="exact"/>
        <w:jc w:val="center"/>
        <w:rPr>
          <w:rFonts w:hint="eastAsia" w:ascii="方正小标宋简体" w:hAnsi="宋体" w:eastAsia="方正小标宋简体"/>
          <w:sz w:val="44"/>
          <w:szCs w:val="44"/>
          <w:lang w:eastAsia="zh-CN"/>
        </w:rPr>
      </w:pPr>
      <w:bookmarkStart w:id="0" w:name="标题"/>
      <mc:AlternateContent>
        <mc:Choice Requires="wpsCustomData">
          <wpsCustomData:docfieldStart id="0" docfieldname="标题" hidden="false" print="true" readonly="false" index="2"/>
        </mc:Choice>
      </mc:AlternateContent>
      <w:r>
        <w:rPr>
          <w:rFonts w:hint="eastAsia" w:ascii="方正小标宋简体" w:hAnsi="宋体" w:eastAsia="方正小标宋简体"/>
          <w:sz w:val="44"/>
          <w:szCs w:val="44"/>
          <w:lang w:eastAsia="zh-CN"/>
        </w:rPr>
        <w:t>内蒙古自治区生态环境厅</w:t>
      </w:r>
    </w:p>
    <w:p>
      <w:pPr>
        <w:spacing w:line="560" w:lineRule="exact"/>
        <w:jc w:val="center"/>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lang w:eastAsia="zh-CN"/>
        </w:rPr>
        <w:t>关于天象智远（西安）信息技术有限公司</w:t>
      </w:r>
    </w:p>
    <w:p>
      <w:pPr>
        <w:spacing w:line="560" w:lineRule="exact"/>
        <w:jc w:val="center"/>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lang w:eastAsia="zh-CN"/>
        </w:rPr>
        <w:t>X波段双偏振相控雷达灾害应急和短时强降水精细化观测试验及应用项目建设项目</w:t>
      </w:r>
    </w:p>
    <w:p>
      <w:pPr>
        <w:spacing w:line="560" w:lineRule="exact"/>
        <w:jc w:val="center"/>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lang w:eastAsia="zh-CN"/>
        </w:rPr>
        <w:t xml:space="preserve">环境影响报告表的批复 </w:t>
      </w:r>
      <w:bookmarkEnd w:id="0"/>
    </w:p>
    <mc:AlternateContent>
      <mc:Choice Requires="wpsCustomData">
        <wpsCustomData:docfieldEnd id="0"/>
      </mc:Choice>
    </mc:AlternateContent>
    <w:p>
      <w:pPr>
        <w:pStyle w:val="2"/>
        <w:jc w:val="center"/>
        <w:rPr>
          <w:rFonts w:hint="eastAsia"/>
          <w:lang w:eastAsia="zh-CN"/>
        </w:rPr>
      </w:pPr>
      <w:bookmarkStart w:id="1" w:name="文号"/>
      <mc:AlternateContent>
        <mc:Choice Requires="wpsCustomData">
          <wpsCustomData:docfieldStart id="1" docfieldname="文号" hidden="false" print="true" readonly="false" index="1"/>
        </mc:Choice>
      </mc:AlternateContent>
      <w:r>
        <w:rPr>
          <w:rFonts w:hint="eastAsia" w:ascii="仿宋_GB2312" w:hAnsi="仿宋" w:eastAsia="仿宋_GB2312"/>
          <w:sz w:val="32"/>
          <w:szCs w:val="32"/>
          <w:lang w:eastAsia="zh-CN"/>
        </w:rPr>
        <w:t>内环表〔2026〕137号</w:t>
      </w:r>
      <w:bookmarkEnd w:id="1"/>
      <mc:AlternateContent>
        <mc:Choice Requires="wpsCustomData">
          <wpsCustomData:docfieldEnd id="1"/>
        </mc:Choice>
      </mc:AlternateContent>
    </w:p>
    <w:p>
      <w:pPr>
        <w:spacing w:line="560" w:lineRule="exact"/>
        <w:rPr>
          <w:rFonts w:ascii="仿宋" w:hAnsi="仿宋" w:eastAsia="仿宋"/>
          <w:sz w:val="28"/>
        </w:rPr>
      </w:pPr>
    </w:p>
    <w:p>
      <w:pPr>
        <w:spacing w:line="560" w:lineRule="exact"/>
        <w:rPr>
          <w:rFonts w:ascii="仿宋_GB2312" w:hAnsi="仿宋" w:eastAsia="仿宋_GB2312"/>
          <w:bCs/>
          <w:sz w:val="32"/>
          <w:szCs w:val="32"/>
        </w:rPr>
      </w:pPr>
      <mc:AlternateContent>
        <mc:Choice Requires="wpsCustomData">
          <wpsCustomData:docfieldStart id="2" docfieldname="主送单位" hidden="false" print="true" readonly="false" index="3"/>
        </mc:Choice>
      </mc:AlternateContent>
      <w:bookmarkStart w:id="2" w:name="主送单位"/>
      <w:r>
        <w:rPr>
          <w:rFonts w:hint="eastAsia" w:ascii="仿宋_GB2312" w:hAnsi="仿宋" w:eastAsia="仿宋_GB2312"/>
          <w:bCs/>
          <w:sz w:val="32"/>
          <w:szCs w:val="32"/>
          <w:lang w:eastAsia="zh-CN"/>
        </w:rPr>
        <w:t>天象智远（西安）信息技术有限公司</w:t>
      </w:r>
      <mc:AlternateContent>
        <mc:Choice Requires="wpsCustomData">
          <wpsCustomData:docfieldEnd id="2"/>
        </mc:Choice>
      </mc:AlternateContent>
      <w:bookmarkEnd w:id="2"/>
      <w:r>
        <w:rPr>
          <w:rFonts w:hint="eastAsia" w:ascii="仿宋_GB2312" w:hAnsi="仿宋" w:eastAsia="仿宋_GB2312"/>
          <w:bCs/>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bookmarkStart w:id="3" w:name="正文文件"/>
      <w:bookmarkEnd w:id="3"/>
      <mc:AlternateContent>
        <mc:Choice Requires="wpsCustomData">
          <wpsCustomData:docfieldStart id="3" docfieldname="正文文件" hidden="false" print="true" readonly="false" index="4"/>
        </mc:Choice>
      </mc:AlternateContent>
      <w:r>
        <w:rPr>
          <w:rFonts w:hint="eastAsia" w:ascii="仿宋_GB2312" w:hAnsi="仿宋_GB2312" w:eastAsia="仿宋_GB2312"/>
          <w:bCs/>
          <w:color w:val="auto"/>
          <w:sz w:val="32"/>
          <w:szCs w:val="32"/>
        </w:rPr>
        <w:t>你公司报送的《</w:t>
      </w:r>
      <w:r>
        <w:rPr>
          <w:rFonts w:hint="eastAsia" w:ascii="仿宋_GB2312" w:hAnsi="Cambria" w:eastAsia="仿宋_GB2312" w:cs="Times New Roman"/>
          <w:b w:val="0"/>
          <w:bCs/>
          <w:color w:val="000000"/>
          <w:kern w:val="2"/>
          <w:sz w:val="32"/>
          <w:szCs w:val="32"/>
          <w:lang w:val="en-US" w:eastAsia="zh-CN" w:bidi="ar-SA"/>
        </w:rPr>
        <w:t>天象智远（西安）信息技术有限公司X波段双偏振相控雷达灾害应急和短时强降水精细化观测试验及应用项目</w:t>
      </w:r>
      <w:r>
        <w:rPr>
          <w:rFonts w:hint="eastAsia" w:ascii="仿宋_GB2312" w:hAnsi="仿宋_GB2312" w:eastAsia="仿宋_GB2312"/>
          <w:bCs/>
          <w:color w:val="auto"/>
          <w:sz w:val="32"/>
          <w:szCs w:val="32"/>
          <w:highlight w:val="none"/>
        </w:rPr>
        <w:t>建设项</w:t>
      </w:r>
      <w:r>
        <w:rPr>
          <w:rFonts w:hint="eastAsia" w:ascii="仿宋_GB2312" w:hAnsi="仿宋_GB2312" w:eastAsia="仿宋_GB2312"/>
          <w:bCs/>
          <w:color w:val="auto"/>
          <w:sz w:val="32"/>
          <w:szCs w:val="32"/>
        </w:rPr>
        <w:t>目</w:t>
      </w:r>
      <w:r>
        <w:rPr>
          <w:rFonts w:hint="eastAsia" w:ascii="仿宋_GB2312" w:hAnsi="仿宋" w:eastAsia="仿宋_GB2312"/>
          <w:color w:val="auto"/>
          <w:sz w:val="32"/>
          <w:szCs w:val="32"/>
        </w:rPr>
        <w:t>环境影响报告表》（以下简称《报告表》）收悉。经研究，批复如下：</w:t>
      </w:r>
    </w:p>
    <w:p>
      <w:pPr>
        <w:pStyle w:val="2"/>
        <w:spacing w:line="560" w:lineRule="exact"/>
        <w:ind w:firstLine="640" w:firstLineChars="200"/>
        <w:jc w:val="both"/>
        <w:rPr>
          <w:rFonts w:ascii="仿宋_GB2312" w:hAnsi="仿宋" w:eastAsia="仿宋_GB2312"/>
          <w:color w:val="auto"/>
          <w:sz w:val="32"/>
          <w:szCs w:val="32"/>
        </w:rPr>
      </w:pPr>
      <w:r>
        <w:rPr>
          <w:rFonts w:hint="eastAsia" w:ascii="仿宋_GB2312" w:hAnsi="仿宋" w:eastAsia="仿宋_GB2312"/>
          <w:color w:val="auto"/>
          <w:sz w:val="32"/>
          <w:szCs w:val="32"/>
        </w:rPr>
        <w:t>一、项目建设基本情况</w:t>
      </w:r>
    </w:p>
    <w:p>
      <w:pPr>
        <w:keepNext w:val="0"/>
        <w:keepLines w:val="0"/>
        <w:pageBreakBefore w:val="0"/>
        <w:widowControl/>
        <w:suppressLineNumbers w:val="0"/>
        <w:kinsoku/>
        <w:wordWrap/>
        <w:overflowPunct/>
        <w:topLinePunct w:val="0"/>
        <w:bidi w:val="0"/>
        <w:snapToGrid/>
        <w:spacing w:line="560" w:lineRule="exact"/>
        <w:ind w:firstLine="640" w:firstLineChars="200"/>
        <w:jc w:val="both"/>
        <w:rPr>
          <w:rFonts w:hint="default" w:ascii="仿宋_GB2312" w:eastAsia="仿宋_GB2312"/>
          <w:b w:val="0"/>
          <w:bCs/>
          <w:color w:val="000000"/>
          <w:sz w:val="32"/>
          <w:szCs w:val="32"/>
          <w:lang w:val="en-US" w:eastAsia="zh-CN"/>
        </w:rPr>
      </w:pPr>
      <w:r>
        <w:rPr>
          <w:rFonts w:hint="eastAsia" w:ascii="仿宋_GB2312" w:hAnsi="仿宋_GB2312" w:eastAsia="仿宋_GB2312" w:cs="仿宋_GB2312"/>
          <w:b w:val="0"/>
          <w:bCs/>
          <w:color w:val="auto"/>
          <w:sz w:val="32"/>
          <w:szCs w:val="32"/>
          <w:lang w:val="en-US" w:eastAsia="zh-CN"/>
        </w:rPr>
        <w:t>新建3座天气雷达站，主要建设内容为X波段双偏振相控阵雷达及配套设施。其中厂址1大李湾站塔楼高度为12m，厂址2纳林沟门站塔楼高度为18m，厂址3王爱召村站塔楼高度为21m，分别安装X波段双极化相控阵雷达1部（套）及配套工作频率9300～9500MHz雷达天线,脉冲峰值功率420W,天线增益36dBi,天线</w:t>
      </w:r>
      <w:r>
        <w:rPr>
          <w:rFonts w:hint="eastAsia" w:ascii="仿宋_GB2312" w:hAnsi="仿宋_GB2312" w:eastAsia="仿宋_GB2312" w:cs="仿宋_GB2312"/>
          <w:color w:val="auto"/>
          <w:sz w:val="32"/>
          <w:szCs w:val="32"/>
          <w:highlight w:val="none"/>
          <w:vertAlign w:val="baseline"/>
          <w:lang w:eastAsia="zh-CN"/>
        </w:rPr>
        <w:t>前馈反射面</w:t>
      </w:r>
      <w:r>
        <w:rPr>
          <w:rFonts w:hint="eastAsia" w:ascii="仿宋_GB2312" w:hAnsi="仿宋_GB2312" w:eastAsia="仿宋_GB2312" w:cs="仿宋_GB2312"/>
          <w:b w:val="0"/>
          <w:bCs/>
          <w:color w:val="auto"/>
          <w:sz w:val="32"/>
          <w:szCs w:val="32"/>
          <w:lang w:val="en-US" w:eastAsia="zh-CN"/>
        </w:rPr>
        <w:t>直径2.4m。</w:t>
      </w:r>
    </w:p>
    <w:p>
      <w:pPr>
        <w:pStyle w:val="21"/>
        <w:spacing w:line="560" w:lineRule="exact"/>
        <w:ind w:firstLine="643"/>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bCs/>
          <w:sz w:val="32"/>
          <w:szCs w:val="32"/>
        </w:rPr>
        <w:t>本项目建设地点</w:t>
      </w:r>
      <w:r>
        <w:rPr>
          <w:rFonts w:hint="eastAsia" w:ascii="仿宋_GB2312" w:eastAsia="仿宋_GB2312"/>
          <w:bCs/>
          <w:color w:val="auto"/>
          <w:sz w:val="32"/>
          <w:szCs w:val="32"/>
        </w:rPr>
        <w:t>位于</w:t>
      </w:r>
      <w:r>
        <w:rPr>
          <w:rFonts w:hint="eastAsia" w:ascii="仿宋_GB2312" w:eastAsia="仿宋_GB2312"/>
          <w:color w:val="auto"/>
          <w:sz w:val="32"/>
          <w:szCs w:val="32"/>
          <w:lang w:val="en-US" w:eastAsia="zh-CN"/>
        </w:rPr>
        <w:t>内蒙古自治区</w:t>
      </w:r>
      <w:r>
        <w:rPr>
          <w:rFonts w:hint="eastAsia" w:ascii="仿宋_GB2312" w:eastAsia="仿宋_GB2312"/>
          <w:b w:val="0"/>
          <w:bCs/>
          <w:color w:val="auto"/>
          <w:sz w:val="32"/>
          <w:szCs w:val="32"/>
          <w:lang w:val="en-US" w:eastAsia="zh-CN"/>
        </w:rPr>
        <w:t>鄂尔多斯市达拉特旗境内</w:t>
      </w:r>
      <w:r>
        <w:rPr>
          <w:rFonts w:hint="eastAsia" w:ascii="仿宋_GB2312" w:eastAsia="仿宋_GB2312"/>
          <w:color w:val="auto"/>
          <w:sz w:val="32"/>
          <w:szCs w:val="32"/>
          <w:lang w:val="en-US" w:eastAsia="zh-CN"/>
        </w:rPr>
        <w:t>。</w:t>
      </w:r>
    </w:p>
    <w:p>
      <w:pPr>
        <w:pStyle w:val="21"/>
        <w:spacing w:line="560" w:lineRule="exact"/>
        <w:ind w:firstLine="640"/>
        <w:rPr>
          <w:rFonts w:ascii="仿宋_GB2312" w:hAnsi="仿宋" w:eastAsia="仿宋_GB2312" w:cs="宋体"/>
          <w:sz w:val="32"/>
          <w:szCs w:val="32"/>
        </w:rPr>
      </w:pPr>
      <w:r>
        <w:rPr>
          <w:rFonts w:hint="eastAsia" w:ascii="仿宋_GB2312" w:hAnsi="仿宋" w:eastAsia="仿宋_GB2312" w:cs="宋体"/>
          <w:sz w:val="32"/>
          <w:szCs w:val="32"/>
        </w:rPr>
        <w:t>二、总体意见</w:t>
      </w:r>
    </w:p>
    <w:p>
      <w:pPr>
        <w:autoSpaceDE w:val="0"/>
        <w:autoSpaceDN w:val="0"/>
        <w:adjustRightInd w:val="0"/>
        <w:spacing w:line="560" w:lineRule="exact"/>
        <w:ind w:firstLine="640" w:firstLineChars="200"/>
        <w:rPr>
          <w:rFonts w:ascii="仿宋_GB2312" w:hAnsi="仿宋" w:eastAsia="仿宋_GB2312"/>
          <w:sz w:val="32"/>
          <w:szCs w:val="32"/>
        </w:rPr>
      </w:pPr>
      <w:r>
        <w:rPr>
          <w:rFonts w:hint="eastAsia" w:ascii="仿宋_GB2312" w:eastAsia="仿宋_GB2312"/>
          <w:sz w:val="32"/>
          <w:szCs w:val="32"/>
        </w:rPr>
        <w:t>本项目在严格落实《报告表》提出的各项环境保护措</w:t>
      </w:r>
      <w:r>
        <w:rPr>
          <w:rFonts w:hint="eastAsia" w:ascii="仿宋_GB2312" w:hAnsi="仿宋" w:eastAsia="仿宋_GB2312"/>
          <w:sz w:val="32"/>
          <w:szCs w:val="32"/>
        </w:rPr>
        <w:t>施后，对</w:t>
      </w:r>
      <w:r>
        <w:rPr>
          <w:rFonts w:hint="eastAsia" w:ascii="仿宋_GB2312" w:hAnsi="仿宋_GB2312" w:eastAsia="仿宋_GB2312"/>
          <w:bCs/>
          <w:sz w:val="32"/>
          <w:szCs w:val="32"/>
        </w:rPr>
        <w:t>环境的不利影响和可能存在的环境风险在可控范围内。从环境保护角度分析，我厅原则同意本项目按照《报告表》中所列的性质、规模、地点和拟采取的环保措施进行</w:t>
      </w:r>
      <w:r>
        <w:rPr>
          <w:rFonts w:hint="eastAsia" w:ascii="仿宋_GB2312" w:hAnsi="仿宋" w:eastAsia="仿宋_GB2312"/>
          <w:sz w:val="32"/>
          <w:szCs w:val="32"/>
        </w:rPr>
        <w:t>建设。</w:t>
      </w:r>
    </w:p>
    <w:p>
      <w:pPr>
        <w:pStyle w:val="2"/>
        <w:spacing w:line="560" w:lineRule="exact"/>
        <w:ind w:firstLine="640" w:firstLineChars="200"/>
        <w:jc w:val="both"/>
        <w:rPr>
          <w:rFonts w:ascii="仿宋_GB2312" w:hAnsi="仿宋" w:eastAsia="仿宋_GB2312"/>
          <w:sz w:val="32"/>
          <w:szCs w:val="32"/>
        </w:rPr>
      </w:pPr>
      <w:r>
        <w:rPr>
          <w:rFonts w:hint="eastAsia" w:ascii="仿宋_GB2312" w:hAnsi="仿宋" w:eastAsia="仿宋_GB2312"/>
          <w:sz w:val="32"/>
          <w:szCs w:val="32"/>
        </w:rPr>
        <w:t>三、项目建设及运行期间应做好的工作</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（一）认真落实《报告表》中提出的控制和改善电磁辐射、噪声对周边环境影响的措施和方法。在围墙、围栏上挂设当心电磁辐射警示牌、标语等告知公众。</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（二）施工场地要严格控制在站区内，尽量减少对地表植被的破坏。定期对路面洒水，避免产生扬尘。施工期产生的垃圾必须集中回收，送交当地环卫部门集中处置。</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（三）对设备维修过程中产生的废蓄电池应全部送交有相应危险废物经营许可资质的单位处置。</w:t>
      </w:r>
    </w:p>
    <w:p>
      <w:pPr>
        <w:autoSpaceDE w:val="0"/>
        <w:autoSpaceDN w:val="0"/>
        <w:adjustRightIn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（四）项目施工期及运行期的噪声值及防噪措施应满足《报告表》中提出的要求，监测值应符合国家评价标准限值要求。</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（五）环境影响报告表经批准后，项目的性质、规模、地点或生态保护、污染防治措施发生重大变动的，应当按要求重新报批。</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四、建设单位按规定程序完成竣工环境保护验收后，项目方可投入正式运行。</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五、我厅委托</w:t>
      </w:r>
      <w:r>
        <w:rPr>
          <w:rFonts w:hint="eastAsia" w:ascii="仿宋_GB2312" w:hAnsi="宋体" w:eastAsia="仿宋_GB2312"/>
          <w:sz w:val="32"/>
          <w:szCs w:val="32"/>
          <w:lang w:eastAsia="zh-CN"/>
        </w:rPr>
        <w:t>鄂尔多斯</w:t>
      </w:r>
      <w:r>
        <w:rPr>
          <w:rFonts w:hint="eastAsia" w:ascii="仿宋_GB2312" w:hAnsi="宋体" w:eastAsia="仿宋_GB2312"/>
          <w:sz w:val="32"/>
          <w:szCs w:val="32"/>
        </w:rPr>
        <w:t>市生态环境局</w:t>
      </w:r>
      <w:r>
        <w:rPr>
          <w:rFonts w:hint="eastAsia" w:ascii="仿宋_GB2312" w:hAnsi="仿宋" w:eastAsia="仿宋_GB2312"/>
          <w:sz w:val="32"/>
          <w:szCs w:val="32"/>
        </w:rPr>
        <w:t>负责该项目施工期的监督检查工作。</w:t>
      </w:r>
    </w:p>
    <w:p>
      <w:pPr>
        <w:spacing w:line="560" w:lineRule="exact"/>
        <w:ind w:firstLine="640" w:firstLineChars="200"/>
        <w:rPr>
          <w:rFonts w:hint="default" w:ascii="仿宋_GB2312" w:hAnsi="仿宋" w:eastAsia="仿宋_GB2312"/>
          <w:sz w:val="32"/>
          <w:szCs w:val="32"/>
          <w:lang w:val="en-US" w:eastAsia="zh-CN"/>
        </w:rPr>
      </w:pPr>
      <w:r>
        <w:rPr>
          <w:rFonts w:hint="eastAsia" w:ascii="仿宋_GB2312" w:hAnsi="仿宋" w:eastAsia="仿宋_GB2312" w:cs="Times New Roman"/>
          <w:sz w:val="32"/>
          <w:szCs w:val="32"/>
          <w:lang w:eastAsia="zh-CN"/>
        </w:rPr>
        <w:t>六、</w:t>
      </w:r>
      <w:r>
        <w:rPr>
          <w:rFonts w:hint="eastAsia" w:ascii="仿宋_GB2312" w:hAnsi="仿宋" w:eastAsia="仿宋_GB2312"/>
          <w:sz w:val="32"/>
          <w:szCs w:val="32"/>
          <w:lang w:eastAsia="zh-CN"/>
        </w:rPr>
        <w:t>本批复不具有其他行政审批前置效力。</w:t>
      </w:r>
    </w:p>
    <w:p>
      <w:pPr>
        <w:spacing w:line="560" w:lineRule="exact"/>
        <w:ind w:firstLine="640" w:firstLineChars="200"/>
        <w:rPr>
          <w:rFonts w:hint="eastAsia" w:ascii="仿宋_GB2312" w:hAnsi="仿宋" w:eastAsia="仿宋_GB2312" w:cs="Times New Roman"/>
          <w:sz w:val="32"/>
          <w:szCs w:val="32"/>
          <w:lang w:eastAsia="zh-CN"/>
        </w:rPr>
      </w:pPr>
    </w:p>
    <w:p>
      <w:pPr>
        <w:pStyle w:val="3"/>
      </w:pPr>
    </w:p>
    <w:p/>
    <mc:AlternateContent>
      <mc:Choice Requires="wpsCustomData">
        <wpsCustomData:docfieldEnd id="3"/>
      </mc:Choice>
    </mc:AlternateContent>
    <w:p>
      <w:pPr>
        <w:spacing w:line="560" w:lineRule="exact"/>
        <w:ind w:firstLine="624" w:firstLineChars="200"/>
        <w:rPr>
          <w:rFonts w:ascii="仿宋_GB2312" w:hAnsi="仿宋" w:eastAsia="仿宋_GB2312"/>
          <w:spacing w:val="-4"/>
          <w:sz w:val="32"/>
          <w:szCs w:val="32"/>
        </w:rPr>
      </w:pPr>
    </w:p>
    <w:p>
      <w:pPr>
        <w:spacing w:line="560" w:lineRule="exact"/>
        <w:jc w:val="left"/>
        <w:rPr>
          <w:rFonts w:ascii="仿宋_GB2312" w:hAnsi="仿宋" w:eastAsia="仿宋_GB2312"/>
          <w:sz w:val="32"/>
          <w:szCs w:val="32"/>
        </w:rPr>
      </w:pPr>
      <w:r>
        <w:rPr>
          <w:rFonts w:hint="eastAsia" w:ascii="仿宋_GB2312" w:hAnsi="仿宋" w:eastAsia="仿宋_GB2312"/>
          <w:spacing w:val="-4"/>
          <w:sz w:val="32"/>
          <w:szCs w:val="32"/>
        </w:rPr>
        <w:t xml:space="preserve">                           内蒙古自治区生态环境厅  </w:t>
      </w:r>
      <w:r>
        <w:rPr>
          <w:rFonts w:hint="eastAsia" w:ascii="仿宋_GB2312" w:hAnsi="仿宋" w:eastAsia="仿宋_GB2312"/>
          <w:sz w:val="32"/>
          <w:szCs w:val="32"/>
        </w:rPr>
        <w:t xml:space="preserve"> </w:t>
      </w:r>
    </w:p>
    <w:p>
      <w:pPr>
        <w:spacing w:line="560" w:lineRule="exact"/>
        <w:ind w:right="55" w:rightChars="26"/>
        <w:jc w:val="left"/>
        <w:rPr>
          <w:rFonts w:hint="eastAsia" w:ascii="仿宋_GB2312" w:hAnsi="仿宋" w:eastAsia="仿宋_GB2312"/>
          <w:sz w:val="32"/>
          <w:szCs w:val="32"/>
          <w:lang w:eastAsia="zh-CN"/>
        </w:rPr>
      </w:pPr>
      <w:r>
        <w:rPr>
          <w:rFonts w:hint="eastAsia" w:ascii="仿宋_GB2312" w:hAnsi="仿宋" w:eastAsia="仿宋_GB2312"/>
          <w:sz w:val="32"/>
          <w:szCs w:val="32"/>
        </w:rPr>
        <w:t xml:space="preserve">                             </w:t>
      </w:r>
      <w:bookmarkStart w:id="4" w:name="签发日期"/>
      <mc:AlternateContent>
        <mc:Choice Requires="wpsCustomData">
          <wpsCustomData:docfieldStart id="4" docfieldname="签发日期" hidden="false" print="true" readonly="false" index="5"/>
        </mc:Choice>
      </mc:AlternateContent>
      <w:r>
        <w:rPr>
          <w:rFonts w:hint="eastAsia" w:ascii="仿宋_GB2312" w:hAnsi="仿宋" w:eastAsia="仿宋_GB2312"/>
          <w:sz w:val="32"/>
          <w:szCs w:val="32"/>
          <w:lang w:eastAsia="zh-CN"/>
        </w:rPr>
        <w:t>2026年7月15日</w:t>
      </w:r>
      <w:bookmarkEnd w:id="4"/>
      <mc:AlternateContent>
        <mc:Choice Requires="wpsCustomData">
          <wpsCustomData:docfieldEnd id="4"/>
        </mc:Choice>
      </mc:AlternateContent>
    </w:p>
    <w:p>
      <w:pPr>
        <w:spacing w:line="560" w:lineRule="exact"/>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14" w:lineRule="exact"/>
        <w:ind w:right="315" w:rightChars="150"/>
        <w:rPr>
          <w:rFonts w:ascii="仿宋_GB2312" w:hAnsi="仿宋" w:eastAsia="仿宋_GB2312"/>
          <w:sz w:val="28"/>
          <w:szCs w:val="28"/>
        </w:rPr>
      </w:pPr>
      <w:bookmarkStart w:id="5" w:name="_GoBack"/>
      <w:bookmarkEnd w:id="5"/>
    </w:p>
    <w:sectPr>
      <w:headerReference r:id="rId3" w:type="default"/>
      <w:footerReference r:id="rId5" w:type="default"/>
      <w:headerReference r:id="rId4" w:type="even"/>
      <w:footerReference r:id="rId6" w:type="even"/>
      <w:type w:val="continuous"/>
      <w:pgSz w:w="11907" w:h="16840"/>
      <w:pgMar w:top="2041" w:right="1531" w:bottom="2041" w:left="1531" w:header="851" w:footer="1587"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altName w:val="微软雅黑"/>
    <w:panose1 w:val="02010609060101010101"/>
    <w:charset w:val="86"/>
    <w:family w:val="auto"/>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0F3C52" w:usb2="00000016" w:usb3="00000000" w:csb0="0004001F" w:csb1="00000000"/>
  </w:font>
  <w:font w:name="FreeSerif">
    <w:panose1 w:val="02020603050405020304"/>
    <w:charset w:val="00"/>
    <w:family w:val="auto"/>
    <w:pitch w:val="default"/>
    <w:sig w:usb0="E59FAFFF" w:usb1="C200FDFF" w:usb2="43501B29" w:usb3="04000043" w:csb0="600101FF" w:csb1="FFFF0000"/>
  </w:font>
  <w:font w:name="DejaVu Sans">
    <w:panose1 w:val="020B0603030804020204"/>
    <w:charset w:val="00"/>
    <w:family w:val="auto"/>
    <w:pitch w:val="default"/>
    <w:sig w:usb0="E7006EFF" w:usb1="D200FDFF" w:usb2="0A246029" w:usb3="0400200C" w:csb0="600001FF" w:csb1="DFFF0000"/>
  </w:font>
  <w:font w:name="Standard Symbols PS">
    <w:panose1 w:val="05050102010706020507"/>
    <w:charset w:val="00"/>
    <w:family w:val="auto"/>
    <w:pitch w:val="default"/>
    <w:sig w:usb0="00000003" w:usb1="00000000" w:usb2="00000000" w:usb3="00000000" w:csb0="00000001"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635</wp:posOffset>
              </wp:positionV>
              <wp:extent cx="591185" cy="230505"/>
              <wp:effectExtent l="0" t="0" r="0" b="0"/>
              <wp:wrapNone/>
              <wp:docPr id="3" name="Quad Arrow 3"/>
              <wp:cNvGraphicFramePr/>
              <a:graphic xmlns:a="http://schemas.openxmlformats.org/drawingml/2006/main">
                <a:graphicData uri="http://schemas.microsoft.com/office/word/2010/wordprocessingShape">
                  <wps:wsp>
                    <wps:cNvSpPr txBox="true"/>
                    <wps:spPr>
                      <a:xfrm>
                        <a:off x="0" y="0"/>
                        <a:ext cx="591185" cy="230505"/>
                      </a:xfrm>
                      <a:prstGeom prst="rect">
                        <a:avLst/>
                      </a:prstGeom>
                      <a:noFill/>
                      <a:ln>
                        <a:noFill/>
                      </a:ln>
                    </wps:spPr>
                    <wps:txbx>
                      <w:txbxContent>
                        <w:p>
                          <w:pPr>
                            <w:pStyle w:val="8"/>
                            <w:jc w:val="center"/>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wrap="square" lIns="0" tIns="0" rIns="0" bIns="0" upright="false"/>
                  </wps:wsp>
                </a:graphicData>
              </a:graphic>
            </wp:anchor>
          </w:drawing>
        </mc:Choice>
        <mc:Fallback>
          <w:pict>
            <v:shape id="Quad Arrow 3" o:spid="_x0000_s1026" o:spt="202" type="#_x0000_t202" style="position:absolute;left:0pt;margin-top:0.05pt;height:18.15pt;width:46.55pt;mso-position-horizontal:outside;mso-position-horizontal-relative:margin;z-index:251659264;mso-width-relative:page;mso-height-relative:page;" filled="f" stroked="f" coordsize="21600,21600" o:gfxdata="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ripQTtQAAAADAQAADwAAAAAAAAABACAAAAA4AAAAZHJzL2Rvd25yZXYueG1sUEsBAhQAFAAAAAgA&#10;h07iQLGQ83+hAQAAOQMAAA4AAAAAAAAAAQAgAAAAOQEAAGRycy9lMm9Eb2MueG1sUEsFBgAAAAAG&#10;AAYAWQEAAEwFAAAAAA==&#10;">
              <v:fill on="f" focussize="0,0"/>
              <v:stroke on="f"/>
              <v:imagedata o:title=""/>
              <o:lock v:ext="edit" aspectratio="f"/>
              <v:textbox inset="0mm,0mm,0mm,0mm">
                <w:txbxContent>
                  <w:p>
                    <w:pPr>
                      <w:pStyle w:val="8"/>
                      <w:jc w:val="center"/>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pP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635</wp:posOffset>
              </wp:positionV>
              <wp:extent cx="608965" cy="230505"/>
              <wp:effectExtent l="0" t="0" r="0" b="0"/>
              <wp:wrapNone/>
              <wp:docPr id="4" name="Quad Arrow 4"/>
              <wp:cNvGraphicFramePr/>
              <a:graphic xmlns:a="http://schemas.openxmlformats.org/drawingml/2006/main">
                <a:graphicData uri="http://schemas.microsoft.com/office/word/2010/wordprocessingShape">
                  <wps:wsp>
                    <wps:cNvSpPr txBox="true"/>
                    <wps:spPr>
                      <a:xfrm>
                        <a:off x="0" y="0"/>
                        <a:ext cx="608965" cy="230505"/>
                      </a:xfrm>
                      <a:prstGeom prst="rect">
                        <a:avLst/>
                      </a:prstGeom>
                      <a:noFill/>
                      <a:ln>
                        <a:noFill/>
                      </a:ln>
                    </wps:spPr>
                    <wps:txbx>
                      <w:txbxContent>
                        <w:p>
                          <w:pPr>
                            <w:pStyle w:val="8"/>
                            <w:jc w:val="center"/>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wps:txbx>
                    <wps:bodyPr wrap="square" lIns="0" tIns="0" rIns="0" bIns="0" upright="false"/>
                  </wps:wsp>
                </a:graphicData>
              </a:graphic>
            </wp:anchor>
          </w:drawing>
        </mc:Choice>
        <mc:Fallback>
          <w:pict>
            <v:shape id="Quad Arrow 4" o:spid="_x0000_s1026" o:spt="202" type="#_x0000_t202" style="position:absolute;left:0pt;margin-top:0.05pt;height:18.15pt;width:47.95pt;mso-position-horizontal:outside;mso-position-horizontal-relative:margin;z-index:251660288;mso-width-relative:page;mso-height-relative:page;" filled="f" stroked="f" coordsize="21600,21600" o:gfxdata="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WAAAAZHJzL1BLAQIUABQAAAAIAIdO4kBq&#10;8m6J0wAAAAMBAAAPAAAAAAAAAAEAIAAAADgAAABkcnMvZG93bnJldi54bWxQSwECFAAUAAAACACH&#10;TuJA+pDoVqEBAAA5AwAADgAAAAAAAAABACAAAAA4AQAAZHJzL2Uyb0RvYy54bWxQSwUGAAAAAAYA&#10;BgBZAQAASwUAAAAA&#10;">
              <v:fill on="f" focussize="0,0"/>
              <v:stroke on="f"/>
              <v:imagedata o:title=""/>
              <o:lock v:ext="edit" aspectratio="f"/>
              <v:textbox inset="0mm,0mm,0mm,0mm">
                <w:txbxContent>
                  <w:p>
                    <w:pPr>
                      <w:pStyle w:val="8"/>
                      <w:jc w:val="center"/>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true"/>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101"/>
    <w:rsid w:val="000502D9"/>
    <w:rsid w:val="00053C74"/>
    <w:rsid w:val="00081DD9"/>
    <w:rsid w:val="000A43C9"/>
    <w:rsid w:val="000F448F"/>
    <w:rsid w:val="00104AD5"/>
    <w:rsid w:val="00107F1D"/>
    <w:rsid w:val="00112653"/>
    <w:rsid w:val="00161599"/>
    <w:rsid w:val="0019160D"/>
    <w:rsid w:val="00212159"/>
    <w:rsid w:val="002203D3"/>
    <w:rsid w:val="002432A7"/>
    <w:rsid w:val="002778D8"/>
    <w:rsid w:val="00290DA8"/>
    <w:rsid w:val="002B7D95"/>
    <w:rsid w:val="002D6AFC"/>
    <w:rsid w:val="002F0DE2"/>
    <w:rsid w:val="0030486D"/>
    <w:rsid w:val="00323B61"/>
    <w:rsid w:val="003619FA"/>
    <w:rsid w:val="00393E71"/>
    <w:rsid w:val="003B1A02"/>
    <w:rsid w:val="003C6CE9"/>
    <w:rsid w:val="00424C6E"/>
    <w:rsid w:val="00452E4A"/>
    <w:rsid w:val="004B7461"/>
    <w:rsid w:val="004C640A"/>
    <w:rsid w:val="004D3FC2"/>
    <w:rsid w:val="004F50C6"/>
    <w:rsid w:val="00505381"/>
    <w:rsid w:val="00544386"/>
    <w:rsid w:val="0056424C"/>
    <w:rsid w:val="0057112D"/>
    <w:rsid w:val="00571F6F"/>
    <w:rsid w:val="00577293"/>
    <w:rsid w:val="0058220B"/>
    <w:rsid w:val="00585C83"/>
    <w:rsid w:val="00590474"/>
    <w:rsid w:val="00592CC9"/>
    <w:rsid w:val="005A5BF2"/>
    <w:rsid w:val="006132A1"/>
    <w:rsid w:val="00624B4A"/>
    <w:rsid w:val="006661A4"/>
    <w:rsid w:val="006A7884"/>
    <w:rsid w:val="006B38F9"/>
    <w:rsid w:val="006E1CA5"/>
    <w:rsid w:val="006E2329"/>
    <w:rsid w:val="006F6255"/>
    <w:rsid w:val="00701535"/>
    <w:rsid w:val="0070579B"/>
    <w:rsid w:val="00715743"/>
    <w:rsid w:val="007173A8"/>
    <w:rsid w:val="00761FB3"/>
    <w:rsid w:val="0076589A"/>
    <w:rsid w:val="00786B2F"/>
    <w:rsid w:val="007925F1"/>
    <w:rsid w:val="0079344F"/>
    <w:rsid w:val="007A1610"/>
    <w:rsid w:val="007C0101"/>
    <w:rsid w:val="007D373D"/>
    <w:rsid w:val="00835942"/>
    <w:rsid w:val="00847C4B"/>
    <w:rsid w:val="00861920"/>
    <w:rsid w:val="008643C3"/>
    <w:rsid w:val="00873CD5"/>
    <w:rsid w:val="008804D9"/>
    <w:rsid w:val="008838C5"/>
    <w:rsid w:val="00883BA1"/>
    <w:rsid w:val="0089055A"/>
    <w:rsid w:val="00896DE4"/>
    <w:rsid w:val="008A4595"/>
    <w:rsid w:val="008B77EC"/>
    <w:rsid w:val="008C34AF"/>
    <w:rsid w:val="008D27CA"/>
    <w:rsid w:val="00907606"/>
    <w:rsid w:val="00922F9C"/>
    <w:rsid w:val="0095741D"/>
    <w:rsid w:val="00964200"/>
    <w:rsid w:val="0096751F"/>
    <w:rsid w:val="00967FB8"/>
    <w:rsid w:val="00971513"/>
    <w:rsid w:val="0099392B"/>
    <w:rsid w:val="009950F5"/>
    <w:rsid w:val="00996316"/>
    <w:rsid w:val="009F0D7E"/>
    <w:rsid w:val="009F4F97"/>
    <w:rsid w:val="00A03E70"/>
    <w:rsid w:val="00A14283"/>
    <w:rsid w:val="00A16266"/>
    <w:rsid w:val="00A32DBE"/>
    <w:rsid w:val="00A3438E"/>
    <w:rsid w:val="00A36EAB"/>
    <w:rsid w:val="00A42722"/>
    <w:rsid w:val="00A43C93"/>
    <w:rsid w:val="00AA5ECB"/>
    <w:rsid w:val="00AF257E"/>
    <w:rsid w:val="00B057C0"/>
    <w:rsid w:val="00B16355"/>
    <w:rsid w:val="00B22816"/>
    <w:rsid w:val="00B2798A"/>
    <w:rsid w:val="00B4476C"/>
    <w:rsid w:val="00B46191"/>
    <w:rsid w:val="00B61218"/>
    <w:rsid w:val="00B86149"/>
    <w:rsid w:val="00B91AFD"/>
    <w:rsid w:val="00BA1A77"/>
    <w:rsid w:val="00BA3600"/>
    <w:rsid w:val="00BD25C9"/>
    <w:rsid w:val="00BD4473"/>
    <w:rsid w:val="00BE3516"/>
    <w:rsid w:val="00BE5282"/>
    <w:rsid w:val="00BF428E"/>
    <w:rsid w:val="00BF6CDF"/>
    <w:rsid w:val="00C113FC"/>
    <w:rsid w:val="00C26472"/>
    <w:rsid w:val="00C51E40"/>
    <w:rsid w:val="00C56BFB"/>
    <w:rsid w:val="00C577B3"/>
    <w:rsid w:val="00C621D4"/>
    <w:rsid w:val="00C746BE"/>
    <w:rsid w:val="00C85C1B"/>
    <w:rsid w:val="00C93108"/>
    <w:rsid w:val="00CA6FED"/>
    <w:rsid w:val="00CD05D4"/>
    <w:rsid w:val="00CE37E8"/>
    <w:rsid w:val="00CE5F3B"/>
    <w:rsid w:val="00CE6186"/>
    <w:rsid w:val="00CF1A19"/>
    <w:rsid w:val="00CF24AC"/>
    <w:rsid w:val="00D01418"/>
    <w:rsid w:val="00D04066"/>
    <w:rsid w:val="00D32923"/>
    <w:rsid w:val="00D50FC8"/>
    <w:rsid w:val="00D80399"/>
    <w:rsid w:val="00D809A3"/>
    <w:rsid w:val="00D902CF"/>
    <w:rsid w:val="00D94E37"/>
    <w:rsid w:val="00DC1210"/>
    <w:rsid w:val="00DC440E"/>
    <w:rsid w:val="00DD67D3"/>
    <w:rsid w:val="00E012C8"/>
    <w:rsid w:val="00E157E5"/>
    <w:rsid w:val="00E50C21"/>
    <w:rsid w:val="00E62075"/>
    <w:rsid w:val="00E7161E"/>
    <w:rsid w:val="00E7452B"/>
    <w:rsid w:val="00E90476"/>
    <w:rsid w:val="00EB0809"/>
    <w:rsid w:val="00EE242A"/>
    <w:rsid w:val="00F06195"/>
    <w:rsid w:val="00F2401B"/>
    <w:rsid w:val="00F373F3"/>
    <w:rsid w:val="00F556D9"/>
    <w:rsid w:val="00FC281C"/>
    <w:rsid w:val="00FF0974"/>
    <w:rsid w:val="01067184"/>
    <w:rsid w:val="01283F97"/>
    <w:rsid w:val="02034156"/>
    <w:rsid w:val="035D2B78"/>
    <w:rsid w:val="03696E5B"/>
    <w:rsid w:val="03EA6B8D"/>
    <w:rsid w:val="04AF3D28"/>
    <w:rsid w:val="06414C48"/>
    <w:rsid w:val="06FD2E81"/>
    <w:rsid w:val="078C4B32"/>
    <w:rsid w:val="0C293B57"/>
    <w:rsid w:val="0E4627D6"/>
    <w:rsid w:val="0FF01CE2"/>
    <w:rsid w:val="11DB31C3"/>
    <w:rsid w:val="125A4F9B"/>
    <w:rsid w:val="166710AD"/>
    <w:rsid w:val="171D0934"/>
    <w:rsid w:val="1750305B"/>
    <w:rsid w:val="17BE3596"/>
    <w:rsid w:val="17CC3694"/>
    <w:rsid w:val="18BF59B2"/>
    <w:rsid w:val="1C3B00DC"/>
    <w:rsid w:val="1EC02023"/>
    <w:rsid w:val="201A69CD"/>
    <w:rsid w:val="20A91A11"/>
    <w:rsid w:val="21C84299"/>
    <w:rsid w:val="22904BBD"/>
    <w:rsid w:val="238A2596"/>
    <w:rsid w:val="24A86E33"/>
    <w:rsid w:val="251E1B7F"/>
    <w:rsid w:val="259B6FBE"/>
    <w:rsid w:val="28044EC3"/>
    <w:rsid w:val="293C7576"/>
    <w:rsid w:val="2A4C74AD"/>
    <w:rsid w:val="2D3E0262"/>
    <w:rsid w:val="3078340E"/>
    <w:rsid w:val="377E1867"/>
    <w:rsid w:val="3C032EFE"/>
    <w:rsid w:val="3C431296"/>
    <w:rsid w:val="3D997D89"/>
    <w:rsid w:val="40DE7A76"/>
    <w:rsid w:val="41E57898"/>
    <w:rsid w:val="43BE5DA5"/>
    <w:rsid w:val="48D80B0B"/>
    <w:rsid w:val="4955784C"/>
    <w:rsid w:val="4E08718E"/>
    <w:rsid w:val="500F600B"/>
    <w:rsid w:val="52D72F1B"/>
    <w:rsid w:val="55BA08E6"/>
    <w:rsid w:val="56354618"/>
    <w:rsid w:val="56770825"/>
    <w:rsid w:val="58CA2C35"/>
    <w:rsid w:val="5A0A5B88"/>
    <w:rsid w:val="5A2A1A16"/>
    <w:rsid w:val="5F001B36"/>
    <w:rsid w:val="5F0D4001"/>
    <w:rsid w:val="610B5ACF"/>
    <w:rsid w:val="615D0E52"/>
    <w:rsid w:val="622C3B53"/>
    <w:rsid w:val="625C4B72"/>
    <w:rsid w:val="647C4CF5"/>
    <w:rsid w:val="64B557C6"/>
    <w:rsid w:val="653806B8"/>
    <w:rsid w:val="67C12074"/>
    <w:rsid w:val="67CD23C4"/>
    <w:rsid w:val="68AC3246"/>
    <w:rsid w:val="69EE13C7"/>
    <w:rsid w:val="6A9579E6"/>
    <w:rsid w:val="6AE33BBB"/>
    <w:rsid w:val="6C5D38C7"/>
    <w:rsid w:val="6E0A6B18"/>
    <w:rsid w:val="6E401570"/>
    <w:rsid w:val="71D96AFD"/>
    <w:rsid w:val="72536B1A"/>
    <w:rsid w:val="73942F17"/>
    <w:rsid w:val="73ED7448"/>
    <w:rsid w:val="73FF04CC"/>
    <w:rsid w:val="775DCE8C"/>
    <w:rsid w:val="77E77440"/>
    <w:rsid w:val="7BE16A25"/>
    <w:rsid w:val="7BFF4D51"/>
    <w:rsid w:val="7D6F7921"/>
    <w:rsid w:val="7D754DCD"/>
    <w:rsid w:val="7E705781"/>
    <w:rsid w:val="C5DF2FED"/>
    <w:rsid w:val="DF4FEC23"/>
    <w:rsid w:val="DF75BA9C"/>
    <w:rsid w:val="FB737E87"/>
    <w:rsid w:val="FDBE67B1"/>
    <w:rsid w:val="FED44BBC"/>
    <w:rsid w:val="FFF6A09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99" w:semiHidden="0" w:name="Body Text"/>
    <w:lsdException w:qFormat="1" w:uiPriority="99"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99"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6"/>
    <w:basedOn w:val="1"/>
    <w:next w:val="1"/>
    <w:qFormat/>
    <w:uiPriority w:val="0"/>
    <w:pPr>
      <w:keepNext/>
      <w:keepLines/>
      <w:spacing w:before="240" w:after="64" w:line="320" w:lineRule="auto"/>
      <w:outlineLvl w:val="5"/>
    </w:pPr>
    <w:rPr>
      <w:rFonts w:ascii="Cambria" w:hAnsi="Cambria" w:eastAsia="宋体" w:cs="Times New Roman"/>
      <w:b/>
      <w:bCs/>
      <w:sz w:val="24"/>
      <w:szCs w:val="2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styleId="4">
    <w:name w:val="Body Text"/>
    <w:basedOn w:val="1"/>
    <w:next w:val="5"/>
    <w:unhideWhenUsed/>
    <w:qFormat/>
    <w:uiPriority w:val="99"/>
    <w:pPr>
      <w:spacing w:after="120"/>
    </w:pPr>
    <w:rPr>
      <w:rFonts w:eastAsia="宋体" w:cs="Times New Roman"/>
      <w:szCs w:val="20"/>
    </w:rPr>
  </w:style>
  <w:style w:type="paragraph" w:styleId="5">
    <w:name w:val="Body Text 2"/>
    <w:basedOn w:val="1"/>
    <w:qFormat/>
    <w:uiPriority w:val="0"/>
    <w:rPr>
      <w:rFonts w:eastAsia="宋体" w:cs="Times New Roman"/>
      <w:color w:val="0000FF"/>
      <w:szCs w:val="20"/>
    </w:rPr>
  </w:style>
  <w:style w:type="paragraph" w:styleId="6">
    <w:name w:val="Body Text Indent"/>
    <w:basedOn w:val="1"/>
    <w:next w:val="1"/>
    <w:unhideWhenUsed/>
    <w:qFormat/>
    <w:uiPriority w:val="99"/>
    <w:pPr>
      <w:spacing w:after="120"/>
      <w:ind w:left="420" w:leftChars="200"/>
    </w:pPr>
    <w:rPr>
      <w:rFonts w:eastAsia="宋体" w:cs="Times New Roman"/>
      <w:szCs w:val="20"/>
    </w:rPr>
  </w:style>
  <w:style w:type="paragraph" w:styleId="7">
    <w:name w:val="Balloon Text"/>
    <w:basedOn w:val="1"/>
    <w:link w:val="17"/>
    <w:qFormat/>
    <w:uiPriority w:val="0"/>
    <w:rPr>
      <w:sz w:val="18"/>
      <w:szCs w:val="18"/>
    </w:rPr>
  </w:style>
  <w:style w:type="paragraph" w:styleId="8">
    <w:name w:val="footer"/>
    <w:basedOn w:val="1"/>
    <w:link w:val="19"/>
    <w:qFormat/>
    <w:uiPriority w:val="0"/>
    <w:pPr>
      <w:tabs>
        <w:tab w:val="center" w:pos="4153"/>
        <w:tab w:val="right" w:pos="8306"/>
      </w:tabs>
      <w:snapToGrid w:val="0"/>
      <w:jc w:val="left"/>
    </w:pPr>
    <w:rPr>
      <w:kern w:val="0"/>
      <w:sz w:val="18"/>
      <w:szCs w:val="18"/>
    </w:rPr>
  </w:style>
  <w:style w:type="paragraph" w:styleId="9">
    <w:name w:val="header"/>
    <w:basedOn w:val="1"/>
    <w:link w:val="20"/>
    <w:qFormat/>
    <w:uiPriority w:val="0"/>
    <w:pPr>
      <w:pBdr>
        <w:bottom w:val="single" w:color="auto" w:sz="6" w:space="1"/>
      </w:pBdr>
      <w:tabs>
        <w:tab w:val="center" w:pos="4153"/>
        <w:tab w:val="right" w:pos="8306"/>
      </w:tabs>
      <w:snapToGrid w:val="0"/>
      <w:jc w:val="center"/>
    </w:pPr>
    <w:rPr>
      <w:kern w:val="0"/>
      <w:sz w:val="18"/>
      <w:szCs w:val="18"/>
    </w:rPr>
  </w:style>
  <w:style w:type="paragraph" w:styleId="10">
    <w:name w:val="Body Text First Indent"/>
    <w:basedOn w:val="4"/>
    <w:next w:val="1"/>
    <w:unhideWhenUsed/>
    <w:qFormat/>
    <w:uiPriority w:val="99"/>
    <w:pPr>
      <w:ind w:firstLine="420" w:firstLineChars="100"/>
    </w:pPr>
  </w:style>
  <w:style w:type="paragraph" w:styleId="11">
    <w:name w:val="Body Text First Indent 2"/>
    <w:basedOn w:val="6"/>
    <w:next w:val="10"/>
    <w:qFormat/>
    <w:uiPriority w:val="0"/>
    <w:pPr>
      <w:ind w:firstLine="420" w:firstLineChars="200"/>
    </w:pPr>
    <w:rPr>
      <w:sz w:val="24"/>
    </w:r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page number"/>
    <w:basedOn w:val="14"/>
    <w:semiHidden/>
    <w:unhideWhenUsed/>
    <w:qFormat/>
    <w:uiPriority w:val="0"/>
  </w:style>
  <w:style w:type="character" w:customStyle="1" w:styleId="16">
    <w:name w:val="页眉 Char"/>
    <w:link w:val="9"/>
    <w:semiHidden/>
    <w:qFormat/>
    <w:uiPriority w:val="99"/>
    <w:rPr>
      <w:sz w:val="18"/>
      <w:szCs w:val="18"/>
    </w:rPr>
  </w:style>
  <w:style w:type="character" w:customStyle="1" w:styleId="17">
    <w:name w:val="批注框文本 Char"/>
    <w:basedOn w:val="14"/>
    <w:link w:val="7"/>
    <w:semiHidden/>
    <w:qFormat/>
    <w:uiPriority w:val="99"/>
    <w:rPr>
      <w:kern w:val="2"/>
      <w:sz w:val="18"/>
      <w:szCs w:val="18"/>
    </w:rPr>
  </w:style>
  <w:style w:type="character" w:customStyle="1" w:styleId="18">
    <w:name w:val="页脚 Char"/>
    <w:link w:val="8"/>
    <w:semiHidden/>
    <w:qFormat/>
    <w:uiPriority w:val="99"/>
    <w:rPr>
      <w:sz w:val="18"/>
      <w:szCs w:val="18"/>
    </w:rPr>
  </w:style>
  <w:style w:type="character" w:customStyle="1" w:styleId="19">
    <w:name w:val="页脚 字符"/>
    <w:basedOn w:val="14"/>
    <w:link w:val="8"/>
    <w:qFormat/>
    <w:uiPriority w:val="0"/>
    <w:rPr>
      <w:rFonts w:ascii="Calibri" w:hAnsi="Calibri" w:eastAsia="宋体" w:cs="Times New Roman"/>
      <w:kern w:val="2"/>
      <w:sz w:val="18"/>
      <w:szCs w:val="18"/>
    </w:rPr>
  </w:style>
  <w:style w:type="character" w:customStyle="1" w:styleId="20">
    <w:name w:val="页眉 字符"/>
    <w:basedOn w:val="14"/>
    <w:link w:val="9"/>
    <w:qFormat/>
    <w:uiPriority w:val="0"/>
    <w:rPr>
      <w:rFonts w:ascii="Calibri" w:hAnsi="Calibri" w:eastAsia="宋体" w:cs="Times New Roman"/>
      <w:kern w:val="2"/>
      <w:sz w:val="18"/>
      <w:szCs w:val="18"/>
    </w:rPr>
  </w:style>
  <w:style w:type="paragraph" w:customStyle="1" w:styleId="21">
    <w:name w:val="[1]正文"/>
    <w:basedOn w:val="1"/>
    <w:qFormat/>
    <w:uiPriority w:val="0"/>
    <w:pPr>
      <w:autoSpaceDE w:val="0"/>
      <w:autoSpaceDN w:val="0"/>
      <w:ind w:firstLine="200" w:firstLineChars="200"/>
    </w:pPr>
    <w:rPr>
      <w:rFonts w:ascii="Times New Roman" w:hAnsi="Times New Roman" w:eastAsia="宋体" w:cs="Times New Roman"/>
      <w:color w:val="000000"/>
      <w:kern w:val="0"/>
      <w:szCs w:val="24"/>
      <w:lang w:val="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Foundertech</Company>
  <Pages>2</Pages>
  <Words>790</Words>
  <Characters>827</Characters>
  <Lines>5</Lines>
  <Paragraphs>1</Paragraphs>
  <TotalTime>0</TotalTime>
  <ScaleCrop>false</ScaleCrop>
  <LinksUpToDate>false</LinksUpToDate>
  <CharactersWithSpaces>828</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2023-02-15T00:32:00Z</dcterms:created>
  <dc:creator>白都荣</dc:creator>
  <cp:lastModifiedBy>hjt</cp:lastModifiedBy>
  <cp:lastPrinted>2023-12-05T10:16:00Z</cp:lastPrinted>
  <dcterms:modified xsi:type="dcterms:W3CDTF">2026-07-17T12:55:31Z</dcterms:modified>
  <dc:title>你公司报送的《固阳县弘元多晶硅项目220kV线路工程建设项目环境影响报告表》（以下简称《报告表》）收悉。经研究，批复如下：</dc:title>
  <cp:revision>164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3A3E9ACF1B5C4802B330381ABAEA2165</vt:lpwstr>
  </property>
  <property fmtid="{D5CDD505-2E9C-101B-9397-08002B2CF9AE}" pid="4" name="KSOTemplateDocerSaveRecord">
    <vt:lpwstr>eyJoZGlkIjoiNDA0NmFmMTliYWVhNWJiZGI5Mjc1OTkxMjg3Yzg2MzQiLCJ1c2VySWQiOiIxNzAwNDE4NDE5In0=</vt:lpwstr>
  </property>
</Properties>
</file>