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方正小标宋简体" w:hAnsi="宋体" w:eastAsia="方正小标宋简体"/>
          <w:sz w:val="44"/>
          <w:szCs w:val="44"/>
          <w:lang w:eastAsia="zh-CN"/>
        </w:rPr>
      </w:pPr>
      <w:bookmarkStart w:id="0" w:name="标题"/>
      <mc:AlternateContent>
        <mc:Choice Requires="wpsCustomData">
          <wpsCustomData:docfieldStart id="0" docfieldname="标题" hidden="false" print="true" readonly="false" index="2"/>
        </mc:Choice>
      </mc:AlternateContent>
      <w:r>
        <w:rPr>
          <w:rFonts w:hint="eastAsia" w:ascii="方正小标宋简体" w:hAnsi="宋体" w:eastAsia="方正小标宋简体"/>
          <w:sz w:val="44"/>
          <w:szCs w:val="44"/>
          <w:lang w:eastAsia="zh-CN"/>
        </w:rPr>
        <w:t>内蒙古自治区生态环境厅</w:t>
      </w:r>
    </w:p>
    <w:p>
      <w:pPr>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关于乌拉特后旗300MW/1200MWh</w:t>
      </w:r>
    </w:p>
    <w:p>
      <w:pPr>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独立新型储能项目（220kV升压站）建设项目</w:t>
      </w:r>
    </w:p>
    <w:p>
      <w:pPr>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环境影响报告表的批复</w:t>
      </w:r>
      <w:bookmarkEnd w:id="0"/>
    </w:p>
    <mc:AlternateContent>
      <mc:Choice Requires="wpsCustomData">
        <wpsCustomData:docfieldEnd id="0"/>
      </mc:Choice>
    </mc:AlternateContent>
    <w:p>
      <w:pPr>
        <w:spacing w:line="560" w:lineRule="exact"/>
        <w:jc w:val="center"/>
        <w:rPr>
          <w:rFonts w:hint="eastAsia" w:ascii="方正小标宋简体" w:hAnsi="宋体" w:eastAsia="方正小标宋简体"/>
          <w:sz w:val="44"/>
          <w:szCs w:val="44"/>
          <w:lang w:eastAsia="zh-CN"/>
        </w:rPr>
      </w:pPr>
      <w:bookmarkStart w:id="1" w:name="文号"/>
      <mc:AlternateContent>
        <mc:Choice Requires="wpsCustomData">
          <wpsCustomData:docfieldStart id="1" docfieldname="文号" hidden="false" print="true" readonly="false" index="1"/>
        </mc:Choice>
      </mc:AlternateContent>
      <w:r>
        <w:rPr>
          <w:rFonts w:hint="eastAsia" w:ascii="仿宋_GB2312" w:hAnsi="仿宋" w:eastAsia="仿宋_GB2312"/>
          <w:sz w:val="32"/>
          <w:szCs w:val="32"/>
          <w:lang w:eastAsia="zh-CN"/>
        </w:rPr>
        <w:t>内环表〔2026〕142号</w:t>
      </w:r>
      <w:bookmarkEnd w:id="1"/>
      <mc:AlternateContent>
        <mc:Choice Requires="wpsCustomData">
          <wpsCustomData:docfieldEnd id="1"/>
        </mc:Choice>
      </mc:AlternateContent>
    </w:p>
    <w:p>
      <w:pPr>
        <w:spacing w:line="560" w:lineRule="exact"/>
        <w:rPr>
          <w:rFonts w:ascii="仿宋" w:hAnsi="仿宋" w:eastAsia="仿宋"/>
          <w:sz w:val="28"/>
        </w:rPr>
      </w:pPr>
    </w:p>
    <w:p>
      <w:pPr>
        <w:spacing w:line="560" w:lineRule="exact"/>
        <w:rPr>
          <w:rFonts w:ascii="仿宋_GB2312" w:hAnsi="仿宋" w:eastAsia="仿宋_GB2312"/>
          <w:bCs/>
          <w:sz w:val="32"/>
          <w:szCs w:val="32"/>
        </w:rPr>
      </w:pPr>
      <mc:AlternateContent>
        <mc:Choice Requires="wpsCustomData">
          <wpsCustomData:docfieldStart id="2" docfieldname="主送单位" hidden="false" print="true" readonly="false" index="3"/>
        </mc:Choice>
      </mc:AlternateContent>
      <w:bookmarkStart w:id="2" w:name="主送单位"/>
      <w:r>
        <w:rPr>
          <w:rFonts w:hint="eastAsia" w:ascii="仿宋_GB2312" w:hAnsi="仿宋" w:eastAsia="仿宋_GB2312"/>
          <w:bCs/>
          <w:sz w:val="32"/>
          <w:szCs w:val="32"/>
          <w:lang w:eastAsia="zh-CN"/>
        </w:rPr>
        <w:t>乌拉特后旗淖尔晟瑞新能源有限公司</w:t>
      </w:r>
      <w:bookmarkEnd w:id="2"/>
      <mc:AlternateContent>
        <mc:Choice Requires="wpsCustomData">
          <wpsCustomData:docfieldEnd id="2"/>
        </mc:Choice>
      </mc:AlternateContent>
      <w:r>
        <w:rPr>
          <w:rFonts w:hint="eastAsia" w:ascii="仿宋_GB2312" w:hAnsi="仿宋" w:eastAsia="仿宋_GB2312"/>
          <w:bCs/>
          <w:sz w:val="32"/>
          <w:szCs w:val="32"/>
        </w:rPr>
        <w:t>：</w:t>
      </w:r>
    </w:p>
    <w:p>
      <w:pPr>
        <w:pageBreakBefore w:val="0"/>
        <w:kinsoku/>
        <w:wordWrap/>
        <w:overflowPunct/>
        <w:topLinePunct w:val="0"/>
        <w:bidi w:val="0"/>
        <w:adjustRightInd/>
        <w:snapToGrid/>
        <w:spacing w:line="560" w:lineRule="exact"/>
        <w:ind w:firstLine="640" w:firstLineChars="200"/>
        <w:jc w:val="both"/>
        <w:textAlignment w:val="auto"/>
        <w:rPr>
          <w:rFonts w:ascii="仿宋_GB2312" w:eastAsia="仿宋_GB2312"/>
          <w:sz w:val="32"/>
          <w:szCs w:val="32"/>
        </w:rPr>
      </w:pPr>
      <mc:AlternateContent>
        <mc:Choice Requires="wpsCustomData">
          <wpsCustomData:docfieldStart id="3" docfieldname="正文文件" hidden="false" print="true" readonly="false" index="4"/>
        </mc:Choice>
      </mc:AlternateContent>
      <w:bookmarkStart w:id="3" w:name="正文文件"/>
      <w:bookmarkEnd w:id="3"/>
      <w:r>
        <w:rPr>
          <w:rFonts w:hint="eastAsia" w:ascii="仿宋_GB2312" w:hAnsi="仿宋_GB2312" w:eastAsia="仿宋_GB2312"/>
          <w:bCs/>
          <w:color w:val="auto"/>
          <w:sz w:val="32"/>
          <w:szCs w:val="32"/>
        </w:rPr>
        <w:t>你公司报送</w:t>
      </w:r>
      <w:r>
        <w:rPr>
          <w:rFonts w:hint="eastAsia" w:ascii="仿宋_GB2312" w:hAnsi="仿宋_GB2312" w:eastAsia="仿宋_GB2312"/>
          <w:b w:val="0"/>
          <w:bCs/>
          <w:color w:val="auto"/>
          <w:sz w:val="32"/>
          <w:szCs w:val="32"/>
        </w:rPr>
        <w:t>的《</w:t>
      </w:r>
      <w:r>
        <w:rPr>
          <w:rFonts w:hint="default" w:ascii="仿宋_GB2312" w:hAnsi="仿宋_GB2312" w:eastAsia="仿宋_GB2312" w:cs="仿宋_GB2312"/>
          <w:color w:val="auto"/>
          <w:kern w:val="0"/>
          <w:sz w:val="32"/>
          <w:szCs w:val="32"/>
          <w:lang w:val="en-US" w:eastAsia="zh-CN" w:bidi="ar"/>
        </w:rPr>
        <w:t>乌拉特后旗300MW/1200MWh独立新型储能项目（220kV升压站）</w:t>
      </w:r>
      <w:r>
        <w:rPr>
          <w:rFonts w:hint="eastAsia" w:ascii="仿宋_GB2312" w:hAnsi="仿宋_GB2312" w:eastAsia="仿宋_GB2312"/>
          <w:b w:val="0"/>
          <w:bCs/>
          <w:color w:val="auto"/>
          <w:sz w:val="32"/>
          <w:szCs w:val="32"/>
          <w:highlight w:val="none"/>
        </w:rPr>
        <w:t>建设项</w:t>
      </w:r>
      <w:r>
        <w:rPr>
          <w:rFonts w:hint="eastAsia" w:ascii="仿宋_GB2312" w:hAnsi="仿宋_GB2312" w:eastAsia="仿宋_GB2312"/>
          <w:b w:val="0"/>
          <w:bCs/>
          <w:color w:val="auto"/>
          <w:sz w:val="32"/>
          <w:szCs w:val="32"/>
        </w:rPr>
        <w:t>目</w:t>
      </w:r>
      <w:r>
        <w:rPr>
          <w:rFonts w:hint="eastAsia" w:ascii="仿宋_GB2312" w:hAnsi="仿宋" w:eastAsia="仿宋_GB2312"/>
          <w:b w:val="0"/>
          <w:bCs/>
          <w:color w:val="auto"/>
          <w:sz w:val="32"/>
          <w:szCs w:val="32"/>
        </w:rPr>
        <w:t>环境影响报告表》（以下简称《报告表》）收悉。根据《建设项目环境影响评价分类管理目录》（2021年版）</w:t>
      </w:r>
      <w:r>
        <w:rPr>
          <w:rFonts w:hint="eastAsia" w:ascii="仿宋_GB2312" w:hAnsi="仿宋" w:eastAsia="仿宋_GB2312"/>
          <w:b w:val="0"/>
          <w:bCs/>
          <w:color w:val="auto"/>
          <w:sz w:val="32"/>
          <w:szCs w:val="32"/>
          <w:lang w:eastAsia="zh-CN"/>
        </w:rPr>
        <w:t>，</w:t>
      </w:r>
      <w:r>
        <w:rPr>
          <w:rFonts w:hint="eastAsia" w:ascii="仿宋_GB2312" w:hAnsi="仿宋" w:eastAsia="仿宋_GB2312"/>
          <w:b w:val="0"/>
          <w:bCs/>
          <w:color w:val="auto"/>
          <w:sz w:val="32"/>
          <w:szCs w:val="32"/>
        </w:rPr>
        <w:t>经研究，批复如下：</w:t>
      </w:r>
    </w:p>
    <w:p>
      <w:pPr>
        <w:pStyle w:val="13"/>
        <w:spacing w:line="560" w:lineRule="exact"/>
        <w:ind w:firstLine="640" w:firstLineChars="200"/>
        <w:jc w:val="both"/>
        <w:rPr>
          <w:rFonts w:ascii="仿宋_GB2312" w:hAnsi="仿宋" w:eastAsia="仿宋_GB2312"/>
          <w:color w:val="auto"/>
          <w:sz w:val="32"/>
          <w:szCs w:val="32"/>
        </w:rPr>
      </w:pPr>
      <w:r>
        <w:rPr>
          <w:rFonts w:hint="eastAsia" w:ascii="仿宋_GB2312" w:hAnsi="仿宋" w:eastAsia="仿宋_GB2312"/>
          <w:color w:val="auto"/>
          <w:sz w:val="32"/>
          <w:szCs w:val="32"/>
        </w:rPr>
        <w:t>一、项目建设基本情况</w:t>
      </w:r>
    </w:p>
    <w:p>
      <w:pPr>
        <w:keepNext w:val="0"/>
        <w:keepLines w:val="0"/>
        <w:pageBreakBefore w:val="0"/>
        <w:widowControl/>
        <w:suppressLineNumbers w:val="0"/>
        <w:kinsoku/>
        <w:wordWrap/>
        <w:overflowPunct/>
        <w:topLinePunct w:val="0"/>
        <w:bidi w:val="0"/>
        <w:snapToGrid/>
        <w:spacing w:line="560" w:lineRule="exact"/>
        <w:ind w:firstLine="640" w:firstLineChars="200"/>
        <w:jc w:val="both"/>
        <w:textAlignment w:val="auto"/>
        <w:rPr>
          <w:rFonts w:hint="default" w:ascii="仿宋_GB2312" w:hAnsi="仿宋_GB2312" w:eastAsia="仿宋_GB2312" w:cs="仿宋_GB2312"/>
          <w:b/>
          <w:bCs/>
          <w:color w:val="0000FF"/>
          <w:sz w:val="32"/>
          <w:szCs w:val="32"/>
          <w:lang w:val="en-US" w:eastAsia="zh-CN"/>
        </w:rPr>
      </w:pPr>
      <w:r>
        <w:rPr>
          <w:rFonts w:hint="eastAsia" w:ascii="仿宋_GB2312" w:hAnsi="仿宋_GB2312" w:eastAsia="仿宋_GB2312" w:cs="仿宋_GB2312"/>
          <w:color w:val="auto"/>
          <w:kern w:val="0"/>
          <w:sz w:val="32"/>
          <w:szCs w:val="32"/>
          <w:lang w:val="en-US" w:eastAsia="zh-CN" w:bidi="ar"/>
        </w:rPr>
        <w:t>新建220kV升压站，建设2×180MVA主变，220kV出线间隔1回。</w:t>
      </w:r>
    </w:p>
    <w:p>
      <w:pPr>
        <w:keepNext w:val="0"/>
        <w:keepLines w:val="0"/>
        <w:pageBreakBefore w:val="0"/>
        <w:widowControl/>
        <w:suppressLineNumbers w:val="0"/>
        <w:kinsoku/>
        <w:wordWrap/>
        <w:overflowPunct/>
        <w:topLinePunct w:val="0"/>
        <w:bidi w:val="0"/>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eastAsia="仿宋_GB2312"/>
          <w:bCs/>
          <w:sz w:val="32"/>
          <w:szCs w:val="32"/>
        </w:rPr>
        <w:t>本项目建设地点位于</w:t>
      </w:r>
      <w:bookmarkStart w:id="4" w:name="_Hlk119688106"/>
      <w:r>
        <w:rPr>
          <w:rFonts w:hint="eastAsia" w:ascii="仿宋_GB2312" w:hAnsi="仿宋_GB2312" w:eastAsia="仿宋_GB2312" w:cs="仿宋_GB2312"/>
          <w:color w:val="auto"/>
          <w:kern w:val="0"/>
          <w:sz w:val="32"/>
          <w:szCs w:val="32"/>
          <w:lang w:val="en-US" w:eastAsia="zh-CN" w:bidi="ar"/>
        </w:rPr>
        <w:t>内蒙古自治区</w:t>
      </w:r>
      <w:bookmarkEnd w:id="4"/>
      <w:r>
        <w:rPr>
          <w:rFonts w:hint="default" w:ascii="仿宋_GB2312" w:hAnsi="仿宋_GB2312" w:eastAsia="仿宋_GB2312" w:cs="仿宋_GB2312"/>
          <w:color w:val="auto"/>
          <w:kern w:val="0"/>
          <w:sz w:val="32"/>
          <w:szCs w:val="32"/>
          <w:lang w:val="en-US" w:eastAsia="zh-CN" w:bidi="ar"/>
        </w:rPr>
        <w:t>巴彦淖尔市乌拉特后旗</w:t>
      </w:r>
      <w:r>
        <w:rPr>
          <w:rFonts w:hint="eastAsia" w:ascii="仿宋_GB2312" w:hAnsi="仿宋_GB2312" w:eastAsia="仿宋_GB2312" w:cs="仿宋_GB2312"/>
          <w:color w:val="auto"/>
          <w:kern w:val="0"/>
          <w:sz w:val="32"/>
          <w:szCs w:val="32"/>
          <w:lang w:val="en-US" w:eastAsia="zh-CN" w:bidi="ar"/>
        </w:rPr>
        <w:t>境内。</w:t>
      </w:r>
    </w:p>
    <w:p>
      <w:pPr>
        <w:pStyle w:val="14"/>
        <w:spacing w:line="560" w:lineRule="exact"/>
        <w:ind w:left="0" w:leftChars="0" w:firstLine="640" w:firstLineChars="200"/>
        <w:rPr>
          <w:rFonts w:ascii="仿宋_GB2312" w:hAnsi="仿宋" w:eastAsia="仿宋_GB2312" w:cs="宋体"/>
          <w:sz w:val="32"/>
          <w:szCs w:val="32"/>
        </w:rPr>
      </w:pPr>
      <w:r>
        <w:rPr>
          <w:rFonts w:hint="eastAsia" w:ascii="仿宋_GB2312" w:hAnsi="仿宋" w:eastAsia="仿宋_GB2312" w:cs="宋体"/>
          <w:sz w:val="32"/>
          <w:szCs w:val="32"/>
        </w:rPr>
        <w:t>二、总体意见</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eastAsia="仿宋_GB2312"/>
          <w:sz w:val="32"/>
          <w:szCs w:val="32"/>
        </w:rPr>
        <w:t>本项目在严格落实《报告表》提出的各项环境保护措</w:t>
      </w:r>
      <w:r>
        <w:rPr>
          <w:rFonts w:hint="eastAsia" w:ascii="仿宋_GB2312" w:hAnsi="仿宋" w:eastAsia="仿宋_GB2312"/>
          <w:sz w:val="32"/>
          <w:szCs w:val="32"/>
        </w:rPr>
        <w:t>施后，对</w:t>
      </w:r>
      <w:r>
        <w:rPr>
          <w:rFonts w:hint="eastAsia" w:ascii="仿宋_GB2312" w:hAnsi="仿宋_GB2312" w:eastAsia="仿宋_GB2312"/>
          <w:bCs/>
          <w:sz w:val="32"/>
          <w:szCs w:val="32"/>
        </w:rPr>
        <w:t>环境的不利影响和可能存在的环境风险在可控范围内。从环境保护角度分析，我厅原则同意本项目按照《报告表》中所列的性质、规模、地点和拟采取的环保措施进行</w:t>
      </w:r>
      <w:r>
        <w:rPr>
          <w:rFonts w:hint="eastAsia" w:ascii="仿宋_GB2312" w:hAnsi="仿宋" w:eastAsia="仿宋_GB2312"/>
          <w:sz w:val="32"/>
          <w:szCs w:val="32"/>
        </w:rPr>
        <w:t>建设。</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三、项目建设及运行期间应做好的工作</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（一）严格落实项目施工期、运营期生态环境保护措施，做好生态保护与恢复工作。施工期严格控制施工活动范围，合理布局，尽量减少土地占用和植被破坏。</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（二）认真落实《报告表》中提出的控制和改善工频电场、工频磁场对周边环境影响的措施和方法，监测值应符合《电磁环境控制限值》（GB8702-2014）要求。</w:t>
      </w:r>
    </w:p>
    <w:p>
      <w:pPr>
        <w:pStyle w:val="14"/>
        <w:spacing w:line="560" w:lineRule="exact"/>
        <w:ind w:firstLine="640"/>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三）运营期升压站生活污水经地埋式一体化污水处理设施处理后冬储夏灌，不外排。对设备维修过程中产生的废变压器油、废蓄电池等应全部回收，如不能全部回收，必须单独存放，集中送交有相应危险废物经营许可资质的单位处置。</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（四）项目施工期及运行期的噪声值及防噪措施应满足《报告表》中提出的要求，监测值应符合国家评价标准限值要求。</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（五）环境影响报告表经批准后，项目的性质、规模、地点或生态保护、污染防治措施发生重大变动的，应当按要求重新报批。</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四、建设单位按规定程序完成竣工环境保护验收后，项目方可投入正式运行。</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五、我厅委托</w:t>
      </w:r>
      <w:r>
        <w:rPr>
          <w:rFonts w:hint="default" w:ascii="仿宋_GB2312" w:hAnsi="仿宋_GB2312" w:eastAsia="仿宋_GB2312" w:cs="仿宋_GB2312"/>
          <w:color w:val="auto"/>
          <w:kern w:val="0"/>
          <w:sz w:val="32"/>
          <w:szCs w:val="32"/>
          <w:lang w:val="en-US" w:eastAsia="zh-CN" w:bidi="ar"/>
        </w:rPr>
        <w:t>巴彦淖尔市</w:t>
      </w:r>
      <w:r>
        <w:rPr>
          <w:rFonts w:hint="eastAsia" w:ascii="仿宋_GB2312" w:hAnsi="仿宋" w:eastAsia="仿宋_GB2312"/>
          <w:color w:val="000000"/>
          <w:sz w:val="32"/>
          <w:szCs w:val="32"/>
        </w:rPr>
        <w:t>生态环境局</w:t>
      </w:r>
      <w:r>
        <w:rPr>
          <w:rFonts w:hint="eastAsia" w:ascii="仿宋_GB2312" w:hAnsi="仿宋" w:eastAsia="仿宋_GB2312"/>
          <w:sz w:val="32"/>
          <w:szCs w:val="32"/>
        </w:rPr>
        <w:t>负责该项目施工期的监督检查工作。</w:t>
      </w:r>
    </w:p>
    <w:p>
      <w:pPr>
        <w:ind w:firstLine="640" w:firstLineChars="200"/>
      </w:pPr>
      <w:r>
        <w:rPr>
          <w:rFonts w:hint="eastAsia" w:ascii="仿宋_GB2312" w:hAnsi="仿宋" w:eastAsia="仿宋_GB2312"/>
          <w:sz w:val="32"/>
          <w:szCs w:val="32"/>
          <w:lang w:eastAsia="zh-CN"/>
        </w:rPr>
        <w:t>六、本批复不具有其他行政审批前置效力。</w:t>
      </w:r>
    </w:p>
    <w:p>
      <w:pPr>
        <w:rPr>
          <w:rFonts w:hint="eastAsia" w:eastAsia="宋体"/>
          <w:lang w:eastAsia="zh-CN"/>
        </w:rPr>
      </w:pPr>
    </w:p>
    <w:p/>
    <w:p/>
    <w:p/>
    <w:p/>
    <mc:AlternateContent>
      <mc:Choice Requires="wpsCustomData">
        <wpsCustomData:docfieldEnd id="3"/>
      </mc:Choice>
    </mc:AlternateContent>
    <w:p>
      <w:pPr>
        <w:spacing w:line="560" w:lineRule="exact"/>
        <w:ind w:firstLine="624" w:firstLineChars="200"/>
        <w:rPr>
          <w:rFonts w:ascii="仿宋_GB2312" w:hAnsi="仿宋" w:eastAsia="仿宋_GB2312"/>
          <w:spacing w:val="-4"/>
          <w:sz w:val="32"/>
          <w:szCs w:val="32"/>
        </w:rPr>
      </w:pPr>
    </w:p>
    <w:p>
      <w:pPr>
        <w:spacing w:line="560" w:lineRule="exact"/>
        <w:jc w:val="left"/>
        <w:rPr>
          <w:rFonts w:ascii="仿宋_GB2312" w:hAnsi="仿宋" w:eastAsia="仿宋_GB2312"/>
          <w:sz w:val="32"/>
          <w:szCs w:val="32"/>
        </w:rPr>
      </w:pPr>
      <w:r>
        <w:rPr>
          <w:rFonts w:hint="eastAsia" w:ascii="仿宋_GB2312" w:hAnsi="仿宋" w:eastAsia="仿宋_GB2312"/>
          <w:spacing w:val="-4"/>
          <w:sz w:val="32"/>
          <w:szCs w:val="32"/>
        </w:rPr>
        <w:t xml:space="preserve">                           内蒙古自治区生态环境厅  </w:t>
      </w:r>
      <w:r>
        <w:rPr>
          <w:rFonts w:hint="eastAsia" w:ascii="仿宋_GB2312" w:hAnsi="仿宋" w:eastAsia="仿宋_GB2312"/>
          <w:sz w:val="32"/>
          <w:szCs w:val="32"/>
        </w:rPr>
        <w:t xml:space="preserve"> </w:t>
      </w:r>
    </w:p>
    <w:p>
      <w:pPr>
        <w:spacing w:line="560" w:lineRule="exact"/>
        <w:ind w:right="55" w:rightChars="26"/>
        <w:jc w:val="left"/>
        <w:rPr>
          <w:rFonts w:hint="eastAsia" w:ascii="仿宋_GB2312" w:hAnsi="仿宋" w:eastAsia="仿宋_GB2312"/>
          <w:sz w:val="32"/>
          <w:szCs w:val="32"/>
          <w:lang w:eastAsia="zh-CN"/>
        </w:rPr>
      </w:pPr>
      <w:r>
        <w:rPr>
          <w:rFonts w:hint="eastAsia" w:ascii="仿宋_GB2312" w:hAnsi="仿宋" w:eastAsia="仿宋_GB2312"/>
          <w:sz w:val="32"/>
          <w:szCs w:val="32"/>
        </w:rPr>
        <w:t xml:space="preserve">                             </w:t>
      </w:r>
      <mc:AlternateContent>
        <mc:Choice Requires="wpsCustomData">
          <wpsCustomData:docfieldStart id="4" docfieldname="签发日期" hidden="false" print="true" readonly="false" index="5"/>
        </mc:Choice>
      </mc:AlternateContent>
      <w:bookmarkStart w:id="5" w:name="签发日期"/>
      <w:r>
        <w:rPr>
          <w:rFonts w:hint="eastAsia" w:ascii="仿宋_GB2312" w:hAnsi="仿宋" w:eastAsia="仿宋_GB2312"/>
          <w:sz w:val="32"/>
          <w:szCs w:val="32"/>
          <w:lang w:eastAsia="zh-CN"/>
        </w:rPr>
        <w:t>2026年7月16日</w:t>
      </w:r>
      <w:bookmarkEnd w:id="5"/>
      <mc:AlternateContent>
        <mc:Choice Requires="wpsCustomData">
          <wpsCustomData:docfieldEnd id="4"/>
        </mc:Choice>
      </mc:AlternateContent>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560" w:lineRule="exact"/>
      </w:pPr>
    </w:p>
    <w:p>
      <w:pPr>
        <w:spacing w:line="14" w:lineRule="exact"/>
        <w:ind w:right="315" w:rightChars="150"/>
        <w:rPr>
          <w:rFonts w:ascii="仿宋_GB2312" w:hAnsi="仿宋" w:eastAsia="仿宋_GB2312"/>
          <w:sz w:val="28"/>
          <w:szCs w:val="28"/>
        </w:rPr>
      </w:pPr>
      <w:bookmarkStart w:id="6" w:name="_GoBack"/>
      <w:bookmarkEnd w:id="6"/>
    </w:p>
    <w:sectPr>
      <w:headerReference r:id="rId3" w:type="default"/>
      <w:footerReference r:id="rId5" w:type="default"/>
      <w:headerReference r:id="rId4" w:type="even"/>
      <w:footerReference r:id="rId6" w:type="even"/>
      <w:type w:val="continuous"/>
      <w:pgSz w:w="11907" w:h="16840"/>
      <w:pgMar w:top="2041" w:right="1531" w:bottom="2041" w:left="1531" w:header="851" w:footer="158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635</wp:posOffset>
              </wp:positionV>
              <wp:extent cx="591185" cy="230505"/>
              <wp:effectExtent l="0" t="0" r="0" b="0"/>
              <wp:wrapNone/>
              <wp:docPr id="3" name="Quad Arrow 3"/>
              <wp:cNvGraphicFramePr/>
              <a:graphic xmlns:a="http://schemas.openxmlformats.org/drawingml/2006/main">
                <a:graphicData uri="http://schemas.microsoft.com/office/word/2010/wordprocessingShape">
                  <wps:wsp>
                    <wps:cNvSpPr txBox="true"/>
                    <wps:spPr>
                      <a:xfrm>
                        <a:off x="0" y="0"/>
                        <a:ext cx="591185" cy="230505"/>
                      </a:xfrm>
                      <a:prstGeom prst="rect">
                        <a:avLst/>
                      </a:prstGeom>
                      <a:noFill/>
                      <a:ln>
                        <a:noFill/>
                      </a:ln>
                    </wps:spPr>
                    <wps:txbx>
                      <w:txbxContent>
                        <w:p>
                          <w:pPr>
                            <w:pStyle w:val="3"/>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square" lIns="0" tIns="0" rIns="0" bIns="0" upright="false"/>
                  </wps:wsp>
                </a:graphicData>
              </a:graphic>
            </wp:anchor>
          </w:drawing>
        </mc:Choice>
        <mc:Fallback>
          <w:pict>
            <v:shape id="Quad Arrow 3" o:spid="_x0000_s1026" o:spt="202" type="#_x0000_t202" style="position:absolute;left:0pt;margin-top:0.05pt;height:18.15pt;width:46.55pt;mso-position-horizontal:outside;mso-position-horizontal-relative:margin;z-index:251659264;mso-width-relative:page;mso-height-relative:page;" filled="f" stroked="f" coordsize="21600,21600" o:gfxdata="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ripQTtQAAAADAQAADwAAAAAAAAABACAAAAA4AAAAZHJzL2Rvd25yZXYueG1sUEsBAhQAFAAAAAgA&#10;h07iQLGQ83+hAQAAOQMAAA4AAAAAAAAAAQAgAAAAOQEAAGRycy9lMm9Eb2MueG1sUEsFBgAAAAAG&#10;AAYAWQEAAEwFAAAAAA==&#10;">
              <v:fill on="f" focussize="0,0"/>
              <v:stroke on="f"/>
              <v:imagedata o:title=""/>
              <o:lock v:ext="edit" aspectratio="f"/>
              <v:textbox inset="0mm,0mm,0mm,0mm">
                <w:txbxContent>
                  <w:p>
                    <w:pPr>
                      <w:pStyle w:val="3"/>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635</wp:posOffset>
              </wp:positionV>
              <wp:extent cx="608965" cy="230505"/>
              <wp:effectExtent l="0" t="0" r="0" b="0"/>
              <wp:wrapNone/>
              <wp:docPr id="4" name="Quad Arrow 4"/>
              <wp:cNvGraphicFramePr/>
              <a:graphic xmlns:a="http://schemas.openxmlformats.org/drawingml/2006/main">
                <a:graphicData uri="http://schemas.microsoft.com/office/word/2010/wordprocessingShape">
                  <wps:wsp>
                    <wps:cNvSpPr txBox="true"/>
                    <wps:spPr>
                      <a:xfrm>
                        <a:off x="0" y="0"/>
                        <a:ext cx="608965" cy="230505"/>
                      </a:xfrm>
                      <a:prstGeom prst="rect">
                        <a:avLst/>
                      </a:prstGeom>
                      <a:noFill/>
                      <a:ln>
                        <a:noFill/>
                      </a:ln>
                    </wps:spPr>
                    <wps:txbx>
                      <w:txbxContent>
                        <w:p>
                          <w:pPr>
                            <w:pStyle w:val="3"/>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wrap="square" lIns="0" tIns="0" rIns="0" bIns="0" upright="false"/>
                  </wps:wsp>
                </a:graphicData>
              </a:graphic>
            </wp:anchor>
          </w:drawing>
        </mc:Choice>
        <mc:Fallback>
          <w:pict>
            <v:shape id="Quad Arrow 4" o:spid="_x0000_s1026" o:spt="202" type="#_x0000_t202" style="position:absolute;left:0pt;margin-top:0.05pt;height:18.15pt;width:47.95pt;mso-position-horizontal:outside;mso-position-horizontal-relative:margin;z-index:251660288;mso-width-relative:page;mso-height-relative:page;" filled="f" stroked="f" coordsize="21600,21600" o:gfxdata="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Bq&#10;8m6J0wAAAAMBAAAPAAAAAAAAAAEAIAAAADgAAABkcnMvZG93bnJldi54bWxQSwECFAAUAAAACACH&#10;TuJA+pDoVqEBAAA5AwAADgAAAAAAAAABACAAAAA4AQAAZHJzL2Uyb0RvYy54bWxQSwUGAAAAAAYA&#10;BgBZAQAASwUAAAAA&#10;">
              <v:fill on="f" focussize="0,0"/>
              <v:stroke on="f"/>
              <v:imagedata o:title=""/>
              <o:lock v:ext="edit" aspectratio="f"/>
              <v:textbox inset="0mm,0mm,0mm,0mm">
                <w:txbxContent>
                  <w:p>
                    <w:pPr>
                      <w:pStyle w:val="3"/>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true"/>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502D9"/>
    <w:rsid w:val="00053C74"/>
    <w:rsid w:val="00081DD9"/>
    <w:rsid w:val="000A43C9"/>
    <w:rsid w:val="000F448F"/>
    <w:rsid w:val="00104AD5"/>
    <w:rsid w:val="00107F1D"/>
    <w:rsid w:val="00112653"/>
    <w:rsid w:val="00161599"/>
    <w:rsid w:val="0019160D"/>
    <w:rsid w:val="00212159"/>
    <w:rsid w:val="002203D3"/>
    <w:rsid w:val="002432A7"/>
    <w:rsid w:val="002778D8"/>
    <w:rsid w:val="00290DA8"/>
    <w:rsid w:val="002B7D95"/>
    <w:rsid w:val="002D6AFC"/>
    <w:rsid w:val="002F0DE2"/>
    <w:rsid w:val="0030486D"/>
    <w:rsid w:val="00323B61"/>
    <w:rsid w:val="003619FA"/>
    <w:rsid w:val="00393E71"/>
    <w:rsid w:val="003B1A02"/>
    <w:rsid w:val="003C6CE9"/>
    <w:rsid w:val="00424C6E"/>
    <w:rsid w:val="00452E4A"/>
    <w:rsid w:val="004B7461"/>
    <w:rsid w:val="004C640A"/>
    <w:rsid w:val="004D3FC2"/>
    <w:rsid w:val="004F50C6"/>
    <w:rsid w:val="00505381"/>
    <w:rsid w:val="00544386"/>
    <w:rsid w:val="0056424C"/>
    <w:rsid w:val="0057112D"/>
    <w:rsid w:val="00571F6F"/>
    <w:rsid w:val="00577293"/>
    <w:rsid w:val="0058220B"/>
    <w:rsid w:val="00585C83"/>
    <w:rsid w:val="00590474"/>
    <w:rsid w:val="00592CC9"/>
    <w:rsid w:val="005A5BF2"/>
    <w:rsid w:val="006132A1"/>
    <w:rsid w:val="00624B4A"/>
    <w:rsid w:val="006661A4"/>
    <w:rsid w:val="006A7884"/>
    <w:rsid w:val="006B38F9"/>
    <w:rsid w:val="006E1CA5"/>
    <w:rsid w:val="006E2329"/>
    <w:rsid w:val="006F6255"/>
    <w:rsid w:val="00701535"/>
    <w:rsid w:val="0070579B"/>
    <w:rsid w:val="00715743"/>
    <w:rsid w:val="007173A8"/>
    <w:rsid w:val="00761FB3"/>
    <w:rsid w:val="0076589A"/>
    <w:rsid w:val="00786B2F"/>
    <w:rsid w:val="007925F1"/>
    <w:rsid w:val="0079344F"/>
    <w:rsid w:val="007A1610"/>
    <w:rsid w:val="007C0101"/>
    <w:rsid w:val="007D373D"/>
    <w:rsid w:val="00835942"/>
    <w:rsid w:val="00847C4B"/>
    <w:rsid w:val="00861920"/>
    <w:rsid w:val="008643C3"/>
    <w:rsid w:val="00873CD5"/>
    <w:rsid w:val="008804D9"/>
    <w:rsid w:val="008838C5"/>
    <w:rsid w:val="00883BA1"/>
    <w:rsid w:val="0089055A"/>
    <w:rsid w:val="00896DE4"/>
    <w:rsid w:val="008A4595"/>
    <w:rsid w:val="008B77EC"/>
    <w:rsid w:val="008C34AF"/>
    <w:rsid w:val="008D27CA"/>
    <w:rsid w:val="00907606"/>
    <w:rsid w:val="00922F9C"/>
    <w:rsid w:val="0095741D"/>
    <w:rsid w:val="00964200"/>
    <w:rsid w:val="0096751F"/>
    <w:rsid w:val="00967FB8"/>
    <w:rsid w:val="00971513"/>
    <w:rsid w:val="0099392B"/>
    <w:rsid w:val="009950F5"/>
    <w:rsid w:val="00996316"/>
    <w:rsid w:val="009F0D7E"/>
    <w:rsid w:val="009F4F97"/>
    <w:rsid w:val="00A03E70"/>
    <w:rsid w:val="00A14283"/>
    <w:rsid w:val="00A16266"/>
    <w:rsid w:val="00A32DBE"/>
    <w:rsid w:val="00A3438E"/>
    <w:rsid w:val="00A36EAB"/>
    <w:rsid w:val="00A42722"/>
    <w:rsid w:val="00A43C93"/>
    <w:rsid w:val="00AA5ECB"/>
    <w:rsid w:val="00AF257E"/>
    <w:rsid w:val="00B057C0"/>
    <w:rsid w:val="00B16355"/>
    <w:rsid w:val="00B22816"/>
    <w:rsid w:val="00B2798A"/>
    <w:rsid w:val="00B4476C"/>
    <w:rsid w:val="00B46191"/>
    <w:rsid w:val="00B61218"/>
    <w:rsid w:val="00B86149"/>
    <w:rsid w:val="00B91AFD"/>
    <w:rsid w:val="00BA1A77"/>
    <w:rsid w:val="00BA3600"/>
    <w:rsid w:val="00BD25C9"/>
    <w:rsid w:val="00BD4473"/>
    <w:rsid w:val="00BE3516"/>
    <w:rsid w:val="00BE5282"/>
    <w:rsid w:val="00BF428E"/>
    <w:rsid w:val="00BF6CDF"/>
    <w:rsid w:val="00C113FC"/>
    <w:rsid w:val="00C26472"/>
    <w:rsid w:val="00C51E40"/>
    <w:rsid w:val="00C56BFB"/>
    <w:rsid w:val="00C577B3"/>
    <w:rsid w:val="00C621D4"/>
    <w:rsid w:val="00C746BE"/>
    <w:rsid w:val="00C85C1B"/>
    <w:rsid w:val="00C93108"/>
    <w:rsid w:val="00CA6FED"/>
    <w:rsid w:val="00CD05D4"/>
    <w:rsid w:val="00CE37E8"/>
    <w:rsid w:val="00CE5F3B"/>
    <w:rsid w:val="00CE6186"/>
    <w:rsid w:val="00CF1A19"/>
    <w:rsid w:val="00CF24AC"/>
    <w:rsid w:val="00D01418"/>
    <w:rsid w:val="00D04066"/>
    <w:rsid w:val="00D32923"/>
    <w:rsid w:val="00D50FC8"/>
    <w:rsid w:val="00D80399"/>
    <w:rsid w:val="00D809A3"/>
    <w:rsid w:val="00D902CF"/>
    <w:rsid w:val="00D94E37"/>
    <w:rsid w:val="00DC1210"/>
    <w:rsid w:val="00DC440E"/>
    <w:rsid w:val="00DD67D3"/>
    <w:rsid w:val="00E012C8"/>
    <w:rsid w:val="00E157E5"/>
    <w:rsid w:val="00E50C21"/>
    <w:rsid w:val="00E62075"/>
    <w:rsid w:val="00E7161E"/>
    <w:rsid w:val="00E7452B"/>
    <w:rsid w:val="00E90476"/>
    <w:rsid w:val="00EB0809"/>
    <w:rsid w:val="00EE242A"/>
    <w:rsid w:val="00F06195"/>
    <w:rsid w:val="00F2401B"/>
    <w:rsid w:val="00F373F3"/>
    <w:rsid w:val="00F556D9"/>
    <w:rsid w:val="00FC281C"/>
    <w:rsid w:val="00FF0974"/>
    <w:rsid w:val="01067184"/>
    <w:rsid w:val="01283F97"/>
    <w:rsid w:val="02034156"/>
    <w:rsid w:val="035D2B78"/>
    <w:rsid w:val="03696E5B"/>
    <w:rsid w:val="03EA6B8D"/>
    <w:rsid w:val="04AF3D28"/>
    <w:rsid w:val="06414C48"/>
    <w:rsid w:val="06FD2E81"/>
    <w:rsid w:val="078C4B32"/>
    <w:rsid w:val="0C293B57"/>
    <w:rsid w:val="0E4627D6"/>
    <w:rsid w:val="0FF01CE2"/>
    <w:rsid w:val="0FF796A5"/>
    <w:rsid w:val="11DB31C3"/>
    <w:rsid w:val="125A4F9B"/>
    <w:rsid w:val="166710AD"/>
    <w:rsid w:val="171D0934"/>
    <w:rsid w:val="1750305B"/>
    <w:rsid w:val="17BE3596"/>
    <w:rsid w:val="17CC3694"/>
    <w:rsid w:val="18BF59B2"/>
    <w:rsid w:val="19782782"/>
    <w:rsid w:val="1C3B00DC"/>
    <w:rsid w:val="1EC02023"/>
    <w:rsid w:val="201A69CD"/>
    <w:rsid w:val="20A91A11"/>
    <w:rsid w:val="21C84299"/>
    <w:rsid w:val="22904BBD"/>
    <w:rsid w:val="232A49EC"/>
    <w:rsid w:val="238A2596"/>
    <w:rsid w:val="24A86E33"/>
    <w:rsid w:val="251E1B7F"/>
    <w:rsid w:val="259B6FBE"/>
    <w:rsid w:val="28044EC3"/>
    <w:rsid w:val="293C7576"/>
    <w:rsid w:val="2A4C74AD"/>
    <w:rsid w:val="2D3E0262"/>
    <w:rsid w:val="3078340E"/>
    <w:rsid w:val="377E1867"/>
    <w:rsid w:val="3C032EFE"/>
    <w:rsid w:val="3C431296"/>
    <w:rsid w:val="3D997D89"/>
    <w:rsid w:val="40DE7A76"/>
    <w:rsid w:val="41E57898"/>
    <w:rsid w:val="43BE5DA5"/>
    <w:rsid w:val="48D80B0B"/>
    <w:rsid w:val="4955784C"/>
    <w:rsid w:val="4E08718E"/>
    <w:rsid w:val="500F600B"/>
    <w:rsid w:val="52D72F1B"/>
    <w:rsid w:val="55BA08E6"/>
    <w:rsid w:val="56354618"/>
    <w:rsid w:val="56770825"/>
    <w:rsid w:val="58CA2C35"/>
    <w:rsid w:val="5A0A5B88"/>
    <w:rsid w:val="5A2A1A16"/>
    <w:rsid w:val="5F001B36"/>
    <w:rsid w:val="5F0D4001"/>
    <w:rsid w:val="610B5ACF"/>
    <w:rsid w:val="615D0E52"/>
    <w:rsid w:val="622C3B53"/>
    <w:rsid w:val="625C4B72"/>
    <w:rsid w:val="647C4CF5"/>
    <w:rsid w:val="64B557C6"/>
    <w:rsid w:val="653806B8"/>
    <w:rsid w:val="67C12074"/>
    <w:rsid w:val="67CD23C4"/>
    <w:rsid w:val="67F7B655"/>
    <w:rsid w:val="68353CBB"/>
    <w:rsid w:val="68903FD6"/>
    <w:rsid w:val="68AC3246"/>
    <w:rsid w:val="69EE13C7"/>
    <w:rsid w:val="6A9579E6"/>
    <w:rsid w:val="6AE33BBB"/>
    <w:rsid w:val="6C5D38C7"/>
    <w:rsid w:val="6E0A6B18"/>
    <w:rsid w:val="6E401570"/>
    <w:rsid w:val="6EA74650"/>
    <w:rsid w:val="71D96AFD"/>
    <w:rsid w:val="72536B1A"/>
    <w:rsid w:val="73942F17"/>
    <w:rsid w:val="73ED7448"/>
    <w:rsid w:val="73FF04CC"/>
    <w:rsid w:val="775DCE8C"/>
    <w:rsid w:val="77E77440"/>
    <w:rsid w:val="7BE16A25"/>
    <w:rsid w:val="7BFF4D51"/>
    <w:rsid w:val="7D6F7921"/>
    <w:rsid w:val="7D754DCD"/>
    <w:rsid w:val="7E705781"/>
    <w:rsid w:val="DF4FEC23"/>
    <w:rsid w:val="FB737E87"/>
    <w:rsid w:val="FDBE67B1"/>
    <w:rsid w:val="FED44BB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2"/>
    <w:qFormat/>
    <w:uiPriority w:val="0"/>
    <w:pPr>
      <w:tabs>
        <w:tab w:val="center" w:pos="4153"/>
        <w:tab w:val="right" w:pos="8306"/>
      </w:tabs>
      <w:snapToGrid w:val="0"/>
      <w:jc w:val="left"/>
    </w:pPr>
    <w:rPr>
      <w:kern w:val="0"/>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kern w:val="0"/>
      <w:sz w:val="18"/>
      <w:szCs w:val="18"/>
    </w:rPr>
  </w:style>
  <w:style w:type="paragraph" w:styleId="5">
    <w:name w:val="Body Text First Indent 2"/>
    <w:basedOn w:val="1"/>
    <w:next w:val="1"/>
    <w:qFormat/>
    <w:uiPriority w:val="0"/>
    <w:pPr>
      <w:ind w:firstLine="420" w:firstLineChars="200"/>
    </w:pPr>
    <w:rPr>
      <w:rFonts w:ascii="Times New Roman" w:hAnsi="Times New Roman"/>
      <w:sz w:val="24"/>
      <w:szCs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link w:val="4"/>
    <w:semiHidden/>
    <w:qFormat/>
    <w:uiPriority w:val="99"/>
    <w:rPr>
      <w:sz w:val="18"/>
      <w:szCs w:val="18"/>
    </w:rPr>
  </w:style>
  <w:style w:type="character" w:customStyle="1" w:styleId="11">
    <w:name w:val="批注框文本 Char"/>
    <w:basedOn w:val="8"/>
    <w:link w:val="2"/>
    <w:semiHidden/>
    <w:qFormat/>
    <w:uiPriority w:val="99"/>
    <w:rPr>
      <w:kern w:val="2"/>
      <w:sz w:val="18"/>
      <w:szCs w:val="18"/>
    </w:rPr>
  </w:style>
  <w:style w:type="character" w:customStyle="1" w:styleId="12">
    <w:name w:val="页脚 Char"/>
    <w:link w:val="3"/>
    <w:semiHidden/>
    <w:qFormat/>
    <w:uiPriority w:val="99"/>
    <w:rPr>
      <w:sz w:val="18"/>
      <w:szCs w:val="18"/>
    </w:rPr>
  </w:style>
  <w:style w:type="paragraph" w:customStyle="1" w:styleId="13">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14">
    <w:name w:val="[1]正文"/>
    <w:basedOn w:val="1"/>
    <w:qFormat/>
    <w:uiPriority w:val="0"/>
    <w:pPr>
      <w:autoSpaceDE w:val="0"/>
      <w:autoSpaceDN w:val="0"/>
      <w:ind w:firstLine="200" w:firstLineChars="200"/>
    </w:pPr>
    <w:rPr>
      <w:rFonts w:ascii="Times New Roman" w:hAnsi="Times New Roman"/>
      <w:color w:val="000000"/>
      <w:kern w:val="0"/>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Foundertech</Company>
  <Pages>1</Pages>
  <Words>28</Words>
  <Characters>160</Characters>
  <Lines>1</Lines>
  <Paragraphs>1</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2021-10-25T21:08:00Z</dcterms:created>
  <dc:creator>袁迎辉</dc:creator>
  <cp:lastModifiedBy>hjt</cp:lastModifiedBy>
  <cp:lastPrinted>2018-11-14T17:34:00Z</cp:lastPrinted>
  <dcterms:modified xsi:type="dcterms:W3CDTF">2026-07-17T12:55:58Z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3A3E9ACF1B5C4802B330381ABAEA2165</vt:lpwstr>
  </property>
</Properties>
</file>