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关于乌兰察布白湾220千伏开闭站工程建设</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项目环境影响报告表的批复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sz w:val="32"/>
          <w:szCs w:val="32"/>
          <w:lang w:eastAsia="zh-CN"/>
        </w:rPr>
        <w:t>内环表〔2026〕154号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内蒙古电力（集团）有限责任公司乌兰察布供电分公司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15"/>
        <w:spacing w:line="560" w:lineRule="exact"/>
        <w:ind w:firstLine="640" w:firstLineChars="200"/>
        <w:jc w:val="both"/>
        <w:rPr>
          <w:rFonts w:ascii="仿宋_GB2312" w:hAnsi="仿宋" w:eastAsia="仿宋_GB2312"/>
          <w:color w:val="auto"/>
          <w:sz w:val="32"/>
          <w:szCs w:val="32"/>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hAnsi="仿宋" w:eastAsia="仿宋_GB2312"/>
          <w:color w:val="auto"/>
          <w:sz w:val="32"/>
          <w:szCs w:val="32"/>
        </w:rPr>
        <w:t>你公司报送的《</w:t>
      </w:r>
      <w:r>
        <w:rPr>
          <w:rFonts w:hint="eastAsia" w:ascii="仿宋_GB2312" w:eastAsia="仿宋_GB2312"/>
          <w:color w:val="auto"/>
          <w:sz w:val="32"/>
          <w:szCs w:val="32"/>
          <w:lang w:val="zh-CN" w:eastAsia="zh-CN"/>
        </w:rPr>
        <w:t>乌兰察布白湾220千伏开闭站工程</w:t>
      </w:r>
      <w:r>
        <w:rPr>
          <w:rFonts w:hint="eastAsia" w:ascii="仿宋_GB2312" w:eastAsia="仿宋_GB2312"/>
          <w:color w:val="auto"/>
          <w:sz w:val="32"/>
          <w:szCs w:val="32"/>
        </w:rPr>
        <w:t>建设项目</w:t>
      </w:r>
      <w:r>
        <w:rPr>
          <w:rFonts w:hint="eastAsia" w:ascii="仿宋_GB2312" w:hAnsi="仿宋" w:eastAsia="仿宋_GB2312"/>
          <w:color w:val="auto"/>
          <w:sz w:val="32"/>
          <w:szCs w:val="32"/>
        </w:rPr>
        <w:t>环境影响报告表》（以下简称《报告表》）收悉。经研究，批复如下：</w:t>
      </w:r>
    </w:p>
    <w:p>
      <w:pPr>
        <w:pStyle w:val="15"/>
        <w:spacing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15"/>
        <w:spacing w:line="560" w:lineRule="exact"/>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一）变电工程。（1）新建白湾220kV开闭站，建设220</w:t>
      </w:r>
      <w:r>
        <w:rPr>
          <w:rFonts w:hint="eastAsia" w:ascii="仿宋_GB2312" w:hAnsi="仿宋_GB2312" w:eastAsia="仿宋_GB2312" w:cs="仿宋_GB2312"/>
          <w:b w:val="0"/>
          <w:bCs w:val="0"/>
          <w:color w:val="auto"/>
          <w:sz w:val="32"/>
          <w:szCs w:val="32"/>
          <w:lang w:val="zh-CN" w:eastAsia="zh-CN"/>
        </w:rPr>
        <w:t>kV出线间隔</w:t>
      </w:r>
      <w:r>
        <w:rPr>
          <w:rFonts w:hint="eastAsia" w:ascii="仿宋_GB2312" w:hAnsi="仿宋_GB2312" w:eastAsia="仿宋_GB2312" w:cs="仿宋_GB2312"/>
          <w:b w:val="0"/>
          <w:bCs w:val="0"/>
          <w:color w:val="auto"/>
          <w:sz w:val="32"/>
          <w:szCs w:val="32"/>
          <w:lang w:val="en-US" w:eastAsia="zh-CN"/>
        </w:rPr>
        <w:t>11回（其中8回无出线，仅建设间隔设备）。（2）东营500kV变电站扩建220kV出线间隔1回。</w:t>
      </w:r>
    </w:p>
    <w:p>
      <w:pPr>
        <w:keepNext w:val="0"/>
        <w:keepLines w:val="0"/>
        <w:pageBreakBefore w:val="0"/>
        <w:widowControl/>
        <w:suppressLineNumbers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线路工程。（1）新建东营-白湾220kV输电线路，线路长10.7km，同塔双回路架设（其中东营-白湾架设单回线路，预留1回线路，本期双侧挂线），新建塔基38基。（2）新建益武堂-满达Ⅱ回益武堂侧改接入白湾变220kV输电线路</w:t>
      </w:r>
      <w:r>
        <w:rPr>
          <w:rFonts w:hint="eastAsia" w:ascii="仿宋_GB2312" w:hAnsi="仿宋_GB2312" w:eastAsia="仿宋_GB2312" w:cs="仿宋_GB2312"/>
          <w:b w:val="0"/>
          <w:bCs w:val="0"/>
          <w:color w:val="auto"/>
          <w:sz w:val="32"/>
          <w:szCs w:val="32"/>
          <w:lang w:eastAsia="zh-CN"/>
        </w:rPr>
        <w:t>，线路长0.7km，单回路架设，新建</w:t>
      </w:r>
      <w:r>
        <w:rPr>
          <w:rFonts w:hint="eastAsia" w:ascii="仿宋_GB2312" w:hAnsi="仿宋_GB2312" w:eastAsia="仿宋_GB2312" w:cs="仿宋_GB2312"/>
          <w:b w:val="0"/>
          <w:bCs w:val="0"/>
          <w:color w:val="auto"/>
          <w:sz w:val="32"/>
          <w:szCs w:val="32"/>
          <w:lang w:val="en-US" w:eastAsia="zh-CN"/>
        </w:rPr>
        <w:t>塔基</w:t>
      </w:r>
      <w:r>
        <w:rPr>
          <w:rFonts w:hint="eastAsia" w:ascii="仿宋_GB2312" w:hAnsi="仿宋_GB2312" w:eastAsia="仿宋_GB2312" w:cs="仿宋_GB2312"/>
          <w:b w:val="0"/>
          <w:bCs w:val="0"/>
          <w:color w:val="auto"/>
          <w:sz w:val="32"/>
          <w:szCs w:val="32"/>
          <w:lang w:eastAsia="zh-CN"/>
        </w:rPr>
        <w:t>4基。（</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）新建益武堂</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eastAsia="zh-CN"/>
        </w:rPr>
        <w:t>满达Ⅰ回满达侧改接入白湾变220kV输电线路，线路长0.6km，单回路架设，新建</w:t>
      </w:r>
      <w:r>
        <w:rPr>
          <w:rFonts w:hint="eastAsia" w:ascii="仿宋_GB2312" w:hAnsi="仿宋_GB2312" w:eastAsia="仿宋_GB2312" w:cs="仿宋_GB2312"/>
          <w:b w:val="0"/>
          <w:bCs w:val="0"/>
          <w:color w:val="auto"/>
          <w:sz w:val="32"/>
          <w:szCs w:val="32"/>
          <w:lang w:val="en-US" w:eastAsia="zh-CN"/>
        </w:rPr>
        <w:t>塔基</w:t>
      </w:r>
      <w:r>
        <w:rPr>
          <w:rFonts w:hint="eastAsia" w:ascii="仿宋_GB2312" w:hAnsi="仿宋_GB2312" w:eastAsia="仿宋_GB2312" w:cs="仿宋_GB2312"/>
          <w:b w:val="0"/>
          <w:bCs w:val="0"/>
          <w:color w:val="auto"/>
          <w:sz w:val="32"/>
          <w:szCs w:val="32"/>
          <w:lang w:eastAsia="zh-CN"/>
        </w:rPr>
        <w:t>3基。（</w:t>
      </w: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新建益武堂-满达I、Ⅱ回跳通220kV输电</w:t>
      </w:r>
      <w:r>
        <w:rPr>
          <w:rFonts w:hint="eastAsia" w:ascii="仿宋_GB2312" w:hAnsi="仿宋_GB2312" w:eastAsia="仿宋_GB2312" w:cs="仿宋_GB2312"/>
          <w:b w:val="0"/>
          <w:bCs w:val="0"/>
          <w:color w:val="auto"/>
          <w:sz w:val="32"/>
          <w:szCs w:val="32"/>
          <w:lang w:eastAsia="zh-CN"/>
        </w:rPr>
        <w:t>线路，线路长0.2km，单回路架设。</w:t>
      </w:r>
      <w:r>
        <w:rPr>
          <w:rFonts w:hint="eastAsia" w:ascii="仿宋_GB2312" w:hAnsi="仿宋_GB2312" w:eastAsia="仿宋_GB2312" w:cs="仿宋_GB2312"/>
          <w:b w:val="0"/>
          <w:bCs w:val="0"/>
          <w:color w:val="auto"/>
          <w:sz w:val="32"/>
          <w:szCs w:val="32"/>
          <w:lang w:val="en-US" w:eastAsia="zh-CN"/>
        </w:rPr>
        <w:t>拆除武满Ⅰ、Ⅱ线原1#杆-2#杆之间双回线路0.2km，利用已建同塔双回路单侧挂线</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suppressLineNumbers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新建东营-白湾220kV线路不可避让穿越内蒙古黄旗海自治区级自然保护区一般控制区（与西鄂尔多斯-贺兰山-阴山生物多样性维护生态保护红线重叠）900m，立塔2基。跨越乌兰察布市集宁区白家湾幸福村水源地保护区一级保护区长度约200m，不立塔；两次穿越乌兰察布市集宁区白家湾幸福村水源地二级保护区长度分别为2.34km、1.37km，分别立塔7基、4基；穿越乌兰察布市集宁区新巴音水源地保护区二级保护区长度约2.3km，立塔8基。</w:t>
      </w:r>
    </w:p>
    <w:p>
      <w:pPr>
        <w:pStyle w:val="16"/>
        <w:spacing w:line="560" w:lineRule="exact"/>
        <w:ind w:firstLine="640"/>
        <w:jc w:val="both"/>
        <w:rPr>
          <w:rFonts w:hint="eastAsia" w:ascii="仿宋_GB2312" w:eastAsia="仿宋_GB2312"/>
          <w:color w:val="auto"/>
          <w:sz w:val="32"/>
          <w:szCs w:val="32"/>
          <w:lang w:val="zh-CN"/>
        </w:rPr>
      </w:pPr>
      <w:r>
        <w:rPr>
          <w:rFonts w:hint="eastAsia" w:ascii="仿宋_GB2312" w:hAnsi="仿宋_GB2312" w:eastAsia="仿宋_GB2312"/>
          <w:bCs/>
          <w:color w:val="auto"/>
          <w:sz w:val="32"/>
          <w:szCs w:val="32"/>
        </w:rPr>
        <w:t>本项目建设地点位于</w:t>
      </w:r>
      <w:r>
        <w:rPr>
          <w:rFonts w:hint="eastAsia" w:ascii="仿宋_GB2312" w:eastAsia="仿宋_GB2312"/>
          <w:color w:val="auto"/>
          <w:sz w:val="32"/>
          <w:szCs w:val="32"/>
          <w:lang w:val="zh-CN" w:eastAsia="zh-CN"/>
        </w:rPr>
        <w:t>内蒙古自治区乌兰察布市集宁区、察哈尔右翼前旗境内</w:t>
      </w:r>
      <w:r>
        <w:rPr>
          <w:rFonts w:hint="eastAsia" w:ascii="仿宋_GB2312" w:eastAsia="仿宋_GB2312"/>
          <w:color w:val="auto"/>
          <w:sz w:val="32"/>
          <w:szCs w:val="32"/>
          <w:lang w:val="zh-CN"/>
        </w:rPr>
        <w:t>。</w:t>
      </w:r>
    </w:p>
    <w:p>
      <w:pPr>
        <w:spacing w:line="560" w:lineRule="exact"/>
        <w:ind w:firstLine="640" w:firstLineChars="200"/>
        <w:jc w:val="both"/>
        <w:rPr>
          <w:rFonts w:ascii="仿宋_GB2312" w:eastAsia="仿宋_GB2312"/>
          <w:color w:val="auto"/>
          <w:sz w:val="32"/>
          <w:szCs w:val="32"/>
        </w:rPr>
      </w:pPr>
      <w:r>
        <w:rPr>
          <w:rFonts w:hint="eastAsia" w:ascii="仿宋_GB2312" w:hAnsi="仿宋" w:eastAsia="仿宋_GB2312" w:cs="宋体"/>
          <w:color w:val="auto"/>
          <w:sz w:val="32"/>
          <w:szCs w:val="32"/>
        </w:rPr>
        <w:t>二、总体意见</w:t>
      </w:r>
    </w:p>
    <w:p>
      <w:pPr>
        <w:autoSpaceDE w:val="0"/>
        <w:autoSpaceDN w:val="0"/>
        <w:adjustRightInd w:val="0"/>
        <w:spacing w:line="560" w:lineRule="exact"/>
        <w:ind w:firstLine="640" w:firstLineChars="200"/>
        <w:jc w:val="both"/>
        <w:rPr>
          <w:rFonts w:ascii="仿宋_GB2312" w:hAnsi="仿宋" w:eastAsia="仿宋_GB2312"/>
          <w:color w:val="auto"/>
          <w:sz w:val="32"/>
          <w:szCs w:val="32"/>
        </w:rPr>
      </w:pPr>
      <w:r>
        <w:rPr>
          <w:rFonts w:hint="eastAsia" w:ascii="仿宋_GB2312" w:eastAsia="仿宋_GB2312"/>
          <w:color w:val="auto"/>
          <w:sz w:val="32"/>
          <w:szCs w:val="32"/>
        </w:rPr>
        <w:t>本项目在严格落实《报告表》提出的各项环境保护措</w:t>
      </w:r>
      <w:r>
        <w:rPr>
          <w:rFonts w:hint="eastAsia" w:ascii="仿宋_GB2312" w:hAnsi="仿宋" w:eastAsia="仿宋_GB2312"/>
          <w:color w:val="auto"/>
          <w:sz w:val="32"/>
          <w:szCs w:val="32"/>
        </w:rPr>
        <w:t>施</w:t>
      </w:r>
      <w:r>
        <w:rPr>
          <w:rFonts w:hint="eastAsia" w:ascii="仿宋_GB2312" w:hAnsi="仿宋" w:eastAsia="仿宋_GB2312"/>
          <w:color w:val="auto"/>
          <w:sz w:val="32"/>
          <w:szCs w:val="32"/>
          <w:lang w:eastAsia="zh-CN"/>
        </w:rPr>
        <w:t>和下列工作要求</w:t>
      </w:r>
      <w:r>
        <w:rPr>
          <w:rFonts w:hint="eastAsia" w:ascii="仿宋_GB2312" w:hAnsi="仿宋" w:eastAsia="仿宋_GB2312"/>
          <w:color w:val="auto"/>
          <w:sz w:val="32"/>
          <w:szCs w:val="32"/>
        </w:rPr>
        <w:t>后，</w:t>
      </w:r>
      <w:r>
        <w:rPr>
          <w:rFonts w:hint="eastAsia" w:ascii="仿宋_GB2312" w:hAnsi="仿宋" w:eastAsia="仿宋_GB2312"/>
          <w:color w:val="auto"/>
          <w:sz w:val="32"/>
          <w:szCs w:val="32"/>
          <w:lang w:eastAsia="zh-CN"/>
        </w:rPr>
        <w:t>可以满足国家生态环境保护相关法律法规和标准的要求。</w:t>
      </w:r>
      <w:r>
        <w:rPr>
          <w:rFonts w:hint="eastAsia" w:ascii="仿宋_GB2312" w:hAnsi="仿宋" w:eastAsia="仿宋_GB2312"/>
          <w:color w:val="auto"/>
          <w:sz w:val="32"/>
          <w:szCs w:val="32"/>
        </w:rPr>
        <w:t>从环境保护角度</w:t>
      </w:r>
      <w:r>
        <w:rPr>
          <w:rFonts w:hint="eastAsia" w:ascii="仿宋_GB2312" w:eastAsia="仿宋_GB2312"/>
          <w:color w:val="auto"/>
          <w:sz w:val="32"/>
          <w:szCs w:val="32"/>
        </w:rPr>
        <w:t>分析，</w:t>
      </w:r>
      <w:r>
        <w:rPr>
          <w:rFonts w:hint="eastAsia" w:ascii="仿宋_GB2312" w:hAnsi="仿宋" w:eastAsia="仿宋_GB2312"/>
          <w:color w:val="auto"/>
          <w:sz w:val="32"/>
          <w:szCs w:val="32"/>
        </w:rPr>
        <w:t>我厅原则同意本项目按照《报告表》中所列的性质、规模、地点和拟采取的环保措施进行建设。</w:t>
      </w:r>
    </w:p>
    <w:p>
      <w:pPr>
        <w:spacing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三、项目建设及运行期间应做好的工作</w:t>
      </w:r>
    </w:p>
    <w:p>
      <w:p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（一）严格落实项目施工期及运行期对</w:t>
      </w:r>
      <w:r>
        <w:rPr>
          <w:rFonts w:hint="eastAsia" w:ascii="仿宋_GB2312" w:hAnsi="仿宋_GB2312" w:eastAsia="仿宋_GB2312" w:cs="仿宋_GB2312"/>
          <w:b w:val="0"/>
          <w:bCs w:val="0"/>
          <w:color w:val="auto"/>
          <w:sz w:val="32"/>
          <w:szCs w:val="32"/>
          <w:highlight w:val="none"/>
          <w:lang w:val="en-US" w:eastAsia="zh-CN"/>
        </w:rPr>
        <w:t>内蒙古黄旗海自治区级自然保护区一般控制区、乌兰察布市集宁区白家湾幸福村水源地保护区、乌兰察布市集宁区新巴音水源地保护区二级保护区</w:t>
      </w:r>
      <w:r>
        <w:rPr>
          <w:rFonts w:hint="eastAsia" w:ascii="仿宋_GB2312" w:hAnsi="仿宋" w:eastAsia="仿宋_GB2312"/>
          <w:color w:val="auto"/>
          <w:sz w:val="32"/>
          <w:szCs w:val="32"/>
          <w:highlight w:val="none"/>
        </w:rPr>
        <w:t>及周边区域的生态保护与恢复措施。项目施工要确保严格按照《报告表》确定的线路走向，不得新开辟走廊，避免对</w:t>
      </w:r>
      <w:r>
        <w:rPr>
          <w:rFonts w:hint="eastAsia" w:ascii="仿宋_GB2312" w:eastAsia="仿宋_GB2312"/>
          <w:color w:val="auto"/>
          <w:sz w:val="32"/>
          <w:szCs w:val="32"/>
          <w:highlight w:val="none"/>
          <w:lang w:eastAsia="zh-CN"/>
        </w:rPr>
        <w:t>保护地</w:t>
      </w:r>
      <w:r>
        <w:rPr>
          <w:rFonts w:hint="eastAsia" w:ascii="仿宋_GB2312" w:hAnsi="仿宋" w:eastAsia="仿宋_GB2312"/>
          <w:color w:val="auto"/>
          <w:sz w:val="32"/>
          <w:szCs w:val="32"/>
          <w:highlight w:val="none"/>
        </w:rPr>
        <w:t>形成新的切割。</w:t>
      </w:r>
    </w:p>
    <w:p>
      <w:pPr>
        <w:spacing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（二）认真落实《报告表》中提出的控制和改善工频电场、工频磁场对周边环境影响的措施和方法，监测值应符合《电磁环境控制限值》（GB8702-2014）要求。</w:t>
      </w:r>
    </w:p>
    <w:p>
      <w:pPr>
        <w:pStyle w:val="16"/>
        <w:spacing w:line="560" w:lineRule="exact"/>
        <w:ind w:firstLine="640"/>
        <w:jc w:val="both"/>
        <w:rPr>
          <w:rFonts w:hint="eastAsia"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rPr>
        <w:t>（三）运</w:t>
      </w:r>
      <w:r>
        <w:rPr>
          <w:rFonts w:hint="eastAsia" w:ascii="仿宋_GB2312" w:hAnsi="仿宋" w:eastAsia="仿宋_GB2312"/>
          <w:color w:val="auto"/>
          <w:sz w:val="32"/>
          <w:szCs w:val="32"/>
          <w:highlight w:val="none"/>
          <w:lang w:val="en-US"/>
        </w:rPr>
        <w:t>营期</w:t>
      </w:r>
      <w:r>
        <w:rPr>
          <w:rFonts w:hint="eastAsia" w:ascii="仿宋_GB2312" w:hAnsi="仿宋" w:eastAsia="仿宋_GB2312"/>
          <w:color w:val="auto"/>
          <w:sz w:val="32"/>
          <w:szCs w:val="32"/>
          <w:highlight w:val="none"/>
          <w:lang w:val="en-US" w:eastAsia="zh-CN"/>
        </w:rPr>
        <w:t>开闭站</w:t>
      </w:r>
      <w:r>
        <w:rPr>
          <w:rFonts w:hint="eastAsia" w:ascii="仿宋_GB2312" w:hAnsi="仿宋" w:eastAsia="仿宋_GB2312"/>
          <w:color w:val="auto"/>
          <w:sz w:val="32"/>
          <w:szCs w:val="32"/>
          <w:highlight w:val="none"/>
          <w:lang w:val="en-US"/>
        </w:rPr>
        <w:t>生活污水</w:t>
      </w:r>
      <w:r>
        <w:rPr>
          <w:rFonts w:hint="eastAsia" w:ascii="仿宋_GB2312" w:hAnsi="仿宋" w:eastAsia="仿宋_GB2312"/>
          <w:color w:val="auto"/>
          <w:sz w:val="32"/>
          <w:szCs w:val="32"/>
          <w:highlight w:val="none"/>
        </w:rPr>
        <w:t>经化粪池处理后定期清</w:t>
      </w:r>
      <w:r>
        <w:rPr>
          <w:rFonts w:hint="eastAsia" w:ascii="仿宋_GB2312" w:hAnsi="仿宋" w:eastAsia="仿宋_GB2312"/>
          <w:color w:val="auto"/>
          <w:sz w:val="32"/>
          <w:szCs w:val="32"/>
          <w:highlight w:val="none"/>
          <w:lang w:val="en-US" w:eastAsia="zh-CN"/>
        </w:rPr>
        <w:t>运，</w:t>
      </w:r>
      <w:r>
        <w:rPr>
          <w:rFonts w:hint="eastAsia" w:ascii="仿宋_GB2312" w:hAnsi="仿宋" w:eastAsia="仿宋_GB2312"/>
          <w:color w:val="auto"/>
          <w:sz w:val="32"/>
          <w:szCs w:val="32"/>
          <w:highlight w:val="none"/>
        </w:rPr>
        <w:t>不外排。</w:t>
      </w:r>
    </w:p>
    <w:p>
      <w:pPr>
        <w:pStyle w:val="16"/>
        <w:spacing w:line="560" w:lineRule="exact"/>
        <w:ind w:firstLine="640"/>
        <w:jc w:val="both"/>
        <w:rPr>
          <w:rFonts w:hint="eastAsia" w:eastAsia="仿宋_GB2312"/>
          <w:color w:val="auto"/>
        </w:rPr>
      </w:pP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四</w:t>
      </w:r>
      <w:r>
        <w:rPr>
          <w:rFonts w:hint="eastAsia" w:ascii="仿宋_GB2312" w:hAnsi="仿宋" w:eastAsia="仿宋_GB2312"/>
          <w:color w:val="auto"/>
          <w:sz w:val="32"/>
          <w:szCs w:val="32"/>
        </w:rPr>
        <w:t>）项目施工期及运行期的噪声值及防噪措施应满足《报告表》中提出的要求，监测值应符合国家评价标准限值要求。</w:t>
      </w:r>
    </w:p>
    <w:p>
      <w:pPr>
        <w:spacing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五</w:t>
      </w:r>
      <w:r>
        <w:rPr>
          <w:rFonts w:hint="eastAsia" w:ascii="仿宋_GB2312" w:hAnsi="仿宋" w:eastAsia="仿宋_GB2312"/>
          <w:color w:val="auto"/>
          <w:sz w:val="32"/>
          <w:szCs w:val="32"/>
        </w:rPr>
        <w:t>）环境影响报告表经批准后，项目的性质、规模、地点或生态保护、污染防治措施发生重大变动的，应当按要求重新报批。</w:t>
      </w:r>
    </w:p>
    <w:p>
      <w:pPr>
        <w:spacing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四、建设单位按规定程序完成竣工环境保护验收后，项目方可投入正式运行。</w:t>
      </w:r>
    </w:p>
    <w:p>
      <w:pPr>
        <w:spacing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五、我厅委托</w:t>
      </w:r>
      <w:r>
        <w:rPr>
          <w:rFonts w:hint="eastAsia" w:ascii="仿宋_GB2312" w:eastAsia="仿宋_GB2312"/>
          <w:color w:val="auto"/>
          <w:sz w:val="32"/>
          <w:szCs w:val="32"/>
          <w:lang w:val="zh-CN" w:eastAsia="zh-CN"/>
        </w:rPr>
        <w:t>乌兰察布市</w:t>
      </w:r>
      <w:r>
        <w:rPr>
          <w:rFonts w:hint="eastAsia" w:ascii="仿宋_GB2312" w:hAnsi="仿宋" w:eastAsia="仿宋_GB2312"/>
          <w:color w:val="auto"/>
          <w:sz w:val="32"/>
          <w:szCs w:val="32"/>
        </w:rPr>
        <w:t>生态环境局负责该项目施工期的监督检查工作。</w:t>
      </w:r>
    </w:p>
    <w:p>
      <w:pPr>
        <w:ind w:firstLine="640" w:firstLineChars="200"/>
      </w:pPr>
      <w:r>
        <w:rPr>
          <w:rFonts w:hint="eastAsia" w:ascii="仿宋_GB2312" w:hAnsi="仿宋" w:eastAsia="仿宋_GB2312"/>
          <w:sz w:val="32"/>
          <w:szCs w:val="32"/>
          <w:lang w:eastAsia="zh-CN"/>
        </w:rPr>
        <w:t>六、本批复不具有其他行政审批前置效力。</w:t>
      </w:r>
    </w:p>
    <w:p>
      <w:pPr>
        <w:pStyle w:val="2"/>
      </w:pPr>
    </w:p>
    <w:p/>
    <w:p/>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4"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2026年7月27日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187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5"/>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5"/>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5"/>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5"/>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97838"/>
    <w:rsid w:val="00001CA7"/>
    <w:rsid w:val="000502D9"/>
    <w:rsid w:val="00053C74"/>
    <w:rsid w:val="00054F6F"/>
    <w:rsid w:val="00081DD9"/>
    <w:rsid w:val="000A09BA"/>
    <w:rsid w:val="000A43C9"/>
    <w:rsid w:val="000C1059"/>
    <w:rsid w:val="000C2F45"/>
    <w:rsid w:val="000F448F"/>
    <w:rsid w:val="00104AD5"/>
    <w:rsid w:val="00107F1D"/>
    <w:rsid w:val="00112653"/>
    <w:rsid w:val="0011271C"/>
    <w:rsid w:val="00161599"/>
    <w:rsid w:val="0019160D"/>
    <w:rsid w:val="001A7FA4"/>
    <w:rsid w:val="00210BFD"/>
    <w:rsid w:val="00212159"/>
    <w:rsid w:val="002203D3"/>
    <w:rsid w:val="002432A7"/>
    <w:rsid w:val="002500C0"/>
    <w:rsid w:val="002778D8"/>
    <w:rsid w:val="00290DA8"/>
    <w:rsid w:val="002B7D95"/>
    <w:rsid w:val="002D6AFC"/>
    <w:rsid w:val="002F0DE2"/>
    <w:rsid w:val="0030486D"/>
    <w:rsid w:val="00304DD0"/>
    <w:rsid w:val="00323B61"/>
    <w:rsid w:val="00343966"/>
    <w:rsid w:val="003455EF"/>
    <w:rsid w:val="003619FA"/>
    <w:rsid w:val="00367954"/>
    <w:rsid w:val="00377A45"/>
    <w:rsid w:val="00393E71"/>
    <w:rsid w:val="003B1A02"/>
    <w:rsid w:val="003C6CE9"/>
    <w:rsid w:val="004074B9"/>
    <w:rsid w:val="00424C6E"/>
    <w:rsid w:val="00427D5F"/>
    <w:rsid w:val="00452E4A"/>
    <w:rsid w:val="00470680"/>
    <w:rsid w:val="004B7461"/>
    <w:rsid w:val="004C640A"/>
    <w:rsid w:val="004D3FC2"/>
    <w:rsid w:val="004F50C6"/>
    <w:rsid w:val="00505381"/>
    <w:rsid w:val="0051644C"/>
    <w:rsid w:val="00540847"/>
    <w:rsid w:val="00544386"/>
    <w:rsid w:val="005637DE"/>
    <w:rsid w:val="0056424C"/>
    <w:rsid w:val="0057112D"/>
    <w:rsid w:val="00571F6F"/>
    <w:rsid w:val="00577293"/>
    <w:rsid w:val="0058220B"/>
    <w:rsid w:val="00585C83"/>
    <w:rsid w:val="0058667A"/>
    <w:rsid w:val="00590474"/>
    <w:rsid w:val="00592CC9"/>
    <w:rsid w:val="0059710E"/>
    <w:rsid w:val="005A5BF2"/>
    <w:rsid w:val="005B2541"/>
    <w:rsid w:val="005E2C92"/>
    <w:rsid w:val="006132A1"/>
    <w:rsid w:val="00624B4A"/>
    <w:rsid w:val="006661A4"/>
    <w:rsid w:val="006A7884"/>
    <w:rsid w:val="006B38F9"/>
    <w:rsid w:val="006E1CA5"/>
    <w:rsid w:val="006E2329"/>
    <w:rsid w:val="006F264D"/>
    <w:rsid w:val="006F6255"/>
    <w:rsid w:val="00701535"/>
    <w:rsid w:val="0070579B"/>
    <w:rsid w:val="0070609C"/>
    <w:rsid w:val="0071070E"/>
    <w:rsid w:val="00715743"/>
    <w:rsid w:val="007173A8"/>
    <w:rsid w:val="00761FB3"/>
    <w:rsid w:val="0076589A"/>
    <w:rsid w:val="00786B2F"/>
    <w:rsid w:val="007925F1"/>
    <w:rsid w:val="0079344F"/>
    <w:rsid w:val="007A1610"/>
    <w:rsid w:val="007C0101"/>
    <w:rsid w:val="007D373D"/>
    <w:rsid w:val="007D5678"/>
    <w:rsid w:val="007F7DA1"/>
    <w:rsid w:val="00803418"/>
    <w:rsid w:val="00806A1A"/>
    <w:rsid w:val="00835942"/>
    <w:rsid w:val="00847C4B"/>
    <w:rsid w:val="00861920"/>
    <w:rsid w:val="008643C3"/>
    <w:rsid w:val="00873CD5"/>
    <w:rsid w:val="008804D9"/>
    <w:rsid w:val="008838C5"/>
    <w:rsid w:val="00883BA1"/>
    <w:rsid w:val="0089055A"/>
    <w:rsid w:val="00896DE4"/>
    <w:rsid w:val="008A0776"/>
    <w:rsid w:val="008A2A42"/>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B2D61"/>
    <w:rsid w:val="009F0D7E"/>
    <w:rsid w:val="009F4F97"/>
    <w:rsid w:val="00A03E70"/>
    <w:rsid w:val="00A06D52"/>
    <w:rsid w:val="00A14283"/>
    <w:rsid w:val="00A16266"/>
    <w:rsid w:val="00A32DBE"/>
    <w:rsid w:val="00A3438E"/>
    <w:rsid w:val="00A36EAB"/>
    <w:rsid w:val="00A42722"/>
    <w:rsid w:val="00A43C93"/>
    <w:rsid w:val="00A645D6"/>
    <w:rsid w:val="00A80E9C"/>
    <w:rsid w:val="00AA4C19"/>
    <w:rsid w:val="00AA52DF"/>
    <w:rsid w:val="00AA5ECB"/>
    <w:rsid w:val="00AF257E"/>
    <w:rsid w:val="00B057C0"/>
    <w:rsid w:val="00B14F3C"/>
    <w:rsid w:val="00B16355"/>
    <w:rsid w:val="00B22816"/>
    <w:rsid w:val="00B2798A"/>
    <w:rsid w:val="00B4476C"/>
    <w:rsid w:val="00B46191"/>
    <w:rsid w:val="00B61218"/>
    <w:rsid w:val="00B744E9"/>
    <w:rsid w:val="00B86149"/>
    <w:rsid w:val="00B91AFD"/>
    <w:rsid w:val="00BA1A77"/>
    <w:rsid w:val="00BA3600"/>
    <w:rsid w:val="00BD25C9"/>
    <w:rsid w:val="00BD4473"/>
    <w:rsid w:val="00BE3516"/>
    <w:rsid w:val="00BE5282"/>
    <w:rsid w:val="00BF428E"/>
    <w:rsid w:val="00BF6CDF"/>
    <w:rsid w:val="00C01D92"/>
    <w:rsid w:val="00C113FC"/>
    <w:rsid w:val="00C16CBC"/>
    <w:rsid w:val="00C17C84"/>
    <w:rsid w:val="00C26472"/>
    <w:rsid w:val="00C51E40"/>
    <w:rsid w:val="00C56BFB"/>
    <w:rsid w:val="00C577B3"/>
    <w:rsid w:val="00C621D4"/>
    <w:rsid w:val="00C746BE"/>
    <w:rsid w:val="00C85C1B"/>
    <w:rsid w:val="00C93108"/>
    <w:rsid w:val="00CA4F47"/>
    <w:rsid w:val="00CA6FED"/>
    <w:rsid w:val="00CD05D4"/>
    <w:rsid w:val="00CE37E8"/>
    <w:rsid w:val="00CE5F3B"/>
    <w:rsid w:val="00CE6186"/>
    <w:rsid w:val="00CF1A19"/>
    <w:rsid w:val="00CF219E"/>
    <w:rsid w:val="00CF24AC"/>
    <w:rsid w:val="00D01418"/>
    <w:rsid w:val="00D04066"/>
    <w:rsid w:val="00D32923"/>
    <w:rsid w:val="00D50FC8"/>
    <w:rsid w:val="00D621C7"/>
    <w:rsid w:val="00D80399"/>
    <w:rsid w:val="00D809A3"/>
    <w:rsid w:val="00D902CF"/>
    <w:rsid w:val="00D94E37"/>
    <w:rsid w:val="00DA457E"/>
    <w:rsid w:val="00DB2033"/>
    <w:rsid w:val="00DC1210"/>
    <w:rsid w:val="00DC22A8"/>
    <w:rsid w:val="00DC440E"/>
    <w:rsid w:val="00DD67D3"/>
    <w:rsid w:val="00E012C8"/>
    <w:rsid w:val="00E157E5"/>
    <w:rsid w:val="00E50C21"/>
    <w:rsid w:val="00E62075"/>
    <w:rsid w:val="00E7161E"/>
    <w:rsid w:val="00E7452B"/>
    <w:rsid w:val="00E90476"/>
    <w:rsid w:val="00EB0809"/>
    <w:rsid w:val="00ED4B7B"/>
    <w:rsid w:val="00EE242A"/>
    <w:rsid w:val="00F06195"/>
    <w:rsid w:val="00F074EA"/>
    <w:rsid w:val="00F2401B"/>
    <w:rsid w:val="00F373F3"/>
    <w:rsid w:val="00F556D9"/>
    <w:rsid w:val="00F5592D"/>
    <w:rsid w:val="00F90174"/>
    <w:rsid w:val="00F93676"/>
    <w:rsid w:val="00FB4FFE"/>
    <w:rsid w:val="00FC281C"/>
    <w:rsid w:val="00FD0FAA"/>
    <w:rsid w:val="00FF0974"/>
    <w:rsid w:val="01067184"/>
    <w:rsid w:val="01283F97"/>
    <w:rsid w:val="02034156"/>
    <w:rsid w:val="035D2B78"/>
    <w:rsid w:val="03696E5B"/>
    <w:rsid w:val="03EA6B8D"/>
    <w:rsid w:val="04AF3D28"/>
    <w:rsid w:val="06414C48"/>
    <w:rsid w:val="06FD2E81"/>
    <w:rsid w:val="078C4B32"/>
    <w:rsid w:val="0C293B57"/>
    <w:rsid w:val="0E4627D6"/>
    <w:rsid w:val="0EE7076D"/>
    <w:rsid w:val="0FF01CE2"/>
    <w:rsid w:val="11DB31C3"/>
    <w:rsid w:val="125A4F9B"/>
    <w:rsid w:val="166710AD"/>
    <w:rsid w:val="171D0934"/>
    <w:rsid w:val="1750305B"/>
    <w:rsid w:val="17BE3596"/>
    <w:rsid w:val="17CC3694"/>
    <w:rsid w:val="18BF59B2"/>
    <w:rsid w:val="1AF727D3"/>
    <w:rsid w:val="1B19675F"/>
    <w:rsid w:val="1C3B00DC"/>
    <w:rsid w:val="1EC02023"/>
    <w:rsid w:val="1F5E4075"/>
    <w:rsid w:val="201A69CD"/>
    <w:rsid w:val="20A91A11"/>
    <w:rsid w:val="21C84299"/>
    <w:rsid w:val="22904BBD"/>
    <w:rsid w:val="238A2596"/>
    <w:rsid w:val="24A86E33"/>
    <w:rsid w:val="251E1B7F"/>
    <w:rsid w:val="259B6FBE"/>
    <w:rsid w:val="28044EC3"/>
    <w:rsid w:val="293C7576"/>
    <w:rsid w:val="2A4C74AD"/>
    <w:rsid w:val="2D3E0262"/>
    <w:rsid w:val="3078340E"/>
    <w:rsid w:val="365E4655"/>
    <w:rsid w:val="36ED9BF5"/>
    <w:rsid w:val="377E1867"/>
    <w:rsid w:val="3BDD3AA0"/>
    <w:rsid w:val="3C032EFE"/>
    <w:rsid w:val="3C431296"/>
    <w:rsid w:val="3D997D89"/>
    <w:rsid w:val="3E001F66"/>
    <w:rsid w:val="40DE7A76"/>
    <w:rsid w:val="41E57898"/>
    <w:rsid w:val="42334353"/>
    <w:rsid w:val="43BE5DA5"/>
    <w:rsid w:val="449924D3"/>
    <w:rsid w:val="48D80B0B"/>
    <w:rsid w:val="4955784C"/>
    <w:rsid w:val="4B2974AE"/>
    <w:rsid w:val="4E08718E"/>
    <w:rsid w:val="500F600B"/>
    <w:rsid w:val="52D72F1B"/>
    <w:rsid w:val="551ECD01"/>
    <w:rsid w:val="55BA08E6"/>
    <w:rsid w:val="56354618"/>
    <w:rsid w:val="56770825"/>
    <w:rsid w:val="57DF9C3D"/>
    <w:rsid w:val="58CA2C35"/>
    <w:rsid w:val="5A0A5B88"/>
    <w:rsid w:val="5A2A1A16"/>
    <w:rsid w:val="5B1F8E3F"/>
    <w:rsid w:val="5F001B36"/>
    <w:rsid w:val="5F0D4001"/>
    <w:rsid w:val="610B5ACF"/>
    <w:rsid w:val="615D0E52"/>
    <w:rsid w:val="622C3B53"/>
    <w:rsid w:val="625C4B72"/>
    <w:rsid w:val="63494B4B"/>
    <w:rsid w:val="647C4CF5"/>
    <w:rsid w:val="64B557C6"/>
    <w:rsid w:val="653806B8"/>
    <w:rsid w:val="67C12074"/>
    <w:rsid w:val="67CD23C4"/>
    <w:rsid w:val="68AC3246"/>
    <w:rsid w:val="69EE13C7"/>
    <w:rsid w:val="6A9579E6"/>
    <w:rsid w:val="6AE33BBB"/>
    <w:rsid w:val="6B8A321B"/>
    <w:rsid w:val="6BA87F99"/>
    <w:rsid w:val="6BFE0C34"/>
    <w:rsid w:val="6C5D38C7"/>
    <w:rsid w:val="6C6F68F8"/>
    <w:rsid w:val="6DDE70B2"/>
    <w:rsid w:val="6E0A6B18"/>
    <w:rsid w:val="6E401570"/>
    <w:rsid w:val="6F9F6D6E"/>
    <w:rsid w:val="6FE97838"/>
    <w:rsid w:val="6FFB779E"/>
    <w:rsid w:val="71D96AFD"/>
    <w:rsid w:val="72536B1A"/>
    <w:rsid w:val="73942F17"/>
    <w:rsid w:val="73ED7448"/>
    <w:rsid w:val="73FF04CC"/>
    <w:rsid w:val="7734C812"/>
    <w:rsid w:val="775DCE8C"/>
    <w:rsid w:val="77E77440"/>
    <w:rsid w:val="79BF6BCC"/>
    <w:rsid w:val="7A7C4677"/>
    <w:rsid w:val="7BDF4FB7"/>
    <w:rsid w:val="7BE16A25"/>
    <w:rsid w:val="7BFF4D51"/>
    <w:rsid w:val="7D6F7921"/>
    <w:rsid w:val="7D754DCD"/>
    <w:rsid w:val="7DF57FF9"/>
    <w:rsid w:val="7E705781"/>
    <w:rsid w:val="7F7F0B6C"/>
    <w:rsid w:val="7FDA3C7B"/>
    <w:rsid w:val="B77FE3A3"/>
    <w:rsid w:val="B82F2B2C"/>
    <w:rsid w:val="BF7544F9"/>
    <w:rsid w:val="BFB76A59"/>
    <w:rsid w:val="BFBBF531"/>
    <w:rsid w:val="C6FE2E89"/>
    <w:rsid w:val="C79D9F01"/>
    <w:rsid w:val="D3BBD5BE"/>
    <w:rsid w:val="DCFB1A00"/>
    <w:rsid w:val="DDF8E911"/>
    <w:rsid w:val="DF4FEC23"/>
    <w:rsid w:val="E3ED60E1"/>
    <w:rsid w:val="ED76676D"/>
    <w:rsid w:val="EE575DFE"/>
    <w:rsid w:val="EEFEFB97"/>
    <w:rsid w:val="EF834651"/>
    <w:rsid w:val="F267F37D"/>
    <w:rsid w:val="F593D550"/>
    <w:rsid w:val="F79DF4DF"/>
    <w:rsid w:val="F7FFB1D3"/>
    <w:rsid w:val="FA791A24"/>
    <w:rsid w:val="FB737E87"/>
    <w:rsid w:val="FDBE67B1"/>
    <w:rsid w:val="FED44BBC"/>
    <w:rsid w:val="FFBFC3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rPr>
      <w:szCs w:val="20"/>
    </w:rPr>
  </w:style>
  <w:style w:type="paragraph" w:styleId="4">
    <w:name w:val="Balloon Text"/>
    <w:basedOn w:val="1"/>
    <w:link w:val="13"/>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kern w:val="0"/>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kern w:val="0"/>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styleId="11">
    <w:name w:val="annotation reference"/>
    <w:basedOn w:val="9"/>
    <w:qFormat/>
    <w:uiPriority w:val="0"/>
    <w:rPr>
      <w:rFonts w:ascii="Calibri" w:hAnsi="Calibri" w:eastAsia="宋体" w:cs="Times New Roman"/>
      <w:sz w:val="21"/>
      <w:szCs w:val="21"/>
    </w:rPr>
  </w:style>
  <w:style w:type="character" w:customStyle="1" w:styleId="12">
    <w:name w:val="页眉 Char"/>
    <w:basedOn w:val="9"/>
    <w:link w:val="6"/>
    <w:semiHidden/>
    <w:qFormat/>
    <w:uiPriority w:val="99"/>
    <w:rPr>
      <w:sz w:val="18"/>
      <w:szCs w:val="18"/>
    </w:rPr>
  </w:style>
  <w:style w:type="character" w:customStyle="1" w:styleId="13">
    <w:name w:val="批注框文本 Char"/>
    <w:basedOn w:val="9"/>
    <w:link w:val="4"/>
    <w:semiHidden/>
    <w:qFormat/>
    <w:uiPriority w:val="99"/>
    <w:rPr>
      <w:kern w:val="2"/>
      <w:sz w:val="18"/>
      <w:szCs w:val="18"/>
    </w:rPr>
  </w:style>
  <w:style w:type="character" w:customStyle="1" w:styleId="14">
    <w:name w:val="页脚 Char"/>
    <w:basedOn w:val="9"/>
    <w:link w:val="5"/>
    <w:semiHidden/>
    <w:qFormat/>
    <w:uiPriority w:val="99"/>
    <w:rPr>
      <w:sz w:val="18"/>
      <w:szCs w:val="18"/>
    </w:rPr>
  </w:style>
  <w:style w:type="paragraph" w:customStyle="1" w:styleId="15">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6">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 w:type="paragraph" w:customStyle="1" w:styleId="17">
    <w:name w:val="无间隔1"/>
    <w:basedOn w:val="1"/>
    <w:qFormat/>
    <w:uiPriority w:val="0"/>
    <w:pPr>
      <w:spacing w:line="400" w:lineRule="exact"/>
    </w:pPr>
    <w:rPr>
      <w:sz w:val="24"/>
      <w:szCs w:val="20"/>
    </w:rPr>
  </w:style>
  <w:style w:type="paragraph" w:customStyle="1" w:styleId="18">
    <w:name w:val="zw"/>
    <w:basedOn w:val="1"/>
    <w:qFormat/>
    <w:uiPriority w:val="0"/>
    <w:pPr>
      <w:shd w:val="clear" w:color="auto" w:fill="FFFFFF"/>
      <w:adjustRightInd w:val="0"/>
      <w:snapToGrid w:val="0"/>
      <w:spacing w:line="360" w:lineRule="auto"/>
      <w:ind w:firstLine="480"/>
    </w:pPr>
    <w:rPr>
      <w:rFonts w:ascii="Times New Roman" w:hAnsi="Times New Roman"/>
      <w:snapToGrid w:val="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1</Pages>
  <Words>28</Words>
  <Characters>160</Characters>
  <Lines>1</Lines>
  <Paragraphs>1</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2021-10-25T21:08:00Z</dcterms:created>
  <dc:creator>袁迎辉</dc:creator>
  <cp:lastModifiedBy>hjt</cp:lastModifiedBy>
  <cp:lastPrinted>2018-11-14T17:34:00Z</cp:lastPrinted>
  <dcterms:modified xsi:type="dcterms:W3CDTF">2026-08-03T17:17:00Z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ies>
</file>