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bookmarkStart w:id="0" w:name="标题"/>
      <mc:AlternateContent>
        <mc:Choice Requires="wpsCustomData">
          <wpsCustomData:docfieldStart id="0" docfieldname="标题" hidden="false" print="true" readonly="false" index="2"/>
        </mc:Choice>
      </mc:AlternateContent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内蒙古自治区生态环境厅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关于远景翁牛特旗及元宝山区风光制氢一体化项目（翁牛特旗63万千瓦风电）送出线路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工程建设项目环境影响报告表的批复</w:t>
      </w:r>
      <w:bookmarkEnd w:id="0"/>
    </w:p>
    <w:p>
      <w:pPr>
        <w:spacing w:line="560" w:lineRule="exact"/>
        <w:jc w:val="center"/>
        <w:rPr>
          <w:rFonts w:hint="eastAsia" w:ascii="仿宋_GB2312" w:hAnsi="仿宋" w:eastAsia="仿宋_GB2312"/>
          <w:sz w:val="32"/>
          <w:szCs w:val="32"/>
          <w:lang w:eastAsia="zh-CN"/>
        </w:rPr>
      </w:pPr>
      <w:bookmarkStart w:id="1" w:name="文号"/>
      <mc:AlternateContent>
        <mc:Choice Requires="wpsCustomData">
          <wpsCustomData:docfieldStart id="1" docfieldname="文号" hidden="false" print="true" readonly="false" index="1"/>
        </mc:Choice>
      </mc:AlternateContent>
      <w:r>
        <w:rPr>
          <w:rFonts w:hint="eastAsia" w:ascii="仿宋_GB2312" w:hAnsi="仿宋" w:eastAsia="仿宋_GB2312"/>
          <w:sz w:val="32"/>
          <w:szCs w:val="32"/>
          <w:lang w:eastAsia="zh-CN"/>
        </w:rPr>
        <w:t>内环表〔2026〕152号</w:t>
      </w:r>
      <mc:AlternateContent>
        <mc:Choice Requires="wpsCustomData">
          <wpsCustomData:docfieldEnd id="1"/>
        </mc:Choice>
      </mc:AlternateContent>
      <w:bookmarkEnd w:id="1"/>
    </w:p>
    <mc:AlternateContent>
      <mc:Choice Requires="wpsCustomData">
        <wpsCustomData:docfieldEnd id="0"/>
      </mc:Choice>
    </mc:AlternateContent>
    <w:p>
      <w:pPr>
        <w:pStyle w:val="2"/>
        <w:rPr>
          <w:rFonts w:hint="eastAsia"/>
          <w:lang w:eastAsia="zh-CN"/>
        </w:rPr>
      </w:pPr>
    </w:p>
    <w:p>
      <w:pPr>
        <w:spacing w:line="560" w:lineRule="exact"/>
        <w:rPr>
          <w:rFonts w:ascii="仿宋" w:hAnsi="仿宋" w:eastAsia="仿宋"/>
          <w:sz w:val="28"/>
        </w:rPr>
      </w:pPr>
    </w:p>
    <w:p>
      <w:pPr>
        <w:spacing w:line="560" w:lineRule="exact"/>
        <w:rPr>
          <w:rFonts w:ascii="仿宋_GB2312" w:hAnsi="仿宋" w:eastAsia="仿宋_GB2312"/>
          <w:bCs/>
          <w:sz w:val="32"/>
          <w:szCs w:val="32"/>
        </w:rPr>
      </w:pPr>
      <mc:AlternateContent>
        <mc:Choice Requires="wpsCustomData">
          <wpsCustomData:docfieldStart id="2" docfieldname="主送单位" hidden="false" print="true" readonly="false" index="3"/>
        </mc:Choice>
      </mc:AlternateContent>
      <w:bookmarkStart w:id="2" w:name="主送单位"/>
      <w:r>
        <w:rPr>
          <w:rFonts w:hint="eastAsia" w:ascii="仿宋_GB2312" w:hAnsi="仿宋" w:eastAsia="仿宋_GB2312"/>
          <w:bCs/>
          <w:sz w:val="32"/>
          <w:szCs w:val="32"/>
          <w:lang w:eastAsia="zh-CN"/>
        </w:rPr>
        <w:t>远景零碳技术（赤峰）有限公司</w:t>
      </w:r>
      <w:bookmarkEnd w:id="2"/>
      <mc:AlternateContent>
        <mc:Choice Requires="wpsCustomData">
          <wpsCustomData:docfieldEnd id="2"/>
        </mc:Choice>
      </mc:AlternateContent>
      <w:r>
        <w:rPr>
          <w:rFonts w:hint="eastAsia" w:ascii="仿宋_GB2312" w:hAnsi="仿宋" w:eastAsia="仿宋_GB2312"/>
          <w:bCs/>
          <w:sz w:val="32"/>
          <w:szCs w:val="32"/>
        </w:rPr>
        <w:t>：</w:t>
      </w:r>
    </w:p>
    <w:p>
      <w:pPr>
        <w:autoSpaceDE w:val="0"/>
        <w:autoSpaceDN w:val="0"/>
        <w:adjustRightInd w:val="0"/>
        <w:spacing w:line="560" w:lineRule="exact"/>
        <w:ind w:firstLine="640" w:firstLineChars="200"/>
        <w:rPr>
          <w:rFonts w:ascii="仿宋_GB2312" w:hAnsi="仿宋" w:eastAsia="仿宋_GB2312" w:cs="Times New Roman"/>
          <w:kern w:val="0"/>
          <w:sz w:val="32"/>
          <w:szCs w:val="32"/>
          <w:highlight w:val="none"/>
        </w:rPr>
      </w:pPr>
      <w:bookmarkStart w:id="3" w:name="正文文件"/>
      <w:bookmarkEnd w:id="3"/>
      <mc:AlternateContent>
        <mc:Choice Requires="wpsCustomData">
          <wpsCustomData:docfieldStart id="3" docfieldname="正文文件" hidden="false" print="true" readonly="false" index="4"/>
        </mc:Choice>
      </mc:AlternateContent>
      <w:r>
        <w:rPr>
          <w:rFonts w:hint="eastAsia" w:ascii="仿宋_GB2312" w:hAnsi="仿宋" w:eastAsia="仿宋_GB2312" w:cs="Times New Roman"/>
          <w:kern w:val="0"/>
          <w:sz w:val="32"/>
          <w:szCs w:val="32"/>
          <w:highlight w:val="none"/>
        </w:rPr>
        <w:t>你公司报送的《</w:t>
      </w:r>
      <w:r>
        <w:rPr>
          <w:rFonts w:hint="eastAsia" w:ascii="仿宋_GB2312" w:hAnsi="Calibri" w:eastAsia="仿宋_GB2312" w:cs="Times New Roman"/>
          <w:kern w:val="0"/>
          <w:sz w:val="32"/>
          <w:szCs w:val="32"/>
          <w:highlight w:val="none"/>
          <w:lang w:val="zh-CN"/>
        </w:rPr>
        <w:t>远景翁牛特旗及元宝山区风光制氢一体化项目（翁牛特旗63万千瓦风电）送出线路工程</w:t>
      </w:r>
      <w:r>
        <w:rPr>
          <w:rFonts w:hint="eastAsia" w:ascii="仿宋_GB2312" w:hAnsi="Calibri" w:eastAsia="仿宋_GB2312" w:cs="Times New Roman"/>
          <w:kern w:val="0"/>
          <w:sz w:val="32"/>
          <w:szCs w:val="32"/>
          <w:highlight w:val="none"/>
        </w:rPr>
        <w:t>建设项目</w:t>
      </w:r>
      <w:r>
        <w:rPr>
          <w:rFonts w:hint="eastAsia" w:ascii="仿宋_GB2312" w:hAnsi="仿宋" w:eastAsia="仿宋_GB2312" w:cs="Times New Roman"/>
          <w:kern w:val="0"/>
          <w:sz w:val="32"/>
          <w:szCs w:val="32"/>
          <w:highlight w:val="none"/>
        </w:rPr>
        <w:t>环境影响报告表》（以下简称《报告表》）收悉。经研究，批复如下：</w:t>
      </w:r>
    </w:p>
    <w:p>
      <w:pPr>
        <w:autoSpaceDE w:val="0"/>
        <w:autoSpaceDN w:val="0"/>
        <w:adjustRightInd w:val="0"/>
        <w:spacing w:line="560" w:lineRule="exact"/>
        <w:ind w:firstLine="640" w:firstLineChars="200"/>
        <w:rPr>
          <w:rFonts w:hint="eastAsia" w:ascii="仿宋_GB2312" w:hAnsi="仿宋" w:eastAsia="仿宋_GB2312" w:cs="Times New Roman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" w:eastAsia="仿宋_GB2312" w:cs="Times New Roman"/>
          <w:kern w:val="0"/>
          <w:sz w:val="32"/>
          <w:szCs w:val="32"/>
          <w:highlight w:val="none"/>
        </w:rPr>
        <w:t>一、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项目建设基本情况</w:t>
      </w:r>
    </w:p>
    <w:p>
      <w:pPr>
        <w:pageBreakBefore w:val="0"/>
        <w:kinsoku/>
        <w:wordWrap/>
        <w:overflowPunct/>
        <w:topLinePunct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新建220kV输电线路，起于远景翁牛特旗及元宝山区风光制氢一体化项目（翁牛特旗63万千瓦风电）2#升压站，止于1#扩建站。新建线路长23.239km，单回路架设，新建塔基70基。</w:t>
      </w:r>
    </w:p>
    <w:p>
      <w:pPr>
        <w:autoSpaceDE w:val="0"/>
        <w:autoSpaceDN w:val="0"/>
        <w:spacing w:line="560" w:lineRule="exact"/>
        <w:ind w:firstLine="640" w:firstLineChars="200"/>
        <w:rPr>
          <w:rFonts w:ascii="仿宋_GB2312" w:hAnsi="Times New Roman" w:eastAsia="仿宋_GB2312" w:cs="Times New Roman"/>
          <w:kern w:val="0"/>
          <w:sz w:val="32"/>
          <w:szCs w:val="32"/>
          <w:highlight w:val="none"/>
          <w:lang w:val="zh-CN"/>
        </w:rPr>
      </w:pPr>
      <w:r>
        <w:rPr>
          <w:rFonts w:hint="eastAsia" w:ascii="仿宋_GB2312" w:hAnsi="仿宋_GB2312" w:eastAsia="仿宋_GB2312" w:cs="Times New Roman"/>
          <w:bCs/>
          <w:kern w:val="0"/>
          <w:sz w:val="32"/>
          <w:szCs w:val="32"/>
          <w:highlight w:val="none"/>
          <w:lang w:val="zh-CN"/>
        </w:rPr>
        <w:t>本项目建设地点位于</w:t>
      </w:r>
      <w:r>
        <w:rPr>
          <w:rFonts w:hint="eastAsia" w:ascii="仿宋_GB2312" w:eastAsia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内蒙古自治区</w:t>
      </w:r>
      <w:r>
        <w:rPr>
          <w:rFonts w:hint="eastAsia" w:ascii="仿宋_GB2312" w:eastAsia="仿宋_GB2312"/>
          <w:bCs/>
          <w:color w:val="auto"/>
          <w:kern w:val="0"/>
          <w:sz w:val="32"/>
          <w:szCs w:val="32"/>
          <w:highlight w:val="none"/>
          <w:lang w:val="en-US" w:eastAsia="zh-CN"/>
        </w:rPr>
        <w:t>赤峰市翁牛特旗</w:t>
      </w:r>
      <w:r>
        <w:rPr>
          <w:rFonts w:hint="eastAsia" w:ascii="仿宋_GB2312" w:hAnsi="Times New Roman" w:eastAsia="仿宋_GB2312" w:cs="Times New Roman"/>
          <w:kern w:val="0"/>
          <w:sz w:val="32"/>
          <w:szCs w:val="32"/>
          <w:highlight w:val="none"/>
          <w:lang w:val="zh-CN"/>
        </w:rPr>
        <w:t>境内。</w:t>
      </w:r>
    </w:p>
    <w:p>
      <w:pPr>
        <w:spacing w:line="560" w:lineRule="exact"/>
        <w:ind w:firstLine="640" w:firstLineChars="200"/>
        <w:rPr>
          <w:rFonts w:ascii="仿宋_GB2312" w:hAnsi="Calibri" w:eastAsia="仿宋_GB2312" w:cs="Times New Roman"/>
          <w:sz w:val="32"/>
          <w:szCs w:val="32"/>
          <w:highlight w:val="none"/>
        </w:rPr>
      </w:pPr>
      <w:r>
        <w:rPr>
          <w:rFonts w:hint="eastAsia" w:ascii="仿宋_GB2312" w:hAnsi="仿宋" w:eastAsia="仿宋_GB2312" w:cs="宋体"/>
          <w:sz w:val="32"/>
          <w:szCs w:val="32"/>
          <w:highlight w:val="none"/>
        </w:rPr>
        <w:t>二、总体意见</w:t>
      </w:r>
    </w:p>
    <w:p>
      <w:pPr>
        <w:autoSpaceDE w:val="0"/>
        <w:autoSpaceDN w:val="0"/>
        <w:adjustRightInd w:val="0"/>
        <w:spacing w:line="560" w:lineRule="exact"/>
        <w:ind w:firstLine="640" w:firstLineChars="200"/>
        <w:jc w:val="both"/>
        <w:rPr>
          <w:rFonts w:ascii="仿宋_GB2312" w:hAnsi="仿宋" w:eastAsia="仿宋_GB2312" w:cs="Times New Roman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本项目在严格落实《报告表》提出的各项环境保护措</w:t>
      </w:r>
      <w:r>
        <w:rPr>
          <w:rFonts w:hint="eastAsia" w:ascii="仿宋_GB2312" w:hAnsi="仿宋" w:eastAsia="仿宋_GB2312"/>
          <w:sz w:val="32"/>
          <w:szCs w:val="32"/>
          <w:highlight w:val="none"/>
        </w:rPr>
        <w:t>施后，对</w:t>
      </w:r>
      <w:r>
        <w:rPr>
          <w:rFonts w:hint="eastAsia" w:ascii="仿宋_GB2312" w:hAnsi="仿宋_GB2312" w:eastAsia="仿宋_GB2312"/>
          <w:bCs/>
          <w:sz w:val="32"/>
          <w:szCs w:val="32"/>
          <w:highlight w:val="none"/>
        </w:rPr>
        <w:t>环境的不利影响和可能存在的环境风险在可控范围内。从环境保护角度分析，我厅原则同意本项目按照《报告表》中所列的性质、规模、地点和拟采取的环保措施进行</w:t>
      </w:r>
      <w:r>
        <w:rPr>
          <w:rFonts w:hint="eastAsia" w:ascii="仿宋_GB2312" w:hAnsi="仿宋" w:eastAsia="仿宋_GB2312"/>
          <w:sz w:val="32"/>
          <w:szCs w:val="32"/>
          <w:highlight w:val="none"/>
        </w:rPr>
        <w:t>建设。</w:t>
      </w:r>
    </w:p>
    <w:p>
      <w:pPr>
        <w:spacing w:line="560" w:lineRule="exact"/>
        <w:ind w:firstLine="640" w:firstLineChars="200"/>
        <w:rPr>
          <w:rFonts w:ascii="仿宋_GB2312" w:hAnsi="仿宋" w:eastAsia="仿宋_GB2312" w:cs="Times New Roman"/>
          <w:sz w:val="32"/>
          <w:szCs w:val="32"/>
          <w:highlight w:val="none"/>
        </w:rPr>
      </w:pPr>
      <w:r>
        <w:rPr>
          <w:rFonts w:hint="eastAsia" w:ascii="仿宋_GB2312" w:hAnsi="仿宋" w:eastAsia="仿宋_GB2312" w:cs="Times New Roman"/>
          <w:sz w:val="32"/>
          <w:szCs w:val="32"/>
          <w:highlight w:val="none"/>
        </w:rPr>
        <w:t>三、项目建设及运行期间应做好的工作</w:t>
      </w:r>
    </w:p>
    <w:p>
      <w:pPr>
        <w:spacing w:line="560" w:lineRule="exact"/>
        <w:ind w:firstLine="640" w:firstLineChars="200"/>
        <w:jc w:val="both"/>
        <w:rPr>
          <w:rFonts w:ascii="仿宋_GB2312" w:hAnsi="仿宋" w:eastAsia="仿宋_GB2312"/>
          <w:sz w:val="32"/>
          <w:szCs w:val="32"/>
          <w:highlight w:val="none"/>
        </w:rPr>
      </w:pPr>
      <w:r>
        <w:rPr>
          <w:rFonts w:hint="eastAsia" w:ascii="仿宋_GB2312" w:hAnsi="仿宋" w:eastAsia="仿宋_GB2312"/>
          <w:sz w:val="32"/>
          <w:szCs w:val="32"/>
          <w:highlight w:val="none"/>
        </w:rPr>
        <w:t>（一）严格落实项目施工期、运营期生态环境保护措施，做好生态保护与恢复工作。施工期严格控制施工活动范围，合理布局，尽量减少土地占用和植被破坏。</w:t>
      </w:r>
    </w:p>
    <w:p>
      <w:pPr>
        <w:spacing w:line="560" w:lineRule="exact"/>
        <w:ind w:firstLine="640" w:firstLineChars="200"/>
        <w:jc w:val="both"/>
        <w:rPr>
          <w:rFonts w:ascii="仿宋_GB2312" w:hAnsi="仿宋" w:eastAsia="仿宋_GB2312"/>
          <w:sz w:val="32"/>
          <w:szCs w:val="32"/>
          <w:highlight w:val="none"/>
        </w:rPr>
      </w:pPr>
      <w:r>
        <w:rPr>
          <w:rFonts w:hint="eastAsia" w:ascii="仿宋_GB2312" w:hAnsi="仿宋" w:eastAsia="仿宋_GB2312"/>
          <w:sz w:val="32"/>
          <w:szCs w:val="32"/>
          <w:highlight w:val="none"/>
        </w:rPr>
        <w:t>（二）认真落实《报告表》中提出的控制和改善工频电场、工频磁场对周边环境影响的措施和方法，监测值应符合《电磁环境控制限值》（GB8702-2014）要求。</w:t>
      </w:r>
    </w:p>
    <w:p>
      <w:pPr>
        <w:spacing w:line="560" w:lineRule="exact"/>
        <w:ind w:firstLine="640" w:firstLineChars="200"/>
        <w:rPr>
          <w:rFonts w:hint="eastAsia" w:ascii="仿宋_GB2312" w:hAnsi="仿宋" w:eastAsia="仿宋_GB2312"/>
          <w:sz w:val="32"/>
          <w:szCs w:val="32"/>
          <w:highlight w:val="none"/>
        </w:rPr>
      </w:pPr>
      <w:r>
        <w:rPr>
          <w:rFonts w:hint="eastAsia" w:ascii="仿宋_GB2312" w:hAnsi="仿宋" w:eastAsia="仿宋_GB2312"/>
          <w:sz w:val="32"/>
          <w:szCs w:val="32"/>
          <w:highlight w:val="none"/>
        </w:rPr>
        <w:t>（</w:t>
      </w:r>
      <w:r>
        <w:rPr>
          <w:rFonts w:hint="eastAsia" w:ascii="仿宋_GB2312" w:hAnsi="仿宋" w:eastAsia="仿宋_GB2312"/>
          <w:sz w:val="32"/>
          <w:szCs w:val="32"/>
          <w:highlight w:val="none"/>
          <w:lang w:eastAsia="zh-CN"/>
        </w:rPr>
        <w:t>三</w:t>
      </w:r>
      <w:r>
        <w:rPr>
          <w:rFonts w:hint="eastAsia" w:ascii="仿宋_GB2312" w:hAnsi="仿宋" w:eastAsia="仿宋_GB2312"/>
          <w:sz w:val="32"/>
          <w:szCs w:val="32"/>
          <w:highlight w:val="none"/>
        </w:rPr>
        <w:t>）项目施工期及运行期的噪声值及防噪措施应满足《报告表》中提出的要求，监测值应符合国家评价标准限值要求。</w:t>
      </w:r>
    </w:p>
    <w:p>
      <w:pPr>
        <w:spacing w:line="560" w:lineRule="exact"/>
        <w:ind w:firstLine="640" w:firstLineChars="200"/>
        <w:rPr>
          <w:rFonts w:hint="eastAsia" w:ascii="仿宋_GB2312" w:hAnsi="仿宋" w:eastAsia="仿宋_GB2312"/>
          <w:sz w:val="32"/>
          <w:szCs w:val="32"/>
          <w:highlight w:val="none"/>
        </w:rPr>
      </w:pPr>
      <w:r>
        <w:rPr>
          <w:rFonts w:hint="eastAsia" w:ascii="仿宋_GB2312" w:hAnsi="仿宋" w:eastAsia="仿宋_GB2312"/>
          <w:sz w:val="32"/>
          <w:szCs w:val="32"/>
          <w:highlight w:val="none"/>
        </w:rPr>
        <w:t>（</w:t>
      </w:r>
      <w:r>
        <w:rPr>
          <w:rFonts w:hint="eastAsia" w:ascii="仿宋_GB2312" w:hAnsi="仿宋" w:eastAsia="仿宋_GB2312"/>
          <w:sz w:val="32"/>
          <w:szCs w:val="32"/>
          <w:highlight w:val="none"/>
          <w:lang w:eastAsia="zh-CN"/>
        </w:rPr>
        <w:t>四</w:t>
      </w:r>
      <w:r>
        <w:rPr>
          <w:rFonts w:hint="eastAsia" w:ascii="仿宋_GB2312" w:hAnsi="仿宋" w:eastAsia="仿宋_GB2312"/>
          <w:sz w:val="32"/>
          <w:szCs w:val="32"/>
          <w:highlight w:val="none"/>
        </w:rPr>
        <w:t>）环境影响报告表经批准后，项目的性质、规模、地点或生态保护、污染防治措施发生重大变动的，应当按要求重新报批。</w:t>
      </w:r>
    </w:p>
    <w:p>
      <w:pPr>
        <w:spacing w:line="560" w:lineRule="exact"/>
        <w:ind w:firstLine="640" w:firstLineChars="200"/>
        <w:jc w:val="both"/>
        <w:rPr>
          <w:rFonts w:ascii="仿宋_GB2312" w:hAnsi="仿宋" w:eastAsia="仿宋_GB2312"/>
          <w:sz w:val="32"/>
          <w:szCs w:val="32"/>
          <w:highlight w:val="none"/>
        </w:rPr>
      </w:pPr>
      <w:r>
        <w:rPr>
          <w:rFonts w:hint="eastAsia" w:ascii="仿宋_GB2312" w:hAnsi="仿宋" w:eastAsia="仿宋_GB2312"/>
          <w:sz w:val="32"/>
          <w:szCs w:val="32"/>
          <w:highlight w:val="none"/>
        </w:rPr>
        <w:t>四、建设单位按规定程序完成竣工环境保护验收后，项目方可投入正式运行。</w:t>
      </w:r>
    </w:p>
    <w:p>
      <w:pPr>
        <w:spacing w:line="560" w:lineRule="exact"/>
        <w:ind w:firstLine="640" w:firstLineChars="200"/>
        <w:jc w:val="both"/>
        <w:rPr>
          <w:rFonts w:hint="eastAsia" w:ascii="仿宋_GB2312" w:hAnsi="仿宋" w:eastAsia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" w:eastAsia="仿宋_GB2312"/>
          <w:sz w:val="32"/>
          <w:szCs w:val="32"/>
          <w:highlight w:val="none"/>
        </w:rPr>
        <w:t>五、我厅委托</w:t>
      </w:r>
      <w:r>
        <w:rPr>
          <w:rFonts w:hint="eastAsia" w:ascii="仿宋_GB2312" w:eastAsia="仿宋_GB2312"/>
          <w:b w:val="0"/>
          <w:bCs w:val="0"/>
          <w:color w:val="000000"/>
          <w:sz w:val="32"/>
          <w:szCs w:val="32"/>
          <w:highlight w:val="none"/>
          <w:lang w:val="en-US" w:eastAsia="zh-CN"/>
        </w:rPr>
        <w:t>赤峰市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生态环境局负</w:t>
      </w:r>
      <w:r>
        <w:rPr>
          <w:rFonts w:hint="eastAsia" w:ascii="仿宋_GB2312" w:hAnsi="仿宋" w:eastAsia="仿宋_GB2312"/>
          <w:sz w:val="32"/>
          <w:szCs w:val="32"/>
          <w:highlight w:val="none"/>
        </w:rPr>
        <w:t>责该项目施工期的监督检查工作</w:t>
      </w:r>
      <w:r>
        <w:rPr>
          <w:rFonts w:hint="eastAsia" w:ascii="仿宋_GB2312" w:hAnsi="仿宋" w:eastAsia="仿宋_GB2312"/>
          <w:sz w:val="32"/>
          <w:szCs w:val="32"/>
          <w:highlight w:val="none"/>
          <w:lang w:eastAsia="zh-CN"/>
        </w:rPr>
        <w:t>。</w:t>
      </w:r>
    </w:p>
    <w:p>
      <w:pPr>
        <w:spacing w:line="560" w:lineRule="exact"/>
        <w:ind w:firstLine="640" w:firstLineChars="200"/>
        <w:jc w:val="both"/>
        <w:rPr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六、本批复不具有其他行政审批前置效力。</w:t>
      </w:r>
    </w:p>
    <w:p>
      <w:pPr>
        <w:spacing w:line="560" w:lineRule="exact"/>
        <w:ind w:firstLine="624" w:firstLineChars="200"/>
        <w:rPr>
          <w:rFonts w:ascii="仿宋_GB2312" w:hAnsi="仿宋" w:eastAsia="仿宋_GB2312"/>
          <w:spacing w:val="-4"/>
          <w:sz w:val="32"/>
          <w:szCs w:val="32"/>
        </w:rPr>
      </w:pPr>
    </w:p>
    <w:p>
      <w:pPr>
        <w:pStyle w:val="2"/>
        <w:rPr>
          <w:rFonts w:ascii="仿宋_GB2312" w:hAnsi="仿宋" w:eastAsia="仿宋_GB2312"/>
          <w:spacing w:val="-4"/>
          <w:sz w:val="32"/>
          <w:szCs w:val="32"/>
        </w:rPr>
      </w:pPr>
    </w:p>
    <mc:AlternateContent>
      <mc:Choice Requires="wpsCustomData">
        <wpsCustomData:docfieldEnd id="3"/>
      </mc:Choice>
    </mc:AlternateContent>
    <w:p>
      <w:pPr>
        <w:pStyle w:val="2"/>
      </w:pPr>
    </w:p>
    <w:p>
      <w:pPr>
        <w:spacing w:line="560" w:lineRule="exact"/>
        <w:jc w:val="lef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pacing w:val="-4"/>
          <w:sz w:val="32"/>
          <w:szCs w:val="32"/>
        </w:rPr>
        <w:t xml:space="preserve">                           内蒙古自治区生态环境厅  </w:t>
      </w:r>
      <w:r>
        <w:rPr>
          <w:rFonts w:hint="eastAsia" w:ascii="仿宋_GB2312" w:hAnsi="仿宋" w:eastAsia="仿宋_GB2312"/>
          <w:sz w:val="32"/>
          <w:szCs w:val="32"/>
        </w:rPr>
        <w:t xml:space="preserve"> </w:t>
      </w:r>
    </w:p>
    <w:p>
      <w:pPr>
        <w:spacing w:line="560" w:lineRule="exact"/>
        <w:ind w:right="55" w:rightChars="26"/>
        <w:jc w:val="left"/>
        <w:rPr>
          <w:rFonts w:hint="eastAsia" w:ascii="仿宋_GB2312" w:hAnsi="仿宋" w:eastAsia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                           </w:t>
      </w:r>
      <mc:AlternateContent>
        <mc:Choice Requires="wpsCustomData">
          <wpsCustomData:docfieldStart id="4" docfieldname="签发日期" hidden="false" print="true" readonly="false" index="5"/>
        </mc:Choice>
      </mc:AlternateContent>
      <w:bookmarkStart w:id="4" w:name="签发日期"/>
      <w:r>
        <w:rPr>
          <w:rFonts w:hint="eastAsia" w:ascii="仿宋_GB2312" w:hAnsi="仿宋" w:eastAsia="仿宋_GB2312"/>
          <w:sz w:val="32"/>
          <w:szCs w:val="32"/>
          <w:lang w:eastAsia="zh-CN"/>
        </w:rPr>
        <w:t>2026年7月27日</w:t>
      </w:r>
      <w:bookmarkEnd w:id="4"/>
      <mc:AlternateContent>
        <mc:Choice Requires="wpsCustomData">
          <wpsCustomData:docfieldEnd id="4"/>
        </mc:Choice>
      </mc:AlternateContent>
    </w:p>
    <w:p>
      <w:pPr>
        <w:spacing w:line="560" w:lineRule="exact"/>
      </w:pPr>
    </w:p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/>
    <w:p>
      <w:pPr>
        <w:pStyle w:val="2"/>
      </w:pPr>
    </w:p>
    <w:p/>
    <w:p>
      <w:pPr>
        <w:pStyle w:val="2"/>
      </w:pPr>
    </w:p>
    <w:p>
      <w:pPr>
        <w:spacing w:line="14" w:lineRule="exact"/>
        <w:ind w:right="315" w:rightChars="150"/>
        <w:rPr>
          <w:rFonts w:ascii="仿宋_GB2312" w:hAnsi="仿宋" w:eastAsia="仿宋_GB2312"/>
          <w:sz w:val="28"/>
          <w:szCs w:val="28"/>
        </w:rPr>
      </w:pPr>
      <w:bookmarkStart w:id="5" w:name="_GoBack"/>
      <w:bookmarkEnd w:id="5"/>
    </w:p>
    <w:sectPr>
      <w:headerReference r:id="rId3" w:type="default"/>
      <w:footerReference r:id="rId5" w:type="default"/>
      <w:headerReference r:id="rId4" w:type="even"/>
      <w:footerReference r:id="rId6" w:type="even"/>
      <w:type w:val="continuous"/>
      <w:pgSz w:w="11907" w:h="16840"/>
      <w:pgMar w:top="2041" w:right="1531" w:bottom="2041" w:left="1531" w:header="851" w:footer="1587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7A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0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微软雅黑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591185" cy="230505"/>
              <wp:effectExtent l="0" t="0" r="0" b="0"/>
              <wp:wrapNone/>
              <wp:docPr id="3" name="Quad Arrow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59118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3" o:spid="_x0000_s1026" o:spt="202" type="#_x0000_t202" style="position:absolute;left:0pt;margin-top:0.05pt;height:18.15pt;width:46.55pt;mso-position-horizontal:outside;mso-position-horizontal-relative:margin;z-index:251659264;mso-width-relative:page;mso-height-relative:page;" filled="f" stroked="f" coordsize="21600,21600" o:gfxdata="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FgAAAGRycy9QSwECFAAUAAAACACHTuJA&#10;ripQTtQAAAADAQAADwAAAAAAAAABACAAAAA4AAAAZHJzL2Rvd25yZXYueG1sUEsBAhQAFAAAAAgA&#10;h07iQLGQ83+hAQAAOQMAAA4AAAAAAAAAAQAgAAAAOQEAAGRycy9lMm9Eb2MueG1sUEsFBgAAAAAG&#10;AAYAWQEAAEw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4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right="360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608965" cy="230505"/>
              <wp:effectExtent l="0" t="0" r="0" b="0"/>
              <wp:wrapNone/>
              <wp:docPr id="4" name="Quad Arrow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60896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4" o:spid="_x0000_s1026" o:spt="202" type="#_x0000_t202" style="position:absolute;left:0pt;margin-top:0.05pt;height:18.15pt;width:47.95pt;mso-position-horizontal:outside;mso-position-horizontal-relative:margin;z-index:251660288;mso-width-relative:page;mso-height-relative:page;" filled="f" stroked="f" coordsize="21600,21600" o:gfxdata="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WAAAAZHJzL1BLAQIUABQAAAAIAIdO4kBq&#10;8m6J0wAAAAMBAAAPAAAAAAAAAAEAIAAAADgAAABkcnMvZG93bnJldi54bWxQSwECFAAUAAAACACH&#10;TuJA+pDoVqEBAAA5AwAADgAAAAAAAAABACAAAAA4AQAAZHJzL2Uyb0RvYy54bWxQSwUGAAAAAAYA&#10;BgBZAQAASw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4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true"/>
  <w:bordersDoNotSurroundFooter w:val="true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evenAndOddHeaders w:val="true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101"/>
    <w:rsid w:val="000502D9"/>
    <w:rsid w:val="00053C74"/>
    <w:rsid w:val="00081DD9"/>
    <w:rsid w:val="000A43C9"/>
    <w:rsid w:val="000F448F"/>
    <w:rsid w:val="00104AD5"/>
    <w:rsid w:val="00107F1D"/>
    <w:rsid w:val="00112653"/>
    <w:rsid w:val="00161599"/>
    <w:rsid w:val="0019160D"/>
    <w:rsid w:val="00212159"/>
    <w:rsid w:val="002203D3"/>
    <w:rsid w:val="002432A7"/>
    <w:rsid w:val="002778D8"/>
    <w:rsid w:val="00290DA8"/>
    <w:rsid w:val="002B7D95"/>
    <w:rsid w:val="002D6AFC"/>
    <w:rsid w:val="002F0DE2"/>
    <w:rsid w:val="0030486D"/>
    <w:rsid w:val="00323B61"/>
    <w:rsid w:val="003619FA"/>
    <w:rsid w:val="00393E71"/>
    <w:rsid w:val="003B1A02"/>
    <w:rsid w:val="003C6CE9"/>
    <w:rsid w:val="00424C6E"/>
    <w:rsid w:val="00452E4A"/>
    <w:rsid w:val="004B7461"/>
    <w:rsid w:val="004C640A"/>
    <w:rsid w:val="004D3FC2"/>
    <w:rsid w:val="004F50C6"/>
    <w:rsid w:val="00505381"/>
    <w:rsid w:val="00544386"/>
    <w:rsid w:val="0056424C"/>
    <w:rsid w:val="0057112D"/>
    <w:rsid w:val="00571F6F"/>
    <w:rsid w:val="00577293"/>
    <w:rsid w:val="0058220B"/>
    <w:rsid w:val="00585C83"/>
    <w:rsid w:val="00590474"/>
    <w:rsid w:val="00592CC9"/>
    <w:rsid w:val="005A5BF2"/>
    <w:rsid w:val="006132A1"/>
    <w:rsid w:val="00624B4A"/>
    <w:rsid w:val="006661A4"/>
    <w:rsid w:val="006A7884"/>
    <w:rsid w:val="006B38F9"/>
    <w:rsid w:val="006E1CA5"/>
    <w:rsid w:val="006E2329"/>
    <w:rsid w:val="006F6255"/>
    <w:rsid w:val="00701535"/>
    <w:rsid w:val="0070579B"/>
    <w:rsid w:val="00715743"/>
    <w:rsid w:val="007173A8"/>
    <w:rsid w:val="00761FB3"/>
    <w:rsid w:val="0076589A"/>
    <w:rsid w:val="00786B2F"/>
    <w:rsid w:val="007925F1"/>
    <w:rsid w:val="0079344F"/>
    <w:rsid w:val="007A1610"/>
    <w:rsid w:val="007C0101"/>
    <w:rsid w:val="007D373D"/>
    <w:rsid w:val="00835942"/>
    <w:rsid w:val="00847C4B"/>
    <w:rsid w:val="00861920"/>
    <w:rsid w:val="008643C3"/>
    <w:rsid w:val="00873CD5"/>
    <w:rsid w:val="008804D9"/>
    <w:rsid w:val="008838C5"/>
    <w:rsid w:val="00883BA1"/>
    <w:rsid w:val="0089055A"/>
    <w:rsid w:val="00896DE4"/>
    <w:rsid w:val="008A4595"/>
    <w:rsid w:val="008B77EC"/>
    <w:rsid w:val="008C34AF"/>
    <w:rsid w:val="008D27CA"/>
    <w:rsid w:val="00907606"/>
    <w:rsid w:val="00922F9C"/>
    <w:rsid w:val="0095741D"/>
    <w:rsid w:val="00964200"/>
    <w:rsid w:val="0096751F"/>
    <w:rsid w:val="00967FB8"/>
    <w:rsid w:val="00971513"/>
    <w:rsid w:val="0099392B"/>
    <w:rsid w:val="009950F5"/>
    <w:rsid w:val="00996316"/>
    <w:rsid w:val="009F0D7E"/>
    <w:rsid w:val="009F4F97"/>
    <w:rsid w:val="00A03E70"/>
    <w:rsid w:val="00A14283"/>
    <w:rsid w:val="00A16266"/>
    <w:rsid w:val="00A32DBE"/>
    <w:rsid w:val="00A3438E"/>
    <w:rsid w:val="00A36EAB"/>
    <w:rsid w:val="00A42722"/>
    <w:rsid w:val="00A43C93"/>
    <w:rsid w:val="00AA5ECB"/>
    <w:rsid w:val="00AF257E"/>
    <w:rsid w:val="00B057C0"/>
    <w:rsid w:val="00B16355"/>
    <w:rsid w:val="00B22816"/>
    <w:rsid w:val="00B2798A"/>
    <w:rsid w:val="00B4476C"/>
    <w:rsid w:val="00B46191"/>
    <w:rsid w:val="00B61218"/>
    <w:rsid w:val="00B86149"/>
    <w:rsid w:val="00B91AFD"/>
    <w:rsid w:val="00BA1A77"/>
    <w:rsid w:val="00BA3600"/>
    <w:rsid w:val="00BD25C9"/>
    <w:rsid w:val="00BD4473"/>
    <w:rsid w:val="00BE3516"/>
    <w:rsid w:val="00BE5282"/>
    <w:rsid w:val="00BF428E"/>
    <w:rsid w:val="00BF6CDF"/>
    <w:rsid w:val="00C113FC"/>
    <w:rsid w:val="00C26472"/>
    <w:rsid w:val="00C51E40"/>
    <w:rsid w:val="00C56BFB"/>
    <w:rsid w:val="00C577B3"/>
    <w:rsid w:val="00C621D4"/>
    <w:rsid w:val="00C746BE"/>
    <w:rsid w:val="00C85C1B"/>
    <w:rsid w:val="00C93108"/>
    <w:rsid w:val="00CA6FED"/>
    <w:rsid w:val="00CD05D4"/>
    <w:rsid w:val="00CE37E8"/>
    <w:rsid w:val="00CE5F3B"/>
    <w:rsid w:val="00CE6186"/>
    <w:rsid w:val="00CF1A19"/>
    <w:rsid w:val="00CF24AC"/>
    <w:rsid w:val="00D01418"/>
    <w:rsid w:val="00D04066"/>
    <w:rsid w:val="00D32923"/>
    <w:rsid w:val="00D50FC8"/>
    <w:rsid w:val="00D80399"/>
    <w:rsid w:val="00D809A3"/>
    <w:rsid w:val="00D902CF"/>
    <w:rsid w:val="00D94E37"/>
    <w:rsid w:val="00DC1210"/>
    <w:rsid w:val="00DC440E"/>
    <w:rsid w:val="00DD67D3"/>
    <w:rsid w:val="00E012C8"/>
    <w:rsid w:val="00E157E5"/>
    <w:rsid w:val="00E50C21"/>
    <w:rsid w:val="00E62075"/>
    <w:rsid w:val="00E7161E"/>
    <w:rsid w:val="00E7452B"/>
    <w:rsid w:val="00E90476"/>
    <w:rsid w:val="00EB0809"/>
    <w:rsid w:val="00EE242A"/>
    <w:rsid w:val="00F06195"/>
    <w:rsid w:val="00F2401B"/>
    <w:rsid w:val="00F373F3"/>
    <w:rsid w:val="00F556D9"/>
    <w:rsid w:val="00FC281C"/>
    <w:rsid w:val="00FF0974"/>
    <w:rsid w:val="01067184"/>
    <w:rsid w:val="01283F97"/>
    <w:rsid w:val="02034156"/>
    <w:rsid w:val="035D2B78"/>
    <w:rsid w:val="03696E5B"/>
    <w:rsid w:val="03EA6B8D"/>
    <w:rsid w:val="04AF3D28"/>
    <w:rsid w:val="06414C48"/>
    <w:rsid w:val="06FD2E81"/>
    <w:rsid w:val="078C4B32"/>
    <w:rsid w:val="0C293B57"/>
    <w:rsid w:val="0E4627D6"/>
    <w:rsid w:val="0FF01CE2"/>
    <w:rsid w:val="11DB31C3"/>
    <w:rsid w:val="125A4F9B"/>
    <w:rsid w:val="166710AD"/>
    <w:rsid w:val="171D0934"/>
    <w:rsid w:val="1750305B"/>
    <w:rsid w:val="17BE3596"/>
    <w:rsid w:val="17CC3694"/>
    <w:rsid w:val="18BF59B2"/>
    <w:rsid w:val="1C3B00DC"/>
    <w:rsid w:val="1EC02023"/>
    <w:rsid w:val="201A69CD"/>
    <w:rsid w:val="20A91A11"/>
    <w:rsid w:val="21C84299"/>
    <w:rsid w:val="22904BBD"/>
    <w:rsid w:val="238A2596"/>
    <w:rsid w:val="24A86E33"/>
    <w:rsid w:val="251E1B7F"/>
    <w:rsid w:val="259B6FBE"/>
    <w:rsid w:val="28044EC3"/>
    <w:rsid w:val="293C7576"/>
    <w:rsid w:val="2A4C74AD"/>
    <w:rsid w:val="2D3E0262"/>
    <w:rsid w:val="3078340E"/>
    <w:rsid w:val="377E1867"/>
    <w:rsid w:val="3C032EFE"/>
    <w:rsid w:val="3C431296"/>
    <w:rsid w:val="3D997D89"/>
    <w:rsid w:val="3FEFAECF"/>
    <w:rsid w:val="40DE7A76"/>
    <w:rsid w:val="41E57898"/>
    <w:rsid w:val="43BE5DA5"/>
    <w:rsid w:val="48D80B0B"/>
    <w:rsid w:val="4955784C"/>
    <w:rsid w:val="4E08718E"/>
    <w:rsid w:val="500F600B"/>
    <w:rsid w:val="52D72F1B"/>
    <w:rsid w:val="55BA08E6"/>
    <w:rsid w:val="56354618"/>
    <w:rsid w:val="56770825"/>
    <w:rsid w:val="58CA2C35"/>
    <w:rsid w:val="5A0A5B88"/>
    <w:rsid w:val="5A2A1A16"/>
    <w:rsid w:val="5F001B36"/>
    <w:rsid w:val="5F0D4001"/>
    <w:rsid w:val="610B5ACF"/>
    <w:rsid w:val="615D0E52"/>
    <w:rsid w:val="622C3B53"/>
    <w:rsid w:val="625C4B72"/>
    <w:rsid w:val="647C4CF5"/>
    <w:rsid w:val="64B557C6"/>
    <w:rsid w:val="653806B8"/>
    <w:rsid w:val="67C12074"/>
    <w:rsid w:val="67CD23C4"/>
    <w:rsid w:val="68AC3246"/>
    <w:rsid w:val="69EE13C7"/>
    <w:rsid w:val="6A9579E6"/>
    <w:rsid w:val="6AE33BBB"/>
    <w:rsid w:val="6C5D38C7"/>
    <w:rsid w:val="6E0A6B18"/>
    <w:rsid w:val="6E401570"/>
    <w:rsid w:val="71D96AFD"/>
    <w:rsid w:val="72536B1A"/>
    <w:rsid w:val="73942F17"/>
    <w:rsid w:val="73ED7448"/>
    <w:rsid w:val="73FF04CC"/>
    <w:rsid w:val="775DCE8C"/>
    <w:rsid w:val="77E77440"/>
    <w:rsid w:val="7BE16A25"/>
    <w:rsid w:val="7BFF4D51"/>
    <w:rsid w:val="7D6F7921"/>
    <w:rsid w:val="7D754DCD"/>
    <w:rsid w:val="7E705781"/>
    <w:rsid w:val="7FDBBCBC"/>
    <w:rsid w:val="DF4FEC23"/>
    <w:rsid w:val="FB737E87"/>
    <w:rsid w:val="FDBE67B1"/>
    <w:rsid w:val="FED44BB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nhideWhenUsed="0" w:uiPriority="0" w:semiHidden="0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6"/>
    <w:basedOn w:val="1"/>
    <w:next w:val="1"/>
    <w:qFormat/>
    <w:uiPriority w:val="0"/>
    <w:pPr>
      <w:keepNext/>
      <w:keepLines/>
      <w:spacing w:before="240" w:after="64" w:line="320" w:lineRule="auto"/>
      <w:outlineLvl w:val="5"/>
    </w:pPr>
    <w:rPr>
      <w:rFonts w:ascii="Cambria" w:hAnsi="Cambria" w:eastAsiaTheme="minorEastAsia" w:cstheme="minorBidi"/>
      <w:b/>
      <w:bCs/>
      <w:sz w:val="24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5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page number"/>
    <w:basedOn w:val="8"/>
    <w:semiHidden/>
    <w:unhideWhenUsed/>
    <w:qFormat/>
    <w:uiPriority w:val="99"/>
  </w:style>
  <w:style w:type="character" w:customStyle="1" w:styleId="10">
    <w:name w:val="页眉 Char"/>
    <w:link w:val="5"/>
    <w:semiHidden/>
    <w:qFormat/>
    <w:uiPriority w:val="99"/>
    <w:rPr>
      <w:sz w:val="18"/>
      <w:szCs w:val="18"/>
    </w:rPr>
  </w:style>
  <w:style w:type="character" w:customStyle="1" w:styleId="11">
    <w:name w:val="批注框文本 Char"/>
    <w:basedOn w:val="8"/>
    <w:link w:val="3"/>
    <w:semiHidden/>
    <w:qFormat/>
    <w:uiPriority w:val="99"/>
    <w:rPr>
      <w:kern w:val="2"/>
      <w:sz w:val="18"/>
      <w:szCs w:val="18"/>
    </w:rPr>
  </w:style>
  <w:style w:type="character" w:customStyle="1" w:styleId="12">
    <w:name w:val="页脚 Char"/>
    <w:link w:val="4"/>
    <w:semiHidden/>
    <w:qFormat/>
    <w:uiPriority w:val="99"/>
    <w:rPr>
      <w:sz w:val="18"/>
      <w:szCs w:val="18"/>
    </w:rPr>
  </w:style>
  <w:style w:type="paragraph" w:customStyle="1" w:styleId="13">
    <w:name w:val="表头"/>
    <w:basedOn w:val="1"/>
    <w:next w:val="1"/>
    <w:qFormat/>
    <w:uiPriority w:val="0"/>
    <w:pPr>
      <w:tabs>
        <w:tab w:val="left" w:pos="6840"/>
      </w:tabs>
      <w:topLinePunct/>
      <w:snapToGrid w:val="0"/>
      <w:spacing w:line="529" w:lineRule="exact"/>
      <w:jc w:val="center"/>
    </w:pPr>
    <w:rPr>
      <w:rFonts w:ascii="宋体" w:hAnsi="宋体" w:eastAsiaTheme="minorEastAsia" w:cstheme="minorBidi"/>
      <w:b/>
      <w:kern w:val="24"/>
      <w:sz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Foundertech</Company>
  <Pages>2</Pages>
  <Words>609</Words>
  <Characters>634</Characters>
  <Lines>7</Lines>
  <Paragraphs>2</Paragraphs>
  <TotalTime>0</TotalTime>
  <ScaleCrop>false</ScaleCrop>
  <LinksUpToDate>false</LinksUpToDate>
  <CharactersWithSpaces>634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2025-01-06T18:23:00Z</dcterms:created>
  <dc:creator>俊喆 施</dc:creator>
  <cp:lastModifiedBy>hjt</cp:lastModifiedBy>
  <cp:lastPrinted>2018-11-14T17:34:00Z</cp:lastPrinted>
  <dcterms:modified xsi:type="dcterms:W3CDTF">2026-08-03T17:18:15Z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3A3E9ACF1B5C4802B330381ABAEA2165</vt:lpwstr>
  </property>
  <property fmtid="{D5CDD505-2E9C-101B-9397-08002B2CF9AE}" pid="4" name="KSOTemplateDocerSaveRecord">
    <vt:lpwstr>eyJoZGlkIjoiNDA0NmFmMTliYWVhNWJiZGI5Mjc1OTkxMjg3Yzg2MzQiLCJ1c2VySWQiOiIxNzAwNDE4NDE5In0=</vt:lpwstr>
  </property>
</Properties>
</file>