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关于达茂旗翔鹏50万千瓦/200万千瓦时储能电站项目（配套220kV升压站工程）建设</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项目环境影响报告表的批复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sz w:val="32"/>
          <w:szCs w:val="32"/>
          <w:lang w:eastAsia="zh-CN"/>
        </w:rPr>
        <w:t>内环表〔2026〕161号</w:t>
      </w:r>
      <w:bookmarkEnd w:id="1"/>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包头正信翔鹏储能有限公司</w:t>
      </w:r>
      <w:bookmarkEnd w:id="2"/>
      <mc:AlternateContent>
        <mc:Choice Requires="wpsCustomData">
          <wpsCustomData:docfieldEnd id="2"/>
        </mc:Choice>
      </mc:AlternateContent>
      <w:r>
        <w:rPr>
          <w:rFonts w:hint="eastAsia" w:ascii="仿宋_GB2312" w:hAnsi="仿宋" w:eastAsia="仿宋_GB2312"/>
          <w:bCs/>
          <w:sz w:val="32"/>
          <w:szCs w:val="32"/>
        </w:rPr>
        <w:t>：</w:t>
      </w:r>
    </w:p>
    <w:p>
      <w:pPr>
        <w:spacing w:line="560" w:lineRule="exact"/>
        <w:ind w:firstLine="640" w:firstLineChars="200"/>
        <w:rPr>
          <w:rFonts w:ascii="仿宋_GB2312" w:eastAsia="仿宋_GB2312"/>
          <w:color w:val="000000" w:themeColor="text1"/>
          <w:sz w:val="32"/>
          <w:szCs w:val="32"/>
          <w14:textFill>
            <w14:solidFill>
              <w14:schemeClr w14:val="tx1"/>
            </w14:solidFill>
          </w14:textFill>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hAnsi="仿宋_GB2312" w:eastAsia="仿宋_GB2312"/>
          <w:bCs/>
          <w:color w:val="000000" w:themeColor="text1"/>
          <w:sz w:val="32"/>
          <w:szCs w:val="32"/>
          <w14:textFill>
            <w14:solidFill>
              <w14:schemeClr w14:val="tx1"/>
            </w14:solidFill>
          </w14:textFill>
        </w:rPr>
        <w:t>你公司报送的《</w:t>
      </w:r>
      <w:r>
        <w:rPr>
          <w:rFonts w:hint="eastAsia" w:ascii="仿宋_GB2312" w:hAnsi="仿宋_GB2312" w:eastAsia="仿宋_GB2312" w:cs="仿宋_GB2312"/>
          <w:color w:val="000000" w:themeColor="text1"/>
          <w:kern w:val="0"/>
          <w:sz w:val="31"/>
          <w:szCs w:val="31"/>
          <w:lang w:val="en-US" w:eastAsia="zh-CN" w:bidi="ar"/>
          <w14:textFill>
            <w14:solidFill>
              <w14:schemeClr w14:val="tx1"/>
            </w14:solidFill>
          </w14:textFill>
        </w:rPr>
        <w:t>达茂旗翔鹏50万千瓦/200万千瓦时储能电站项目（配套220kV升压站工程）建设项目</w:t>
      </w:r>
      <w:r>
        <w:rPr>
          <w:rFonts w:hint="eastAsia" w:ascii="仿宋_GB2312" w:hAnsi="仿宋" w:eastAsia="仿宋_GB2312"/>
          <w:color w:val="000000" w:themeColor="text1"/>
          <w:sz w:val="32"/>
          <w:szCs w:val="32"/>
          <w14:textFill>
            <w14:solidFill>
              <w14:schemeClr w14:val="tx1"/>
            </w14:solidFill>
          </w14:textFill>
        </w:rPr>
        <w:t>环境影响</w:t>
      </w:r>
      <w:r>
        <w:rPr>
          <w:rFonts w:hint="eastAsia" w:ascii="仿宋_GB2312" w:hAnsi="仿宋" w:eastAsia="仿宋_GB2312"/>
          <w:color w:val="000000" w:themeColor="text1"/>
          <w:sz w:val="32"/>
          <w:szCs w:val="32"/>
          <w:lang w:eastAsia="zh-CN"/>
          <w14:textFill>
            <w14:solidFill>
              <w14:schemeClr w14:val="tx1"/>
            </w14:solidFill>
          </w14:textFill>
        </w:rPr>
        <w:t>报告表</w:t>
      </w:r>
      <w:r>
        <w:rPr>
          <w:rFonts w:hint="eastAsia" w:ascii="仿宋_GB2312" w:hAnsi="仿宋" w:eastAsia="仿宋_GB2312"/>
          <w:color w:val="000000" w:themeColor="text1"/>
          <w:sz w:val="32"/>
          <w:szCs w:val="32"/>
          <w14:textFill>
            <w14:solidFill>
              <w14:schemeClr w14:val="tx1"/>
            </w14:solidFill>
          </w14:textFill>
        </w:rPr>
        <w:t>》（以下简称《</w:t>
      </w:r>
      <w:r>
        <w:rPr>
          <w:rFonts w:hint="eastAsia" w:ascii="仿宋_GB2312" w:hAnsi="仿宋" w:eastAsia="仿宋_GB2312"/>
          <w:color w:val="000000" w:themeColor="text1"/>
          <w:sz w:val="32"/>
          <w:szCs w:val="32"/>
          <w:lang w:eastAsia="zh-CN"/>
          <w14:textFill>
            <w14:solidFill>
              <w14:schemeClr w14:val="tx1"/>
            </w14:solidFill>
          </w14:textFill>
        </w:rPr>
        <w:t>报告表</w:t>
      </w:r>
      <w:r>
        <w:rPr>
          <w:rFonts w:hint="eastAsia" w:ascii="仿宋_GB2312" w:hAnsi="仿宋" w:eastAsia="仿宋_GB2312"/>
          <w:color w:val="000000" w:themeColor="text1"/>
          <w:sz w:val="32"/>
          <w:szCs w:val="32"/>
          <w14:textFill>
            <w14:solidFill>
              <w14:schemeClr w14:val="tx1"/>
            </w14:solidFill>
          </w14:textFill>
        </w:rPr>
        <w:t>》）收悉。</w:t>
      </w:r>
      <w:r>
        <w:rPr>
          <w:rFonts w:hint="eastAsia" w:ascii="仿宋_GB2312" w:hAnsi="仿宋" w:eastAsia="仿宋_GB2312"/>
          <w:color w:val="auto"/>
          <w:sz w:val="32"/>
          <w:szCs w:val="32"/>
          <w:lang w:eastAsia="zh-CN"/>
        </w:rPr>
        <w:t>根据《建设项目环境影响评价分类管理名录》（</w:t>
      </w:r>
      <w:r>
        <w:rPr>
          <w:rFonts w:hint="eastAsia" w:ascii="仿宋_GB2312" w:hAnsi="仿宋" w:eastAsia="仿宋_GB2312"/>
          <w:color w:val="auto"/>
          <w:sz w:val="32"/>
          <w:szCs w:val="32"/>
          <w:lang w:val="en-US" w:eastAsia="zh-CN"/>
        </w:rPr>
        <w:t>2021年版</w:t>
      </w:r>
      <w:r>
        <w:rPr>
          <w:rFonts w:hint="eastAsia" w:ascii="仿宋_GB2312" w:hAnsi="仿宋" w:eastAsia="仿宋_GB2312"/>
          <w:color w:val="auto"/>
          <w:sz w:val="32"/>
          <w:szCs w:val="32"/>
          <w:lang w:eastAsia="zh-CN"/>
        </w:rPr>
        <w:t>），</w:t>
      </w:r>
      <w:r>
        <w:rPr>
          <w:rFonts w:hint="eastAsia" w:ascii="仿宋_GB2312" w:hAnsi="仿宋" w:eastAsia="仿宋_GB2312"/>
          <w:color w:val="000000" w:themeColor="text1"/>
          <w:sz w:val="32"/>
          <w:szCs w:val="32"/>
          <w14:textFill>
            <w14:solidFill>
              <w14:schemeClr w14:val="tx1"/>
            </w14:solidFill>
          </w14:textFill>
        </w:rPr>
        <w:t>经研究，批复如下：</w:t>
      </w:r>
    </w:p>
    <w:p>
      <w:pPr>
        <w:pStyle w:val="25"/>
        <w:numPr>
          <w:ilvl w:val="0"/>
          <w:numId w:val="1"/>
        </w:num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项目建设基本情况</w:t>
      </w:r>
    </w:p>
    <w:p>
      <w:pPr>
        <w:pStyle w:val="2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20" w:firstLineChars="200"/>
        <w:textAlignment w:val="auto"/>
        <w:rPr>
          <w:rFonts w:hint="eastAsia" w:ascii="仿宋_GB2312" w:hAnsi="仿宋_GB2312" w:eastAsia="仿宋_GB2312" w:cs="仿宋_GB2312"/>
          <w:color w:val="000000" w:themeColor="text1"/>
          <w:kern w:val="0"/>
          <w:sz w:val="31"/>
          <w:szCs w:val="31"/>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1"/>
          <w:szCs w:val="31"/>
          <w:lang w:val="en-US" w:eastAsia="zh-CN" w:bidi="ar"/>
          <w14:textFill>
            <w14:solidFill>
              <w14:schemeClr w14:val="tx1"/>
            </w14:solidFill>
          </w14:textFill>
        </w:rPr>
        <w:t>新建220kV升压站，建设2×280MVA主变，220kV出线间隔1个。</w:t>
      </w:r>
    </w:p>
    <w:p>
      <w:pPr>
        <w:pStyle w:val="24"/>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1"/>
          <w:szCs w:val="31"/>
          <w:lang w:val="en-US" w:eastAsia="zh-CN" w:bidi="ar"/>
          <w14:textFill>
            <w14:solidFill>
              <w14:schemeClr w14:val="tx1"/>
            </w14:solidFill>
          </w14:textFill>
        </w:rPr>
      </w:pPr>
      <w:r>
        <w:rPr>
          <w:rFonts w:hint="eastAsia" w:ascii="仿宋_GB2312" w:hAnsi="仿宋_GB2312" w:eastAsia="仿宋_GB2312"/>
          <w:bCs/>
          <w:color w:val="000000" w:themeColor="text1"/>
          <w:sz w:val="32"/>
          <w:szCs w:val="32"/>
          <w14:textFill>
            <w14:solidFill>
              <w14:schemeClr w14:val="tx1"/>
            </w14:solidFill>
          </w14:textFill>
        </w:rPr>
        <w:t>本项目建设地点位于</w:t>
      </w:r>
      <w:r>
        <w:rPr>
          <w:rFonts w:hint="eastAsia" w:ascii="仿宋_GB2312" w:hAnsi="仿宋_GB2312" w:eastAsia="仿宋_GB2312" w:cs="仿宋_GB2312"/>
          <w:color w:val="000000" w:themeColor="text1"/>
          <w:kern w:val="0"/>
          <w:sz w:val="31"/>
          <w:szCs w:val="31"/>
          <w:lang w:val="en-US" w:eastAsia="zh-CN" w:bidi="ar"/>
          <w14:textFill>
            <w14:solidFill>
              <w14:schemeClr w14:val="tx1"/>
            </w14:solidFill>
          </w14:textFill>
        </w:rPr>
        <w:t>内蒙古自治区包头市达尔罕茂明安联合旗境内。</w:t>
      </w:r>
    </w:p>
    <w:p>
      <w:pPr>
        <w:pStyle w:val="24"/>
        <w:spacing w:line="560" w:lineRule="exact"/>
        <w:ind w:firstLine="640"/>
        <w:rPr>
          <w:rFonts w:ascii="仿宋_GB2312" w:hAnsi="仿宋" w:eastAsia="仿宋_GB2312" w:cs="宋体"/>
          <w:color w:val="000000" w:themeColor="text1"/>
          <w:sz w:val="32"/>
          <w:szCs w:val="32"/>
          <w14:textFill>
            <w14:solidFill>
              <w14:schemeClr w14:val="tx1"/>
            </w14:solidFill>
          </w14:textFill>
        </w:rPr>
      </w:pPr>
      <w:r>
        <w:rPr>
          <w:rFonts w:hint="eastAsia" w:ascii="仿宋_GB2312" w:hAnsi="仿宋" w:eastAsia="仿宋_GB2312" w:cs="宋体"/>
          <w:color w:val="000000" w:themeColor="text1"/>
          <w:sz w:val="32"/>
          <w:szCs w:val="32"/>
          <w14:textFill>
            <w14:solidFill>
              <w14:schemeClr w14:val="tx1"/>
            </w14:solidFill>
          </w14:textFill>
        </w:rPr>
        <w:t>二、总体意见</w:t>
      </w:r>
    </w:p>
    <w:p>
      <w:pPr>
        <w:autoSpaceDE w:val="0"/>
        <w:autoSpaceDN w:val="0"/>
        <w:adjustRightInd w:val="0"/>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本项目在严格落实《</w:t>
      </w:r>
      <w:r>
        <w:rPr>
          <w:rFonts w:hint="eastAsia" w:ascii="仿宋_GB2312" w:eastAsia="仿宋_GB2312"/>
          <w:color w:val="000000" w:themeColor="text1"/>
          <w:sz w:val="32"/>
          <w:szCs w:val="32"/>
          <w:lang w:eastAsia="zh-CN"/>
          <w14:textFill>
            <w14:solidFill>
              <w14:schemeClr w14:val="tx1"/>
            </w14:solidFill>
          </w14:textFill>
        </w:rPr>
        <w:t>报告表</w:t>
      </w:r>
      <w:r>
        <w:rPr>
          <w:rFonts w:hint="eastAsia" w:ascii="仿宋_GB2312" w:eastAsia="仿宋_GB2312"/>
          <w:color w:val="000000" w:themeColor="text1"/>
          <w:sz w:val="32"/>
          <w:szCs w:val="32"/>
          <w14:textFill>
            <w14:solidFill>
              <w14:schemeClr w14:val="tx1"/>
            </w14:solidFill>
          </w14:textFill>
        </w:rPr>
        <w:t>》提出的各项环境保护措</w:t>
      </w:r>
      <w:r>
        <w:rPr>
          <w:rFonts w:hint="eastAsia" w:ascii="仿宋_GB2312" w:hAnsi="仿宋" w:eastAsia="仿宋_GB2312"/>
          <w:color w:val="000000" w:themeColor="text1"/>
          <w:sz w:val="32"/>
          <w:szCs w:val="32"/>
          <w14:textFill>
            <w14:solidFill>
              <w14:schemeClr w14:val="tx1"/>
            </w14:solidFill>
          </w14:textFill>
        </w:rPr>
        <w:t>施后，对</w:t>
      </w:r>
      <w:r>
        <w:rPr>
          <w:rFonts w:hint="eastAsia" w:ascii="仿宋_GB2312" w:hAnsi="仿宋_GB2312" w:eastAsia="仿宋_GB2312"/>
          <w:bCs/>
          <w:color w:val="000000" w:themeColor="text1"/>
          <w:sz w:val="32"/>
          <w:szCs w:val="32"/>
          <w14:textFill>
            <w14:solidFill>
              <w14:schemeClr w14:val="tx1"/>
            </w14:solidFill>
          </w14:textFill>
        </w:rPr>
        <w:t>环境的不利影响和可能存在的环境风险在可控范围内。从环境保护角度分析，我厅原则同意本项目按照《</w:t>
      </w:r>
      <w:r>
        <w:rPr>
          <w:rFonts w:hint="eastAsia" w:ascii="仿宋_GB2312" w:hAnsi="仿宋_GB2312" w:eastAsia="仿宋_GB2312"/>
          <w:bCs/>
          <w:color w:val="000000" w:themeColor="text1"/>
          <w:sz w:val="32"/>
          <w:szCs w:val="32"/>
          <w:lang w:eastAsia="zh-CN"/>
          <w14:textFill>
            <w14:solidFill>
              <w14:schemeClr w14:val="tx1"/>
            </w14:solidFill>
          </w14:textFill>
        </w:rPr>
        <w:t>报告表</w:t>
      </w:r>
      <w:r>
        <w:rPr>
          <w:rFonts w:hint="eastAsia" w:ascii="仿宋_GB2312" w:hAnsi="仿宋_GB2312" w:eastAsia="仿宋_GB2312"/>
          <w:bCs/>
          <w:color w:val="000000" w:themeColor="text1"/>
          <w:sz w:val="32"/>
          <w:szCs w:val="32"/>
          <w14:textFill>
            <w14:solidFill>
              <w14:schemeClr w14:val="tx1"/>
            </w14:solidFill>
          </w14:textFill>
        </w:rPr>
        <w:t>》中所列的性质、规模、地点和拟采取的环保措施进行</w:t>
      </w:r>
      <w:r>
        <w:rPr>
          <w:rFonts w:hint="eastAsia" w:ascii="仿宋_GB2312" w:hAnsi="仿宋" w:eastAsia="仿宋_GB2312"/>
          <w:color w:val="000000" w:themeColor="text1"/>
          <w:sz w:val="32"/>
          <w:szCs w:val="32"/>
          <w14:textFill>
            <w14:solidFill>
              <w14:schemeClr w14:val="tx1"/>
            </w14:solidFill>
          </w14:textFill>
        </w:rPr>
        <w:t>建设。</w:t>
      </w:r>
    </w:p>
    <w:p>
      <w:pPr>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三、项目建设及运行期间应做好的工作</w:t>
      </w:r>
    </w:p>
    <w:p>
      <w:pPr>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（二）认真落实《</w:t>
      </w:r>
      <w:r>
        <w:rPr>
          <w:rFonts w:hint="eastAsia" w:ascii="仿宋_GB2312" w:hAnsi="仿宋" w:eastAsia="仿宋_GB2312"/>
          <w:color w:val="000000" w:themeColor="text1"/>
          <w:sz w:val="32"/>
          <w:szCs w:val="32"/>
          <w:lang w:eastAsia="zh-CN"/>
          <w14:textFill>
            <w14:solidFill>
              <w14:schemeClr w14:val="tx1"/>
            </w14:solidFill>
          </w14:textFill>
        </w:rPr>
        <w:t>报告表</w:t>
      </w:r>
      <w:r>
        <w:rPr>
          <w:rFonts w:hint="eastAsia" w:ascii="仿宋_GB2312" w:hAnsi="仿宋" w:eastAsia="仿宋_GB2312"/>
          <w:color w:val="000000" w:themeColor="text1"/>
          <w:sz w:val="32"/>
          <w:szCs w:val="32"/>
          <w14:textFill>
            <w14:solidFill>
              <w14:schemeClr w14:val="tx1"/>
            </w14:solidFill>
          </w14:textFill>
        </w:rPr>
        <w:t>》中提出的控制和改善工频电场、工频磁场对周边环境影响的措施和方法，监测值应符合《电磁环境控制限值》（GB8702-2014）要求。</w:t>
      </w:r>
    </w:p>
    <w:p>
      <w:pPr>
        <w:pStyle w:val="24"/>
        <w:spacing w:line="56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（三）运营期</w:t>
      </w:r>
      <w:r>
        <w:rPr>
          <w:rFonts w:hint="eastAsia" w:ascii="仿宋_GB2312" w:hAnsi="仿宋" w:eastAsia="仿宋_GB2312"/>
          <w:color w:val="000000" w:themeColor="text1"/>
          <w:sz w:val="32"/>
          <w:szCs w:val="32"/>
          <w:lang w:val="en-US" w:eastAsia="zh-CN"/>
          <w14:textFill>
            <w14:solidFill>
              <w14:schemeClr w14:val="tx1"/>
            </w14:solidFill>
          </w14:textFill>
        </w:rPr>
        <w:t>升压站生活污水经地埋式一体化污水处理设施处理后用于站内洒水抑尘和绿化，不外排。</w:t>
      </w:r>
      <w:r>
        <w:rPr>
          <w:rFonts w:hint="eastAsia" w:ascii="仿宋_GB2312" w:hAnsi="仿宋" w:eastAsia="仿宋_GB2312" w:cs="Times New Roman"/>
          <w:color w:val="000000" w:themeColor="text1"/>
          <w:sz w:val="32"/>
          <w:szCs w:val="32"/>
          <w:lang w:val="en-US" w:eastAsia="zh-CN"/>
          <w14:textFill>
            <w14:solidFill>
              <w14:schemeClr w14:val="tx1"/>
            </w14:solidFill>
          </w14:textFill>
        </w:rPr>
        <w:t>对设备维修过程中产生的废变压器油、废蓄</w:t>
      </w:r>
      <w:r>
        <w:rPr>
          <w:rFonts w:hint="eastAsia" w:ascii="仿宋_GB2312" w:hAnsi="仿宋" w:eastAsia="仿宋_GB2312"/>
          <w:color w:val="000000" w:themeColor="text1"/>
          <w:kern w:val="2"/>
          <w:sz w:val="32"/>
          <w:szCs w:val="32"/>
          <w:lang w:val="en-US"/>
          <w14:textFill>
            <w14:solidFill>
              <w14:schemeClr w14:val="tx1"/>
            </w14:solidFill>
          </w14:textFill>
        </w:rPr>
        <w:t>电池等应全部回收，如不能全部回收，必须单独存放，</w:t>
      </w:r>
      <w:r>
        <w:rPr>
          <w:rFonts w:hint="eastAsia" w:ascii="仿宋_GB2312" w:hAnsi="仿宋" w:eastAsia="仿宋_GB2312"/>
          <w:color w:val="000000" w:themeColor="text1"/>
          <w:sz w:val="32"/>
          <w:szCs w:val="32"/>
          <w14:textFill>
            <w14:solidFill>
              <w14:schemeClr w14:val="tx1"/>
            </w14:solidFill>
          </w14:textFill>
        </w:rPr>
        <w:t>集中送交有相应危险废物经营许可资质的单位处置。</w:t>
      </w:r>
    </w:p>
    <w:p>
      <w:pPr>
        <w:autoSpaceDE w:val="0"/>
        <w:autoSpaceDN w:val="0"/>
        <w:adjustRightInd w:val="0"/>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（四）项目施工期及运行期的噪声值及防噪措施应满足《</w:t>
      </w:r>
      <w:r>
        <w:rPr>
          <w:rFonts w:hint="eastAsia" w:ascii="仿宋_GB2312" w:hAnsi="仿宋" w:eastAsia="仿宋_GB2312"/>
          <w:color w:val="000000" w:themeColor="text1"/>
          <w:sz w:val="32"/>
          <w:szCs w:val="32"/>
          <w:lang w:eastAsia="zh-CN"/>
          <w14:textFill>
            <w14:solidFill>
              <w14:schemeClr w14:val="tx1"/>
            </w14:solidFill>
          </w14:textFill>
        </w:rPr>
        <w:t>报告表</w:t>
      </w:r>
      <w:r>
        <w:rPr>
          <w:rFonts w:hint="eastAsia" w:ascii="仿宋_GB2312" w:hAnsi="仿宋" w:eastAsia="仿宋_GB2312"/>
          <w:color w:val="000000" w:themeColor="text1"/>
          <w:sz w:val="32"/>
          <w:szCs w:val="32"/>
          <w14:textFill>
            <w14:solidFill>
              <w14:schemeClr w14:val="tx1"/>
            </w14:solidFill>
          </w14:textFill>
        </w:rPr>
        <w:t>》中提出的要求，监测值应符合国家评价标准限值要求。</w:t>
      </w:r>
    </w:p>
    <w:p>
      <w:pPr>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（五）环境影响</w:t>
      </w:r>
      <w:r>
        <w:rPr>
          <w:rFonts w:hint="eastAsia" w:ascii="仿宋_GB2312" w:hAnsi="仿宋" w:eastAsia="仿宋_GB2312"/>
          <w:color w:val="000000" w:themeColor="text1"/>
          <w:sz w:val="32"/>
          <w:szCs w:val="32"/>
          <w:lang w:eastAsia="zh-CN"/>
          <w14:textFill>
            <w14:solidFill>
              <w14:schemeClr w14:val="tx1"/>
            </w14:solidFill>
          </w14:textFill>
        </w:rPr>
        <w:t>报告表</w:t>
      </w:r>
      <w:r>
        <w:rPr>
          <w:rFonts w:hint="eastAsia" w:ascii="仿宋_GB2312" w:hAnsi="仿宋" w:eastAsia="仿宋_GB2312"/>
          <w:color w:val="000000" w:themeColor="text1"/>
          <w:sz w:val="32"/>
          <w:szCs w:val="32"/>
          <w14:textFill>
            <w14:solidFill>
              <w14:schemeClr w14:val="tx1"/>
            </w14:solidFill>
          </w14:textFill>
        </w:rPr>
        <w:t>经批准后，项目的性质、规模、地点或生态保护、污染防治措施发生重大变动的，应当按要求重新报批。</w:t>
      </w:r>
    </w:p>
    <w:p>
      <w:pPr>
        <w:spacing w:line="560"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四、建设单位按规定程序完成竣工环境保护验收后，项目方可投入正式运行。</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五、我厅委托</w:t>
      </w:r>
      <w:r>
        <w:rPr>
          <w:rFonts w:hint="eastAsia" w:ascii="仿宋_GB2312" w:eastAsia="仿宋_GB2312"/>
          <w:color w:val="000000" w:themeColor="text1"/>
          <w:sz w:val="32"/>
          <w:szCs w:val="32"/>
          <w:lang w:val="en-US" w:eastAsia="zh-CN"/>
          <w14:textFill>
            <w14:solidFill>
              <w14:schemeClr w14:val="tx1"/>
            </w14:solidFill>
          </w14:textFill>
        </w:rPr>
        <w:t>包头市</w:t>
      </w:r>
      <w:r>
        <w:rPr>
          <w:rFonts w:hint="eastAsia" w:ascii="仿宋_GB2312" w:hAnsi="仿宋" w:eastAsia="仿宋_GB2312"/>
          <w:color w:val="000000" w:themeColor="text1"/>
          <w:sz w:val="32"/>
          <w:szCs w:val="32"/>
          <w14:textFill>
            <w14:solidFill>
              <w14:schemeClr w14:val="tx1"/>
            </w14:solidFill>
          </w14:textFill>
        </w:rPr>
        <w:t>生态环境局负责该项目施工期的监督检查工作。</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六、本批复不具有其他行政审批前置效力。</w:t>
      </w: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4"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2026年8月7日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2010600030101010101"/>
    <w:charset w:val="7A"/>
    <w:family w:val="swiss"/>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FD4B69"/>
    <w:multiLevelType w:val="singleLevel"/>
    <w:tmpl w:val="62FD4B6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7FB495A"/>
    <w:rsid w:val="68AC3246"/>
    <w:rsid w:val="69EE13C7"/>
    <w:rsid w:val="6A9579E6"/>
    <w:rsid w:val="6AE33BBB"/>
    <w:rsid w:val="6C5D38C7"/>
    <w:rsid w:val="6E0A6B18"/>
    <w:rsid w:val="6E401570"/>
    <w:rsid w:val="6FE3D107"/>
    <w:rsid w:val="71D96AFD"/>
    <w:rsid w:val="72536B1A"/>
    <w:rsid w:val="73942F17"/>
    <w:rsid w:val="73ED7448"/>
    <w:rsid w:val="73FF04CC"/>
    <w:rsid w:val="775DCE8C"/>
    <w:rsid w:val="77E77440"/>
    <w:rsid w:val="7BE16A25"/>
    <w:rsid w:val="7BFF4D51"/>
    <w:rsid w:val="7D6F7921"/>
    <w:rsid w:val="7D754DCD"/>
    <w:rsid w:val="7E705781"/>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qFormat/>
    <w:uiPriority w:val="0"/>
    <w:pPr>
      <w:kinsoku w:val="0"/>
      <w:wordWrap w:val="0"/>
      <w:overflowPunct w:val="0"/>
      <w:autoSpaceDE w:val="0"/>
      <w:autoSpaceDN w:val="0"/>
      <w:adjustRightInd w:val="0"/>
      <w:spacing w:before="120" w:line="360" w:lineRule="atLeast"/>
      <w:jc w:val="left"/>
      <w:textAlignment w:val="baseline"/>
    </w:pPr>
    <w:rPr>
      <w:rFonts w:ascii="Arial" w:hAnsi="Arial" w:eastAsia="黑体" w:cs="Times New Roman"/>
      <w:kern w:val="0"/>
      <w:sz w:val="24"/>
      <w:szCs w:val="20"/>
    </w:rPr>
  </w:style>
  <w:style w:type="paragraph" w:styleId="4">
    <w:name w:val="annotation text"/>
    <w:basedOn w:val="1"/>
    <w:qFormat/>
    <w:uiPriority w:val="0"/>
    <w:pPr>
      <w:jc w:val="left"/>
    </w:pPr>
    <w:rPr>
      <w:rFonts w:eastAsia="宋体" w:cs="Times New Roman"/>
      <w:szCs w:val="20"/>
    </w:rPr>
  </w:style>
  <w:style w:type="paragraph" w:styleId="5">
    <w:name w:val="Body Text"/>
    <w:basedOn w:val="1"/>
    <w:next w:val="6"/>
    <w:unhideWhenUsed/>
    <w:qFormat/>
    <w:uiPriority w:val="99"/>
    <w:pPr>
      <w:spacing w:after="120"/>
    </w:pPr>
    <w:rPr>
      <w:rFonts w:eastAsia="宋体" w:cs="Times New Roman"/>
      <w:szCs w:val="20"/>
    </w:rPr>
  </w:style>
  <w:style w:type="paragraph" w:styleId="6">
    <w:name w:val="Body Text 2"/>
    <w:basedOn w:val="1"/>
    <w:qFormat/>
    <w:uiPriority w:val="0"/>
    <w:rPr>
      <w:rFonts w:eastAsia="宋体" w:cs="Times New Roman"/>
      <w:color w:val="0000FF"/>
      <w:szCs w:val="20"/>
    </w:rPr>
  </w:style>
  <w:style w:type="paragraph" w:styleId="7">
    <w:name w:val="Body Text Indent"/>
    <w:basedOn w:val="1"/>
    <w:next w:val="1"/>
    <w:unhideWhenUsed/>
    <w:qFormat/>
    <w:uiPriority w:val="99"/>
    <w:pPr>
      <w:spacing w:after="120"/>
      <w:ind w:left="420" w:leftChars="200"/>
    </w:pPr>
    <w:rPr>
      <w:rFonts w:eastAsia="宋体" w:cs="Times New Roman"/>
      <w:szCs w:val="20"/>
    </w:rPr>
  </w:style>
  <w:style w:type="paragraph" w:styleId="8">
    <w:name w:val="Balloon Text"/>
    <w:basedOn w:val="1"/>
    <w:link w:val="20"/>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kern w:val="0"/>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qFormat/>
    <w:uiPriority w:val="0"/>
    <w:pPr>
      <w:spacing w:before="0" w:beforeAutospacing="1" w:after="0" w:afterAutospacing="1"/>
      <w:ind w:left="0" w:right="0"/>
      <w:jc w:val="left"/>
    </w:pPr>
    <w:rPr>
      <w:rFonts w:eastAsia="宋体" w:cs="Times New Roman"/>
      <w:kern w:val="0"/>
      <w:sz w:val="24"/>
      <w:szCs w:val="20"/>
      <w:lang w:val="en-US" w:eastAsia="zh-CN" w:bidi="ar"/>
    </w:rPr>
  </w:style>
  <w:style w:type="paragraph" w:styleId="12">
    <w:name w:val="Body Text First Indent"/>
    <w:basedOn w:val="5"/>
    <w:next w:val="1"/>
    <w:unhideWhenUsed/>
    <w:qFormat/>
    <w:uiPriority w:val="99"/>
    <w:pPr>
      <w:ind w:firstLine="420" w:firstLineChars="100"/>
    </w:pPr>
  </w:style>
  <w:style w:type="paragraph" w:styleId="13">
    <w:name w:val="Body Text First Indent 2"/>
    <w:basedOn w:val="7"/>
    <w:next w:val="12"/>
    <w:qFormat/>
    <w:uiPriority w:val="0"/>
    <w:pPr>
      <w:ind w:firstLine="420" w:firstLineChars="200"/>
    </w:pPr>
    <w:rPr>
      <w:sz w:val="24"/>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unhideWhenUsed/>
    <w:qFormat/>
    <w:uiPriority w:val="0"/>
  </w:style>
  <w:style w:type="character" w:styleId="18">
    <w:name w:val="annotation reference"/>
    <w:basedOn w:val="16"/>
    <w:qFormat/>
    <w:uiPriority w:val="0"/>
    <w:rPr>
      <w:rFonts w:ascii="Calibri" w:hAnsi="Calibri" w:eastAsia="宋体" w:cs="Times New Roman"/>
      <w:sz w:val="21"/>
      <w:szCs w:val="21"/>
    </w:rPr>
  </w:style>
  <w:style w:type="character" w:customStyle="1" w:styleId="19">
    <w:name w:val="页眉 Char"/>
    <w:link w:val="10"/>
    <w:semiHidden/>
    <w:qFormat/>
    <w:uiPriority w:val="99"/>
    <w:rPr>
      <w:sz w:val="18"/>
      <w:szCs w:val="18"/>
    </w:rPr>
  </w:style>
  <w:style w:type="character" w:customStyle="1" w:styleId="20">
    <w:name w:val="批注框文本 Char"/>
    <w:basedOn w:val="16"/>
    <w:link w:val="8"/>
    <w:semiHidden/>
    <w:qFormat/>
    <w:uiPriority w:val="99"/>
    <w:rPr>
      <w:kern w:val="2"/>
      <w:sz w:val="18"/>
      <w:szCs w:val="18"/>
    </w:rPr>
  </w:style>
  <w:style w:type="character" w:customStyle="1" w:styleId="21">
    <w:name w:val="页脚 Char"/>
    <w:link w:val="9"/>
    <w:semiHidden/>
    <w:qFormat/>
    <w:uiPriority w:val="99"/>
    <w:rPr>
      <w:sz w:val="18"/>
      <w:szCs w:val="18"/>
    </w:rPr>
  </w:style>
  <w:style w:type="character" w:customStyle="1" w:styleId="22">
    <w:name w:val="页脚 字符"/>
    <w:basedOn w:val="16"/>
    <w:link w:val="9"/>
    <w:qFormat/>
    <w:uiPriority w:val="0"/>
    <w:rPr>
      <w:rFonts w:ascii="Calibri" w:hAnsi="Calibri" w:eastAsia="宋体" w:cs="Times New Roman"/>
      <w:kern w:val="2"/>
      <w:sz w:val="18"/>
      <w:szCs w:val="18"/>
    </w:rPr>
  </w:style>
  <w:style w:type="character" w:customStyle="1" w:styleId="23">
    <w:name w:val="页眉 字符"/>
    <w:basedOn w:val="16"/>
    <w:link w:val="10"/>
    <w:qFormat/>
    <w:uiPriority w:val="0"/>
    <w:rPr>
      <w:rFonts w:ascii="Calibri" w:hAnsi="Calibri" w:eastAsia="宋体" w:cs="Times New Roman"/>
      <w:kern w:val="2"/>
      <w:sz w:val="18"/>
      <w:szCs w:val="18"/>
    </w:rPr>
  </w:style>
  <w:style w:type="paragraph" w:customStyle="1" w:styleId="24">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5">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723</Words>
  <Characters>757</Characters>
  <Lines>5</Lines>
  <Paragraphs>1</Paragraphs>
  <TotalTime>0</TotalTime>
  <ScaleCrop>false</ScaleCrop>
  <LinksUpToDate>false</LinksUpToDate>
  <CharactersWithSpaces>757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2023-02-13T16:32:00Z</dcterms:created>
  <dc:creator>白都荣</dc:creator>
  <cp:lastModifiedBy>hjt</cp:lastModifiedBy>
  <cp:lastPrinted>2023-12-04T02:16:00Z</cp:lastPrinted>
  <dcterms:modified xsi:type="dcterms:W3CDTF">2026-08-13T18:07:07Z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