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关于乌兰察布中旗盐海220kV变主变扩建及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线路工程建设项目环境影响报告表的批复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内环表〔2026〕168号</w:t>
      </w:r>
      <w:bookmarkEnd w:id="1"/>
      <mc:AlternateContent>
        <mc:Choice Requires="wpsCustomData">
          <wpsCustomData:docfieldEnd id="1"/>
        </mc:Choice>
      </mc:AlternateContent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ascii="仿宋" w:hAnsi="仿宋" w:eastAsia="仿宋"/>
          <w:sz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内蒙古电力（集团）有限责任公司乌兰察布供电分公司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仿宋_GB2312" w:eastAsia="仿宋_GB2312"/>
          <w:b w:val="0"/>
          <w:bCs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 w:val="0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乌兰察布中旗盐海220kV变主变扩建及线路工程</w:t>
      </w:r>
      <w:r>
        <w:rPr>
          <w:rFonts w:hint="eastAsia" w:ascii="仿宋_GB2312" w:hAnsi="仿宋_GB2312" w:eastAsia="仿宋_GB2312"/>
          <w:b w:val="0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 w:val="0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" w:eastAsia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 w:bidi="ar"/>
        </w:rPr>
      </w:pPr>
      <w:r>
        <w:rPr>
          <w:rFonts w:hint="eastAsia" w:ascii="仿宋_GB2312" w:eastAsia="仿宋_GB2312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  <w:lang w:val="en-US" w:eastAsia="zh-CN"/>
        </w:rPr>
        <w:t>一）变电工程。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  <w:lang w:val="en-US" w:eastAsia="zh-CN"/>
        </w:rPr>
        <w:t>1）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盐海220kV变电站扩建2×240MVA主变，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 w:bidi="ar"/>
        </w:rPr>
        <w:t>220kV出线间隔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 w:bidi="ar"/>
        </w:rPr>
        <w:t>回，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11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 w:bidi="ar"/>
        </w:rPr>
        <w:t>0kV出线间隔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 w:bidi="ar"/>
        </w:rPr>
        <w:t>回。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  <w:lang w:val="en-US" w:eastAsia="zh-CN"/>
        </w:rPr>
        <w:t>2）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察右中500kV变电站扩建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 w:bidi="ar"/>
        </w:rPr>
        <w:t>220kV出线间隔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 w:bidi="ar"/>
        </w:rPr>
        <w:t>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二）线路工程。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新建220kV线路，起于察右中500kV变电站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，止于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 w:bidi="ar"/>
        </w:rPr>
        <w:t>盐海220kV变电站，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线路长度31.5</w:t>
      </w:r>
      <w:r>
        <w:rPr>
          <w:rFonts w:hint="default" w:ascii="仿宋_GB2312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km</w:t>
      </w:r>
      <w:r>
        <w:rPr>
          <w:rFonts w:hint="eastAsia" w:ascii="仿宋_GB2312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，同塔双回路单侧挂线，新建塔基91基。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eastAsia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 w:val="0"/>
          <w:bCs/>
          <w:color w:val="auto"/>
          <w:kern w:val="0"/>
          <w:sz w:val="32"/>
          <w:szCs w:val="32"/>
          <w:lang w:val="en-US" w:eastAsia="zh-CN"/>
        </w:rPr>
        <w:t>内蒙古自治区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乌</w:t>
      </w:r>
      <w:r>
        <w:rPr>
          <w:rFonts w:hint="eastAsia" w:ascii="仿宋_GB2312" w:eastAsia="仿宋_GB2312"/>
          <w:b w:val="0"/>
          <w:bCs/>
          <w:color w:val="auto"/>
          <w:kern w:val="0"/>
          <w:sz w:val="32"/>
          <w:szCs w:val="32"/>
          <w:lang w:val="en-US" w:eastAsia="zh-CN"/>
        </w:rPr>
        <w:t>兰察布市察哈尔右翼中旗境内</w:t>
      </w:r>
      <w:r>
        <w:rPr>
          <w:rFonts w:hint="eastAsia" w:ascii="仿宋_GB2312" w:eastAsia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/>
        <w:jc w:val="both"/>
        <w:textAlignment w:val="auto"/>
        <w:rPr>
          <w:rFonts w:ascii="仿宋_GB2312" w:hAnsi="仿宋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" w:eastAsia="仿宋_GB2312"/>
          <w:b w:val="0"/>
          <w:bCs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b w:val="0"/>
          <w:bCs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 w:val="0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b w:val="0"/>
          <w:bCs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" w:eastAsia="仿宋_GB2312"/>
          <w:b w:val="0"/>
          <w:bCs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" w:eastAsia="仿宋_GB2312"/>
          <w:b w:val="0"/>
          <w:bCs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" w:eastAsia="仿宋_GB2312"/>
          <w:b w:val="0"/>
          <w:bCs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/>
        <w:jc w:val="both"/>
        <w:textAlignment w:val="auto"/>
        <w:rPr>
          <w:rFonts w:ascii="仿宋_GB2312" w:eastAsia="仿宋_GB2312"/>
          <w:b w:val="0"/>
          <w:bCs/>
          <w:color w:val="4F81BD" w:themeColor="accent1"/>
          <w:sz w:val="32"/>
          <w:szCs w:val="32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/>
          <w:b w:val="0"/>
          <w:bCs/>
          <w:color w:val="auto"/>
          <w:kern w:val="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" w:eastAsia="仿宋_GB2312"/>
          <w:b w:val="0"/>
          <w:bCs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" w:eastAsia="仿宋_GB2312"/>
          <w:b w:val="0"/>
          <w:bCs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ascii="仿宋_GB2312" w:hAnsi="仿宋" w:eastAsia="仿宋_GB2312"/>
          <w:b w:val="0"/>
          <w:bCs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b w:val="0"/>
          <w:bCs/>
          <w:sz w:val="32"/>
          <w:szCs w:val="32"/>
        </w:rPr>
      </w:pPr>
      <w:r>
        <w:rPr>
          <w:rFonts w:hint="eastAsia" w:ascii="仿宋_GB2312" w:hAnsi="仿宋" w:eastAsia="仿宋_GB2312"/>
          <w:b w:val="0"/>
          <w:bCs/>
          <w:sz w:val="32"/>
          <w:szCs w:val="32"/>
        </w:rPr>
        <w:t>五、我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厅委托</w:t>
      </w:r>
      <w:r>
        <w:rPr>
          <w:rFonts w:hint="eastAsia" w:ascii="仿宋_GB2312" w:eastAsia="仿宋_GB2312"/>
          <w:b w:val="0"/>
          <w:bCs/>
          <w:color w:val="auto"/>
          <w:sz w:val="32"/>
          <w:szCs w:val="32"/>
          <w:lang w:val="en-US" w:eastAsia="zh-CN"/>
        </w:rPr>
        <w:t>乌兰察布市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b w:val="0"/>
          <w:bCs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hint="default" w:ascii="仿宋_GB2312" w:hAnsi="仿宋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b w:val="0"/>
          <w:bCs/>
          <w:sz w:val="32"/>
          <w:szCs w:val="32"/>
          <w:lang w:eastAsia="zh-CN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b w:val="0"/>
          <w:bCs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firstLine="624" w:firstLineChars="200"/>
        <w:textAlignment w:val="auto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jc w:val="lef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right="55" w:rightChars="26"/>
        <w:jc w:val="left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mc:AlternateContent>
        <mc:Choice Requires="wpsCustomData">
          <wpsCustomData:docfieldEnd id="4"/>
        </mc:Choice>
      </mc:AlternateContent>
      <w:bookmarkEnd w:id="4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textAlignment w:val="auto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98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2ED7C3E5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AD8A27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743</Words>
  <Characters>800</Characters>
  <Lines>5</Lines>
  <Paragraphs>1</Paragraphs>
  <TotalTime>0</TotalTime>
  <ScaleCrop>false</ScaleCrop>
  <LinksUpToDate>false</LinksUpToDate>
  <CharactersWithSpaces>800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2026-08-13T18:12:46Z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