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bidi w:val="0"/>
        <w:snapToGrid/>
        <w:spacing w:line="580" w:lineRule="exact"/>
        <w:jc w:val="center"/>
        <w:textAlignment w:val="auto"/>
        <w:rPr>
          <w:rFonts w:hint="eastAsia" w:ascii="方正小标宋简体" w:hAnsi="宋体" w:eastAsia="方正小标宋简体"/>
          <w:sz w:val="44"/>
          <w:szCs w:val="44"/>
          <w:lang w:eastAsia="zh-CN"/>
        </w:rPr>
      </w:pPr>
      <w:bookmarkStart w:id="0" w:name="标题"/>
      <mc:AlternateContent>
        <mc:Choice Requires="wpsCustomData">
          <wpsCustomData:docfieldStart id="0" docfieldname="标题" hidden="false" print="true" readonly="false" index="2"/>
        </mc:Choice>
      </mc:AlternateContent>
      <w:r>
        <w:rPr>
          <w:rFonts w:hint="eastAsia" w:ascii="方正小标宋简体" w:hAnsi="宋体" w:eastAsia="方正小标宋简体"/>
          <w:sz w:val="44"/>
          <w:szCs w:val="44"/>
          <w:lang w:eastAsia="zh-CN"/>
        </w:rPr>
        <w:t>内蒙古自治区生态环境厅</w:t>
      </w:r>
    </w:p>
    <w:p>
      <w:pPr>
        <w:keepNext w:val="0"/>
        <w:keepLines w:val="0"/>
        <w:pageBreakBefore w:val="0"/>
        <w:widowControl w:val="0"/>
        <w:kinsoku/>
        <w:wordWrap/>
        <w:overflowPunct/>
        <w:topLinePunct w:val="0"/>
        <w:bidi w:val="0"/>
        <w:snapToGrid/>
        <w:spacing w:line="580" w:lineRule="exact"/>
        <w:jc w:val="center"/>
        <w:textAlignment w:val="auto"/>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关于达拉特特高压站配套500千伏工程建设</w:t>
      </w:r>
    </w:p>
    <w:p>
      <w:pPr>
        <w:keepNext w:val="0"/>
        <w:keepLines w:val="0"/>
        <w:pageBreakBefore w:val="0"/>
        <w:widowControl w:val="0"/>
        <w:kinsoku/>
        <w:wordWrap/>
        <w:overflowPunct/>
        <w:topLinePunct w:val="0"/>
        <w:bidi w:val="0"/>
        <w:snapToGrid/>
        <w:spacing w:line="580" w:lineRule="exact"/>
        <w:jc w:val="center"/>
        <w:textAlignment w:val="auto"/>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项目环境影响报告书的批复</w:t>
      </w:r>
      <w:bookmarkEnd w:id="0"/>
    </w:p>
    <mc:AlternateContent>
      <mc:Choice Requires="wpsCustomData">
        <wpsCustomData:docfieldEnd id="0"/>
      </mc:Choice>
    </mc:AlternateContent>
    <w:p>
      <w:pPr>
        <w:keepNext w:val="0"/>
        <w:keepLines w:val="0"/>
        <w:pageBreakBefore w:val="0"/>
        <w:widowControl w:val="0"/>
        <w:kinsoku/>
        <w:wordWrap/>
        <w:overflowPunct/>
        <w:topLinePunct w:val="0"/>
        <w:bidi w:val="0"/>
        <w:snapToGrid/>
        <w:spacing w:line="580" w:lineRule="exact"/>
        <w:jc w:val="center"/>
        <w:textAlignment w:val="auto"/>
        <w:rPr>
          <w:rFonts w:hint="eastAsia" w:ascii="方正小标宋简体" w:hAnsi="宋体" w:eastAsia="方正小标宋简体"/>
          <w:sz w:val="44"/>
          <w:szCs w:val="44"/>
          <w:lang w:eastAsia="zh-CN"/>
        </w:rPr>
      </w:pPr>
      <mc:AlternateContent>
        <mc:Choice Requires="wpsCustomData">
          <wpsCustomData:docfieldStart id="1" docfieldname="文号" hidden="false" print="true" readonly="false" index="1"/>
        </mc:Choice>
      </mc:AlternateContent>
      <w:bookmarkStart w:id="1" w:name="文号"/>
      <w:r>
        <w:rPr>
          <w:rFonts w:hint="eastAsia" w:ascii="仿宋_GB2312" w:hAnsi="仿宋" w:eastAsia="仿宋_GB2312"/>
          <w:sz w:val="32"/>
          <w:szCs w:val="32"/>
          <w:lang w:eastAsia="zh-CN"/>
        </w:rPr>
        <w:t>内环审〔2026〕84号</w:t>
      </w:r>
      <mc:AlternateContent>
        <mc:Choice Requires="wpsCustomData">
          <wpsCustomData:docfieldEnd id="1"/>
        </mc:Choice>
      </mc:AlternateContent>
      <w:bookmarkEnd w:id="1"/>
    </w:p>
    <w:p>
      <w:pPr>
        <w:keepNext w:val="0"/>
        <w:keepLines w:val="0"/>
        <w:pageBreakBefore w:val="0"/>
        <w:widowControl w:val="0"/>
        <w:kinsoku/>
        <w:wordWrap/>
        <w:overflowPunct/>
        <w:topLinePunct w:val="0"/>
        <w:bidi w:val="0"/>
        <w:snapToGrid/>
        <w:spacing w:line="580" w:lineRule="exact"/>
        <w:textAlignment w:val="auto"/>
        <w:rPr>
          <w:rFonts w:ascii="仿宋" w:hAnsi="仿宋" w:eastAsia="仿宋"/>
          <w:sz w:val="28"/>
        </w:rPr>
      </w:pPr>
    </w:p>
    <w:p>
      <w:pPr>
        <w:keepNext w:val="0"/>
        <w:keepLines w:val="0"/>
        <w:pageBreakBefore w:val="0"/>
        <w:widowControl w:val="0"/>
        <w:kinsoku/>
        <w:wordWrap/>
        <w:overflowPunct/>
        <w:topLinePunct w:val="0"/>
        <w:bidi w:val="0"/>
        <w:snapToGrid/>
        <w:spacing w:line="580" w:lineRule="exact"/>
        <w:textAlignment w:val="auto"/>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内蒙古电力（集团）有限责任公司内蒙古超高压供电分公司</w:t>
      </w:r>
      <mc:AlternateContent>
        <mc:Choice Requires="wpsCustomData">
          <wpsCustomData:docfieldEnd id="2"/>
        </mc:Choice>
      </mc:AlternateContent>
      <w:bookmarkEnd w:id="2"/>
      <w:r>
        <w:rPr>
          <w:rFonts w:hint="eastAsia" w:ascii="仿宋_GB2312" w:hAnsi="仿宋" w:eastAsia="仿宋_GB2312"/>
          <w:bCs/>
          <w:sz w:val="32"/>
          <w:szCs w:val="32"/>
        </w:rPr>
        <w:t>：</w:t>
      </w:r>
    </w:p>
    <w:p>
      <w:pPr>
        <w:pStyle w:val="17"/>
        <w:keepNext w:val="0"/>
        <w:keepLines w:val="0"/>
        <w:pageBreakBefore w:val="0"/>
        <w:widowControl w:val="0"/>
        <w:kinsoku/>
        <w:wordWrap/>
        <w:overflowPunct/>
        <w:topLinePunct w:val="0"/>
        <w:bidi w:val="0"/>
        <w:snapToGrid/>
        <w:spacing w:line="580" w:lineRule="exact"/>
        <w:ind w:firstLine="640" w:firstLineChars="200"/>
        <w:jc w:val="both"/>
        <w:textAlignment w:val="auto"/>
        <w:rPr>
          <w:rFonts w:ascii="仿宋_GB2312" w:hAnsi="仿宋" w:eastAsia="仿宋_GB2312"/>
          <w:color w:val="auto"/>
          <w:kern w:val="2"/>
          <w:sz w:val="32"/>
          <w:szCs w:val="32"/>
        </w:rPr>
      </w:pPr>
      <mc:AlternateContent>
        <mc:Choice Requires="wpsCustomData">
          <wpsCustomData:docfieldStart id="3" docfieldname="正文文件" hidden="false" print="true" readonly="false" index="4"/>
        </mc:Choice>
      </mc:AlternateContent>
      <w:bookmarkStart w:id="3" w:name="正文文件"/>
      <w:bookmarkEnd w:id="3"/>
      <w:r>
        <w:rPr>
          <w:rFonts w:hint="eastAsia" w:ascii="仿宋_GB2312" w:hAnsi="仿宋" w:eastAsia="仿宋_GB2312"/>
          <w:color w:val="auto"/>
          <w:kern w:val="2"/>
          <w:sz w:val="32"/>
          <w:szCs w:val="32"/>
        </w:rPr>
        <w:t>你公司</w:t>
      </w:r>
      <w:r>
        <w:rPr>
          <w:rFonts w:hint="eastAsia" w:ascii="仿宋_GB2312" w:hAnsi="仿宋" w:eastAsia="仿宋_GB2312"/>
          <w:color w:val="auto"/>
          <w:kern w:val="2"/>
          <w:sz w:val="32"/>
          <w:szCs w:val="32"/>
          <w:highlight w:val="none"/>
        </w:rPr>
        <w:t>报送的《</w:t>
      </w:r>
      <w:r>
        <w:rPr>
          <w:rFonts w:hint="eastAsia" w:ascii="仿宋_GB2312" w:hAnsi="仿宋" w:eastAsia="仿宋_GB2312"/>
          <w:color w:val="auto"/>
          <w:sz w:val="32"/>
          <w:szCs w:val="32"/>
          <w:highlight w:val="none"/>
          <w:lang w:val="en-US" w:eastAsia="zh-CN"/>
        </w:rPr>
        <w:t>达拉特特高压站配套500千伏工程建设项目</w:t>
      </w:r>
      <w:r>
        <w:rPr>
          <w:rFonts w:hint="eastAsia" w:ascii="仿宋_GB2312" w:hAnsi="仿宋" w:eastAsia="仿宋_GB2312"/>
          <w:color w:val="auto"/>
          <w:sz w:val="32"/>
          <w:szCs w:val="32"/>
          <w:highlight w:val="none"/>
        </w:rPr>
        <w:t>环境影响报告</w:t>
      </w:r>
      <w:r>
        <w:rPr>
          <w:rFonts w:hint="eastAsia" w:ascii="仿宋_GB2312" w:hAnsi="仿宋" w:eastAsia="仿宋_GB2312"/>
          <w:color w:val="auto"/>
          <w:sz w:val="32"/>
          <w:szCs w:val="32"/>
          <w:highlight w:val="none"/>
          <w:lang w:val="en-US" w:eastAsia="zh-CN"/>
        </w:rPr>
        <w:t>书</w:t>
      </w:r>
      <w:r>
        <w:rPr>
          <w:rFonts w:hint="eastAsia" w:ascii="仿宋_GB2312" w:hAnsi="仿宋" w:eastAsia="仿宋_GB2312"/>
          <w:color w:val="auto"/>
          <w:kern w:val="2"/>
          <w:sz w:val="32"/>
          <w:szCs w:val="32"/>
          <w:highlight w:val="none"/>
        </w:rPr>
        <w:t>》（以下简称《报告书》）收悉。经研究，批复如下：</w:t>
      </w:r>
    </w:p>
    <w:p>
      <w:pPr>
        <w:pStyle w:val="17"/>
        <w:keepNext w:val="0"/>
        <w:keepLines w:val="0"/>
        <w:pageBreakBefore w:val="0"/>
        <w:widowControl w:val="0"/>
        <w:kinsoku/>
        <w:wordWrap/>
        <w:overflowPunct/>
        <w:topLinePunct w:val="0"/>
        <w:bidi w:val="0"/>
        <w:snapToGrid/>
        <w:spacing w:line="58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一、项目建设基本情况</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eastAsia="仿宋_GB2312"/>
          <w:bCs/>
          <w:sz w:val="32"/>
          <w:szCs w:val="32"/>
          <w:highlight w:val="none"/>
          <w:lang w:val="en-US" w:eastAsia="zh-CN"/>
        </w:rPr>
      </w:pPr>
      <w:r>
        <w:rPr>
          <w:rFonts w:hint="eastAsia" w:ascii="仿宋_GB2312" w:eastAsia="仿宋_GB2312"/>
          <w:bCs/>
          <w:sz w:val="32"/>
          <w:szCs w:val="32"/>
          <w:highlight w:val="none"/>
          <w:lang w:val="en-US" w:eastAsia="zh-CN"/>
        </w:rPr>
        <w:t>（一）耳字壕～布日都I、Ⅱ线开断线路接入达拉特特高压站。（1）新建耳字壕I线开断点至双回路分歧塔500千伏线路，线路长2km，单回路架设；新建耳字壕Ⅱ线开断点至双回路分歧塔500千伏线路，线路长2km，单回路架设；新建双回路分歧塔至达拉特特高压站500千伏线路，线路长30.5km，同塔双回路架设。新建塔基共83基。（2）新建布日都I线开断点至双回路分歧塔500千伏线路，线路长0.4km，单回路架设；新建布日都Ⅱ线开断点至双回路分歧塔500千伏线路，线路长0.6km，单回路架设；新建双回路分歧塔至达拉特特高压站500千伏线路，线路长28.0km，同塔双回路架设。新建塔基共73基。（3）原耳字壕～布日都Ⅰ、Ⅱ线拆除段，拆除原500kV耳布Ⅰ线22#～40#塔段线路8.8km，同步拆除铁塔19基；拆除原500kV耳布Ⅱ线23#～43#塔段线路8.9km，同步拆除铁塔21基。</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eastAsia="仿宋_GB2312"/>
          <w:bCs/>
          <w:sz w:val="32"/>
          <w:szCs w:val="32"/>
          <w:highlight w:val="none"/>
          <w:lang w:val="en-US" w:eastAsia="zh-CN"/>
        </w:rPr>
      </w:pPr>
      <w:r>
        <w:rPr>
          <w:rFonts w:hint="eastAsia" w:ascii="仿宋_GB2312" w:eastAsia="仿宋_GB2312"/>
          <w:bCs/>
          <w:sz w:val="32"/>
          <w:szCs w:val="32"/>
          <w:highlight w:val="none"/>
          <w:lang w:val="en-US" w:eastAsia="zh-CN"/>
        </w:rPr>
        <w:t>（二）新建达拉特±800千伏换流站至达拉特1000千伏变电站3回500千伏线路，其中同塔双回路架设83km，单回路架设82.5km；达拉特±800千伏至达拉特1000千伏变电站单回路架设的500千伏线路在接入换流站之前采用同塔双回路单侧挂线，长度0.5km。新建塔基共354基。</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新建达拉特±800kV换流站～达拉特1000kV变电站3回线路工程</w:t>
      </w:r>
      <w:r>
        <w:rPr>
          <w:rFonts w:hint="eastAsia" w:ascii="仿宋_GB2312" w:eastAsia="仿宋_GB2312"/>
          <w:sz w:val="32"/>
          <w:szCs w:val="32"/>
          <w:highlight w:val="none"/>
          <w:lang w:eastAsia="zh-CN"/>
        </w:rPr>
        <w:t>不可避让</w:t>
      </w:r>
      <w:r>
        <w:rPr>
          <w:rFonts w:hint="eastAsia" w:ascii="仿宋_GB2312" w:eastAsia="仿宋_GB2312"/>
          <w:sz w:val="32"/>
          <w:szCs w:val="32"/>
          <w:highlight w:val="none"/>
        </w:rPr>
        <w:t>穿越黄河内蒙古段水土保持生态保护红线，其中同塔双回路穿越约6.84km，立塔15基</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单回穿越约6.51km，立塔14基</w:t>
      </w:r>
      <w:r>
        <w:rPr>
          <w:rFonts w:hint="eastAsia" w:ascii="仿宋_GB2312" w:eastAsia="仿宋_GB2312"/>
          <w:sz w:val="32"/>
          <w:szCs w:val="32"/>
          <w:highlight w:val="none"/>
          <w:lang w:eastAsia="zh-CN"/>
        </w:rPr>
        <w:t>。</w:t>
      </w:r>
    </w:p>
    <w:p>
      <w:pPr>
        <w:pStyle w:val="7"/>
        <w:keepNext w:val="0"/>
        <w:keepLines w:val="0"/>
        <w:pageBreakBefore w:val="0"/>
        <w:widowControl w:val="0"/>
        <w:kinsoku/>
        <w:wordWrap/>
        <w:overflowPunct/>
        <w:topLinePunct w:val="0"/>
        <w:bidi w:val="0"/>
        <w:snapToGrid/>
        <w:spacing w:line="580" w:lineRule="exact"/>
        <w:ind w:firstLine="640"/>
        <w:textAlignment w:val="auto"/>
        <w:rPr>
          <w:rFonts w:hint="eastAsia" w:ascii="仿宋_GB2312" w:eastAsia="仿宋_GB2312"/>
          <w:sz w:val="32"/>
          <w:szCs w:val="32"/>
          <w:highlight w:val="none"/>
        </w:rPr>
      </w:pPr>
      <w:r>
        <w:rPr>
          <w:rFonts w:hint="eastAsia" w:ascii="仿宋_GB2312" w:hAnsi="仿宋_GB2312" w:eastAsia="仿宋_GB2312"/>
          <w:bCs/>
          <w:sz w:val="32"/>
          <w:szCs w:val="32"/>
          <w:highlight w:val="none"/>
        </w:rPr>
        <w:t>本项目建设地点位于</w:t>
      </w:r>
      <w:r>
        <w:rPr>
          <w:rFonts w:hint="eastAsia" w:ascii="仿宋_GB2312" w:eastAsia="仿宋_GB2312"/>
          <w:bCs/>
          <w:sz w:val="32"/>
          <w:szCs w:val="32"/>
          <w:highlight w:val="none"/>
          <w:lang w:val="en-US" w:eastAsia="zh-CN"/>
        </w:rPr>
        <w:t>内蒙古自治区鄂尔多斯市达拉特旗、东胜区境内</w:t>
      </w:r>
      <w:r>
        <w:rPr>
          <w:rFonts w:hint="eastAsia" w:ascii="仿宋_GB2312" w:eastAsia="仿宋_GB2312"/>
          <w:sz w:val="32"/>
          <w:szCs w:val="32"/>
          <w:highlight w:val="none"/>
        </w:rPr>
        <w:t>。</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hAnsi="仿宋_GB2312" w:eastAsia="仿宋_GB2312"/>
          <w:bCs/>
          <w:sz w:val="32"/>
          <w:szCs w:val="32"/>
        </w:rPr>
      </w:pPr>
      <w:r>
        <w:rPr>
          <w:rFonts w:hint="eastAsia" w:ascii="仿宋_GB2312" w:hAnsi="仿宋" w:eastAsia="仿宋_GB2312" w:cs="宋体"/>
          <w:kern w:val="0"/>
          <w:sz w:val="32"/>
          <w:szCs w:val="32"/>
        </w:rPr>
        <w:t>二、总体意见</w:t>
      </w:r>
    </w:p>
    <w:p>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仿宋_GB2312" w:hAnsi="仿宋" w:eastAsia="仿宋_GB2312"/>
          <w:sz w:val="32"/>
          <w:szCs w:val="32"/>
        </w:rPr>
      </w:pPr>
      <w:r>
        <w:rPr>
          <w:rFonts w:hint="eastAsia" w:ascii="仿宋_GB2312" w:eastAsia="仿宋_GB2312"/>
          <w:sz w:val="32"/>
          <w:szCs w:val="32"/>
        </w:rPr>
        <w:t>本项目在严格落实《报告书》提出的各项环境保护措</w:t>
      </w:r>
      <w:r>
        <w:rPr>
          <w:rFonts w:hint="eastAsia" w:ascii="仿宋_GB2312" w:hAnsi="仿宋" w:eastAsia="仿宋_GB2312"/>
          <w:sz w:val="32"/>
          <w:szCs w:val="32"/>
        </w:rPr>
        <w:t>施和下列工作要求后，可以满足国家生态环境保护相关法律法规和标准的要求。从环境保护角度</w:t>
      </w:r>
      <w:r>
        <w:rPr>
          <w:rFonts w:hint="eastAsia" w:ascii="仿宋_GB2312" w:eastAsia="仿宋_GB2312"/>
          <w:sz w:val="32"/>
          <w:szCs w:val="32"/>
        </w:rPr>
        <w:t>分析，</w:t>
      </w:r>
      <w:r>
        <w:rPr>
          <w:rFonts w:hint="eastAsia" w:ascii="仿宋_GB2312" w:hAnsi="仿宋" w:eastAsia="仿宋_GB2312"/>
          <w:sz w:val="32"/>
          <w:szCs w:val="32"/>
        </w:rPr>
        <w:t>我厅原则同意本项目按照《报告书》中所列的性质、规模、地点和拟采取的环保措施进行建设。</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三、项目建设及运行期间应做好的工作</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（一）严格落实项目施工期、运营期生态环境保护措施，做好生态保护与恢复工作。施工期严格控制施工活动范围，合理布局，尽量减少土地占用和植被破坏。</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（二）认真落实</w:t>
      </w:r>
      <w:r>
        <w:rPr>
          <w:rFonts w:ascii="仿宋_GB2312" w:hAnsi="仿宋" w:eastAsia="仿宋_GB2312"/>
          <w:sz w:val="32"/>
          <w:szCs w:val="32"/>
          <w:lang w:val="en"/>
        </w:rPr>
        <w:t>《报告书》</w:t>
      </w:r>
      <w:r>
        <w:rPr>
          <w:rFonts w:hint="eastAsia" w:ascii="仿宋_GB2312" w:hAnsi="仿宋" w:eastAsia="仿宋_GB2312"/>
          <w:sz w:val="32"/>
          <w:szCs w:val="32"/>
        </w:rPr>
        <w:t>中提出的控制和改善工频电场、工频磁场对周边环境影响的措施和方法，监测值应符合《电磁环境控制限值》（GB8702-2014）要求。</w:t>
      </w:r>
    </w:p>
    <w:p>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三</w:t>
      </w:r>
      <w:r>
        <w:rPr>
          <w:rFonts w:hint="eastAsia" w:ascii="仿宋_GB2312" w:hAnsi="仿宋" w:eastAsia="仿宋_GB2312"/>
          <w:sz w:val="32"/>
          <w:szCs w:val="32"/>
        </w:rPr>
        <w:t>）项目施工期及运行期的噪声值及防噪措施应满足</w:t>
      </w:r>
      <w:r>
        <w:rPr>
          <w:rFonts w:ascii="仿宋_GB2312" w:hAnsi="仿宋" w:eastAsia="仿宋_GB2312"/>
          <w:sz w:val="32"/>
          <w:szCs w:val="32"/>
          <w:lang w:val="en"/>
        </w:rPr>
        <w:t>《报告书》</w:t>
      </w:r>
      <w:r>
        <w:rPr>
          <w:rFonts w:hint="eastAsia" w:ascii="仿宋_GB2312" w:hAnsi="仿宋" w:eastAsia="仿宋_GB2312"/>
          <w:sz w:val="32"/>
          <w:szCs w:val="32"/>
        </w:rPr>
        <w:t>中提出的要求，监测值应符合国家评价标准限值要求。</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四</w:t>
      </w:r>
      <w:r>
        <w:rPr>
          <w:rFonts w:hint="eastAsia" w:ascii="仿宋_GB2312" w:hAnsi="仿宋" w:eastAsia="仿宋_GB2312"/>
          <w:sz w:val="32"/>
          <w:szCs w:val="32"/>
        </w:rPr>
        <w:t>）环境影响报告书经批准后，项目的性质、规模、地点或生态保护、污染防治措施发生重大变动的，应当按要求重新报批。</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四、建设单位按规定程序完成竣工环境保护验收后，项目方可投入正式运行。</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hAnsi="仿宋" w:eastAsia="仿宋_GB2312"/>
          <w:sz w:val="32"/>
          <w:szCs w:val="32"/>
          <w:highlight w:val="none"/>
        </w:rPr>
      </w:pPr>
      <w:r>
        <w:rPr>
          <w:rFonts w:hint="eastAsia" w:ascii="仿宋_GB2312" w:hAnsi="仿宋" w:eastAsia="仿宋_GB2312"/>
          <w:sz w:val="32"/>
          <w:szCs w:val="32"/>
        </w:rPr>
        <w:t>五、我厅委托鄂尔多斯市生态环境局负责该项目施工期环境保护措施落实情况的监督检查</w:t>
      </w:r>
      <w:r>
        <w:rPr>
          <w:rFonts w:hint="eastAsia" w:ascii="仿宋_GB2312" w:hAnsi="仿宋" w:eastAsia="仿宋_GB2312"/>
          <w:sz w:val="32"/>
          <w:szCs w:val="32"/>
          <w:lang w:eastAsia="zh-CN"/>
        </w:rPr>
        <w:t>工作</w:t>
      </w:r>
      <w:r>
        <w:rPr>
          <w:rFonts w:hint="eastAsia" w:ascii="仿宋_GB2312" w:hAnsi="仿宋" w:eastAsia="仿宋_GB2312"/>
          <w:sz w:val="32"/>
          <w:szCs w:val="32"/>
          <w:highlight w:val="none"/>
        </w:rPr>
        <w:t>。</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highlight w:val="none"/>
        </w:rPr>
        <w:t>六、本批复不具有其他行政审批前置效力</w:t>
      </w:r>
      <w:r>
        <w:rPr>
          <w:rFonts w:hint="eastAsia" w:ascii="仿宋_GB2312" w:hAnsi="仿宋" w:eastAsia="仿宋_GB2312"/>
          <w:sz w:val="32"/>
          <w:szCs w:val="32"/>
        </w:rPr>
        <w:t>。</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ascii="仿宋_GB2312" w:hAnsi="仿宋" w:eastAsia="仿宋_GB2312"/>
          <w:sz w:val="32"/>
          <w:szCs w:val="32"/>
        </w:rPr>
      </w:pPr>
    </w:p>
    <w:p>
      <w:pPr>
        <w:keepNext w:val="0"/>
        <w:keepLines w:val="0"/>
        <w:pageBreakBefore w:val="0"/>
        <w:widowControl w:val="0"/>
        <w:kinsoku/>
        <w:wordWrap/>
        <w:overflowPunct/>
        <w:topLinePunct w:val="0"/>
        <w:bidi w:val="0"/>
        <w:snapToGrid/>
        <w:spacing w:line="580" w:lineRule="exact"/>
        <w:textAlignment w:val="auto"/>
        <w:rPr>
          <w:sz w:val="32"/>
          <w:szCs w:val="32"/>
        </w:rPr>
      </w:pPr>
    </w:p>
    <mc:AlternateContent>
      <mc:Choice Requires="wpsCustomData">
        <wpsCustomData:docfieldEnd id="3"/>
      </mc:Choice>
    </mc:AlternateContent>
    <w:p>
      <w:pPr>
        <w:keepNext w:val="0"/>
        <w:keepLines w:val="0"/>
        <w:pageBreakBefore w:val="0"/>
        <w:widowControl w:val="0"/>
        <w:kinsoku/>
        <w:wordWrap/>
        <w:overflowPunct/>
        <w:topLinePunct w:val="0"/>
        <w:bidi w:val="0"/>
        <w:snapToGrid/>
        <w:spacing w:line="580" w:lineRule="exact"/>
        <w:ind w:firstLine="624" w:firstLineChars="200"/>
        <w:textAlignment w:val="auto"/>
        <w:rPr>
          <w:rFonts w:ascii="仿宋_GB2312" w:hAnsi="仿宋" w:eastAsia="仿宋_GB2312"/>
          <w:spacing w:val="-4"/>
          <w:sz w:val="32"/>
          <w:szCs w:val="32"/>
        </w:rPr>
      </w:pPr>
    </w:p>
    <w:p>
      <w:pPr>
        <w:keepNext w:val="0"/>
        <w:keepLines w:val="0"/>
        <w:pageBreakBefore w:val="0"/>
        <w:widowControl w:val="0"/>
        <w:kinsoku/>
        <w:wordWrap/>
        <w:overflowPunct/>
        <w:topLinePunct w:val="0"/>
        <w:bidi w:val="0"/>
        <w:snapToGrid/>
        <w:spacing w:line="580" w:lineRule="exact"/>
        <w:jc w:val="left"/>
        <w:textAlignment w:val="auto"/>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keepNext w:val="0"/>
        <w:keepLines w:val="0"/>
        <w:pageBreakBefore w:val="0"/>
        <w:widowControl w:val="0"/>
        <w:kinsoku/>
        <w:wordWrap/>
        <w:overflowPunct/>
        <w:topLinePunct w:val="0"/>
        <w:bidi w:val="0"/>
        <w:snapToGrid/>
        <w:spacing w:line="580" w:lineRule="exact"/>
        <w:ind w:right="55" w:rightChars="26"/>
        <w:jc w:val="left"/>
        <w:textAlignment w:val="auto"/>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2026年8月24日</w:t>
      </w:r>
      <w:bookmarkEnd w:id="4"/>
      <mc:AlternateContent>
        <mc:Choice Requires="wpsCustomData">
          <wpsCustomData:docfieldEnd id="4"/>
        </mc:Choice>
      </mc:AlternateContent>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DD58DB"/>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5C233A"/>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D17A2"/>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2F474A0"/>
    <w:rsid w:val="0310139E"/>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7D7EF2"/>
    <w:rsid w:val="1EC02023"/>
    <w:rsid w:val="201A69CD"/>
    <w:rsid w:val="20A91A11"/>
    <w:rsid w:val="210F75CC"/>
    <w:rsid w:val="21C84299"/>
    <w:rsid w:val="21F42B43"/>
    <w:rsid w:val="22904BBD"/>
    <w:rsid w:val="238A2596"/>
    <w:rsid w:val="24A86E33"/>
    <w:rsid w:val="251E1B7F"/>
    <w:rsid w:val="259B6FBE"/>
    <w:rsid w:val="28044EC3"/>
    <w:rsid w:val="293C7576"/>
    <w:rsid w:val="2A4C74AD"/>
    <w:rsid w:val="2D3E0262"/>
    <w:rsid w:val="3078340E"/>
    <w:rsid w:val="377712AB"/>
    <w:rsid w:val="377E1867"/>
    <w:rsid w:val="39A90E7E"/>
    <w:rsid w:val="3C032EFE"/>
    <w:rsid w:val="3C431296"/>
    <w:rsid w:val="3D997D89"/>
    <w:rsid w:val="3F5C0140"/>
    <w:rsid w:val="40DE7A76"/>
    <w:rsid w:val="41E57898"/>
    <w:rsid w:val="43BE5DA5"/>
    <w:rsid w:val="48D80B0B"/>
    <w:rsid w:val="4955784C"/>
    <w:rsid w:val="4E08718E"/>
    <w:rsid w:val="500F600B"/>
    <w:rsid w:val="51A72EFC"/>
    <w:rsid w:val="52D72F1B"/>
    <w:rsid w:val="5453297F"/>
    <w:rsid w:val="55BA08E6"/>
    <w:rsid w:val="56354618"/>
    <w:rsid w:val="56770825"/>
    <w:rsid w:val="56DD58DB"/>
    <w:rsid w:val="58CA2C35"/>
    <w:rsid w:val="59C86B3A"/>
    <w:rsid w:val="5A0A5B88"/>
    <w:rsid w:val="5A2A1A16"/>
    <w:rsid w:val="5D887B8B"/>
    <w:rsid w:val="5F001B36"/>
    <w:rsid w:val="5F0D4001"/>
    <w:rsid w:val="610B5ACF"/>
    <w:rsid w:val="615D0E52"/>
    <w:rsid w:val="622C3B53"/>
    <w:rsid w:val="62315B16"/>
    <w:rsid w:val="625C4B72"/>
    <w:rsid w:val="647C4CF5"/>
    <w:rsid w:val="64B557C6"/>
    <w:rsid w:val="653806B8"/>
    <w:rsid w:val="654B3CDE"/>
    <w:rsid w:val="673257C2"/>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C7F82FD"/>
    <w:rsid w:val="7D6F7921"/>
    <w:rsid w:val="7D754DCD"/>
    <w:rsid w:val="7E705781"/>
    <w:rsid w:val="B5FDB1CE"/>
    <w:rsid w:val="DF4FEC23"/>
    <w:rsid w:val="DF9BFB14"/>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b/>
      <w:bCs/>
      <w:sz w:val="24"/>
      <w:szCs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link w:val="15"/>
    <w:qFormat/>
    <w:uiPriority w:val="0"/>
    <w:pPr>
      <w:tabs>
        <w:tab w:val="center" w:pos="4153"/>
        <w:tab w:val="right" w:pos="8306"/>
      </w:tabs>
      <w:snapToGrid w:val="0"/>
      <w:jc w:val="left"/>
    </w:pPr>
    <w:rPr>
      <w:kern w:val="0"/>
      <w:sz w:val="18"/>
      <w:szCs w:val="18"/>
    </w:rPr>
  </w:style>
  <w:style w:type="paragraph" w:styleId="5">
    <w:name w:val="header"/>
    <w:basedOn w:val="1"/>
    <w:link w:val="16"/>
    <w:qFormat/>
    <w:uiPriority w:val="0"/>
    <w:pPr>
      <w:pBdr>
        <w:bottom w:val="single" w:color="auto" w:sz="6" w:space="1"/>
      </w:pBdr>
      <w:tabs>
        <w:tab w:val="center" w:pos="4153"/>
        <w:tab w:val="right" w:pos="8306"/>
      </w:tabs>
      <w:snapToGrid w:val="0"/>
      <w:jc w:val="center"/>
    </w:pPr>
    <w:rPr>
      <w:kern w:val="0"/>
      <w:sz w:val="18"/>
      <w:szCs w:val="18"/>
    </w:rPr>
  </w:style>
  <w:style w:type="paragraph" w:styleId="6">
    <w:name w:val="Normal (Web)"/>
    <w:basedOn w:val="1"/>
    <w:qFormat/>
    <w:uiPriority w:val="0"/>
    <w:pPr>
      <w:spacing w:before="100" w:beforeAutospacing="1" w:after="100" w:afterAutospacing="1"/>
      <w:ind w:left="0" w:right="0"/>
      <w:jc w:val="left"/>
    </w:pPr>
    <w:rPr>
      <w:kern w:val="0"/>
      <w:sz w:val="24"/>
      <w:szCs w:val="20"/>
      <w:lang w:val="en-US" w:eastAsia="zh-CN" w:bidi="ar"/>
    </w:rPr>
  </w:style>
  <w:style w:type="paragraph" w:styleId="7">
    <w:name w:val="Body Text First Indent 2"/>
    <w:basedOn w:val="1"/>
    <w:next w:val="1"/>
    <w:qFormat/>
    <w:uiPriority w:val="0"/>
    <w:pPr>
      <w:ind w:firstLine="420" w:firstLineChars="200"/>
    </w:pPr>
    <w:rPr>
      <w:rFonts w:ascii="Times New Roman" w:hAnsi="Times New Roman"/>
      <w:sz w:val="24"/>
      <w:szCs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customStyle="1" w:styleId="12">
    <w:name w:val="页眉 Char"/>
    <w:link w:val="5"/>
    <w:semiHidden/>
    <w:qFormat/>
    <w:uiPriority w:val="99"/>
    <w:rPr>
      <w:sz w:val="18"/>
      <w:szCs w:val="18"/>
    </w:rPr>
  </w:style>
  <w:style w:type="character" w:customStyle="1" w:styleId="13">
    <w:name w:val="批注框文本 Char"/>
    <w:basedOn w:val="10"/>
    <w:link w:val="3"/>
    <w:semiHidden/>
    <w:qFormat/>
    <w:uiPriority w:val="99"/>
    <w:rPr>
      <w:kern w:val="2"/>
      <w:sz w:val="18"/>
      <w:szCs w:val="18"/>
    </w:rPr>
  </w:style>
  <w:style w:type="character" w:customStyle="1" w:styleId="14">
    <w:name w:val="页脚 Char"/>
    <w:link w:val="4"/>
    <w:semiHidden/>
    <w:qFormat/>
    <w:uiPriority w:val="99"/>
    <w:rPr>
      <w:sz w:val="18"/>
      <w:szCs w:val="18"/>
    </w:rPr>
  </w:style>
  <w:style w:type="character" w:customStyle="1" w:styleId="15">
    <w:name w:val="页脚 字符"/>
    <w:link w:val="4"/>
    <w:qFormat/>
    <w:uiPriority w:val="0"/>
    <w:rPr>
      <w:rFonts w:ascii="Calibri" w:hAnsi="Calibri" w:eastAsia="宋体" w:cs="Times New Roman"/>
      <w:kern w:val="2"/>
      <w:sz w:val="18"/>
      <w:szCs w:val="18"/>
    </w:rPr>
  </w:style>
  <w:style w:type="character" w:customStyle="1" w:styleId="16">
    <w:name w:val="页眉 字符"/>
    <w:link w:val="5"/>
    <w:qFormat/>
    <w:uiPriority w:val="0"/>
    <w:rPr>
      <w:rFonts w:ascii="Calibri" w:hAnsi="Calibri" w:eastAsia="宋体" w:cs="Times New Roman"/>
      <w:kern w:val="2"/>
      <w:sz w:val="18"/>
      <w:szCs w:val="18"/>
    </w:rPr>
  </w:style>
  <w:style w:type="paragraph" w:customStyle="1" w:styleId="17">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8">
    <w:name w:val="[1]正文"/>
    <w:basedOn w:val="1"/>
    <w:qFormat/>
    <w:uiPriority w:val="0"/>
    <w:pPr>
      <w:autoSpaceDE w:val="0"/>
      <w:autoSpaceDN w:val="0"/>
      <w:ind w:firstLine="200" w:firstLineChars="200"/>
    </w:pPr>
    <w:rPr>
      <w:rFonts w:ascii="Times New Roman" w:hAnsi="Times New Roman"/>
      <w:color w:val="000000"/>
      <w:kern w:val="0"/>
      <w:szCs w:val="24"/>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Foundertech</Company>
  <Pages>1</Pages>
  <Words>28</Words>
  <Characters>160</Characters>
  <Lines>1</Lines>
  <Paragraphs>1</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2021-10-25T21:08:00Z</dcterms:created>
  <dc:creator>袁迎辉</dc:creator>
  <cp:lastModifiedBy>hjt</cp:lastModifiedBy>
  <cp:lastPrinted>2018-11-14T17:34:00Z</cp:lastPrinted>
  <dcterms:modified xsi:type="dcterms:W3CDTF">2026-08-26T16:57:38Z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ies>
</file>