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49145">
      <w:pPr>
        <w:spacing w:before="0" w:beforeLines="0" w:after="0" w:afterLines="0" w:line="360" w:lineRule="auto"/>
        <w:ind w:left="0" w:leftChars="0" w:right="0" w:rightChars="0" w:firstLine="0" w:firstLineChars="0"/>
        <w:jc w:val="both"/>
        <w:rPr>
          <w:rFonts w:hint="default" w:ascii="Times New Roman" w:hAnsi="Times New Roman" w:eastAsia="宋体" w:cs="Times New Roman"/>
          <w:kern w:val="2"/>
          <w:sz w:val="32"/>
          <w:szCs w:val="32"/>
          <w:lang w:val="en-US" w:eastAsia="zh-CN" w:bidi="ar-SA"/>
        </w:rPr>
      </w:pPr>
      <w:bookmarkStart w:id="0" w:name="_Toc21356"/>
      <w:bookmarkStart w:id="1" w:name="_Toc30270"/>
      <w:r>
        <w:rPr>
          <w:rFonts w:hint="default" w:ascii="Times New Roman" w:hAnsi="Times New Roman" w:eastAsia="宋体" w:cs="Times New Roman"/>
          <w:kern w:val="2"/>
          <w:sz w:val="32"/>
          <w:szCs w:val="32"/>
          <w:lang w:val="en-US" w:eastAsia="zh-CN" w:bidi="ar-SA"/>
        </w:rPr>
        <w:drawing>
          <wp:inline distT="0" distB="0" distL="114300" distR="114300">
            <wp:extent cx="5614035" cy="7938770"/>
            <wp:effectExtent l="0" t="0" r="9525" b="1270"/>
            <wp:docPr id="12" name="图片 12" descr="ded789e4d5129f82b4dd97c90d3d4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ed789e4d5129f82b4dd97c90d3d4e4c"/>
                    <pic:cNvPicPr>
                      <a:picLocks noChangeAspect="1"/>
                    </pic:cNvPicPr>
                  </pic:nvPicPr>
                  <pic:blipFill>
                    <a:blip r:embed="rId13"/>
                    <a:stretch>
                      <a:fillRect/>
                    </a:stretch>
                  </pic:blipFill>
                  <pic:spPr>
                    <a:xfrm>
                      <a:off x="0" y="0"/>
                      <a:ext cx="5614035" cy="7938770"/>
                    </a:xfrm>
                    <a:prstGeom prst="rect">
                      <a:avLst/>
                    </a:prstGeom>
                  </pic:spPr>
                </pic:pic>
              </a:graphicData>
            </a:graphic>
          </wp:inline>
        </w:drawing>
      </w:r>
    </w:p>
    <w:sdt>
      <w:sdtPr>
        <w:rPr>
          <w:rFonts w:hint="default" w:ascii="Times New Roman" w:hAnsi="Times New Roman" w:eastAsia="宋体" w:cs="Times New Roman"/>
          <w:kern w:val="2"/>
          <w:sz w:val="32"/>
          <w:szCs w:val="32"/>
          <w:lang w:val="en-US" w:eastAsia="zh-CN" w:bidi="ar-SA"/>
        </w:rPr>
        <w:id w:val="147456420"/>
        <w15:color w:val="DBDBDB"/>
        <w:docPartObj>
          <w:docPartGallery w:val="Table of Contents"/>
          <w:docPartUnique/>
        </w:docPartObj>
      </w:sdtPr>
      <w:sdtEndPr>
        <w:rPr>
          <w:rFonts w:hint="default" w:ascii="Times New Roman" w:hAnsi="Times New Roman" w:eastAsia="宋体" w:cs="Times New Roman"/>
          <w:kern w:val="2"/>
          <w:sz w:val="32"/>
          <w:szCs w:val="32"/>
          <w:lang w:val="en-US" w:eastAsia="zh-CN" w:bidi="ar-SA"/>
        </w:rPr>
      </w:sdtEndPr>
      <w:sdtContent>
        <w:p w14:paraId="47A5D011">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1CAB499E">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drawing>
              <wp:inline distT="0" distB="0" distL="114300" distR="114300">
                <wp:extent cx="5612130" cy="7863205"/>
                <wp:effectExtent l="0" t="0" r="11430" b="635"/>
                <wp:docPr id="15" name="图片 15" descr="ae30e1e4e9caf0a549dd7dab1bdabd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ae30e1e4e9caf0a549dd7dab1bdabd35"/>
                        <pic:cNvPicPr>
                          <a:picLocks noChangeAspect="1"/>
                        </pic:cNvPicPr>
                      </pic:nvPicPr>
                      <pic:blipFill>
                        <a:blip r:embed="rId14"/>
                        <a:stretch>
                          <a:fillRect/>
                        </a:stretch>
                      </pic:blipFill>
                      <pic:spPr>
                        <a:xfrm>
                          <a:off x="0" y="0"/>
                          <a:ext cx="5612130" cy="7863205"/>
                        </a:xfrm>
                        <a:prstGeom prst="rect">
                          <a:avLst/>
                        </a:prstGeom>
                      </pic:spPr>
                    </pic:pic>
                  </a:graphicData>
                </a:graphic>
              </wp:inline>
            </w:drawing>
          </w:r>
        </w:p>
        <w:p w14:paraId="35E59D8A">
          <w:pPr>
            <w:spacing w:before="0" w:beforeLines="0" w:after="0" w:afterLines="0" w:line="360" w:lineRule="auto"/>
            <w:ind w:left="0" w:leftChars="0" w:right="0" w:rightChars="0" w:firstLine="0" w:firstLineChars="0"/>
            <w:jc w:val="both"/>
            <w:rPr>
              <w:rFonts w:hint="default" w:ascii="Times New Roman" w:hAnsi="Times New Roman" w:eastAsia="宋体" w:cs="Times New Roman"/>
              <w:kern w:val="2"/>
              <w:sz w:val="32"/>
              <w:szCs w:val="32"/>
              <w:lang w:val="en-US" w:eastAsia="zh-CN" w:bidi="ar-SA"/>
            </w:rPr>
          </w:pPr>
        </w:p>
        <w:p w14:paraId="4EC5E0AD">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drawing>
              <wp:inline distT="0" distB="0" distL="114300" distR="114300">
                <wp:extent cx="5554980" cy="7787640"/>
                <wp:effectExtent l="0" t="0" r="7620" b="0"/>
                <wp:docPr id="16" name="图片 16" descr="73077ea9f534f365c8eb2b7bb182c1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73077ea9f534f365c8eb2b7bb182c15e"/>
                        <pic:cNvPicPr>
                          <a:picLocks noChangeAspect="1"/>
                        </pic:cNvPicPr>
                      </pic:nvPicPr>
                      <pic:blipFill>
                        <a:blip r:embed="rId15"/>
                        <a:stretch>
                          <a:fillRect/>
                        </a:stretch>
                      </pic:blipFill>
                      <pic:spPr>
                        <a:xfrm>
                          <a:off x="0" y="0"/>
                          <a:ext cx="5554980" cy="7787640"/>
                        </a:xfrm>
                        <a:prstGeom prst="rect">
                          <a:avLst/>
                        </a:prstGeom>
                      </pic:spPr>
                    </pic:pic>
                  </a:graphicData>
                </a:graphic>
              </wp:inline>
            </w:drawing>
          </w:r>
        </w:p>
        <w:p w14:paraId="207E80FA">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25F0C5B1">
          <w:pPr>
            <w:spacing w:before="0" w:beforeLines="0" w:after="0" w:afterLines="0" w:line="360" w:lineRule="auto"/>
            <w:ind w:left="0" w:leftChars="0" w:right="0" w:rightChars="0" w:firstLine="0" w:firstLineChars="0"/>
            <w:jc w:val="both"/>
            <w:rPr>
              <w:rFonts w:hint="default" w:ascii="Times New Roman" w:hAnsi="Times New Roman" w:eastAsia="宋体" w:cs="Times New Roman"/>
              <w:kern w:val="2"/>
              <w:sz w:val="32"/>
              <w:szCs w:val="32"/>
              <w:lang w:val="en-US" w:eastAsia="zh-CN" w:bidi="ar-SA"/>
            </w:rPr>
          </w:pPr>
        </w:p>
        <w:p w14:paraId="283EE212">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drawing>
              <wp:inline distT="0" distB="0" distL="114300" distR="114300">
                <wp:extent cx="5612130" cy="8161020"/>
                <wp:effectExtent l="0" t="0" r="11430" b="7620"/>
                <wp:docPr id="17" name="图片 17" descr="e0624608a601e120a2cf76f340aee4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0624608a601e120a2cf76f340aee4a6"/>
                        <pic:cNvPicPr>
                          <a:picLocks noChangeAspect="1"/>
                        </pic:cNvPicPr>
                      </pic:nvPicPr>
                      <pic:blipFill>
                        <a:blip r:embed="rId16"/>
                        <a:stretch>
                          <a:fillRect/>
                        </a:stretch>
                      </pic:blipFill>
                      <pic:spPr>
                        <a:xfrm>
                          <a:off x="0" y="0"/>
                          <a:ext cx="5612130" cy="8161020"/>
                        </a:xfrm>
                        <a:prstGeom prst="rect">
                          <a:avLst/>
                        </a:prstGeom>
                      </pic:spPr>
                    </pic:pic>
                  </a:graphicData>
                </a:graphic>
              </wp:inline>
            </w:drawing>
          </w:r>
        </w:p>
        <w:p w14:paraId="66C56E55">
          <w:pPr>
            <w:spacing w:before="0" w:beforeLines="0" w:after="0" w:afterLines="0" w:line="360" w:lineRule="auto"/>
            <w:ind w:left="0" w:leftChars="0" w:right="0" w:rightChars="0" w:firstLine="0" w:firstLineChars="0"/>
            <w:jc w:val="both"/>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drawing>
              <wp:inline distT="0" distB="0" distL="114300" distR="114300">
                <wp:extent cx="5585460" cy="7688580"/>
                <wp:effectExtent l="0" t="0" r="7620" b="7620"/>
                <wp:docPr id="23" name="图片 23" descr="7026d594ddd1b3794c18c557a94e3f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7026d594ddd1b3794c18c557a94e3feb"/>
                        <pic:cNvPicPr>
                          <a:picLocks noChangeAspect="1"/>
                        </pic:cNvPicPr>
                      </pic:nvPicPr>
                      <pic:blipFill>
                        <a:blip r:embed="rId17"/>
                        <a:stretch>
                          <a:fillRect/>
                        </a:stretch>
                      </pic:blipFill>
                      <pic:spPr>
                        <a:xfrm>
                          <a:off x="0" y="0"/>
                          <a:ext cx="5585460" cy="7688580"/>
                        </a:xfrm>
                        <a:prstGeom prst="rect">
                          <a:avLst/>
                        </a:prstGeom>
                      </pic:spPr>
                    </pic:pic>
                  </a:graphicData>
                </a:graphic>
              </wp:inline>
            </w:drawing>
          </w:r>
        </w:p>
        <w:p w14:paraId="043DEDFC">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25D22A2F">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7FBECEFA">
          <w:pPr>
            <w:spacing w:before="0" w:beforeLines="0" w:after="0" w:afterLines="0" w:line="360" w:lineRule="auto"/>
            <w:ind w:left="0" w:leftChars="0" w:right="0" w:rightChars="0" w:firstLine="0" w:firstLineChars="0"/>
            <w:jc w:val="both"/>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drawing>
              <wp:inline distT="0" distB="0" distL="114300" distR="114300">
                <wp:extent cx="5585460" cy="7962900"/>
                <wp:effectExtent l="0" t="0" r="7620" b="7620"/>
                <wp:docPr id="24" name="图片 24" descr="8e8ccd9325fe7fa142d9a9ed5b1e9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8e8ccd9325fe7fa142d9a9ed5b1e9374"/>
                        <pic:cNvPicPr>
                          <a:picLocks noChangeAspect="1"/>
                        </pic:cNvPicPr>
                      </pic:nvPicPr>
                      <pic:blipFill>
                        <a:blip r:embed="rId18"/>
                        <a:stretch>
                          <a:fillRect/>
                        </a:stretch>
                      </pic:blipFill>
                      <pic:spPr>
                        <a:xfrm>
                          <a:off x="0" y="0"/>
                          <a:ext cx="5585460" cy="7962900"/>
                        </a:xfrm>
                        <a:prstGeom prst="rect">
                          <a:avLst/>
                        </a:prstGeom>
                      </pic:spPr>
                    </pic:pic>
                  </a:graphicData>
                </a:graphic>
              </wp:inline>
            </w:drawing>
          </w:r>
        </w:p>
        <w:p w14:paraId="20E94F89">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5918EBD1">
          <w:pPr>
            <w:spacing w:before="0" w:beforeLines="0" w:after="0" w:afterLines="0" w:line="360" w:lineRule="auto"/>
            <w:ind w:left="0" w:leftChars="0" w:right="0" w:rightChars="0" w:firstLine="0" w:firstLineChars="0"/>
            <w:jc w:val="both"/>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drawing>
              <wp:inline distT="0" distB="0" distL="114300" distR="114300">
                <wp:extent cx="5539740" cy="7818120"/>
                <wp:effectExtent l="0" t="0" r="7620" b="0"/>
                <wp:docPr id="25" name="图片 25" descr="55d9c54a29ecc3fd90484505b928a8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55d9c54a29ecc3fd90484505b928a80a"/>
                        <pic:cNvPicPr>
                          <a:picLocks noChangeAspect="1"/>
                        </pic:cNvPicPr>
                      </pic:nvPicPr>
                      <pic:blipFill>
                        <a:blip r:embed="rId19"/>
                        <a:stretch>
                          <a:fillRect/>
                        </a:stretch>
                      </pic:blipFill>
                      <pic:spPr>
                        <a:xfrm>
                          <a:off x="0" y="0"/>
                          <a:ext cx="5539740" cy="7818120"/>
                        </a:xfrm>
                        <a:prstGeom prst="rect">
                          <a:avLst/>
                        </a:prstGeom>
                      </pic:spPr>
                    </pic:pic>
                  </a:graphicData>
                </a:graphic>
              </wp:inline>
            </w:drawing>
          </w:r>
        </w:p>
        <w:p w14:paraId="3BEA8C7B">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54D02EF5">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1CEB70F0">
          <w:pPr>
            <w:spacing w:before="0" w:beforeLines="0" w:after="0" w:afterLines="0" w:line="360" w:lineRule="auto"/>
            <w:ind w:left="0" w:leftChars="0" w:right="0" w:rightChars="0" w:firstLine="0" w:firstLineChars="0"/>
            <w:jc w:val="both"/>
            <w:rPr>
              <w:rFonts w:hint="default" w:ascii="Times New Roman" w:hAnsi="Times New Roman" w:eastAsia="宋体" w:cs="Times New Roman"/>
              <w:kern w:val="2"/>
              <w:sz w:val="32"/>
              <w:szCs w:val="32"/>
              <w:lang w:val="en-US" w:eastAsia="zh-CN" w:bidi="ar-SA"/>
            </w:rPr>
          </w:pPr>
          <w:r>
            <w:rPr>
              <w:rFonts w:hint="default" w:ascii="Times New Roman" w:hAnsi="Times New Roman" w:eastAsia="宋体" w:cs="Times New Roman"/>
              <w:kern w:val="2"/>
              <w:sz w:val="32"/>
              <w:szCs w:val="32"/>
              <w:lang w:val="en-US" w:eastAsia="zh-CN" w:bidi="ar-SA"/>
            </w:rPr>
            <w:drawing>
              <wp:inline distT="0" distB="0" distL="114300" distR="114300">
                <wp:extent cx="5501640" cy="7734300"/>
                <wp:effectExtent l="0" t="0" r="0" b="7620"/>
                <wp:docPr id="26" name="图片 26" descr="f0fe5f221cc1978c54a96944c8e7f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f0fe5f221cc1978c54a96944c8e7fe64"/>
                        <pic:cNvPicPr>
                          <a:picLocks noChangeAspect="1"/>
                        </pic:cNvPicPr>
                      </pic:nvPicPr>
                      <pic:blipFill>
                        <a:blip r:embed="rId20"/>
                        <a:stretch>
                          <a:fillRect/>
                        </a:stretch>
                      </pic:blipFill>
                      <pic:spPr>
                        <a:xfrm>
                          <a:off x="0" y="0"/>
                          <a:ext cx="5501640" cy="7734300"/>
                        </a:xfrm>
                        <a:prstGeom prst="rect">
                          <a:avLst/>
                        </a:prstGeom>
                      </pic:spPr>
                    </pic:pic>
                  </a:graphicData>
                </a:graphic>
              </wp:inline>
            </w:drawing>
          </w:r>
        </w:p>
        <w:p w14:paraId="6190CC41">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357B130B">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62481869">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r>
            <w:rPr>
              <w:sz w:val="32"/>
            </w:rPr>
            <mc:AlternateContent>
              <mc:Choice Requires="wps">
                <w:drawing>
                  <wp:anchor distT="0" distB="0" distL="114300" distR="114300" simplePos="0" relativeHeight="251697152" behindDoc="0" locked="0" layoutInCell="1" allowOverlap="1">
                    <wp:simplePos x="0" y="0"/>
                    <wp:positionH relativeFrom="column">
                      <wp:posOffset>2908300</wp:posOffset>
                    </wp:positionH>
                    <wp:positionV relativeFrom="paragraph">
                      <wp:posOffset>1374140</wp:posOffset>
                    </wp:positionV>
                    <wp:extent cx="1136650" cy="300990"/>
                    <wp:effectExtent l="5080" t="4445" r="16510" b="14605"/>
                    <wp:wrapNone/>
                    <wp:docPr id="2" name="文本框 2"/>
                    <wp:cNvGraphicFramePr/>
                    <a:graphic xmlns:a="http://schemas.openxmlformats.org/drawingml/2006/main">
                      <a:graphicData uri="http://schemas.microsoft.com/office/word/2010/wordprocessingShape">
                        <wps:wsp>
                          <wps:cNvSpPr txBox="1"/>
                          <wps:spPr>
                            <a:xfrm>
                              <a:off x="3880485" y="2454275"/>
                              <a:ext cx="1136650" cy="3009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DC2FC4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9pt;margin-top:108.2pt;height:23.7pt;width:89.5pt;z-index:251697152;mso-width-relative:page;mso-height-relative:page;" fillcolor="#FFFFFF [3201]" filled="t" stroked="t" coordsize="21600,21600" o:gfxdata="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7TXxtcAAAALAQAADwAAAAAAAAABACAAAAAiAAAAZHJzL2Rvd25yZXYueG1sUEsBAhQA&#10;FAAAAAgAh07iQDqW06llAgAAwwQAAA4AAAAAAAAAAQAgAAAAJgEAAGRycy9lMm9Eb2MueG1sUEsF&#10;BgAAAAAGAAYAWQEAAP0FAAAAAA==&#10;">
                    <v:fill on="t" focussize="0,0"/>
                    <v:stroke weight="0.5pt" color="#000000 [3204]" joinstyle="round"/>
                    <v:imagedata o:title=""/>
                    <o:lock v:ext="edit" aspectratio="f"/>
                    <v:textbox>
                      <w:txbxContent>
                        <w:p w14:paraId="1DC2FC4A"/>
                      </w:txbxContent>
                    </v:textbox>
                  </v:shape>
                </w:pict>
              </mc:Fallback>
            </mc:AlternateContent>
          </w:r>
          <w:r>
            <w:rPr>
              <w:sz w:val="32"/>
            </w:rPr>
            <mc:AlternateContent>
              <mc:Choice Requires="wps">
                <w:drawing>
                  <wp:anchor distT="0" distB="0" distL="114300" distR="114300" simplePos="0" relativeHeight="251696128" behindDoc="0" locked="0" layoutInCell="1" allowOverlap="1">
                    <wp:simplePos x="0" y="0"/>
                    <wp:positionH relativeFrom="column">
                      <wp:posOffset>0</wp:posOffset>
                    </wp:positionH>
                    <wp:positionV relativeFrom="paragraph">
                      <wp:posOffset>0</wp:posOffset>
                    </wp:positionV>
                    <wp:extent cx="1828800" cy="1828800"/>
                    <wp:effectExtent l="4445" t="4445" r="10795" b="10795"/>
                    <wp:wrapSquare wrapText="bothSides"/>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2A9D6FA">
                                <w:pPr>
                                  <w:spacing w:before="0" w:beforeLines="0" w:after="0" w:afterLines="0" w:line="360" w:lineRule="auto"/>
                                  <w:ind w:left="0" w:leftChars="0" w:right="0" w:rightChars="0" w:firstLine="0" w:firstLineChars="0"/>
                                  <w:jc w:val="both"/>
                                  <w:rPr>
                                    <w:rFonts w:hint="default" w:ascii="Times New Roman" w:hAnsi="Times New Roman" w:eastAsia="宋体" w:cs="Times New Roman"/>
                                    <w:kern w:val="2"/>
                                    <w:sz w:val="32"/>
                                    <w:szCs w:val="32"/>
                                    <w:highlight w:val="yellow"/>
                                    <w:lang w:val="en-US" w:eastAsia="zh-CN" w:bidi="ar-SA"/>
                                  </w:rPr>
                                </w:pPr>
                                <w:r>
                                  <w:rPr>
                                    <w:rFonts w:hint="default" w:ascii="Times New Roman" w:hAnsi="Times New Roman" w:eastAsia="宋体" w:cs="Times New Roman"/>
                                    <w:kern w:val="2"/>
                                    <w:sz w:val="32"/>
                                    <w:szCs w:val="32"/>
                                    <w:highlight w:val="yellow"/>
                                    <w:lang w:val="en-US" w:eastAsia="zh-CN" w:bidi="ar-SA"/>
                                  </w:rPr>
                                  <w:drawing>
                                    <wp:inline distT="0" distB="0" distL="114300" distR="114300">
                                      <wp:extent cx="5494655" cy="7686040"/>
                                      <wp:effectExtent l="0" t="0" r="6985" b="10160"/>
                                      <wp:docPr id="124" name="图片 124" descr="b1bd1461-2c75-45bf-96a4-7c60a570f3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b1bd1461-2c75-45bf-96a4-7c60a570f3ac"/>
                                              <pic:cNvPicPr>
                                                <a:picLocks noChangeAspect="1"/>
                                              </pic:cNvPicPr>
                                            </pic:nvPicPr>
                                            <pic:blipFill>
                                              <a:blip r:embed="rId21"/>
                                              <a:stretch>
                                                <a:fillRect/>
                                              </a:stretch>
                                            </pic:blipFill>
                                            <pic:spPr>
                                              <a:xfrm>
                                                <a:off x="0" y="0"/>
                                                <a:ext cx="5494655" cy="7686040"/>
                                              </a:xfrm>
                                              <a:prstGeom prst="rect">
                                                <a:avLst/>
                                              </a:prstGeom>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0pt;margin-top:0pt;height:144pt;width:144pt;mso-wrap-distance-bottom:0pt;mso-wrap-distance-left:9pt;mso-wrap-distance-right:9pt;mso-wrap-distance-top:0pt;mso-wrap-style:none;z-index:251696128;mso-width-relative:page;mso-height-relative:page;" fillcolor="#FFFFFF [3201]" filled="t" stroked="t" coordsize="21600,21600" o:gfxdata="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bKke9zwAAAAUBAAAPAAAAAAAAAAEA&#10;IAAAACIAAABkcnMvZG93bnJldi54bWxQSwECFAAUAAAACACHTuJAfl+T0FECAAC2BAAADgAAAAAA&#10;AAABACAAAAAeAQAAZHJzL2Uyb0RvYy54bWxQSwUGAAAAAAYABgBZAQAA4QUAAAAA&#10;">
                    <v:fill on="t" focussize="0,0"/>
                    <v:stroke weight="0.5pt" color="#000000 [3204]" joinstyle="round"/>
                    <v:imagedata o:title=""/>
                    <o:lock v:ext="edit" aspectratio="f"/>
                    <v:textbox style="mso-fit-shape-to-text:t;">
                      <w:txbxContent>
                        <w:p w14:paraId="72A9D6FA">
                          <w:pPr>
                            <w:spacing w:before="0" w:beforeLines="0" w:after="0" w:afterLines="0" w:line="360" w:lineRule="auto"/>
                            <w:ind w:left="0" w:leftChars="0" w:right="0" w:rightChars="0" w:firstLine="0" w:firstLineChars="0"/>
                            <w:jc w:val="both"/>
                            <w:rPr>
                              <w:rFonts w:hint="default" w:ascii="Times New Roman" w:hAnsi="Times New Roman" w:eastAsia="宋体" w:cs="Times New Roman"/>
                              <w:kern w:val="2"/>
                              <w:sz w:val="32"/>
                              <w:szCs w:val="32"/>
                              <w:highlight w:val="yellow"/>
                              <w:lang w:val="en-US" w:eastAsia="zh-CN" w:bidi="ar-SA"/>
                            </w:rPr>
                          </w:pPr>
                          <w:r>
                            <w:rPr>
                              <w:rFonts w:hint="default" w:ascii="Times New Roman" w:hAnsi="Times New Roman" w:eastAsia="宋体" w:cs="Times New Roman"/>
                              <w:kern w:val="2"/>
                              <w:sz w:val="32"/>
                              <w:szCs w:val="32"/>
                              <w:highlight w:val="yellow"/>
                              <w:lang w:val="en-US" w:eastAsia="zh-CN" w:bidi="ar-SA"/>
                            </w:rPr>
                            <w:drawing>
                              <wp:inline distT="0" distB="0" distL="114300" distR="114300">
                                <wp:extent cx="5494655" cy="7686040"/>
                                <wp:effectExtent l="0" t="0" r="6985" b="10160"/>
                                <wp:docPr id="124" name="图片 124" descr="b1bd1461-2c75-45bf-96a4-7c60a570f3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b1bd1461-2c75-45bf-96a4-7c60a570f3ac"/>
                                        <pic:cNvPicPr>
                                          <a:picLocks noChangeAspect="1"/>
                                        </pic:cNvPicPr>
                                      </pic:nvPicPr>
                                      <pic:blipFill>
                                        <a:blip r:embed="rId21"/>
                                        <a:stretch>
                                          <a:fillRect/>
                                        </a:stretch>
                                      </pic:blipFill>
                                      <pic:spPr>
                                        <a:xfrm>
                                          <a:off x="0" y="0"/>
                                          <a:ext cx="5494655" cy="7686040"/>
                                        </a:xfrm>
                                        <a:prstGeom prst="rect">
                                          <a:avLst/>
                                        </a:prstGeom>
                                      </pic:spPr>
                                    </pic:pic>
                                  </a:graphicData>
                                </a:graphic>
                              </wp:inline>
                            </w:drawing>
                          </w:r>
                        </w:p>
                      </w:txbxContent>
                    </v:textbox>
                    <w10:wrap type="square"/>
                  </v:shape>
                </w:pict>
              </mc:Fallback>
            </mc:AlternateContent>
          </w:r>
        </w:p>
        <w:p w14:paraId="1969EAD5">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6DE23BA6">
          <w:pPr>
            <w:spacing w:before="0" w:beforeLines="0" w:after="0" w:afterLines="0" w:line="360" w:lineRule="auto"/>
            <w:ind w:left="0" w:leftChars="0" w:right="0" w:rightChars="0" w:firstLine="0" w:firstLineChars="0"/>
            <w:jc w:val="both"/>
            <w:rPr>
              <w:rFonts w:hint="default" w:ascii="Times New Roman" w:hAnsi="Times New Roman" w:eastAsia="宋体" w:cs="Times New Roman"/>
              <w:kern w:val="2"/>
              <w:sz w:val="32"/>
              <w:szCs w:val="32"/>
              <w:lang w:val="en-US" w:eastAsia="zh-CN" w:bidi="ar-SA"/>
            </w:rPr>
          </w:pPr>
          <w:bookmarkStart w:id="53" w:name="_GoBack"/>
          <w:bookmarkEnd w:id="53"/>
          <w:r>
            <w:rPr>
              <w:sz w:val="32"/>
            </w:rPr>
            <mc:AlternateContent>
              <mc:Choice Requires="wps">
                <w:drawing>
                  <wp:anchor distT="0" distB="0" distL="114300" distR="114300" simplePos="0" relativeHeight="251698176" behindDoc="0" locked="0" layoutInCell="1" allowOverlap="1">
                    <wp:simplePos x="0" y="0"/>
                    <wp:positionH relativeFrom="column">
                      <wp:posOffset>2826385</wp:posOffset>
                    </wp:positionH>
                    <wp:positionV relativeFrom="paragraph">
                      <wp:posOffset>1285875</wp:posOffset>
                    </wp:positionV>
                    <wp:extent cx="1136650" cy="300990"/>
                    <wp:effectExtent l="5080" t="4445" r="16510" b="14605"/>
                    <wp:wrapNone/>
                    <wp:docPr id="3" name="文本框 3"/>
                    <wp:cNvGraphicFramePr/>
                    <a:graphic xmlns:a="http://schemas.openxmlformats.org/drawingml/2006/main">
                      <a:graphicData uri="http://schemas.microsoft.com/office/word/2010/wordprocessingShape">
                        <wps:wsp>
                          <wps:cNvSpPr txBox="1"/>
                          <wps:spPr>
                            <a:xfrm>
                              <a:off x="0" y="0"/>
                              <a:ext cx="1136650" cy="3009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83CB4E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2.55pt;margin-top:101.25pt;height:23.7pt;width:89.5pt;z-index:251698176;mso-width-relative:page;mso-height-relative:page;" fillcolor="#FFFFFF [3201]" filled="t" stroked="t" coordsize="21600,21600" o:gfxdata="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tAU4H1wAA&#10;AAsBAAAPAAAAAAAAAAEAIAAAACIAAABkcnMvZG93bnJldi54bWxQSwECFAAUAAAACACHTuJAhFEM&#10;tlgCAAC3BAAADgAAAAAAAAABACAAAAAmAQAAZHJzL2Uyb0RvYy54bWxQSwUGAAAAAAYABgBZAQAA&#10;8AUAAAAA&#10;">
                    <v:fill on="t" focussize="0,0"/>
                    <v:stroke weight="0.5pt" color="#000000 [3204]" joinstyle="round"/>
                    <v:imagedata o:title=""/>
                    <o:lock v:ext="edit" aspectratio="f"/>
                    <v:textbox>
                      <w:txbxContent>
                        <w:p w14:paraId="683CB4EC"/>
                      </w:txbxContent>
                    </v:textbox>
                  </v:shape>
                </w:pict>
              </mc:Fallback>
            </mc:AlternateContent>
          </w:r>
          <w:r>
            <w:rPr>
              <w:rFonts w:hint="default" w:ascii="Times New Roman" w:hAnsi="Times New Roman" w:eastAsia="宋体" w:cs="Times New Roman"/>
              <w:kern w:val="2"/>
              <w:sz w:val="32"/>
              <w:szCs w:val="32"/>
              <w:lang w:val="en-US" w:eastAsia="zh-CN" w:bidi="ar-SA"/>
            </w:rPr>
            <w:drawing>
              <wp:inline distT="0" distB="0" distL="114300" distR="114300">
                <wp:extent cx="5546090" cy="7713980"/>
                <wp:effectExtent l="0" t="0" r="1270" b="12700"/>
                <wp:docPr id="125" name="图片 125" descr="6d4f4e66-bd59-4300-838a-24a0893a9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6d4f4e66-bd59-4300-838a-24a0893a9110"/>
                        <pic:cNvPicPr>
                          <a:picLocks noChangeAspect="1"/>
                        </pic:cNvPicPr>
                      </pic:nvPicPr>
                      <pic:blipFill>
                        <a:blip r:embed="rId22"/>
                        <a:stretch>
                          <a:fillRect/>
                        </a:stretch>
                      </pic:blipFill>
                      <pic:spPr>
                        <a:xfrm>
                          <a:off x="0" y="0"/>
                          <a:ext cx="5546090" cy="7713980"/>
                        </a:xfrm>
                        <a:prstGeom prst="rect">
                          <a:avLst/>
                        </a:prstGeom>
                      </pic:spPr>
                    </pic:pic>
                  </a:graphicData>
                </a:graphic>
              </wp:inline>
            </w:drawing>
          </w:r>
        </w:p>
        <w:p w14:paraId="4D3DB3D7">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05FFB8F4">
          <w:pPr>
            <w:spacing w:before="0" w:beforeLines="0" w:after="0" w:afterLines="0" w:line="360" w:lineRule="auto"/>
            <w:ind w:left="0" w:leftChars="0" w:right="0" w:rightChars="0" w:firstLine="0" w:firstLineChars="0"/>
            <w:jc w:val="center"/>
            <w:rPr>
              <w:rFonts w:hint="default" w:ascii="Times New Roman" w:hAnsi="Times New Roman" w:eastAsia="宋体" w:cs="Times New Roman"/>
              <w:kern w:val="2"/>
              <w:sz w:val="32"/>
              <w:szCs w:val="32"/>
              <w:lang w:val="en-US" w:eastAsia="zh-CN" w:bidi="ar-SA"/>
            </w:rPr>
          </w:pPr>
        </w:p>
        <w:p w14:paraId="69A12EF0">
          <w:pPr>
            <w:spacing w:before="0" w:beforeLines="0" w:after="0" w:afterLines="0" w:line="360" w:lineRule="auto"/>
            <w:ind w:left="0" w:leftChars="0" w:right="0" w:rightChars="0" w:firstLine="0" w:firstLineChars="0"/>
            <w:jc w:val="center"/>
            <w:rPr>
              <w:rFonts w:hint="default" w:ascii="Times New Roman" w:hAnsi="Times New Roman" w:cs="Times New Roman"/>
              <w:sz w:val="32"/>
              <w:szCs w:val="32"/>
            </w:rPr>
          </w:pPr>
          <w:r>
            <w:rPr>
              <w:rFonts w:hint="default" w:ascii="Times New Roman" w:hAnsi="Times New Roman" w:eastAsia="宋体" w:cs="Times New Roman"/>
              <w:sz w:val="32"/>
              <w:szCs w:val="32"/>
            </w:rPr>
            <w:t>目</w:t>
          </w:r>
          <w:r>
            <w:rPr>
              <w:rFonts w:hint="default" w:ascii="Times New Roman" w:hAnsi="Times New Roman" w:eastAsia="宋体" w:cs="Times New Roman"/>
              <w:sz w:val="32"/>
              <w:szCs w:val="32"/>
              <w:lang w:val="en-US" w:eastAsia="zh-CN"/>
            </w:rPr>
            <w:t xml:space="preserve">  </w:t>
          </w:r>
          <w:r>
            <w:rPr>
              <w:rFonts w:hint="default" w:ascii="Times New Roman" w:hAnsi="Times New Roman" w:eastAsia="宋体" w:cs="Times New Roman"/>
              <w:sz w:val="32"/>
              <w:szCs w:val="32"/>
            </w:rPr>
            <w:t>录</w:t>
          </w:r>
        </w:p>
        <w:p w14:paraId="0F870AAB">
          <w:pPr>
            <w:pStyle w:val="22"/>
            <w:tabs>
              <w:tab w:val="right" w:leader="dot" w:pos="8844"/>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TOC \o "1-1" \h \u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_Toc26403 </w:instrText>
          </w:r>
          <w:r>
            <w:rPr>
              <w:rFonts w:hint="default" w:ascii="Times New Roman" w:hAnsi="Times New Roman" w:cs="Times New Roman"/>
              <w:sz w:val="24"/>
              <w:szCs w:val="24"/>
            </w:rPr>
            <w:fldChar w:fldCharType="separate"/>
          </w:r>
          <w:r>
            <w:rPr>
              <w:rFonts w:hint="default" w:ascii="Times New Roman" w:hAnsi="Times New Roman" w:eastAsia="黑体" w:cs="Times New Roman"/>
              <w:snapToGrid w:val="0"/>
              <w:sz w:val="24"/>
              <w:szCs w:val="24"/>
              <w:highlight w:val="none"/>
              <w:lang w:val="en-US" w:eastAsia="zh-CN"/>
            </w:rPr>
            <w:t>一、建设项目基本情况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_Toc26403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33755D08">
          <w:pPr>
            <w:pStyle w:val="22"/>
            <w:tabs>
              <w:tab w:val="right" w:leader="dot" w:pos="8844"/>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_Toc2509 </w:instrText>
          </w:r>
          <w:r>
            <w:rPr>
              <w:rFonts w:hint="default" w:ascii="Times New Roman" w:hAnsi="Times New Roman" w:cs="Times New Roman"/>
              <w:sz w:val="24"/>
              <w:szCs w:val="24"/>
            </w:rPr>
            <w:fldChar w:fldCharType="separate"/>
          </w:r>
          <w:r>
            <w:rPr>
              <w:rFonts w:hint="default" w:ascii="Times New Roman" w:hAnsi="Times New Roman" w:eastAsia="黑体" w:cs="Times New Roman"/>
              <w:snapToGrid w:val="0"/>
              <w:sz w:val="24"/>
              <w:szCs w:val="24"/>
              <w:highlight w:val="none"/>
              <w:lang w:val="en-US" w:eastAsia="zh-CN"/>
            </w:rPr>
            <w:t>二、建设内容</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_Toc2509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12</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2F7F2860">
          <w:pPr>
            <w:pStyle w:val="22"/>
            <w:tabs>
              <w:tab w:val="right" w:leader="dot" w:pos="8844"/>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_Toc20420 </w:instrText>
          </w:r>
          <w:r>
            <w:rPr>
              <w:rFonts w:hint="default" w:ascii="Times New Roman" w:hAnsi="Times New Roman" w:cs="Times New Roman"/>
              <w:sz w:val="24"/>
              <w:szCs w:val="24"/>
            </w:rPr>
            <w:fldChar w:fldCharType="separate"/>
          </w:r>
          <w:r>
            <w:rPr>
              <w:rFonts w:hint="default" w:ascii="Times New Roman" w:hAnsi="Times New Roman" w:eastAsia="黑体" w:cs="Times New Roman"/>
              <w:snapToGrid w:val="0"/>
              <w:sz w:val="24"/>
              <w:szCs w:val="24"/>
              <w:highlight w:val="none"/>
              <w:lang w:val="en-US" w:eastAsia="zh-CN"/>
            </w:rPr>
            <w:t>三、生态环境现状、保护目标及评价标准</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_Toc20420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23</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08DC7828">
          <w:pPr>
            <w:pStyle w:val="22"/>
            <w:tabs>
              <w:tab w:val="right" w:leader="dot" w:pos="8844"/>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_Toc12079 </w:instrText>
          </w:r>
          <w:r>
            <w:rPr>
              <w:rFonts w:hint="default" w:ascii="Times New Roman" w:hAnsi="Times New Roman" w:cs="Times New Roman"/>
              <w:sz w:val="24"/>
              <w:szCs w:val="24"/>
            </w:rPr>
            <w:fldChar w:fldCharType="separate"/>
          </w:r>
          <w:r>
            <w:rPr>
              <w:rFonts w:hint="default" w:ascii="Times New Roman" w:hAnsi="Times New Roman" w:eastAsia="黑体" w:cs="Times New Roman"/>
              <w:snapToGrid w:val="0"/>
              <w:sz w:val="24"/>
              <w:szCs w:val="24"/>
              <w:highlight w:val="none"/>
              <w:lang w:val="en-US" w:eastAsia="zh-CN"/>
            </w:rPr>
            <w:t>四、生态环境影响分析</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_Toc12079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32</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0180E3A9">
          <w:pPr>
            <w:pStyle w:val="22"/>
            <w:tabs>
              <w:tab w:val="right" w:leader="dot" w:pos="8844"/>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_Toc2922 </w:instrText>
          </w:r>
          <w:r>
            <w:rPr>
              <w:rFonts w:hint="default" w:ascii="Times New Roman" w:hAnsi="Times New Roman" w:cs="Times New Roman"/>
              <w:sz w:val="24"/>
              <w:szCs w:val="24"/>
            </w:rPr>
            <w:fldChar w:fldCharType="separate"/>
          </w:r>
          <w:r>
            <w:rPr>
              <w:rFonts w:hint="default" w:ascii="Times New Roman" w:hAnsi="Times New Roman" w:eastAsia="黑体" w:cs="Times New Roman"/>
              <w:snapToGrid w:val="0"/>
              <w:sz w:val="24"/>
              <w:szCs w:val="24"/>
              <w:highlight w:val="none"/>
              <w:lang w:val="en-US" w:eastAsia="zh-CN"/>
            </w:rPr>
            <w:t>五、主要生态环境保护措施</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_Toc2922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54</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21182B7B">
          <w:pPr>
            <w:pStyle w:val="22"/>
            <w:tabs>
              <w:tab w:val="right" w:leader="dot" w:pos="8844"/>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_Toc7155 </w:instrText>
          </w:r>
          <w:r>
            <w:rPr>
              <w:rFonts w:hint="default" w:ascii="Times New Roman" w:hAnsi="Times New Roman" w:cs="Times New Roman"/>
              <w:sz w:val="24"/>
              <w:szCs w:val="24"/>
            </w:rPr>
            <w:fldChar w:fldCharType="separate"/>
          </w:r>
          <w:r>
            <w:rPr>
              <w:rFonts w:hint="default" w:ascii="Times New Roman" w:hAnsi="Times New Roman" w:eastAsia="黑体" w:cs="Times New Roman"/>
              <w:snapToGrid w:val="0"/>
              <w:sz w:val="24"/>
              <w:szCs w:val="24"/>
              <w:highlight w:val="none"/>
              <w:lang w:val="en-US" w:eastAsia="zh-CN"/>
            </w:rPr>
            <w:t>六、生态环境保护措施监督检查清单</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_Toc7155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67</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21839861">
          <w:pPr>
            <w:pStyle w:val="22"/>
            <w:tabs>
              <w:tab w:val="right" w:leader="dot" w:pos="8844"/>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_Toc31903 </w:instrText>
          </w:r>
          <w:r>
            <w:rPr>
              <w:rFonts w:hint="default" w:ascii="Times New Roman" w:hAnsi="Times New Roman" w:cs="Times New Roman"/>
              <w:sz w:val="24"/>
              <w:szCs w:val="24"/>
            </w:rPr>
            <w:fldChar w:fldCharType="separate"/>
          </w:r>
          <w:r>
            <w:rPr>
              <w:rFonts w:hint="default" w:ascii="Times New Roman" w:hAnsi="Times New Roman" w:eastAsia="黑体" w:cs="Times New Roman"/>
              <w:snapToGrid w:val="0"/>
              <w:sz w:val="24"/>
              <w:szCs w:val="24"/>
              <w:highlight w:val="none"/>
              <w:lang w:val="en-US" w:eastAsia="zh-CN"/>
            </w:rPr>
            <w:t>七</w:t>
          </w:r>
          <w:r>
            <w:rPr>
              <w:rFonts w:hint="default" w:ascii="Times New Roman" w:hAnsi="Times New Roman" w:eastAsia="黑体" w:cs="Times New Roman"/>
              <w:snapToGrid w:val="0"/>
              <w:sz w:val="24"/>
              <w:szCs w:val="24"/>
              <w:highlight w:val="none"/>
            </w:rPr>
            <w:t>、结论</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_Toc31903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70</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2FEFC62E">
          <w:pPr>
            <w:pStyle w:val="22"/>
            <w:tabs>
              <w:tab w:val="right" w:leader="dot" w:pos="8844"/>
            </w:tabs>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_Toc24048 </w:instrText>
          </w:r>
          <w:r>
            <w:rPr>
              <w:rFonts w:hint="default" w:ascii="Times New Roman" w:hAnsi="Times New Roman" w:cs="Times New Roman"/>
              <w:sz w:val="24"/>
              <w:szCs w:val="24"/>
            </w:rPr>
            <w:fldChar w:fldCharType="separate"/>
          </w:r>
          <w:r>
            <w:rPr>
              <w:rFonts w:hint="default" w:ascii="Times New Roman" w:hAnsi="Times New Roman" w:eastAsia="方正小标宋_GBK" w:cs="Times New Roman"/>
              <w:bCs/>
              <w:sz w:val="24"/>
              <w:szCs w:val="24"/>
              <w:highlight w:val="none"/>
            </w:rPr>
            <w:t>电磁环境影响专项评价</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_Toc24048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71</w:t>
          </w:r>
          <w:r>
            <w:rPr>
              <w:rFonts w:hint="default" w:ascii="Times New Roman" w:hAnsi="Times New Roman" w:cs="Times New Roman"/>
              <w:sz w:val="24"/>
              <w:szCs w:val="24"/>
            </w:rPr>
            <w:fldChar w:fldCharType="end"/>
          </w:r>
          <w:r>
            <w:rPr>
              <w:rFonts w:hint="default" w:ascii="Times New Roman" w:hAnsi="Times New Roman" w:cs="Times New Roman"/>
              <w:sz w:val="24"/>
              <w:szCs w:val="24"/>
            </w:rPr>
            <w:fldChar w:fldCharType="end"/>
          </w:r>
        </w:p>
        <w:p w14:paraId="3E456F09">
          <w:pPr>
            <w:spacing w:line="360" w:lineRule="auto"/>
            <w:rPr>
              <w:rFonts w:hint="default" w:ascii="Times New Roman" w:hAnsi="Times New Roman" w:cs="Times New Roman"/>
            </w:rPr>
          </w:pPr>
          <w:r>
            <w:rPr>
              <w:rFonts w:hint="default" w:ascii="Times New Roman" w:hAnsi="Times New Roman" w:cs="Times New Roman"/>
              <w:sz w:val="24"/>
              <w:szCs w:val="24"/>
            </w:rPr>
            <w:fldChar w:fldCharType="end"/>
          </w:r>
        </w:p>
      </w:sdtContent>
    </w:sdt>
    <w:p w14:paraId="4DF01FCF">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szCs w:val="24"/>
          <w:lang w:val="en-US" w:eastAsia="zh-CN"/>
        </w:rPr>
      </w:pPr>
    </w:p>
    <w:p w14:paraId="2A198A0B">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附件</w:t>
      </w:r>
    </w:p>
    <w:p w14:paraId="50280D19">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附件1 委托书</w:t>
      </w:r>
    </w:p>
    <w:p w14:paraId="440633A9">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附件2 项目核准批复</w:t>
      </w:r>
    </w:p>
    <w:p w14:paraId="42BACADD">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附件3 用地预审与选址意见书批复</w:t>
      </w:r>
    </w:p>
    <w:p w14:paraId="4354183F">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附件4 额济纳旗文化旅游广电局文件</w:t>
      </w:r>
    </w:p>
    <w:p w14:paraId="554383CC">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附件5 阿拉善盟生态环境局额济纳旗分局文件</w:t>
      </w:r>
    </w:p>
    <w:p w14:paraId="4466D330">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附件6 额济纳旗交通运输局文件</w:t>
      </w:r>
    </w:p>
    <w:p w14:paraId="51D2092C">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附件7 额济纳旗林业和草原局文件</w:t>
      </w:r>
    </w:p>
    <w:p w14:paraId="6D059C34">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附件8额额济纳旗水务局文件</w:t>
      </w:r>
    </w:p>
    <w:p w14:paraId="2A20D79B">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附件9温图高勒苏木人民政府文件</w:t>
      </w:r>
    </w:p>
    <w:p w14:paraId="4B89BEB2">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附件10 额济纳旗自然资源局文件</w:t>
      </w:r>
    </w:p>
    <w:p w14:paraId="4BFF411A">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附件11 额济纳旗人民武装部文件</w:t>
      </w:r>
    </w:p>
    <w:p w14:paraId="6FDC8C64">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附件12 现状监测报告</w:t>
      </w:r>
    </w:p>
    <w:p w14:paraId="1873D9AE">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附件13 类比报告</w:t>
      </w:r>
    </w:p>
    <w:p w14:paraId="4C2555FF">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p>
    <w:p w14:paraId="14B8D5C4">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szCs w:val="24"/>
          <w:lang w:val="en-US" w:eastAsia="zh-CN"/>
        </w:rPr>
      </w:pPr>
    </w:p>
    <w:p w14:paraId="7CDC9F81">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szCs w:val="24"/>
          <w:lang w:val="en-US" w:eastAsia="zh-CN"/>
        </w:rPr>
      </w:pPr>
    </w:p>
    <w:p w14:paraId="6CDD3E7E">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szCs w:val="24"/>
          <w:lang w:val="en-US" w:eastAsia="zh-CN"/>
        </w:rPr>
      </w:pPr>
    </w:p>
    <w:p w14:paraId="5C2A9914">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附图</w:t>
      </w:r>
    </w:p>
    <w:p w14:paraId="73520ED5">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附图1 项目地理位置图</w:t>
      </w:r>
    </w:p>
    <w:p w14:paraId="60B977E2">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附图2 升压站平面布置图</w:t>
      </w:r>
    </w:p>
    <w:p w14:paraId="39E72819">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附图3 本工程环境管控单元查询结果图及与生态保护红线位置关系图</w:t>
      </w:r>
    </w:p>
    <w:p w14:paraId="3F5C077E">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附图4 本项目与三区三线位置关系图</w:t>
      </w:r>
    </w:p>
    <w:p w14:paraId="535585B6">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附图5 本项目与国土空间总体规划位置关系图</w:t>
      </w:r>
    </w:p>
    <w:p w14:paraId="096F9197">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附图6 本项目与内蒙古自治区主体功能区划相对位置关系图</w:t>
      </w:r>
    </w:p>
    <w:p w14:paraId="6C53A9A6">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附图7 本项目与内蒙古自治区生态功能区划相对位置关系图</w:t>
      </w:r>
    </w:p>
    <w:p w14:paraId="1BEB2F47">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eastAsia"/>
          <w:b w:val="0"/>
          <w:bCs w:val="0"/>
          <w:color w:val="auto"/>
          <w:sz w:val="24"/>
          <w:szCs w:val="24"/>
          <w:lang w:val="en-US" w:eastAsia="zh-CN"/>
        </w:rPr>
      </w:pPr>
      <w:r>
        <w:rPr>
          <w:rFonts w:hint="eastAsia"/>
          <w:b w:val="0"/>
          <w:bCs w:val="0"/>
          <w:color w:val="auto"/>
          <w:sz w:val="24"/>
          <w:szCs w:val="24"/>
          <w:lang w:val="en-US" w:eastAsia="zh-CN"/>
        </w:rPr>
        <w:t>附图8 升压站周边评价范围图及遥感影像图</w:t>
      </w:r>
    </w:p>
    <w:p w14:paraId="1918BED3">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附图</w:t>
      </w:r>
      <w:r>
        <w:rPr>
          <w:rFonts w:hint="eastAsia" w:cs="Times New Roman"/>
          <w:b w:val="0"/>
          <w:bCs w:val="0"/>
          <w:color w:val="auto"/>
          <w:sz w:val="24"/>
          <w:szCs w:val="24"/>
          <w:lang w:val="en-US" w:eastAsia="zh-CN"/>
        </w:rPr>
        <w:t>9</w:t>
      </w:r>
      <w:r>
        <w:rPr>
          <w:rFonts w:hint="default" w:ascii="Times New Roman" w:hAnsi="Times New Roman" w:cs="Times New Roman"/>
          <w:b w:val="0"/>
          <w:bCs w:val="0"/>
          <w:color w:val="auto"/>
          <w:sz w:val="24"/>
          <w:szCs w:val="24"/>
          <w:lang w:val="en-US" w:eastAsia="zh-CN"/>
        </w:rPr>
        <w:t xml:space="preserve"> 土地利用类型图</w:t>
      </w:r>
    </w:p>
    <w:p w14:paraId="753CB76C">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附图</w:t>
      </w:r>
      <w:r>
        <w:rPr>
          <w:rFonts w:hint="eastAsia" w:cs="Times New Roman"/>
          <w:b w:val="0"/>
          <w:bCs w:val="0"/>
          <w:color w:val="auto"/>
          <w:sz w:val="24"/>
          <w:szCs w:val="24"/>
          <w:lang w:val="en-US" w:eastAsia="zh-CN"/>
        </w:rPr>
        <w:t>10</w:t>
      </w:r>
      <w:r>
        <w:rPr>
          <w:rFonts w:hint="default" w:ascii="Times New Roman" w:hAnsi="Times New Roman" w:cs="Times New Roman"/>
          <w:b w:val="0"/>
          <w:bCs w:val="0"/>
          <w:color w:val="auto"/>
          <w:sz w:val="24"/>
          <w:szCs w:val="24"/>
          <w:lang w:val="en-US" w:eastAsia="zh-CN"/>
        </w:rPr>
        <w:t>项目区域现状图</w:t>
      </w:r>
    </w:p>
    <w:p w14:paraId="52155787">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附图1</w:t>
      </w:r>
      <w:r>
        <w:rPr>
          <w:rFonts w:hint="eastAsia" w:ascii="Times New Roman" w:hAnsi="Times New Roman" w:eastAsia="宋体" w:cs="Times New Roman"/>
          <w:b w:val="0"/>
          <w:bCs w:val="0"/>
          <w:color w:val="auto"/>
          <w:sz w:val="24"/>
          <w:szCs w:val="24"/>
          <w:lang w:val="en-US" w:eastAsia="zh-CN"/>
        </w:rPr>
        <w:t>1</w:t>
      </w:r>
      <w:r>
        <w:rPr>
          <w:rFonts w:hint="default" w:ascii="Times New Roman" w:hAnsi="Times New Roman" w:eastAsia="宋体" w:cs="Times New Roman"/>
          <w:b w:val="0"/>
          <w:bCs w:val="0"/>
          <w:color w:val="auto"/>
          <w:sz w:val="24"/>
          <w:szCs w:val="24"/>
          <w:lang w:val="en-US" w:eastAsia="zh-CN"/>
        </w:rPr>
        <w:t>监测布点图</w:t>
      </w:r>
    </w:p>
    <w:p w14:paraId="4CAB683E">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附图12升压站与风机相对位置图</w:t>
      </w:r>
    </w:p>
    <w:p w14:paraId="1686E24A">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p>
    <w:p w14:paraId="35317D67">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p>
    <w:p w14:paraId="5127A77D">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p>
    <w:p w14:paraId="2326A98C">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p>
    <w:p w14:paraId="4E5D6469">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pPr>
    </w:p>
    <w:p w14:paraId="6E5BC5DC">
      <w:pPr>
        <w:pStyle w:val="83"/>
        <w:keepNext w:val="0"/>
        <w:keepLines w:val="0"/>
        <w:pageBreakBefore w:val="0"/>
        <w:widowControl/>
        <w:tabs>
          <w:tab w:val="right" w:leader="dot" w:pos="9746"/>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color w:val="auto"/>
          <w:sz w:val="24"/>
          <w:szCs w:val="24"/>
          <w:lang w:val="en-US" w:eastAsia="zh-CN"/>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6343FD8E">
      <w:pPr>
        <w:pStyle w:val="26"/>
        <w:jc w:val="center"/>
        <w:outlineLvl w:val="0"/>
        <w:rPr>
          <w:rFonts w:hint="default" w:ascii="Times New Roman" w:hAnsi="Times New Roman" w:eastAsia="黑体" w:cs="Times New Roman"/>
          <w:snapToGrid w:val="0"/>
          <w:color w:val="auto"/>
          <w:sz w:val="30"/>
          <w:szCs w:val="30"/>
          <w:highlight w:val="none"/>
          <w:lang w:val="en-US" w:eastAsia="zh-CN"/>
        </w:rPr>
      </w:pPr>
      <w:bookmarkStart w:id="2" w:name="_Toc18649"/>
      <w:bookmarkStart w:id="3" w:name="_Toc26403"/>
      <w:r>
        <w:rPr>
          <w:rFonts w:hint="default" w:ascii="Times New Roman" w:hAnsi="Times New Roman" w:eastAsia="黑体" w:cs="Times New Roman"/>
          <w:b/>
          <w:bCs/>
          <w:color w:val="auto"/>
          <w:sz w:val="24"/>
          <w:szCs w:val="24"/>
          <w:lang w:val="en-US" w:eastAsia="zh-CN"/>
        </w:rPr>
        <w:t xml:space="preserve">   </w:t>
      </w:r>
      <w:r>
        <w:rPr>
          <w:rFonts w:hint="default" w:ascii="Times New Roman" w:hAnsi="Times New Roman" w:eastAsia="黑体" w:cs="Times New Roman"/>
          <w:snapToGrid w:val="0"/>
          <w:color w:val="auto"/>
          <w:sz w:val="30"/>
          <w:szCs w:val="30"/>
          <w:highlight w:val="none"/>
          <w:lang w:val="en-US" w:eastAsia="zh-CN"/>
        </w:rPr>
        <w:t>一、建设项目基本情况</w:t>
      </w:r>
      <w:bookmarkEnd w:id="0"/>
      <w:bookmarkEnd w:id="2"/>
      <w:bookmarkEnd w:id="3"/>
    </w:p>
    <w:tbl>
      <w:tblPr>
        <w:tblStyle w:val="30"/>
        <w:tblW w:w="95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799"/>
        <w:gridCol w:w="2238"/>
        <w:gridCol w:w="2296"/>
        <w:gridCol w:w="3191"/>
      </w:tblGrid>
      <w:tr w14:paraId="49B602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676" w:type="dxa"/>
            <w:noWrap/>
            <w:tcMar>
              <w:top w:w="16" w:type="dxa"/>
              <w:left w:w="16" w:type="dxa"/>
              <w:right w:w="16" w:type="dxa"/>
            </w:tcMar>
            <w:vAlign w:val="center"/>
          </w:tcPr>
          <w:p w14:paraId="70C6DDF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建设项目名称</w:t>
            </w:r>
          </w:p>
        </w:tc>
        <w:tc>
          <w:tcPr>
            <w:tcW w:w="7194" w:type="dxa"/>
            <w:gridSpan w:val="3"/>
            <w:noWrap/>
            <w:vAlign w:val="center"/>
          </w:tcPr>
          <w:p w14:paraId="1B873A6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华润新能源额济纳旗100兆瓦风电项目220kV升压站工程</w:t>
            </w:r>
          </w:p>
        </w:tc>
      </w:tr>
      <w:tr w14:paraId="26D0E6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676" w:type="dxa"/>
            <w:noWrap/>
            <w:tcMar>
              <w:top w:w="16" w:type="dxa"/>
              <w:left w:w="16" w:type="dxa"/>
              <w:right w:w="16" w:type="dxa"/>
            </w:tcMar>
            <w:vAlign w:val="center"/>
          </w:tcPr>
          <w:p w14:paraId="5E65EAE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项目代码</w:t>
            </w:r>
          </w:p>
        </w:tc>
        <w:tc>
          <w:tcPr>
            <w:tcW w:w="7194" w:type="dxa"/>
            <w:gridSpan w:val="3"/>
            <w:noWrap/>
            <w:vAlign w:val="center"/>
          </w:tcPr>
          <w:p w14:paraId="798BDCF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2605-152923-60-01-657370</w:t>
            </w:r>
          </w:p>
        </w:tc>
      </w:tr>
      <w:tr w14:paraId="1C36CB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676" w:type="dxa"/>
            <w:noWrap/>
            <w:tcMar>
              <w:top w:w="16" w:type="dxa"/>
              <w:left w:w="16" w:type="dxa"/>
              <w:right w:w="16" w:type="dxa"/>
            </w:tcMar>
            <w:vAlign w:val="center"/>
          </w:tcPr>
          <w:p w14:paraId="2D7AA81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建设单位联系人</w:t>
            </w:r>
          </w:p>
        </w:tc>
        <w:tc>
          <w:tcPr>
            <w:tcW w:w="2084" w:type="dxa"/>
            <w:noWrap/>
            <w:vAlign w:val="center"/>
          </w:tcPr>
          <w:p w14:paraId="0C8A2BE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张琦</w:t>
            </w:r>
          </w:p>
        </w:tc>
        <w:tc>
          <w:tcPr>
            <w:tcW w:w="2138" w:type="dxa"/>
            <w:noWrap/>
            <w:vAlign w:val="center"/>
          </w:tcPr>
          <w:p w14:paraId="0A348F0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2972" w:type="dxa"/>
            <w:noWrap/>
            <w:vAlign w:val="center"/>
          </w:tcPr>
          <w:p w14:paraId="27112B1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13704753966</w:t>
            </w:r>
          </w:p>
        </w:tc>
      </w:tr>
      <w:tr w14:paraId="64F1CF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676" w:type="dxa"/>
            <w:noWrap/>
            <w:tcMar>
              <w:top w:w="16" w:type="dxa"/>
              <w:left w:w="16" w:type="dxa"/>
              <w:right w:w="16" w:type="dxa"/>
            </w:tcMar>
            <w:vAlign w:val="center"/>
          </w:tcPr>
          <w:p w14:paraId="365143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建设地点</w:t>
            </w:r>
          </w:p>
        </w:tc>
        <w:tc>
          <w:tcPr>
            <w:tcW w:w="7194" w:type="dxa"/>
            <w:gridSpan w:val="3"/>
            <w:noWrap/>
            <w:vAlign w:val="center"/>
          </w:tcPr>
          <w:p w14:paraId="60645E37">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内蒙古自治区阿拉善盟额济纳旗温图高勒苏木东北部</w:t>
            </w:r>
          </w:p>
        </w:tc>
      </w:tr>
      <w:tr w14:paraId="565C3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676" w:type="dxa"/>
            <w:noWrap/>
            <w:tcMar>
              <w:top w:w="16" w:type="dxa"/>
              <w:left w:w="16" w:type="dxa"/>
              <w:right w:w="16" w:type="dxa"/>
            </w:tcMar>
            <w:vAlign w:val="center"/>
          </w:tcPr>
          <w:p w14:paraId="086F919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地理坐标</w:t>
            </w:r>
          </w:p>
        </w:tc>
        <w:tc>
          <w:tcPr>
            <w:tcW w:w="7194" w:type="dxa"/>
            <w:gridSpan w:val="3"/>
            <w:noWrap/>
            <w:vAlign w:val="center"/>
          </w:tcPr>
          <w:p w14:paraId="58B26DD8">
            <w:pPr>
              <w:keepNext w:val="0"/>
              <w:keepLines w:val="0"/>
              <w:suppressLineNumbers w:val="0"/>
              <w:spacing w:before="0" w:beforeLines="0" w:beforeAutospacing="0" w:after="0" w:afterLines="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220kV升压站中心坐标：102°27'7.189"E；41°47'3.674"N</w:t>
            </w:r>
          </w:p>
        </w:tc>
      </w:tr>
      <w:tr w14:paraId="7F1797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676" w:type="dxa"/>
            <w:noWrap/>
            <w:tcMar>
              <w:top w:w="16" w:type="dxa"/>
              <w:left w:w="16" w:type="dxa"/>
              <w:right w:w="16" w:type="dxa"/>
            </w:tcMar>
            <w:vAlign w:val="center"/>
          </w:tcPr>
          <w:p w14:paraId="1EEB8D8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建设项目</w:t>
            </w:r>
          </w:p>
          <w:p w14:paraId="24A157C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行业类别</w:t>
            </w:r>
          </w:p>
        </w:tc>
        <w:tc>
          <w:tcPr>
            <w:tcW w:w="2084" w:type="dxa"/>
            <w:noWrap/>
            <w:vAlign w:val="center"/>
          </w:tcPr>
          <w:p w14:paraId="76B319DC">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五十五、核与辐射</w:t>
            </w:r>
          </w:p>
          <w:p w14:paraId="416311A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TimesNewRomanPSMT" w:cs="Times New Roman"/>
                <w:color w:val="auto"/>
                <w:sz w:val="24"/>
                <w:szCs w:val="24"/>
                <w:highlight w:val="none"/>
              </w:rPr>
              <w:t xml:space="preserve">161 </w:t>
            </w:r>
            <w:r>
              <w:rPr>
                <w:rFonts w:hint="default" w:ascii="Times New Roman" w:hAnsi="Times New Roman" w:eastAsia="宋体" w:cs="Times New Roman"/>
                <w:color w:val="auto"/>
                <w:sz w:val="24"/>
                <w:szCs w:val="24"/>
                <w:highlight w:val="none"/>
              </w:rPr>
              <w:t>输变电工程</w:t>
            </w:r>
          </w:p>
        </w:tc>
        <w:tc>
          <w:tcPr>
            <w:tcW w:w="2138" w:type="dxa"/>
            <w:noWrap/>
            <w:vAlign w:val="center"/>
          </w:tcPr>
          <w:p w14:paraId="305E738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pacing w:val="-6"/>
                <w:sz w:val="24"/>
                <w:szCs w:val="24"/>
                <w:highlight w:val="none"/>
              </w:rPr>
              <w:t>用地（用海）面积（m</w:t>
            </w:r>
            <w:r>
              <w:rPr>
                <w:rFonts w:hint="default" w:ascii="Times New Roman" w:hAnsi="Times New Roman" w:cs="Times New Roman"/>
                <w:color w:val="auto"/>
                <w:spacing w:val="-6"/>
                <w:sz w:val="24"/>
                <w:szCs w:val="24"/>
                <w:highlight w:val="none"/>
                <w:vertAlign w:val="superscript"/>
              </w:rPr>
              <w:t>2</w:t>
            </w:r>
            <w:r>
              <w:rPr>
                <w:rFonts w:hint="default" w:ascii="Times New Roman" w:hAnsi="Times New Roman" w:cs="Times New Roman"/>
                <w:color w:val="auto"/>
                <w:spacing w:val="-6"/>
                <w:sz w:val="24"/>
                <w:szCs w:val="24"/>
                <w:highlight w:val="none"/>
              </w:rPr>
              <w:t>）</w:t>
            </w:r>
            <w:r>
              <w:rPr>
                <w:rFonts w:hint="default" w:ascii="Times New Roman" w:hAnsi="Times New Roman" w:cs="Times New Roman"/>
                <w:color w:val="auto"/>
                <w:spacing w:val="-6"/>
                <w:sz w:val="24"/>
                <w:szCs w:val="24"/>
                <w:highlight w:val="none"/>
                <w:lang w:val="en-US" w:eastAsia="zh-CN"/>
              </w:rPr>
              <w:t>/长度（km）</w:t>
            </w:r>
          </w:p>
        </w:tc>
        <w:tc>
          <w:tcPr>
            <w:tcW w:w="2972" w:type="dxa"/>
            <w:noWrap/>
            <w:vAlign w:val="center"/>
          </w:tcPr>
          <w:p w14:paraId="5B90B5C9">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永久占地：升压站（10597m</w:t>
            </w:r>
            <w:r>
              <w:rPr>
                <w:rFonts w:hint="default"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lang w:val="en-US" w:eastAsia="zh-CN"/>
              </w:rPr>
              <w:t>）、进站道路（1913m</w:t>
            </w:r>
            <w:r>
              <w:rPr>
                <w:rFonts w:hint="default"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vertAlign w:val="baseline"/>
                <w:lang w:val="en-US" w:eastAsia="zh-CN"/>
              </w:rPr>
              <w:t>施工临时占地依托风电项目，不单独设置。</w:t>
            </w:r>
          </w:p>
        </w:tc>
      </w:tr>
      <w:tr w14:paraId="296B59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676" w:type="dxa"/>
            <w:noWrap/>
            <w:tcMar>
              <w:top w:w="16" w:type="dxa"/>
              <w:left w:w="16" w:type="dxa"/>
              <w:right w:w="16" w:type="dxa"/>
            </w:tcMar>
            <w:vAlign w:val="center"/>
          </w:tcPr>
          <w:p w14:paraId="6D192F8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建设性质</w:t>
            </w:r>
          </w:p>
        </w:tc>
        <w:tc>
          <w:tcPr>
            <w:tcW w:w="2084" w:type="dxa"/>
            <w:noWrap/>
            <w:vAlign w:val="center"/>
          </w:tcPr>
          <w:p w14:paraId="64360CBC">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☑新建（迁建）</w:t>
            </w:r>
          </w:p>
          <w:p w14:paraId="27E7E85E">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改建</w:t>
            </w:r>
          </w:p>
          <w:p w14:paraId="2DFF0F0D">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□扩建</w:t>
            </w:r>
          </w:p>
          <w:p w14:paraId="418C777B">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□技术改造</w:t>
            </w:r>
          </w:p>
        </w:tc>
        <w:tc>
          <w:tcPr>
            <w:tcW w:w="2138" w:type="dxa"/>
            <w:noWrap/>
            <w:vAlign w:val="center"/>
          </w:tcPr>
          <w:p w14:paraId="7B41A5D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7C07A3E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申报情形</w:t>
            </w:r>
          </w:p>
        </w:tc>
        <w:tc>
          <w:tcPr>
            <w:tcW w:w="2972" w:type="dxa"/>
            <w:noWrap/>
            <w:vAlign w:val="center"/>
          </w:tcPr>
          <w:p w14:paraId="6381CF7D">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 xml:space="preserve">首次申报项目             </w:t>
            </w:r>
          </w:p>
          <w:p w14:paraId="2483343D">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不予批准后再次申报项目</w:t>
            </w:r>
          </w:p>
          <w:p w14:paraId="642A3301">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 xml:space="preserve">超五年重新审核项目     </w:t>
            </w:r>
          </w:p>
          <w:p w14:paraId="0CF29D01">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重大变动重新报批项目</w:t>
            </w:r>
          </w:p>
        </w:tc>
      </w:tr>
      <w:tr w14:paraId="1E21A5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1676" w:type="dxa"/>
            <w:noWrap/>
            <w:tcMar>
              <w:top w:w="16" w:type="dxa"/>
              <w:left w:w="16" w:type="dxa"/>
              <w:right w:w="16" w:type="dxa"/>
            </w:tcMar>
            <w:vAlign w:val="center"/>
          </w:tcPr>
          <w:p w14:paraId="0A7D6845">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项目审批（核准</w:t>
            </w:r>
          </w:p>
          <w:p w14:paraId="028B8898">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/备案）部门</w:t>
            </w:r>
          </w:p>
          <w:p w14:paraId="46FE50FF">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（选填）</w:t>
            </w:r>
          </w:p>
        </w:tc>
        <w:tc>
          <w:tcPr>
            <w:tcW w:w="2084" w:type="dxa"/>
            <w:noWrap/>
            <w:vAlign w:val="center"/>
          </w:tcPr>
          <w:p w14:paraId="4716249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阿拉善盟能源局</w:t>
            </w:r>
          </w:p>
        </w:tc>
        <w:tc>
          <w:tcPr>
            <w:tcW w:w="2138" w:type="dxa"/>
            <w:noWrap/>
            <w:vAlign w:val="center"/>
          </w:tcPr>
          <w:p w14:paraId="32D5CA5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项目审批（核准/</w:t>
            </w:r>
          </w:p>
          <w:p w14:paraId="611B5867">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备案）文号（选填）</w:t>
            </w:r>
          </w:p>
        </w:tc>
        <w:tc>
          <w:tcPr>
            <w:tcW w:w="2972" w:type="dxa"/>
            <w:noWrap/>
            <w:vAlign w:val="center"/>
          </w:tcPr>
          <w:p w14:paraId="3EF3ABA4">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阿能源发[2026]15号</w:t>
            </w:r>
          </w:p>
        </w:tc>
      </w:tr>
      <w:tr w14:paraId="5B6BDF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676" w:type="dxa"/>
            <w:noWrap/>
            <w:tcMar>
              <w:top w:w="16" w:type="dxa"/>
              <w:left w:w="16" w:type="dxa"/>
              <w:right w:w="16" w:type="dxa"/>
            </w:tcMar>
            <w:vAlign w:val="center"/>
          </w:tcPr>
          <w:p w14:paraId="69A1E83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总投资（万元）</w:t>
            </w:r>
          </w:p>
        </w:tc>
        <w:tc>
          <w:tcPr>
            <w:tcW w:w="2084" w:type="dxa"/>
            <w:noWrap/>
            <w:vAlign w:val="center"/>
          </w:tcPr>
          <w:p w14:paraId="5228A20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3631.97</w:t>
            </w:r>
          </w:p>
        </w:tc>
        <w:tc>
          <w:tcPr>
            <w:tcW w:w="2138" w:type="dxa"/>
            <w:noWrap/>
            <w:tcMar>
              <w:top w:w="16" w:type="dxa"/>
              <w:left w:w="16" w:type="dxa"/>
              <w:right w:w="16" w:type="dxa"/>
            </w:tcMar>
            <w:vAlign w:val="center"/>
          </w:tcPr>
          <w:p w14:paraId="18BCAEF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环保投资（万元）</w:t>
            </w:r>
          </w:p>
        </w:tc>
        <w:tc>
          <w:tcPr>
            <w:tcW w:w="2972" w:type="dxa"/>
            <w:noWrap/>
            <w:vAlign w:val="center"/>
          </w:tcPr>
          <w:p w14:paraId="77B9669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135</w:t>
            </w:r>
          </w:p>
        </w:tc>
      </w:tr>
      <w:tr w14:paraId="76CE1F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676" w:type="dxa"/>
            <w:noWrap/>
            <w:tcMar>
              <w:top w:w="16" w:type="dxa"/>
              <w:left w:w="16" w:type="dxa"/>
              <w:right w:w="16" w:type="dxa"/>
            </w:tcMar>
            <w:vAlign w:val="center"/>
          </w:tcPr>
          <w:p w14:paraId="06C7791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环保投资占比（%）</w:t>
            </w:r>
          </w:p>
        </w:tc>
        <w:tc>
          <w:tcPr>
            <w:tcW w:w="2084" w:type="dxa"/>
            <w:noWrap/>
            <w:vAlign w:val="center"/>
          </w:tcPr>
          <w:p w14:paraId="2A12873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3.7</w:t>
            </w:r>
          </w:p>
        </w:tc>
        <w:tc>
          <w:tcPr>
            <w:tcW w:w="2138" w:type="dxa"/>
            <w:noWrap/>
            <w:tcMar>
              <w:top w:w="16" w:type="dxa"/>
              <w:left w:w="16" w:type="dxa"/>
              <w:right w:w="16" w:type="dxa"/>
            </w:tcMar>
            <w:vAlign w:val="center"/>
          </w:tcPr>
          <w:p w14:paraId="47F2DB7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施工工期</w:t>
            </w:r>
          </w:p>
        </w:tc>
        <w:tc>
          <w:tcPr>
            <w:tcW w:w="2972" w:type="dxa"/>
            <w:noWrap/>
            <w:vAlign w:val="center"/>
          </w:tcPr>
          <w:p w14:paraId="6DF645D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12</w:t>
            </w:r>
            <w:r>
              <w:rPr>
                <w:rFonts w:hint="default" w:ascii="Times New Roman" w:hAnsi="Times New Roman" w:cs="Times New Roman"/>
                <w:color w:val="auto"/>
                <w:sz w:val="24"/>
                <w:szCs w:val="24"/>
                <w:highlight w:val="none"/>
                <w:lang w:val="en-US" w:eastAsia="zh-CN"/>
              </w:rPr>
              <w:t>个月</w:t>
            </w:r>
          </w:p>
        </w:tc>
      </w:tr>
      <w:tr w14:paraId="680AA5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1676" w:type="dxa"/>
            <w:noWrap/>
            <w:tcMar>
              <w:top w:w="16" w:type="dxa"/>
              <w:left w:w="16" w:type="dxa"/>
              <w:right w:w="16" w:type="dxa"/>
            </w:tcMar>
            <w:vAlign w:val="center"/>
          </w:tcPr>
          <w:p w14:paraId="4CD5B01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是否开工建设</w:t>
            </w:r>
          </w:p>
        </w:tc>
        <w:tc>
          <w:tcPr>
            <w:tcW w:w="7194" w:type="dxa"/>
            <w:gridSpan w:val="3"/>
            <w:noWrap/>
            <w:vAlign w:val="center"/>
          </w:tcPr>
          <w:p w14:paraId="6B392AC9">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☑否</w:t>
            </w:r>
          </w:p>
          <w:p w14:paraId="5738AFE8">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□是</w:t>
            </w:r>
          </w:p>
        </w:tc>
      </w:tr>
      <w:tr w14:paraId="34939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95" w:hRule="atLeast"/>
          <w:jc w:val="center"/>
        </w:trPr>
        <w:tc>
          <w:tcPr>
            <w:tcW w:w="1676" w:type="dxa"/>
            <w:noWrap/>
            <w:tcMar>
              <w:top w:w="16" w:type="dxa"/>
              <w:left w:w="16" w:type="dxa"/>
              <w:right w:w="16" w:type="dxa"/>
            </w:tcMar>
            <w:vAlign w:val="center"/>
          </w:tcPr>
          <w:p w14:paraId="7331470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kern w:val="0"/>
                <w:sz w:val="24"/>
                <w:szCs w:val="24"/>
                <w:highlight w:val="none"/>
              </w:rPr>
              <w:t>专项评价设置情况</w:t>
            </w:r>
          </w:p>
        </w:tc>
        <w:tc>
          <w:tcPr>
            <w:tcW w:w="7194" w:type="dxa"/>
            <w:gridSpan w:val="3"/>
            <w:noWrap/>
            <w:vAlign w:val="center"/>
          </w:tcPr>
          <w:p w14:paraId="4980D32A">
            <w:pPr>
              <w:keepNext w:val="0"/>
              <w:keepLines w:val="0"/>
              <w:suppressLineNumbers w:val="0"/>
              <w:spacing w:before="0" w:beforeLines="0" w:beforeAutospacing="0" w:after="0" w:afterLines="0" w:afterAutospacing="0"/>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本项目为</w:t>
            </w:r>
            <w:r>
              <w:rPr>
                <w:rFonts w:hint="default" w:ascii="Times New Roman" w:hAnsi="Times New Roman" w:cs="Times New Roman"/>
                <w:color w:val="auto"/>
                <w:sz w:val="24"/>
                <w:szCs w:val="24"/>
                <w:highlight w:val="none"/>
                <w:lang w:val="en-US" w:eastAsia="zh-CN"/>
              </w:rPr>
              <w:t>220kV</w:t>
            </w:r>
            <w:r>
              <w:rPr>
                <w:rFonts w:hint="default" w:ascii="Times New Roman" w:hAnsi="Times New Roman" w:eastAsia="宋体" w:cs="Times New Roman"/>
                <w:color w:val="auto"/>
                <w:sz w:val="24"/>
                <w:szCs w:val="24"/>
                <w:highlight w:val="none"/>
                <w:lang w:eastAsia="zh-CN"/>
              </w:rPr>
              <w:t>输变电工程</w:t>
            </w:r>
            <w:r>
              <w:rPr>
                <w:rFonts w:hint="default" w:ascii="Times New Roman" w:hAnsi="Times New Roman"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eastAsia="zh-CN"/>
              </w:rPr>
              <w:t>，根据《环境影响评价技术导则输变电》（HJ24-2020）附录B</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本次评价设置电磁环境影响专题评价</w:t>
            </w:r>
            <w:r>
              <w:rPr>
                <w:rFonts w:hint="default" w:ascii="Times New Roman" w:hAnsi="Times New Roman" w:eastAsia="宋体" w:cs="Times New Roman"/>
                <w:color w:val="auto"/>
                <w:sz w:val="24"/>
                <w:szCs w:val="24"/>
                <w:highlight w:val="none"/>
                <w:lang w:eastAsia="zh-CN"/>
              </w:rPr>
              <w:t>。</w:t>
            </w:r>
          </w:p>
        </w:tc>
      </w:tr>
      <w:tr w14:paraId="631725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14" w:hRule="atLeast"/>
          <w:jc w:val="center"/>
        </w:trPr>
        <w:tc>
          <w:tcPr>
            <w:tcW w:w="1676" w:type="dxa"/>
            <w:noWrap/>
            <w:vAlign w:val="center"/>
          </w:tcPr>
          <w:p w14:paraId="27479DE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规划情况</w:t>
            </w:r>
          </w:p>
        </w:tc>
        <w:tc>
          <w:tcPr>
            <w:tcW w:w="7194" w:type="dxa"/>
            <w:gridSpan w:val="3"/>
            <w:noWrap/>
            <w:vAlign w:val="center"/>
          </w:tcPr>
          <w:p w14:paraId="27957891">
            <w:pPr>
              <w:keepNext w:val="0"/>
              <w:keepLines w:val="0"/>
              <w:suppressLineNumbers w:val="0"/>
              <w:spacing w:before="0" w:beforeLines="0" w:beforeAutospacing="0" w:after="0" w:afterLines="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《阿拉善盟额济纳旗国土空间总体规划（2021-2035年）</w:t>
            </w:r>
            <w:r>
              <w:rPr>
                <w:rFonts w:hint="default" w:ascii="Times New Roman" w:hAnsi="Times New Roman" w:eastAsia="宋体" w:cs="Times New Roman"/>
                <w:color w:val="auto"/>
                <w:sz w:val="24"/>
                <w:szCs w:val="24"/>
                <w:highlight w:val="none"/>
                <w:lang w:eastAsia="zh-CN"/>
              </w:rPr>
              <w:t>》；</w:t>
            </w:r>
          </w:p>
          <w:p w14:paraId="058C655C">
            <w:pPr>
              <w:keepNext w:val="0"/>
              <w:keepLines w:val="0"/>
              <w:suppressLineNumbers w:val="0"/>
              <w:spacing w:before="0" w:beforeLines="0" w:beforeAutospacing="0" w:after="0" w:afterLines="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审批机关：内蒙古自治区人民政府</w:t>
            </w:r>
          </w:p>
          <w:p w14:paraId="0651FAA6">
            <w:pPr>
              <w:keepNext w:val="0"/>
              <w:keepLines w:val="0"/>
              <w:suppressLineNumbers w:val="0"/>
              <w:spacing w:before="0" w:beforeLines="0" w:beforeAutospacing="0" w:after="0" w:afterLines="0" w:afterAutospacing="0" w:line="360" w:lineRule="auto"/>
              <w:ind w:left="0" w:right="0" w:firstLine="480" w:firstLineChars="200"/>
              <w:jc w:val="left"/>
              <w:rPr>
                <w:rFonts w:hint="default" w:ascii="Times New Roman" w:hAnsi="Times New Roman"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审批文号：内政字[2024]</w:t>
            </w:r>
            <w:r>
              <w:rPr>
                <w:rFonts w:hint="default" w:ascii="Times New Roman" w:hAnsi="Times New Roman" w:cs="Times New Roman"/>
                <w:color w:val="auto"/>
                <w:sz w:val="24"/>
                <w:szCs w:val="24"/>
                <w:highlight w:val="none"/>
                <w:lang w:val="en-US" w:eastAsia="zh-CN"/>
              </w:rPr>
              <w:t>89</w:t>
            </w:r>
            <w:r>
              <w:rPr>
                <w:rFonts w:hint="default" w:ascii="Times New Roman" w:hAnsi="Times New Roman" w:eastAsia="宋体" w:cs="Times New Roman"/>
                <w:color w:val="auto"/>
                <w:sz w:val="24"/>
                <w:szCs w:val="24"/>
                <w:highlight w:val="none"/>
                <w:lang w:eastAsia="zh-CN"/>
              </w:rPr>
              <w:t>号</w:t>
            </w:r>
            <w:r>
              <w:rPr>
                <w:rFonts w:hint="default" w:ascii="Times New Roman" w:hAnsi="Times New Roman" w:cs="Times New Roman"/>
                <w:color w:val="auto"/>
                <w:sz w:val="24"/>
                <w:szCs w:val="24"/>
                <w:highlight w:val="none"/>
                <w:lang w:eastAsia="zh-CN"/>
              </w:rPr>
              <w:t>。</w:t>
            </w:r>
          </w:p>
          <w:p w14:paraId="518EE2F7">
            <w:pPr>
              <w:keepNext w:val="0"/>
              <w:keepLines w:val="0"/>
              <w:suppressLineNumbers w:val="0"/>
              <w:spacing w:before="0" w:beforeLines="0" w:beforeAutospacing="0" w:after="0" w:afterLines="0" w:afterAutospacing="0" w:line="360" w:lineRule="auto"/>
              <w:ind w:left="0" w:right="0" w:firstLine="480" w:firstLineChars="200"/>
              <w:jc w:val="left"/>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批复文件全称：《内蒙古自治区人民政府关于阿拉善盟阿拉善左旗、阿拉善右旗、额济纳旗国土空间总体规划（2021—2035 年）的批复》</w:t>
            </w:r>
          </w:p>
          <w:p w14:paraId="215F5CEE">
            <w:pPr>
              <w:keepNext w:val="0"/>
              <w:keepLines w:val="0"/>
              <w:suppressLineNumbers w:val="0"/>
              <w:spacing w:before="0" w:beforeLines="0" w:beforeAutospacing="0" w:after="0" w:afterLines="0" w:afterAutospacing="0" w:line="360" w:lineRule="auto"/>
              <w:ind w:left="0" w:right="0" w:firstLine="480" w:firstLineChars="200"/>
              <w:jc w:val="left"/>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批复成文日期：2024 年 4 月 18 日</w:t>
            </w:r>
          </w:p>
        </w:tc>
      </w:tr>
      <w:tr w14:paraId="1ADEE4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57" w:hRule="atLeast"/>
          <w:jc w:val="center"/>
        </w:trPr>
        <w:tc>
          <w:tcPr>
            <w:tcW w:w="1676" w:type="dxa"/>
            <w:noWrap/>
            <w:vAlign w:val="center"/>
          </w:tcPr>
          <w:p w14:paraId="72F4A7B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规划环境影响</w:t>
            </w:r>
          </w:p>
          <w:p w14:paraId="277725C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评价情况</w:t>
            </w:r>
          </w:p>
        </w:tc>
        <w:tc>
          <w:tcPr>
            <w:tcW w:w="7194" w:type="dxa"/>
            <w:gridSpan w:val="3"/>
            <w:noWrap/>
            <w:vAlign w:val="center"/>
          </w:tcPr>
          <w:p w14:paraId="1AEAE1B2">
            <w:pPr>
              <w:keepNext w:val="0"/>
              <w:keepLines w:val="0"/>
              <w:suppressLineNumbers w:val="0"/>
              <w:spacing w:before="0" w:beforeLines="0" w:beforeAutospacing="0" w:after="0" w:afterLines="0" w:afterAutospacing="0"/>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无</w:t>
            </w:r>
          </w:p>
        </w:tc>
      </w:tr>
      <w:tr w14:paraId="3DDA60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689" w:hRule="atLeast"/>
          <w:jc w:val="center"/>
        </w:trPr>
        <w:tc>
          <w:tcPr>
            <w:tcW w:w="1676" w:type="dxa"/>
            <w:noWrap/>
            <w:vAlign w:val="center"/>
          </w:tcPr>
          <w:p w14:paraId="36A96031">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0000FF"/>
                <w:kern w:val="0"/>
                <w:sz w:val="24"/>
                <w:szCs w:val="24"/>
                <w:highlight w:val="none"/>
              </w:rPr>
            </w:pPr>
            <w:r>
              <w:rPr>
                <w:rFonts w:hint="default" w:ascii="Times New Roman" w:hAnsi="Times New Roman" w:cs="Times New Roman"/>
                <w:color w:val="auto"/>
                <w:kern w:val="0"/>
                <w:sz w:val="24"/>
                <w:szCs w:val="24"/>
                <w:highlight w:val="none"/>
              </w:rPr>
              <w:t>规划及规划环境影响评价符合性分析</w:t>
            </w:r>
          </w:p>
        </w:tc>
        <w:tc>
          <w:tcPr>
            <w:tcW w:w="7194" w:type="dxa"/>
            <w:gridSpan w:val="3"/>
            <w:noWrap/>
            <w:vAlign w:val="center"/>
          </w:tcPr>
          <w:p w14:paraId="76E2B8FB">
            <w:pPr>
              <w:keepNext w:val="0"/>
              <w:keepLines w:val="0"/>
              <w:suppressLineNumbers w:val="0"/>
              <w:spacing w:before="0" w:beforeAutospacing="0" w:after="0" w:afterAutospacing="0" w:line="360" w:lineRule="auto"/>
              <w:ind w:left="0" w:right="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1、</w:t>
            </w:r>
            <w:r>
              <w:rPr>
                <w:rFonts w:hint="default" w:ascii="Times New Roman" w:hAnsi="Times New Roman" w:cs="Times New Roman"/>
                <w:b/>
                <w:bCs/>
                <w:color w:val="auto"/>
                <w:sz w:val="24"/>
                <w:highlight w:val="none"/>
              </w:rPr>
              <w:t>与</w:t>
            </w:r>
            <w:r>
              <w:rPr>
                <w:rFonts w:hint="default" w:ascii="Times New Roman" w:hAnsi="Times New Roman" w:eastAsia="宋体" w:cs="Times New Roman"/>
                <w:b/>
                <w:bCs/>
                <w:color w:val="auto"/>
                <w:sz w:val="24"/>
                <w:highlight w:val="none"/>
                <w:lang w:eastAsia="zh-CN"/>
              </w:rPr>
              <w:t>《阿拉善盟额济纳旗国土空间总体规划（2021-2035年）》</w:t>
            </w:r>
            <w:r>
              <w:rPr>
                <w:rFonts w:hint="default" w:ascii="Times New Roman" w:hAnsi="Times New Roman" w:eastAsia="宋体" w:cs="Times New Roman"/>
                <w:b/>
                <w:bCs/>
                <w:color w:val="auto"/>
                <w:sz w:val="24"/>
                <w:highlight w:val="none"/>
              </w:rPr>
              <w:t>符合</w:t>
            </w:r>
            <w:r>
              <w:rPr>
                <w:rFonts w:hint="default" w:ascii="Times New Roman" w:hAnsi="Times New Roman" w:cs="Times New Roman"/>
                <w:b/>
                <w:bCs/>
                <w:color w:val="auto"/>
                <w:sz w:val="24"/>
                <w:highlight w:val="none"/>
              </w:rPr>
              <w:t>性</w:t>
            </w:r>
          </w:p>
          <w:p w14:paraId="3A5FBF65">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2024年</w:t>
            </w:r>
            <w:r>
              <w:rPr>
                <w:rFonts w:hint="default" w:ascii="Times New Roman" w:hAnsi="Times New Roman" w:cs="Times New Roman"/>
                <w:color w:val="auto"/>
                <w:kern w:val="0"/>
                <w:sz w:val="24"/>
                <w:highlight w:val="none"/>
                <w:lang w:val="en-US" w:eastAsia="zh-CN"/>
              </w:rPr>
              <w:t>4</w:t>
            </w:r>
            <w:r>
              <w:rPr>
                <w:rFonts w:hint="default" w:ascii="Times New Roman" w:hAnsi="Times New Roman" w:eastAsia="宋体" w:cs="Times New Roman"/>
                <w:color w:val="auto"/>
                <w:kern w:val="0"/>
                <w:sz w:val="24"/>
                <w:highlight w:val="none"/>
              </w:rPr>
              <w:t>月1</w:t>
            </w:r>
            <w:r>
              <w:rPr>
                <w:rFonts w:hint="default" w:ascii="Times New Roman" w:hAnsi="Times New Roman" w:cs="Times New Roman"/>
                <w:color w:val="auto"/>
                <w:kern w:val="0"/>
                <w:sz w:val="24"/>
                <w:highlight w:val="none"/>
                <w:lang w:val="en-US" w:eastAsia="zh-CN"/>
              </w:rPr>
              <w:t>8</w:t>
            </w:r>
            <w:r>
              <w:rPr>
                <w:rFonts w:hint="default" w:ascii="Times New Roman" w:hAnsi="Times New Roman" w:eastAsia="宋体" w:cs="Times New Roman"/>
                <w:color w:val="auto"/>
                <w:kern w:val="0"/>
                <w:sz w:val="24"/>
                <w:highlight w:val="none"/>
              </w:rPr>
              <w:t>日，内蒙古自治区人民政府以“内政字〔2024〕</w:t>
            </w:r>
            <w:r>
              <w:rPr>
                <w:rFonts w:hint="default" w:ascii="Times New Roman" w:hAnsi="Times New Roman" w:cs="Times New Roman"/>
                <w:color w:val="auto"/>
                <w:kern w:val="0"/>
                <w:sz w:val="24"/>
                <w:highlight w:val="none"/>
                <w:lang w:val="en-US" w:eastAsia="zh-CN"/>
              </w:rPr>
              <w:t>89</w:t>
            </w:r>
            <w:r>
              <w:rPr>
                <w:rFonts w:hint="default" w:ascii="Times New Roman" w:hAnsi="Times New Roman" w:eastAsia="宋体" w:cs="Times New Roman"/>
                <w:color w:val="auto"/>
                <w:kern w:val="0"/>
                <w:sz w:val="24"/>
                <w:highlight w:val="none"/>
              </w:rPr>
              <w:t>号”对《</w:t>
            </w:r>
            <w:r>
              <w:rPr>
                <w:rFonts w:hint="default" w:ascii="Times New Roman" w:hAnsi="Times New Roman" w:cs="Times New Roman"/>
                <w:color w:val="auto"/>
                <w:sz w:val="24"/>
                <w:szCs w:val="24"/>
                <w:highlight w:val="none"/>
                <w:lang w:val="en-US" w:eastAsia="zh-CN"/>
              </w:rPr>
              <w:t>内蒙古自治区人民政府关于阿拉善盟阿拉善左旗、阿拉善右旗、额济纳旗国土空间总体规划（2021—2035 年）</w:t>
            </w:r>
            <w:r>
              <w:rPr>
                <w:rFonts w:hint="default" w:ascii="Times New Roman" w:hAnsi="Times New Roman" w:eastAsia="宋体" w:cs="Times New Roman"/>
                <w:color w:val="auto"/>
                <w:kern w:val="0"/>
                <w:sz w:val="24"/>
                <w:highlight w:val="none"/>
              </w:rPr>
              <w:t>》予以批复。</w:t>
            </w:r>
          </w:p>
          <w:p w14:paraId="5F8B85EF">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额济纳旗国土空间保护开发总体定位为：祖国北方生态安全屏障与北疆安全稳定屏障重要前沿；世界级自然景观与历史文化旅游目的地；国家载人航天基地与军民融合产业示范区；西部重要绿色能源与战略资源开发开放新高地；沙漠低碳智慧人居环境典范绿洲城市。根据《阿拉善盟额济纳旗国土空间总体规划（2021-2035年）》中“</w:t>
            </w:r>
            <w:r>
              <w:rPr>
                <w:rFonts w:hint="default" w:ascii="Times New Roman" w:hAnsi="Times New Roman" w:cs="Times New Roman"/>
                <w:color w:val="auto"/>
                <w:kern w:val="0"/>
                <w:sz w:val="24"/>
                <w:highlight w:val="none"/>
                <w:lang w:val="en-US" w:eastAsia="zh-CN"/>
              </w:rPr>
              <w:t>第八章 基础设施支撑体系</w:t>
            </w:r>
            <w:r>
              <w:rPr>
                <w:rFonts w:hint="default" w:ascii="Times New Roman" w:hAnsi="Times New Roman" w:eastAsia="宋体" w:cs="Times New Roman"/>
                <w:color w:val="auto"/>
                <w:kern w:val="0"/>
                <w:sz w:val="24"/>
                <w:highlight w:val="none"/>
              </w:rPr>
              <w:t>”</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lang w:val="en-US" w:eastAsia="zh-CN"/>
              </w:rPr>
              <w:t>输配电网建设：对接国家、自治区清洁能源布局规划，开拓至蒙古国、华中、华北、华东电力外送通道。</w:t>
            </w:r>
            <w:r>
              <w:rPr>
                <w:rFonts w:hint="default" w:ascii="Times New Roman" w:hAnsi="Times New Roman" w:cs="Times New Roman"/>
                <w:color w:val="auto"/>
                <w:kern w:val="0"/>
                <w:sz w:val="24"/>
                <w:highlight w:val="none"/>
                <w:lang w:eastAsia="zh-CN"/>
              </w:rPr>
              <w:t>”</w:t>
            </w:r>
          </w:p>
          <w:p w14:paraId="20A7AA5A">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本项目为华润新能源额济纳旗100兆瓦风电项目220kV升压站工程，属于“输配电网建设”</w:t>
            </w:r>
            <w:r>
              <w:rPr>
                <w:rFonts w:hint="eastAsia" w:cs="Times New Roman"/>
                <w:color w:val="auto"/>
                <w:sz w:val="24"/>
                <w:szCs w:val="24"/>
                <w:highlight w:val="none"/>
                <w:lang w:val="en-US" w:eastAsia="zh-CN"/>
              </w:rPr>
              <w:t>，属于重点项目</w:t>
            </w:r>
            <w:r>
              <w:rPr>
                <w:rFonts w:hint="default" w:ascii="Times New Roman" w:hAnsi="Times New Roman" w:cs="Times New Roman"/>
                <w:color w:val="auto"/>
                <w:sz w:val="24"/>
                <w:szCs w:val="24"/>
                <w:highlight w:val="none"/>
                <w:lang w:val="en-US" w:eastAsia="zh-CN"/>
              </w:rPr>
              <w:t>，本项目的实施，有利于改善能源供应结构，提升本地区电力供应和调峰能力，提高电网安全稳定运行水平，满足新能源大规模接入和消纳的需要。</w:t>
            </w:r>
          </w:p>
          <w:p w14:paraId="0EB6EBE3">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0000FF"/>
                <w:sz w:val="24"/>
                <w:szCs w:val="24"/>
                <w:highlight w:val="yellow"/>
                <w:lang w:val="en-US" w:eastAsia="zh-CN"/>
              </w:rPr>
            </w:pPr>
            <w:r>
              <w:rPr>
                <w:rFonts w:hint="default" w:ascii="Times New Roman" w:hAnsi="Times New Roman" w:cs="Times New Roman"/>
                <w:color w:val="auto"/>
                <w:sz w:val="24"/>
                <w:szCs w:val="24"/>
                <w:highlight w:val="none"/>
                <w:lang w:val="en-US" w:eastAsia="zh-CN"/>
              </w:rPr>
              <w:t>因此，</w:t>
            </w:r>
            <w:r>
              <w:rPr>
                <w:rFonts w:hint="default" w:ascii="Times New Roman" w:hAnsi="Times New Roman" w:cs="Times New Roman"/>
                <w:color w:val="auto"/>
                <w:sz w:val="24"/>
                <w:szCs w:val="24"/>
                <w:highlight w:val="none"/>
                <w:shd w:val="clear"/>
                <w:lang w:val="en-US" w:eastAsia="zh-CN"/>
              </w:rPr>
              <w:t>本项目符合《阿拉善盟额济纳旗国土空间总体规划（2021-2035年）》</w:t>
            </w:r>
            <w:r>
              <w:rPr>
                <w:rFonts w:hint="default" w:ascii="Times New Roman" w:hAnsi="Times New Roman" w:eastAsia="宋体" w:cs="Times New Roman"/>
                <w:color w:val="auto"/>
                <w:kern w:val="0"/>
                <w:sz w:val="24"/>
                <w:highlight w:val="none"/>
                <w:shd w:val="clear"/>
                <w:lang w:val="en-US" w:eastAsia="zh-CN"/>
              </w:rPr>
              <w:t>。</w:t>
            </w:r>
            <w:r>
              <w:rPr>
                <w:rFonts w:hint="default" w:ascii="Times New Roman" w:hAnsi="Times New Roman" w:cs="Times New Roman"/>
                <w:color w:val="auto"/>
                <w:sz w:val="24"/>
                <w:szCs w:val="24"/>
                <w:highlight w:val="none"/>
                <w:shd w:val="clear"/>
                <w:lang w:val="en-US" w:eastAsia="zh-CN"/>
              </w:rPr>
              <w:t>本项目与《阿拉善盟额济纳旗国土空间总体规划（2021-2035年）》位置关</w:t>
            </w:r>
            <w:r>
              <w:rPr>
                <w:rFonts w:hint="default" w:ascii="Times New Roman" w:hAnsi="Times New Roman" w:cs="Times New Roman"/>
                <w:color w:val="000000" w:themeColor="text1"/>
                <w:sz w:val="24"/>
                <w:szCs w:val="24"/>
                <w:highlight w:val="none"/>
                <w:shd w:val="clear"/>
                <w:lang w:val="en-US" w:eastAsia="zh-CN"/>
                <w14:textFill>
                  <w14:solidFill>
                    <w14:schemeClr w14:val="tx1"/>
                  </w14:solidFill>
                </w14:textFill>
              </w:rPr>
              <w:t>系图见附图5。</w:t>
            </w:r>
          </w:p>
          <w:p w14:paraId="37B762A9">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0000FF"/>
                <w:sz w:val="24"/>
                <w:szCs w:val="24"/>
                <w:highlight w:val="yellow"/>
                <w:lang w:val="en-US" w:eastAsia="zh-CN"/>
              </w:rPr>
            </w:pPr>
          </w:p>
          <w:p w14:paraId="516FB938">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0000FF"/>
                <w:sz w:val="24"/>
                <w:szCs w:val="24"/>
                <w:highlight w:val="yellow"/>
                <w:lang w:val="en-US" w:eastAsia="zh-CN"/>
              </w:rPr>
            </w:pPr>
          </w:p>
          <w:p w14:paraId="5193BED8">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0000FF"/>
                <w:sz w:val="24"/>
                <w:szCs w:val="24"/>
                <w:highlight w:val="yellow"/>
                <w:lang w:val="en-US" w:eastAsia="zh-CN"/>
              </w:rPr>
            </w:pPr>
          </w:p>
          <w:p w14:paraId="07F23765">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0000FF"/>
                <w:sz w:val="24"/>
                <w:szCs w:val="24"/>
                <w:highlight w:val="yellow"/>
                <w:lang w:val="en-US" w:eastAsia="zh-CN"/>
              </w:rPr>
            </w:pPr>
          </w:p>
          <w:p w14:paraId="55FB895C">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0000FF"/>
                <w:sz w:val="24"/>
                <w:szCs w:val="24"/>
                <w:highlight w:val="yellow"/>
                <w:lang w:val="en-US" w:eastAsia="zh-CN"/>
              </w:rPr>
            </w:pPr>
          </w:p>
          <w:p w14:paraId="4961C123">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0000FF"/>
                <w:sz w:val="24"/>
                <w:szCs w:val="24"/>
                <w:highlight w:val="yellow"/>
                <w:lang w:val="en-US" w:eastAsia="zh-CN"/>
              </w:rPr>
            </w:pPr>
          </w:p>
          <w:p w14:paraId="2BCD59B4">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0000FF"/>
                <w:sz w:val="24"/>
                <w:szCs w:val="24"/>
                <w:highlight w:val="yellow"/>
                <w:lang w:val="en-US" w:eastAsia="zh-CN"/>
              </w:rPr>
            </w:pPr>
          </w:p>
          <w:p w14:paraId="110226A4">
            <w:pPr>
              <w:keepNext w:val="0"/>
              <w:keepLines w:val="0"/>
              <w:suppressLineNumbers w:val="0"/>
              <w:autoSpaceDE w:val="0"/>
              <w:autoSpaceDN w:val="0"/>
              <w:adjustRightInd w:val="0"/>
              <w:snapToGrid w:val="0"/>
              <w:spacing w:before="0" w:beforeAutospacing="0" w:after="0" w:afterAutospacing="0" w:line="360" w:lineRule="auto"/>
              <w:ind w:left="0" w:right="0"/>
              <w:rPr>
                <w:rFonts w:hint="default" w:ascii="Times New Roman" w:hAnsi="Times New Roman" w:cs="Times New Roman"/>
                <w:color w:val="0000FF"/>
                <w:sz w:val="24"/>
                <w:szCs w:val="24"/>
                <w:highlight w:val="yellow"/>
                <w:lang w:val="en-US" w:eastAsia="zh-CN"/>
              </w:rPr>
            </w:pPr>
          </w:p>
        </w:tc>
      </w:tr>
      <w:tr w14:paraId="333631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338" w:hRule="atLeast"/>
          <w:jc w:val="center"/>
        </w:trPr>
        <w:tc>
          <w:tcPr>
            <w:tcW w:w="1676" w:type="dxa"/>
            <w:noWrap/>
            <w:vAlign w:val="center"/>
          </w:tcPr>
          <w:p w14:paraId="1F123154">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0000FF"/>
                <w:kern w:val="0"/>
                <w:sz w:val="24"/>
                <w:szCs w:val="24"/>
                <w:highlight w:val="none"/>
              </w:rPr>
            </w:pPr>
            <w:r>
              <w:rPr>
                <w:rFonts w:hint="default" w:ascii="Times New Roman" w:hAnsi="Times New Roman" w:cs="Times New Roman"/>
                <w:color w:val="auto"/>
                <w:kern w:val="0"/>
                <w:sz w:val="24"/>
                <w:szCs w:val="24"/>
                <w:highlight w:val="none"/>
              </w:rPr>
              <w:t>其他符合性分析</w:t>
            </w:r>
          </w:p>
        </w:tc>
        <w:tc>
          <w:tcPr>
            <w:tcW w:w="7194" w:type="dxa"/>
            <w:gridSpan w:val="3"/>
            <w:noWrap/>
            <w:vAlign w:val="top"/>
          </w:tcPr>
          <w:p w14:paraId="0ADDE6B6">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1、产业政策符合性分析</w:t>
            </w:r>
          </w:p>
          <w:p w14:paraId="18666D06">
            <w:pPr>
              <w:pStyle w:val="1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本项目为国家发展改革委《产业结构调整指导目录（2024年本）中的“第一类鼓励类”中的“电力基础设施建设”鼓励类项目，故项目符合国家产业政策。</w:t>
            </w:r>
          </w:p>
          <w:p w14:paraId="537E65B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本项目已取得阿拉善盟能源局《关于核准华润新能源额济纳旗100兆瓦风电项目的通知》（阿能源发[2026]15号），项目代码：2605-152923-60-01-657370，详见附件2，本项目的建设符合地方产业政策。</w:t>
            </w:r>
          </w:p>
          <w:p w14:paraId="46B571E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综上所述，本项目符合国家和地方的相关产业政策。</w:t>
            </w:r>
          </w:p>
          <w:p w14:paraId="3620BD2C">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2、与《内蒙古自治区“十四五”生态环境保护规划》符合性分析</w:t>
            </w:r>
          </w:p>
          <w:p w14:paraId="79F2B295">
            <w:pPr>
              <w:pStyle w:val="1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内蒙古自治区人民政府办公厅印发《内蒙古自治区“十四五”生态环境保护规划》的通知（</w:t>
            </w:r>
            <w:r>
              <w:rPr>
                <w:rFonts w:hint="default" w:ascii="Times New Roman" w:hAnsi="Times New Roman" w:eastAsia="宋体" w:cs="Times New Roman"/>
                <w:color w:val="auto"/>
                <w:sz w:val="24"/>
                <w:szCs w:val="24"/>
                <w:highlight w:val="none"/>
                <w:lang w:val="en-US" w:eastAsia="en-US"/>
              </w:rPr>
              <w:t>内政办发</w:t>
            </w:r>
            <w:r>
              <w:rPr>
                <w:rFonts w:hint="default" w:ascii="Times New Roman" w:hAnsi="Times New Roman" w:eastAsia="宋体" w:cs="Times New Roman"/>
                <w:color w:val="auto"/>
                <w:sz w:val="24"/>
                <w:szCs w:val="24"/>
                <w:highlight w:val="none"/>
                <w:lang w:val="en-US" w:eastAsia="zh-CN"/>
              </w:rPr>
              <w:t>〔2021〕51号）</w:t>
            </w:r>
            <w:r>
              <w:rPr>
                <w:rFonts w:hint="default" w:ascii="Times New Roman" w:hAnsi="Times New Roman" w:cs="Times New Roman"/>
                <w:color w:val="auto"/>
                <w:sz w:val="24"/>
                <w:szCs w:val="24"/>
                <w:highlight w:val="none"/>
                <w:lang w:val="en-US" w:eastAsia="zh-CN"/>
              </w:rPr>
              <w:t>指出：“</w:t>
            </w:r>
            <w:r>
              <w:rPr>
                <w:rFonts w:hint="default" w:ascii="Times New Roman" w:hAnsi="Times New Roman" w:eastAsia="宋体" w:cs="Times New Roman"/>
                <w:color w:val="auto"/>
                <w:sz w:val="24"/>
                <w:szCs w:val="24"/>
                <w:highlight w:val="none"/>
              </w:rPr>
              <w:t>优</w:t>
            </w:r>
            <w:r>
              <w:rPr>
                <w:rFonts w:hint="default" w:ascii="Times New Roman" w:hAnsi="Times New Roman" w:cs="Times New Roman"/>
                <w:color w:val="auto"/>
                <w:sz w:val="24"/>
                <w:szCs w:val="24"/>
                <w:highlight w:val="none"/>
                <w:lang w:val="en-US" w:eastAsia="zh-CN"/>
              </w:rPr>
              <w:t>化能源供给结构。加速能源体系清洁低碳发展进程，优先开发利用可再生能源，打造风能、光伏、氢能、储能‘四大产业集群’，推动非化石能源和天然气成为能源消费增量的主体。有效控制电磁辐射污染。电磁辐射设施建设项目严格执行环境影响评价和“三同时”制度。建立移动通讯基站、广播电视台站、输变电等电磁辐射设施的数据库管理系统，动态反映全区电磁辐射设施设备的总量、分布等情况。推进电磁辐射建设项目的规范化管理，逐步推广‘绿色基站’、‘绿色变电站’建设。在城区环境敏感区建设电磁辐射自动监测系统，实时进行数据公开。定期对人口密集区重点电磁设施进行适时监督监测，及时公布环境质量信息。”</w:t>
            </w:r>
          </w:p>
          <w:p w14:paraId="448650AB">
            <w:pPr>
              <w:pStyle w:val="1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为华润新能源额济纳旗100兆瓦风电项目的配套220kV升压站工程，通过类比可知，项目投运后，升压站产生的工频电场强度、工频磁感应强度在站界处和评价范围内可以满足《电磁环境控制限值》（GB8702-2014）的限值要求，同时此次环评已明确执行“三同时”制度，且项目所在位置不在“十四五”期间国家重点生态功能区分类保护管理中的水源涵养区、水土保持区、防风固沙区内；不在自然保护区、风景名胜区内，不在生物多样性优先保护区内。</w:t>
            </w:r>
          </w:p>
          <w:p w14:paraId="5B2B9383">
            <w:pPr>
              <w:pStyle w:val="1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综上所述，本项目符合《内蒙古自治区“十四五”生态环境保护规划》的相关要求。</w:t>
            </w:r>
          </w:p>
          <w:p w14:paraId="258F31C5">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cs="Times New Roman"/>
                <w:b/>
                <w:bCs/>
                <w:color w:val="auto"/>
                <w:sz w:val="24"/>
                <w:szCs w:val="24"/>
                <w:highlight w:val="none"/>
                <w:lang w:val="en-US" w:eastAsia="zh-CN"/>
              </w:rPr>
              <w:t>3、</w:t>
            </w:r>
            <w:r>
              <w:rPr>
                <w:rFonts w:hint="default" w:ascii="Times New Roman" w:hAnsi="Times New Roman" w:eastAsia="宋体" w:cs="Times New Roman"/>
                <w:b/>
                <w:bCs/>
                <w:color w:val="auto"/>
                <w:kern w:val="2"/>
                <w:sz w:val="24"/>
                <w:szCs w:val="24"/>
                <w:highlight w:val="none"/>
                <w:lang w:val="en-US" w:eastAsia="zh-CN" w:bidi="ar-SA"/>
              </w:rPr>
              <w:t>与《阿拉善盟“十四五”生态环境保护规划》</w:t>
            </w:r>
            <w:r>
              <w:rPr>
                <w:rFonts w:hint="default" w:ascii="Times New Roman" w:hAnsi="Times New Roman" w:cs="Times New Roman"/>
                <w:b/>
                <w:bCs/>
                <w:color w:val="auto"/>
                <w:sz w:val="24"/>
                <w:szCs w:val="24"/>
                <w:highlight w:val="none"/>
                <w:lang w:val="en-US" w:eastAsia="zh-CN"/>
              </w:rPr>
              <w:t>符合性分析</w:t>
            </w:r>
          </w:p>
          <w:p w14:paraId="535FDEDD">
            <w:pPr>
              <w:pStyle w:val="1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根据《阿拉善盟“十四五”生态环境保护规划》中“第十章 强化环境安全管理，有效防范环境风险第一节保障核与辐射环境安全”加强核与辐射安全监管。加强放射源的生产、出厂、使用、转移、转让、退役全程信息化管理，加强移动放射源监管。规范核与辐射安全许可制度，许可证发放率达到100%。强化核与辐射安全监管，规范废旧放射源安全管理，推动废旧放射源回收再利用。</w:t>
            </w:r>
          </w:p>
          <w:p w14:paraId="473D4234">
            <w:pPr>
              <w:pStyle w:val="1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有效控制电磁辐射污染。强化电磁辐射设施建设项目严格履行环保“三同时”制度。开展电磁辐射设备（设施）申报登记工作，推进电磁辐射建设项目的规范化管理，逐步推广“绿色基站”、“绿色变电站”建设，定期对人口密集区重点电磁设施进行适时监督监测，及时公布环境质量信息，消除公众疑虑。</w:t>
            </w:r>
          </w:p>
          <w:p w14:paraId="4263F150">
            <w:pPr>
              <w:pStyle w:val="1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本项目为输变电工程，通过类比可知，项目投运后，升压站产生的工频电场强度、工频磁感应强度在站界处和评价范围内可以满足《电磁环境控制限值》（GB8702-2014）的限值要求。</w:t>
            </w:r>
          </w:p>
          <w:p w14:paraId="3C08E69A">
            <w:pPr>
              <w:pStyle w:val="1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综上所述，</w:t>
            </w:r>
            <w:r>
              <w:rPr>
                <w:rFonts w:hint="default" w:ascii="Times New Roman" w:hAnsi="Times New Roman" w:eastAsia="宋体" w:cs="Times New Roman"/>
                <w:color w:val="auto"/>
                <w:sz w:val="24"/>
                <w:szCs w:val="24"/>
                <w:highlight w:val="none"/>
              </w:rPr>
              <w:t>本</w:t>
            </w:r>
            <w:r>
              <w:rPr>
                <w:rFonts w:hint="default" w:ascii="Times New Roman" w:hAnsi="Times New Roman" w:cs="Times New Roman"/>
                <w:color w:val="auto"/>
                <w:sz w:val="24"/>
                <w:szCs w:val="24"/>
                <w:highlight w:val="none"/>
                <w:lang w:val="en-US" w:eastAsia="zh-CN"/>
              </w:rPr>
              <w:t>项目符合《阿拉善盟“十四五”生态环境保护规划》的相关要求。</w:t>
            </w:r>
          </w:p>
          <w:p w14:paraId="61F6FF3F">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4、与《内蒙古自治区“十四五”电力发展规划》符合性分析</w:t>
            </w:r>
          </w:p>
          <w:p w14:paraId="54AE3F88">
            <w:pPr>
              <w:pStyle w:val="10"/>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根据</w:t>
            </w:r>
            <w:r>
              <w:rPr>
                <w:rFonts w:hint="default" w:ascii="Times New Roman" w:hAnsi="Times New Roman" w:eastAsia="宋体" w:cs="Times New Roman"/>
                <w:color w:val="auto"/>
                <w:sz w:val="24"/>
                <w:szCs w:val="24"/>
                <w:highlight w:val="none"/>
              </w:rPr>
              <w:t>内蒙古自治区能源局印发《内蒙古自治区“十四五”电力发展规划》（内能电力字〔2022〕105号）</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在规划实施过程中，坚守生态保护红线，加强电力产供储销全环节环境保护，预防和减轻环境影响。采取有效措施降低电网电磁辐射等区域环境影响。</w:t>
            </w:r>
            <w:r>
              <w:rPr>
                <w:rFonts w:hint="default" w:ascii="Times New Roman" w:hAnsi="Times New Roman" w:cs="Times New Roman"/>
                <w:color w:val="auto"/>
                <w:sz w:val="24"/>
                <w:szCs w:val="24"/>
                <w:highlight w:val="none"/>
                <w:lang w:eastAsia="zh-CN"/>
              </w:rPr>
              <w:t>”</w:t>
            </w:r>
          </w:p>
          <w:p w14:paraId="7A266C4B">
            <w:pPr>
              <w:pStyle w:val="10"/>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通过类比可知，项目投运后，升压站产生的工频电场强度、工频磁感应强度在站界处和评价范围内可以满足《电磁环境控制限值》（GB8702-2014）的限值要求，不会造成电磁波辐射污染，不超过国家和自治区规定的污染物排放标准。运营期间产生废水、噪声、固体废物去向合理，对于新建升压站站界周边区域环境影响较小。</w:t>
            </w:r>
          </w:p>
          <w:p w14:paraId="23F62F16">
            <w:pPr>
              <w:pStyle w:val="10"/>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综上所述，本项目符合《内蒙古自治区“十四五”电力发展规划》的相关要求。</w:t>
            </w:r>
          </w:p>
          <w:p w14:paraId="0776C90F">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000000"/>
                <w:kern w:val="0"/>
                <w:sz w:val="24"/>
                <w:szCs w:val="24"/>
                <w:lang w:val="en-US" w:eastAsia="zh-CN" w:bidi="ar"/>
              </w:rPr>
            </w:pPr>
            <w:r>
              <w:rPr>
                <w:rFonts w:hint="eastAsia" w:ascii="Times New Roman" w:hAnsi="Times New Roman" w:eastAsia="宋体" w:cs="Times New Roman"/>
                <w:b/>
                <w:bCs/>
                <w:color w:val="000000"/>
                <w:kern w:val="0"/>
                <w:sz w:val="24"/>
                <w:szCs w:val="24"/>
                <w:lang w:val="en-US" w:eastAsia="zh-CN" w:bidi="ar"/>
              </w:rPr>
              <w:t>5</w:t>
            </w:r>
            <w:r>
              <w:rPr>
                <w:rFonts w:hint="default" w:ascii="Times New Roman" w:hAnsi="Times New Roman" w:cs="Times New Roman"/>
                <w:b/>
                <w:bCs/>
                <w:color w:val="auto"/>
                <w:sz w:val="24"/>
                <w:szCs w:val="24"/>
                <w:highlight w:val="none"/>
                <w:lang w:val="en-US" w:eastAsia="zh-CN"/>
              </w:rPr>
              <w:t>、</w:t>
            </w:r>
            <w:r>
              <w:rPr>
                <w:rFonts w:hint="default" w:ascii="Times New Roman" w:hAnsi="Times New Roman" w:eastAsia="宋体" w:cs="Times New Roman"/>
                <w:b/>
                <w:bCs/>
                <w:color w:val="000000"/>
                <w:kern w:val="0"/>
                <w:sz w:val="24"/>
                <w:szCs w:val="24"/>
                <w:lang w:val="en-US" w:eastAsia="zh-CN" w:bidi="ar"/>
              </w:rPr>
              <w:t>《内蒙古自治区“十四五”能源发展规划》相符性分析</w:t>
            </w:r>
          </w:p>
          <w:p w14:paraId="345864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8" w:right="139" w:firstLine="491"/>
              <w:textAlignment w:val="auto"/>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根据自治区人民政府发布的《内蒙古自治区“十四五</w:t>
            </w:r>
            <w:r>
              <w:rPr>
                <w:rFonts w:hint="default" w:ascii="宋体" w:hAnsi="宋体" w:eastAsia="宋体" w:cs="宋体"/>
                <w:color w:val="auto"/>
                <w:spacing w:val="-88"/>
                <w:sz w:val="24"/>
                <w:szCs w:val="24"/>
                <w:highlight w:val="none"/>
              </w:rPr>
              <w:t xml:space="preserve"> </w:t>
            </w:r>
            <w:r>
              <w:rPr>
                <w:rFonts w:hint="default" w:ascii="宋体" w:hAnsi="宋体" w:eastAsia="宋体" w:cs="宋体"/>
                <w:color w:val="auto"/>
                <w:sz w:val="24"/>
                <w:szCs w:val="24"/>
                <w:highlight w:val="none"/>
              </w:rPr>
              <w:t>”能</w:t>
            </w:r>
            <w:r>
              <w:rPr>
                <w:rFonts w:hint="default" w:ascii="宋体" w:hAnsi="宋体" w:eastAsia="宋体" w:cs="宋体"/>
                <w:color w:val="auto"/>
                <w:spacing w:val="-1"/>
                <w:sz w:val="24"/>
                <w:szCs w:val="24"/>
                <w:highlight w:val="none"/>
              </w:rPr>
              <w:t>源发展规划》（内政</w:t>
            </w:r>
            <w:r>
              <w:rPr>
                <w:rFonts w:hint="default" w:ascii="宋体" w:hAnsi="宋体" w:eastAsia="宋体" w:cs="宋体"/>
                <w:color w:val="auto"/>
                <w:spacing w:val="5"/>
                <w:sz w:val="24"/>
                <w:szCs w:val="24"/>
                <w:highlight w:val="none"/>
              </w:rPr>
              <w:t>办发〔</w:t>
            </w:r>
            <w:r>
              <w:rPr>
                <w:rFonts w:hint="default" w:ascii="Times New Roman" w:hAnsi="Times New Roman" w:eastAsia="Times New Roman" w:cs="Times New Roman"/>
                <w:color w:val="auto"/>
                <w:spacing w:val="5"/>
                <w:sz w:val="24"/>
                <w:szCs w:val="24"/>
                <w:highlight w:val="none"/>
              </w:rPr>
              <w:t>2022</w:t>
            </w:r>
            <w:r>
              <w:rPr>
                <w:rFonts w:hint="default" w:ascii="宋体" w:hAnsi="宋体" w:eastAsia="宋体" w:cs="宋体"/>
                <w:color w:val="auto"/>
                <w:spacing w:val="5"/>
                <w:sz w:val="24"/>
                <w:szCs w:val="24"/>
                <w:highlight w:val="none"/>
              </w:rPr>
              <w:t>〕</w:t>
            </w:r>
            <w:r>
              <w:rPr>
                <w:rFonts w:hint="default" w:ascii="Times New Roman" w:hAnsi="Times New Roman" w:eastAsia="Times New Roman" w:cs="Times New Roman"/>
                <w:color w:val="auto"/>
                <w:spacing w:val="5"/>
                <w:sz w:val="24"/>
                <w:szCs w:val="24"/>
                <w:highlight w:val="none"/>
              </w:rPr>
              <w:t xml:space="preserve">16 </w:t>
            </w:r>
            <w:r>
              <w:rPr>
                <w:rFonts w:hint="default" w:ascii="宋体" w:hAnsi="宋体" w:eastAsia="宋体" w:cs="宋体"/>
                <w:color w:val="auto"/>
                <w:spacing w:val="5"/>
                <w:sz w:val="24"/>
                <w:szCs w:val="24"/>
                <w:highlight w:val="none"/>
              </w:rPr>
              <w:t>号）文件中指出自</w:t>
            </w:r>
            <w:r>
              <w:rPr>
                <w:rFonts w:hint="default" w:ascii="宋体" w:hAnsi="宋体" w:eastAsia="宋体" w:cs="宋体"/>
                <w:color w:val="auto"/>
                <w:spacing w:val="4"/>
                <w:sz w:val="24"/>
                <w:szCs w:val="24"/>
                <w:highlight w:val="none"/>
              </w:rPr>
              <w:t>治区“十四五</w:t>
            </w:r>
            <w:r>
              <w:rPr>
                <w:rFonts w:hint="default" w:ascii="宋体" w:hAnsi="宋体" w:eastAsia="宋体" w:cs="宋体"/>
                <w:color w:val="auto"/>
                <w:spacing w:val="-83"/>
                <w:sz w:val="24"/>
                <w:szCs w:val="24"/>
                <w:highlight w:val="none"/>
              </w:rPr>
              <w:t xml:space="preserve"> </w:t>
            </w:r>
            <w:r>
              <w:rPr>
                <w:rFonts w:hint="default" w:ascii="宋体" w:hAnsi="宋体" w:eastAsia="宋体" w:cs="宋体"/>
                <w:color w:val="auto"/>
                <w:spacing w:val="4"/>
                <w:sz w:val="24"/>
                <w:szCs w:val="24"/>
                <w:highlight w:val="none"/>
              </w:rPr>
              <w:t>”能源发展规划基本思路是实现</w:t>
            </w:r>
            <w:r>
              <w:rPr>
                <w:rFonts w:hint="default" w:ascii="宋体" w:hAnsi="宋体" w:eastAsia="宋体" w:cs="宋体"/>
                <w:color w:val="auto"/>
                <w:spacing w:val="-4"/>
                <w:sz w:val="24"/>
                <w:szCs w:val="24"/>
                <w:highlight w:val="none"/>
              </w:rPr>
              <w:t>“一个目标</w:t>
            </w:r>
            <w:r>
              <w:rPr>
                <w:rFonts w:hint="default" w:ascii="宋体" w:hAnsi="宋体" w:eastAsia="宋体" w:cs="宋体"/>
                <w:color w:val="auto"/>
                <w:spacing w:val="-74"/>
                <w:sz w:val="24"/>
                <w:szCs w:val="24"/>
                <w:highlight w:val="none"/>
              </w:rPr>
              <w:t xml:space="preserve"> </w:t>
            </w:r>
            <w:r>
              <w:rPr>
                <w:rFonts w:hint="default" w:ascii="宋体" w:hAnsi="宋体" w:eastAsia="宋体" w:cs="宋体"/>
                <w:color w:val="auto"/>
                <w:spacing w:val="-4"/>
                <w:sz w:val="24"/>
                <w:szCs w:val="24"/>
                <w:highlight w:val="none"/>
              </w:rPr>
              <w:t>”、推进“三个转型</w:t>
            </w:r>
            <w:r>
              <w:rPr>
                <w:rFonts w:hint="default" w:ascii="宋体" w:hAnsi="宋体" w:eastAsia="宋体" w:cs="宋体"/>
                <w:color w:val="auto"/>
                <w:spacing w:val="-86"/>
                <w:sz w:val="24"/>
                <w:szCs w:val="24"/>
                <w:highlight w:val="none"/>
              </w:rPr>
              <w:t xml:space="preserve"> </w:t>
            </w:r>
            <w:r>
              <w:rPr>
                <w:rFonts w:hint="default" w:ascii="宋体" w:hAnsi="宋体" w:eastAsia="宋体" w:cs="宋体"/>
                <w:color w:val="auto"/>
                <w:spacing w:val="-4"/>
                <w:sz w:val="24"/>
                <w:szCs w:val="24"/>
                <w:highlight w:val="none"/>
              </w:rPr>
              <w:t>”、打造“</w:t>
            </w:r>
            <w:r>
              <w:rPr>
                <w:rFonts w:hint="default" w:ascii="宋体" w:hAnsi="宋体" w:eastAsia="宋体" w:cs="宋体"/>
                <w:color w:val="auto"/>
                <w:spacing w:val="-85"/>
                <w:sz w:val="24"/>
                <w:szCs w:val="24"/>
                <w:highlight w:val="none"/>
              </w:rPr>
              <w:t xml:space="preserve"> </w:t>
            </w:r>
            <w:r>
              <w:rPr>
                <w:rFonts w:hint="default" w:ascii="宋体" w:hAnsi="宋体" w:eastAsia="宋体" w:cs="宋体"/>
                <w:color w:val="auto"/>
                <w:spacing w:val="-4"/>
                <w:sz w:val="24"/>
                <w:szCs w:val="24"/>
                <w:highlight w:val="none"/>
              </w:rPr>
              <w:t>四大产业</w:t>
            </w:r>
            <w:r>
              <w:rPr>
                <w:rFonts w:hint="default" w:ascii="宋体" w:hAnsi="宋体" w:eastAsia="宋体" w:cs="宋体"/>
                <w:color w:val="auto"/>
                <w:spacing w:val="-88"/>
                <w:sz w:val="24"/>
                <w:szCs w:val="24"/>
                <w:highlight w:val="none"/>
              </w:rPr>
              <w:t xml:space="preserve"> </w:t>
            </w:r>
            <w:r>
              <w:rPr>
                <w:rFonts w:hint="default" w:ascii="宋体" w:hAnsi="宋体" w:eastAsia="宋体" w:cs="宋体"/>
                <w:color w:val="auto"/>
                <w:spacing w:val="-4"/>
                <w:sz w:val="24"/>
                <w:szCs w:val="24"/>
                <w:highlight w:val="none"/>
              </w:rPr>
              <w:t>”、实施“十大工程</w:t>
            </w:r>
            <w:r>
              <w:rPr>
                <w:rFonts w:hint="default" w:ascii="宋体" w:hAnsi="宋体" w:eastAsia="宋体" w:cs="宋体"/>
                <w:color w:val="auto"/>
                <w:spacing w:val="-88"/>
                <w:sz w:val="24"/>
                <w:szCs w:val="24"/>
                <w:highlight w:val="none"/>
              </w:rPr>
              <w:t xml:space="preserve"> </w:t>
            </w:r>
            <w:r>
              <w:rPr>
                <w:rFonts w:hint="default" w:ascii="宋体" w:hAnsi="宋体" w:eastAsia="宋体" w:cs="宋体"/>
                <w:color w:val="auto"/>
                <w:spacing w:val="-4"/>
                <w:sz w:val="24"/>
                <w:szCs w:val="24"/>
                <w:highlight w:val="none"/>
              </w:rPr>
              <w:t>”。其中</w:t>
            </w:r>
            <w:r>
              <w:rPr>
                <w:rFonts w:hint="default" w:ascii="宋体" w:hAnsi="宋体" w:eastAsia="宋体" w:cs="宋体"/>
                <w:color w:val="auto"/>
                <w:spacing w:val="-1"/>
                <w:sz w:val="24"/>
                <w:szCs w:val="24"/>
                <w:highlight w:val="none"/>
              </w:rPr>
              <w:t>“</w:t>
            </w:r>
            <w:r>
              <w:rPr>
                <w:rFonts w:hint="default" w:ascii="宋体" w:hAnsi="宋体" w:eastAsia="宋体" w:cs="宋体"/>
                <w:color w:val="auto"/>
                <w:spacing w:val="-84"/>
                <w:sz w:val="24"/>
                <w:szCs w:val="24"/>
                <w:highlight w:val="none"/>
              </w:rPr>
              <w:t xml:space="preserve"> </w:t>
            </w:r>
            <w:r>
              <w:rPr>
                <w:rFonts w:hint="default" w:ascii="宋体" w:hAnsi="宋体" w:eastAsia="宋体" w:cs="宋体"/>
                <w:color w:val="auto"/>
                <w:spacing w:val="-1"/>
                <w:sz w:val="24"/>
                <w:szCs w:val="24"/>
                <w:highlight w:val="none"/>
              </w:rPr>
              <w:t>四大产业</w:t>
            </w:r>
            <w:r>
              <w:rPr>
                <w:rFonts w:hint="default" w:ascii="宋体" w:hAnsi="宋体" w:eastAsia="宋体" w:cs="宋体"/>
                <w:color w:val="auto"/>
                <w:spacing w:val="-88"/>
                <w:sz w:val="24"/>
                <w:szCs w:val="24"/>
                <w:highlight w:val="none"/>
              </w:rPr>
              <w:t xml:space="preserve"> </w:t>
            </w:r>
            <w:r>
              <w:rPr>
                <w:rFonts w:hint="default" w:ascii="宋体" w:hAnsi="宋体" w:eastAsia="宋体" w:cs="宋体"/>
                <w:color w:val="auto"/>
                <w:spacing w:val="-1"/>
                <w:sz w:val="24"/>
                <w:szCs w:val="24"/>
                <w:highlight w:val="none"/>
              </w:rPr>
              <w:t>”就是着力打造风能、太阳能、氢能和储能等四大新型能源产业。</w:t>
            </w:r>
          </w:p>
          <w:p w14:paraId="06D5CE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21" w:right="0" w:firstLine="480"/>
              <w:jc w:val="both"/>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宋体" w:hAnsi="宋体" w:eastAsia="宋体" w:cs="宋体"/>
                <w:color w:val="auto"/>
                <w:sz w:val="24"/>
                <w:szCs w:val="24"/>
                <w:highlight w:val="none"/>
              </w:rPr>
              <w:t>本项目为</w:t>
            </w:r>
            <w:r>
              <w:rPr>
                <w:rFonts w:hint="default" w:ascii="Times New Roman" w:hAnsi="Times New Roman" w:cs="Times New Roman"/>
                <w:color w:val="auto"/>
                <w:sz w:val="24"/>
                <w:szCs w:val="24"/>
                <w:highlight w:val="none"/>
                <w:lang w:val="en-US" w:eastAsia="zh-CN"/>
              </w:rPr>
              <w:t>华润新能源额济纳旗100兆瓦风电项目220kV升压站工程</w:t>
            </w:r>
            <w:r>
              <w:rPr>
                <w:rFonts w:hint="default" w:ascii="宋体" w:hAnsi="宋体" w:eastAsia="宋体" w:cs="宋体"/>
                <w:color w:val="auto"/>
                <w:sz w:val="24"/>
                <w:szCs w:val="24"/>
                <w:highlight w:val="none"/>
              </w:rPr>
              <w:t>，</w:t>
            </w:r>
            <w:r>
              <w:rPr>
                <w:rFonts w:hint="eastAsia" w:ascii="宋体" w:hAnsi="宋体" w:eastAsia="宋体" w:cs="宋体"/>
                <w:color w:val="auto"/>
                <w:sz w:val="24"/>
                <w:szCs w:val="24"/>
                <w:highlight w:val="none"/>
              </w:rPr>
              <w:t>当地风光资源充沛，适宜建设风力发电项目，项目建设符合《内蒙古自治区“十四五”能源发展规划》要求。</w:t>
            </w:r>
          </w:p>
          <w:p w14:paraId="5473BB60">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cs="Times New Roman"/>
              </w:rPr>
            </w:pPr>
            <w:r>
              <w:rPr>
                <w:rFonts w:hint="eastAsia" w:ascii="Times New Roman" w:hAnsi="Times New Roman" w:eastAsia="宋体" w:cs="Times New Roman"/>
                <w:b/>
                <w:bCs/>
                <w:color w:val="000000"/>
                <w:kern w:val="0"/>
                <w:sz w:val="24"/>
                <w:szCs w:val="24"/>
                <w:lang w:val="en-US" w:eastAsia="zh-CN" w:bidi="ar"/>
              </w:rPr>
              <w:t>6</w:t>
            </w:r>
            <w:r>
              <w:rPr>
                <w:rFonts w:hint="default" w:ascii="Times New Roman" w:hAnsi="Times New Roman" w:eastAsia="宋体" w:cs="Times New Roman"/>
                <w:b/>
                <w:bCs/>
                <w:color w:val="000000"/>
                <w:kern w:val="0"/>
                <w:sz w:val="24"/>
                <w:szCs w:val="24"/>
                <w:lang w:val="en-US" w:eastAsia="zh-CN" w:bidi="ar"/>
              </w:rPr>
              <w:t xml:space="preserve">、与《内蒙古自治区“十四五”可再生能源发展规划》的符合性分析 </w:t>
            </w:r>
          </w:p>
          <w:p w14:paraId="56781187">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2022年3月2日，内蒙古自治区能源局关于印发《内蒙古自治区“十四五”可再生能源发展规划》的通知（内能新能字〔2022〕103号）指出，抢抓新能源跨越发展有利契机，推动自治区能源产业链向上下游延伸、价值链向中高端攀升，着力打造风能、光伏产业集群，扶持培育氢能、储能产业集群，形成技术先进、竞争力强、规模体量大的风光氢储装备制造产业集群。</w:t>
            </w:r>
          </w:p>
          <w:p w14:paraId="080D871D">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本项目为华润新能源额济纳旗100兆瓦风电项目220kV升压站工程，项目建设为加快资源优势转变和带动地区经济优势发展提供坚强保障，推动阿拉善盟成为清洁能源为主体的能源供给体系，为当地政府经济社会发展做出贡献。本项目符合《内蒙古自治区“十四五”可再生能源发展规划》。</w:t>
            </w:r>
          </w:p>
          <w:p w14:paraId="012B677E">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cs="Times New Roman"/>
              </w:rPr>
            </w:pPr>
            <w:r>
              <w:rPr>
                <w:rFonts w:hint="eastAsia" w:ascii="Times New Roman" w:hAnsi="Times New Roman" w:eastAsia="宋体" w:cs="Times New Roman"/>
                <w:b/>
                <w:bCs/>
                <w:color w:val="000000"/>
                <w:kern w:val="0"/>
                <w:sz w:val="24"/>
                <w:szCs w:val="24"/>
                <w:lang w:val="en-US" w:eastAsia="zh-CN" w:bidi="ar"/>
              </w:rPr>
              <w:t>7、</w:t>
            </w:r>
            <w:r>
              <w:rPr>
                <w:rFonts w:hint="default" w:ascii="Times New Roman" w:hAnsi="Times New Roman" w:eastAsia="宋体" w:cs="Times New Roman"/>
                <w:b/>
                <w:bCs/>
                <w:color w:val="000000"/>
                <w:kern w:val="0"/>
                <w:sz w:val="24"/>
                <w:szCs w:val="24"/>
                <w:lang w:val="en-US" w:eastAsia="zh-CN" w:bidi="ar"/>
              </w:rPr>
              <w:t xml:space="preserve">与《内蒙古自治区国民经济和社会发展第十五个五年规划纲要》符合性分析 </w:t>
            </w:r>
          </w:p>
          <w:p w14:paraId="56018F46">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内蒙古自治区国民经济和社会发展第十五个五年规划纲要》明确提出，持续提高新能源供给比重，推动新增用电量主要由新增新能源发电满足。加快沙戈荒大型风电光伏基地建设，开展风能太阳能资源监测评估，科学制定年度利用率目标和开发规模，保持新增装机合理规模。 </w:t>
            </w:r>
          </w:p>
          <w:p w14:paraId="5DFD9C79">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 xml:space="preserve">本项目为华润新能源额济纳旗100兆瓦风电项目220kV升压站工程，属于大型集中式新能源开发项目，符合纲要提出的“源网荷储一体化示范”的产业发展方向。综上，本项目不仅能够推动区域可再生能源高比例发展，提高新能源在电力结构中的比重，还能促进能源体系向低碳、安全、高效方向转型，是自治区落实“十五五”能源战略目标的重要组成部分。因此，本项目建设内容、布局方向及产业耦合模式均与《内蒙古自治区国民经济和社会发展第十五个五年规划纲要》高度契合，对规划实施具有积极支撑作用。 </w:t>
            </w:r>
          </w:p>
          <w:p w14:paraId="1989304B">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000000"/>
                <w:kern w:val="0"/>
                <w:sz w:val="24"/>
                <w:szCs w:val="24"/>
                <w:lang w:val="en-US" w:eastAsia="zh-CN" w:bidi="ar"/>
              </w:rPr>
            </w:pPr>
            <w:r>
              <w:rPr>
                <w:rFonts w:hint="eastAsia" w:ascii="Times New Roman" w:hAnsi="Times New Roman" w:eastAsia="宋体" w:cs="Times New Roman"/>
                <w:b/>
                <w:bCs/>
                <w:color w:val="000000"/>
                <w:kern w:val="0"/>
                <w:sz w:val="24"/>
                <w:szCs w:val="24"/>
                <w:lang w:val="en-US" w:eastAsia="zh-CN" w:bidi="ar"/>
              </w:rPr>
              <w:t>8</w:t>
            </w:r>
            <w:r>
              <w:rPr>
                <w:rFonts w:hint="default" w:ascii="Times New Roman" w:hAnsi="Times New Roman" w:eastAsia="宋体" w:cs="Times New Roman"/>
                <w:b/>
                <w:bCs/>
                <w:color w:val="000000"/>
                <w:kern w:val="0"/>
                <w:sz w:val="24"/>
                <w:szCs w:val="24"/>
                <w:lang w:val="en-US" w:eastAsia="zh-CN" w:bidi="ar"/>
              </w:rPr>
              <w:t>、与</w:t>
            </w:r>
            <w:r>
              <w:rPr>
                <w:rFonts w:hint="eastAsia" w:ascii="Times New Roman" w:hAnsi="Times New Roman" w:eastAsia="宋体" w:cs="Times New Roman"/>
                <w:b/>
                <w:bCs/>
                <w:color w:val="000000"/>
                <w:kern w:val="0"/>
                <w:sz w:val="24"/>
                <w:szCs w:val="24"/>
                <w:lang w:val="en-US" w:eastAsia="zh-CN" w:bidi="ar"/>
              </w:rPr>
              <w:t>《</w:t>
            </w:r>
            <w:r>
              <w:rPr>
                <w:rFonts w:hint="default" w:ascii="Times New Roman" w:hAnsi="Times New Roman" w:eastAsia="宋体" w:cs="Times New Roman"/>
                <w:b/>
                <w:bCs/>
                <w:color w:val="000000"/>
                <w:kern w:val="0"/>
                <w:sz w:val="24"/>
                <w:szCs w:val="24"/>
                <w:lang w:val="en-US" w:eastAsia="zh-CN" w:bidi="ar"/>
              </w:rPr>
              <w:t xml:space="preserve">美丽中国建设“十五五”规划》（国发〔2026〕20号）符合性分析 </w:t>
            </w:r>
          </w:p>
          <w:p w14:paraId="7F238D44">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本项目为华润新能源额济纳旗100兆瓦风电项目220kV升压站工程</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选址</w:t>
            </w:r>
            <w:r>
              <w:rPr>
                <w:rFonts w:hint="eastAsia" w:ascii="Times New Roman" w:hAnsi="Times New Roman" w:eastAsia="宋体" w:cs="Times New Roman"/>
                <w:color w:val="000000"/>
                <w:kern w:val="0"/>
                <w:sz w:val="24"/>
                <w:szCs w:val="24"/>
                <w:lang w:val="en-US" w:eastAsia="zh-CN" w:bidi="ar"/>
              </w:rPr>
              <w:t>不涉及</w:t>
            </w:r>
            <w:r>
              <w:rPr>
                <w:rFonts w:hint="default" w:ascii="Times New Roman" w:hAnsi="Times New Roman" w:eastAsia="宋体" w:cs="Times New Roman"/>
                <w:color w:val="000000"/>
                <w:kern w:val="0"/>
                <w:sz w:val="24"/>
                <w:szCs w:val="24"/>
                <w:lang w:val="en-US" w:eastAsia="zh-CN" w:bidi="ar"/>
              </w:rPr>
              <w:t>生态敏感区，落实草原保护、水土保持、野生动物保护及临时占地植被恢复措施，严控施工生态扰动</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运营期基本无污染物排放</w:t>
            </w:r>
            <w:r>
              <w:rPr>
                <w:rFonts w:hint="eastAsia" w:ascii="Times New Roman" w:hAnsi="Times New Roman" w:eastAsia="宋体" w:cs="Times New Roman"/>
                <w:color w:val="000000"/>
                <w:kern w:val="0"/>
                <w:sz w:val="24"/>
                <w:szCs w:val="24"/>
                <w:lang w:val="en-US" w:eastAsia="zh-CN" w:bidi="ar"/>
              </w:rPr>
              <w:t>，符合</w:t>
            </w:r>
            <w:r>
              <w:rPr>
                <w:rFonts w:hint="default" w:ascii="Times New Roman" w:hAnsi="Times New Roman" w:eastAsia="宋体" w:cs="Times New Roman"/>
                <w:color w:val="000000"/>
                <w:kern w:val="0"/>
                <w:sz w:val="24"/>
                <w:szCs w:val="24"/>
                <w:lang w:val="en-US" w:eastAsia="zh-CN" w:bidi="ar"/>
              </w:rPr>
              <w:t>《美丽中国建设 “十五五” 规划》（国发〔2026〕20 号）风光并举、提升可再生能源占比、协同降碳减污的导向</w:t>
            </w:r>
            <w:r>
              <w:rPr>
                <w:rFonts w:hint="eastAsia" w:ascii="Times New Roman" w:hAnsi="Times New Roman" w:eastAsia="宋体" w:cs="Times New Roman"/>
                <w:color w:val="000000"/>
                <w:kern w:val="0"/>
                <w:sz w:val="24"/>
                <w:szCs w:val="24"/>
                <w:lang w:val="en-US" w:eastAsia="zh-CN" w:bidi="ar"/>
              </w:rPr>
              <w:t>。</w:t>
            </w:r>
          </w:p>
          <w:p w14:paraId="51A436D6">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cs="Times New Roman"/>
              </w:rPr>
            </w:pPr>
            <w:r>
              <w:rPr>
                <w:rFonts w:hint="eastAsia" w:ascii="Times New Roman" w:hAnsi="Times New Roman" w:eastAsia="宋体" w:cs="Times New Roman"/>
                <w:b/>
                <w:bCs/>
                <w:color w:val="000000"/>
                <w:kern w:val="0"/>
                <w:sz w:val="24"/>
                <w:szCs w:val="24"/>
                <w:lang w:val="en-US" w:eastAsia="zh-CN" w:bidi="ar"/>
              </w:rPr>
              <w:t>9</w:t>
            </w:r>
            <w:r>
              <w:rPr>
                <w:rFonts w:hint="default" w:ascii="Times New Roman" w:hAnsi="Times New Roman" w:eastAsia="宋体" w:cs="Times New Roman"/>
                <w:b/>
                <w:bCs/>
                <w:color w:val="000000"/>
                <w:kern w:val="0"/>
                <w:sz w:val="24"/>
                <w:szCs w:val="24"/>
                <w:lang w:val="en-US" w:eastAsia="zh-CN" w:bidi="ar"/>
              </w:rPr>
              <w:t xml:space="preserve">、与《新型能源体系建设“十五五”规划》（发改能源〔2026〕 884号）符合性分析 </w:t>
            </w:r>
          </w:p>
          <w:p w14:paraId="0D104236">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本项目为华润新能源额济纳旗100兆瓦风电项目220kV升压站工程</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依托本地风能资源，助力西电东送、清洁能源就地转化；落实生态保护、配套消纳及储能相关要求，降低开发扰动。</w:t>
            </w:r>
            <w:r>
              <w:rPr>
                <w:rFonts w:hint="eastAsia" w:ascii="Times New Roman" w:hAnsi="Times New Roman" w:eastAsia="宋体" w:cs="Times New Roman"/>
                <w:color w:val="000000"/>
                <w:kern w:val="0"/>
                <w:sz w:val="24"/>
                <w:szCs w:val="24"/>
                <w:lang w:val="en-US" w:eastAsia="zh-CN" w:bidi="ar"/>
              </w:rPr>
              <w:t>本</w:t>
            </w:r>
            <w:r>
              <w:rPr>
                <w:rFonts w:hint="default" w:ascii="Times New Roman" w:hAnsi="Times New Roman" w:eastAsia="宋体" w:cs="Times New Roman"/>
                <w:color w:val="000000"/>
                <w:kern w:val="0"/>
                <w:sz w:val="24"/>
                <w:szCs w:val="24"/>
                <w:lang w:val="en-US" w:eastAsia="zh-CN" w:bidi="ar"/>
              </w:rPr>
              <w:t>项目建成后可替代化石能源，促进能源结构低碳转型，</w:t>
            </w:r>
            <w:r>
              <w:rPr>
                <w:rFonts w:hint="eastAsia" w:ascii="Times New Roman" w:hAnsi="Times New Roman" w:eastAsia="宋体" w:cs="Times New Roman"/>
                <w:color w:val="000000"/>
                <w:kern w:val="0"/>
                <w:sz w:val="24"/>
                <w:szCs w:val="24"/>
                <w:lang w:val="en-US" w:eastAsia="zh-CN" w:bidi="ar"/>
              </w:rPr>
              <w:t>符合</w:t>
            </w:r>
            <w:r>
              <w:rPr>
                <w:rFonts w:hint="default" w:ascii="Times New Roman" w:hAnsi="Times New Roman" w:eastAsia="宋体" w:cs="Times New Roman"/>
                <w:color w:val="000000"/>
                <w:kern w:val="0"/>
                <w:sz w:val="24"/>
                <w:szCs w:val="24"/>
                <w:lang w:val="en-US" w:eastAsia="zh-CN" w:bidi="ar"/>
              </w:rPr>
              <w:t>《新型能源体系建设 “十五五” 规划》（发改能源〔2026〕884 号）支持 “三北” 陆上风电规模化开发，推动风光成为电力主体、提升非化石能源占比</w:t>
            </w:r>
            <w:r>
              <w:rPr>
                <w:rFonts w:hint="eastAsia" w:ascii="Times New Roman" w:hAnsi="Times New Roman" w:eastAsia="宋体" w:cs="Times New Roman"/>
                <w:color w:val="000000"/>
                <w:kern w:val="0"/>
                <w:sz w:val="24"/>
                <w:szCs w:val="24"/>
                <w:lang w:val="en-US" w:eastAsia="zh-CN" w:bidi="ar"/>
              </w:rPr>
              <w:t>的要求</w:t>
            </w:r>
            <w:r>
              <w:rPr>
                <w:rFonts w:hint="default" w:ascii="Times New Roman" w:hAnsi="Times New Roman" w:eastAsia="宋体" w:cs="Times New Roman"/>
                <w:color w:val="000000"/>
                <w:kern w:val="0"/>
                <w:sz w:val="24"/>
                <w:szCs w:val="24"/>
                <w:lang w:val="en-US" w:eastAsia="zh-CN" w:bidi="ar"/>
              </w:rPr>
              <w:t>。</w:t>
            </w:r>
          </w:p>
          <w:p w14:paraId="1CA6EB42">
            <w:pPr>
              <w:pStyle w:val="10"/>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10</w:t>
            </w:r>
            <w:r>
              <w:rPr>
                <w:rFonts w:hint="default" w:ascii="Times New Roman" w:hAnsi="Times New Roman" w:cs="Times New Roman"/>
                <w:b/>
                <w:bCs/>
                <w:color w:val="auto"/>
                <w:sz w:val="24"/>
                <w:szCs w:val="24"/>
                <w:highlight w:val="none"/>
                <w:lang w:val="en-US" w:eastAsia="zh-CN"/>
              </w:rPr>
              <w:t>、与生态环境分区管控的符合性分析</w:t>
            </w:r>
          </w:p>
          <w:p w14:paraId="7019B435">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根据《阿拉善盟行政公署关于“三线一单”生态环境分区管控的实施意见修改单（2023 年版）》，全盟共划定环境管控单元97个，包括优先保护单元、重点管控单元、一般管控单元三类，实施分类管控。</w:t>
            </w:r>
          </w:p>
          <w:p w14:paraId="47BE1C99">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优先保护单元。共44个，面积占比为66.09%，主要包括生态保护红线、 自然保护地、集中式饮用水水源保护区等生态功能重要区和生态环境敏感区。该 区域以生态环境保护优先为原则，依法禁止或限制大规模、高强度的工业开发和城镇建设，严守生态环境底线，确保生态环境功能不降低。</w:t>
            </w:r>
          </w:p>
          <w:p w14:paraId="2AE7A5A2">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重点管控单元。共49个，面积占比为24.09%，主要包括工业园区、城市、 矿区等开发强度高、污染排放量大、环境问题相对集中的区域，以及生态需水补给区等。该区域应不断提升资源利用效率，有针对性地加强污染物排放控制和环 境风险防控，解决生态环境质量不达标、生态环境风险高等问题。</w:t>
            </w:r>
          </w:p>
          <w:p w14:paraId="6A743E6A">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一般管控单元。共4个，面积占比为9.81%，优先保护单元、重点管控单元之外为一般管控单元。该区域主要落实生态环境保护基本要求。</w:t>
            </w:r>
          </w:p>
          <w:p w14:paraId="7D0546D9">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根据阿拉善盟行政公署关于“三线一单”生态环境分区管控的实施意见修改单（2023年版）、内蒙古自治区生态环境厅“三线一单”数据应用平台“三线一单”智能研判结果，本项目涉及</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重点管控</w:t>
            </w:r>
            <w:r>
              <w:rPr>
                <w:rFonts w:hint="default" w:ascii="Times New Roman" w:hAnsi="Times New Roman" w:eastAsia="宋体" w:cs="Times New Roman"/>
                <w:color w:val="000000" w:themeColor="text1"/>
                <w:sz w:val="24"/>
                <w:szCs w:val="24"/>
                <w:highlight w:val="none"/>
                <w14:textFill>
                  <w14:solidFill>
                    <w14:schemeClr w14:val="tx1"/>
                  </w14:solidFill>
                </w14:textFill>
              </w:rPr>
              <w:t>单元1个，管控单元为温图高勒苏木采矿用地（ZH15292320013）。</w:t>
            </w:r>
          </w:p>
          <w:p w14:paraId="38660ABC">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本项目与阿拉善盟“三线一单”符合性分析如下：</w:t>
            </w:r>
          </w:p>
          <w:p w14:paraId="5B53A49B">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生态保护红线</w:t>
            </w:r>
          </w:p>
          <w:p w14:paraId="0E897E1B">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2026年3月5日额济纳旗自然资源局出具的《关于协助查询华润能源额济纳旗100兆瓦风电项目选址坐标范围内限制因素情况的复函》（额自然资函[2026]141号），项目用地位于内蒙古自治区阿拉善盟额济纳旗温图高勒苏木东北部，</w:t>
            </w:r>
            <w:r>
              <w:rPr>
                <w:rFonts w:hint="eastAsia" w:cs="Times New Roman"/>
                <w:color w:val="auto"/>
                <w:sz w:val="24"/>
                <w:szCs w:val="24"/>
                <w:highlight w:val="none"/>
                <w:lang w:val="en-US" w:eastAsia="zh-CN"/>
              </w:rPr>
              <w:t>项目选址及评价范围均</w:t>
            </w:r>
            <w:r>
              <w:rPr>
                <w:rFonts w:hint="default" w:ascii="Times New Roman" w:hAnsi="Times New Roman" w:eastAsia="宋体" w:cs="Times New Roman"/>
                <w:color w:val="auto"/>
                <w:sz w:val="24"/>
                <w:szCs w:val="24"/>
                <w:highlight w:val="none"/>
              </w:rPr>
              <w:t>不涉及生态保护红线</w:t>
            </w:r>
            <w:r>
              <w:rPr>
                <w:rFonts w:hint="eastAsia"/>
                <w:lang w:eastAsia="zh-CN"/>
              </w:rPr>
              <w:t>，</w:t>
            </w:r>
            <w:r>
              <w:rPr>
                <w:rFonts w:hint="default" w:ascii="Times New Roman" w:hAnsi="Times New Roman" w:eastAsia="宋体" w:cs="Times New Roman"/>
                <w:color w:val="auto"/>
                <w:sz w:val="24"/>
                <w:szCs w:val="24"/>
                <w:highlight w:val="none"/>
              </w:rPr>
              <w:t>（附件10）。</w:t>
            </w:r>
          </w:p>
          <w:p w14:paraId="47E58F01">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因此，本项目符合生态保护红线的要求。</w:t>
            </w:r>
          </w:p>
          <w:p w14:paraId="50D5C567">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环境质量底线</w:t>
            </w:r>
          </w:p>
          <w:p w14:paraId="57034FE7">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境质量底线是国家和地方设置的大气、水和土壤环境质量目标，也是改善环境质量的基准线。基于生态环境部环境工程评估中心国家环境保护环境影响评价数值模拟重点实验室环境空气质量模型技术支持服务系统发布的达标区判定数据，再结合内蒙古自治区生态环境厅发布的《2024年内蒙古自治区生态环境状况公报》（2024年6月4日），确定阿拉善盟属于环境空气质量达标地区；根据本项目声环境现状监测结果：厂界四周监测点昼夜间均满足《声环境质量标准》（GB3096-2008）2类标准。根据本项目电磁环境现状监测结果：站址中心工频电场强度和工频磁感应强度监测值最大值低于工频电场强度4000V/m和工频磁感应强度100μT的公众曝露控制限值要求。</w:t>
            </w:r>
          </w:p>
          <w:p w14:paraId="4B1A93AC">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项目建设运营过程会产生一定量的电磁、噪声等环境影响，采取相应防治措施后，各类污染物均可达标排放，对周围环境的影响不大，不会突破环境质量底线要求。</w:t>
            </w:r>
          </w:p>
          <w:p w14:paraId="24C611B4">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资源利用上线</w:t>
            </w:r>
          </w:p>
          <w:p w14:paraId="520B1F26">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为升压站工程，项目消耗主要能源为电能和水能。项目不属于高污染、高耗能、高水耗的建设项目，且项目建成运行后通过内部管理、污染治理等多方面采取合理、可行、有效的防治措施，以“节能、降耗、减污”为目标，可有效控制污染及资源的利用水平。本项目符合资源利用上线的要求。运营阶段消耗的电力均来自风电场供电，不会对区域能源资源配置产生影响。</w:t>
            </w:r>
          </w:p>
          <w:p w14:paraId="301736A7">
            <w:pPr>
              <w:keepNext w:val="0"/>
              <w:keepLines w:val="0"/>
              <w:suppressLineNumbers w:val="0"/>
              <w:autoSpaceDE w:val="0"/>
              <w:autoSpaceDN w:val="0"/>
              <w:adjustRightIn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因此，本项目不会突破资源能源利用上线要求。</w:t>
            </w:r>
          </w:p>
          <w:p w14:paraId="01DDBB66">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（4）生态环境准入清单</w:t>
            </w:r>
          </w:p>
          <w:p w14:paraId="23DE6C08">
            <w:pPr>
              <w:keepNext w:val="0"/>
              <w:keepLines w:val="0"/>
              <w:suppressLineNumbers w:val="0"/>
              <w:autoSpaceDE w:val="0"/>
              <w:autoSpaceDN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本项目位于</w:t>
            </w:r>
            <w:r>
              <w:rPr>
                <w:rFonts w:hint="default" w:ascii="Times New Roman" w:hAnsi="Times New Roman" w:cs="Times New Roman"/>
                <w:color w:val="auto"/>
                <w:sz w:val="24"/>
                <w:szCs w:val="24"/>
                <w:highlight w:val="none"/>
                <w:lang w:val="en-US" w:eastAsia="zh-CN"/>
              </w:rPr>
              <w:t>内蒙古自治区阿拉善盟额济纳旗温图高勒苏木东北部</w:t>
            </w: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val="en-US" w:eastAsia="zh-CN"/>
              </w:rPr>
              <w:t>涉及</w:t>
            </w:r>
            <w:r>
              <w:rPr>
                <w:rFonts w:hint="default" w:ascii="Times New Roman" w:hAnsi="Times New Roman" w:eastAsia="宋体" w:cs="Times New Roman"/>
                <w:color w:val="auto"/>
                <w:sz w:val="24"/>
                <w:szCs w:val="24"/>
                <w:highlight w:val="none"/>
              </w:rPr>
              <w:t>环境管控单元</w:t>
            </w:r>
            <w:r>
              <w:rPr>
                <w:rFonts w:hint="default" w:ascii="Times New Roman" w:hAnsi="Times New Roman" w:cs="Times New Roman"/>
                <w:color w:val="auto"/>
                <w:sz w:val="24"/>
                <w:szCs w:val="24"/>
                <w:highlight w:val="none"/>
                <w:lang w:val="en-US" w:eastAsia="zh-CN"/>
              </w:rPr>
              <w:t>为重点管控单元—</w:t>
            </w:r>
            <w:r>
              <w:rPr>
                <w:rFonts w:hint="default" w:ascii="Times New Roman" w:hAnsi="Times New Roman" w:eastAsia="宋体" w:cs="Times New Roman"/>
                <w:color w:val="auto"/>
                <w:sz w:val="24"/>
                <w:szCs w:val="24"/>
                <w:highlight w:val="none"/>
              </w:rPr>
              <w:t>温图高勒苏木采矿用地（ZH15292320013）。相符性分析见表1-1。</w:t>
            </w:r>
          </w:p>
          <w:p w14:paraId="10D22573">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cs="Times New Roman"/>
                <w:b/>
                <w:color w:val="auto"/>
                <w:kern w:val="0"/>
                <w:sz w:val="24"/>
                <w:szCs w:val="24"/>
                <w:highlight w:val="none"/>
              </w:rPr>
            </w:pPr>
            <w:r>
              <w:rPr>
                <w:rFonts w:hint="default" w:ascii="Times New Roman" w:hAnsi="Times New Roman" w:cs="Times New Roman"/>
                <w:b/>
                <w:color w:val="auto"/>
                <w:sz w:val="24"/>
                <w:szCs w:val="24"/>
                <w:highlight w:val="none"/>
              </w:rPr>
              <w:t>表1-</w:t>
            </w:r>
            <w:r>
              <w:rPr>
                <w:rFonts w:hint="default" w:ascii="Times New Roman" w:hAnsi="Times New Roman" w:cs="Times New Roman"/>
                <w:b/>
                <w:color w:val="auto"/>
                <w:sz w:val="24"/>
                <w:szCs w:val="24"/>
                <w:highlight w:val="none"/>
                <w:lang w:val="en-US" w:eastAsia="zh-CN"/>
              </w:rPr>
              <w:t>1</w:t>
            </w:r>
            <w:r>
              <w:rPr>
                <w:rFonts w:hint="default" w:ascii="Times New Roman" w:hAnsi="Times New Roman" w:cs="Times New Roman"/>
                <w:b/>
                <w:color w:val="auto"/>
                <w:sz w:val="24"/>
                <w:szCs w:val="24"/>
                <w:highlight w:val="none"/>
              </w:rPr>
              <w:t>本项目与</w:t>
            </w:r>
            <w:r>
              <w:rPr>
                <w:rFonts w:hint="default" w:ascii="Times New Roman" w:hAnsi="Times New Roman" w:cs="Times New Roman"/>
                <w:b/>
                <w:color w:val="auto"/>
                <w:sz w:val="24"/>
                <w:szCs w:val="24"/>
                <w:highlight w:val="none"/>
                <w:lang w:val="en-US" w:eastAsia="zh-CN"/>
              </w:rPr>
              <w:t>和温图高勒苏木一般生态空间优先保护单元2</w:t>
            </w:r>
            <w:r>
              <w:rPr>
                <w:rFonts w:hint="default" w:ascii="Times New Roman" w:hAnsi="Times New Roman" w:cs="Times New Roman"/>
                <w:b/>
                <w:color w:val="auto"/>
                <w:sz w:val="24"/>
                <w:szCs w:val="24"/>
                <w:highlight w:val="none"/>
              </w:rPr>
              <w:t>符合性分析</w:t>
            </w:r>
          </w:p>
          <w:tbl>
            <w:tblPr>
              <w:tblStyle w:val="3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459"/>
              <w:gridCol w:w="368"/>
              <w:gridCol w:w="303"/>
              <w:gridCol w:w="335"/>
              <w:gridCol w:w="3821"/>
              <w:gridCol w:w="1175"/>
              <w:gridCol w:w="249"/>
            </w:tblGrid>
            <w:tr w14:paraId="22527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0" w:type="auto"/>
                  <w:noWrap w:val="0"/>
                  <w:vAlign w:val="center"/>
                </w:tcPr>
                <w:p w14:paraId="2E29C3DC">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环境管控单元编</w:t>
                  </w:r>
                  <w:r>
                    <w:rPr>
                      <w:rFonts w:hint="default" w:ascii="Times New Roman" w:hAnsi="Times New Roman" w:eastAsia="宋体" w:cs="Times New Roman"/>
                      <w:b/>
                      <w:bCs/>
                      <w:color w:val="auto"/>
                      <w:lang w:eastAsia="zh-CN"/>
                    </w:rPr>
                    <w:t>号</w:t>
                  </w:r>
                  <w:r>
                    <w:rPr>
                      <w:rFonts w:hint="default" w:ascii="Times New Roman" w:hAnsi="Times New Roman" w:eastAsia="宋体" w:cs="Times New Roman"/>
                      <w:b/>
                      <w:bCs/>
                      <w:color w:val="auto"/>
                    </w:rPr>
                    <w:cr/>
                  </w:r>
                </w:p>
              </w:tc>
              <w:tc>
                <w:tcPr>
                  <w:tcW w:w="0" w:type="auto"/>
                  <w:noWrap w:val="0"/>
                  <w:vAlign w:val="center"/>
                </w:tcPr>
                <w:p w14:paraId="2A5FAEDD">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管控单元名称</w:t>
                  </w:r>
                </w:p>
              </w:tc>
              <w:tc>
                <w:tcPr>
                  <w:tcW w:w="0" w:type="auto"/>
                  <w:noWrap w:val="0"/>
                  <w:vAlign w:val="center"/>
                </w:tcPr>
                <w:p w14:paraId="152B8282">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单元类别</w:t>
                  </w:r>
                </w:p>
              </w:tc>
              <w:tc>
                <w:tcPr>
                  <w:tcW w:w="0" w:type="auto"/>
                  <w:noWrap w:val="0"/>
                  <w:vAlign w:val="center"/>
                </w:tcPr>
                <w:p w14:paraId="3E330B96">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维度</w:t>
                  </w:r>
                </w:p>
              </w:tc>
              <w:tc>
                <w:tcPr>
                  <w:tcW w:w="0" w:type="auto"/>
                  <w:noWrap w:val="0"/>
                  <w:vAlign w:val="center"/>
                </w:tcPr>
                <w:p w14:paraId="36D55AB5">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管控要求</w:t>
                  </w:r>
                </w:p>
              </w:tc>
              <w:tc>
                <w:tcPr>
                  <w:tcW w:w="0" w:type="auto"/>
                  <w:noWrap w:val="0"/>
                  <w:vAlign w:val="center"/>
                </w:tcPr>
                <w:p w14:paraId="5B92E469">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本项目</w:t>
                  </w:r>
                </w:p>
              </w:tc>
              <w:tc>
                <w:tcPr>
                  <w:tcW w:w="0" w:type="auto"/>
                  <w:noWrap w:val="0"/>
                  <w:vAlign w:val="center"/>
                </w:tcPr>
                <w:p w14:paraId="39A26345">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rPr>
                    <w:t>符合性</w:t>
                  </w:r>
                </w:p>
              </w:tc>
            </w:tr>
            <w:tr w14:paraId="2E7097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restart"/>
                  <w:noWrap w:val="0"/>
                  <w:vAlign w:val="center"/>
                </w:tcPr>
                <w:p w14:paraId="49E3ECB7">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bidi="ar"/>
                    </w:rPr>
                    <w:t>ZH</w:t>
                  </w:r>
                  <w:r>
                    <w:rPr>
                      <w:rFonts w:hint="default" w:ascii="Times New Roman" w:hAnsi="Times New Roman" w:eastAsia="宋体" w:cs="Times New Roman"/>
                      <w:color w:val="auto"/>
                      <w:lang w:eastAsia="zh-CN" w:bidi="ar"/>
                    </w:rPr>
                    <w:t>15292320013</w:t>
                  </w:r>
                </w:p>
              </w:tc>
              <w:tc>
                <w:tcPr>
                  <w:tcW w:w="0" w:type="auto"/>
                  <w:vMerge w:val="restart"/>
                  <w:noWrap w:val="0"/>
                  <w:vAlign w:val="center"/>
                </w:tcPr>
                <w:p w14:paraId="785F95CC">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温图高勒苏木采矿用地</w:t>
                  </w:r>
                </w:p>
              </w:tc>
              <w:tc>
                <w:tcPr>
                  <w:tcW w:w="0" w:type="auto"/>
                  <w:vMerge w:val="restart"/>
                  <w:noWrap w:val="0"/>
                  <w:vAlign w:val="center"/>
                </w:tcPr>
                <w:p w14:paraId="69263842">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rPr>
                    <w:t>重点</w:t>
                  </w:r>
                  <w:r>
                    <w:rPr>
                      <w:rFonts w:hint="default" w:ascii="Times New Roman" w:hAnsi="Times New Roman" w:eastAsia="宋体" w:cs="Times New Roman"/>
                      <w:color w:val="auto"/>
                    </w:rPr>
                    <w:t>管控单元</w:t>
                  </w:r>
                </w:p>
              </w:tc>
              <w:tc>
                <w:tcPr>
                  <w:tcW w:w="0" w:type="auto"/>
                  <w:noWrap w:val="0"/>
                  <w:vAlign w:val="center"/>
                </w:tcPr>
                <w:p w14:paraId="4D8A2427">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空间布局约</w:t>
                  </w:r>
                  <w:r>
                    <w:rPr>
                      <w:rFonts w:hint="default" w:ascii="Times New Roman" w:hAnsi="Times New Roman" w:eastAsia="宋体" w:cs="Times New Roman"/>
                      <w:color w:val="auto"/>
                      <w:lang w:eastAsia="zh-CN"/>
                    </w:rPr>
                    <w:t>束</w:t>
                  </w:r>
                  <w:r>
                    <w:rPr>
                      <w:rFonts w:hint="default" w:ascii="Times New Roman" w:hAnsi="Times New Roman" w:eastAsia="宋体" w:cs="Times New Roman"/>
                      <w:color w:val="auto"/>
                    </w:rPr>
                    <w:cr/>
                  </w:r>
                </w:p>
              </w:tc>
              <w:tc>
                <w:tcPr>
                  <w:tcW w:w="0" w:type="auto"/>
                  <w:noWrap w:val="0"/>
                  <w:vAlign w:val="center"/>
                </w:tcPr>
                <w:p w14:paraId="3013BEDA">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1.禁止新建、扩建《产业结构调整指导目录（2019年本）》明确的限制类、淘汰类项目。</w:t>
                  </w:r>
                </w:p>
                <w:p w14:paraId="73053DA7">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2.非经国务院授权的有关主管部门同意，不得在以下地区开采矿产资源：⑴国防工程建设设施圈定地区以内；⑵重要工业区、城镇市政工程设施附近一定距离以内；⑶铁路、重要公路两侧一定距离以内；⑷重要河流、堤坝两侧一定距离以内；⑸国家重点保护的不能移动的历史文物和名胜古迹所在地；⑹国家规定不得开采矿产资源的其他地区。</w:t>
                  </w:r>
                </w:p>
                <w:p w14:paraId="29CE43B5">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3.在草原上从事采土、采砂、采石等作业活动，应当报旗县级人民政府草原行政主管部门批准。开采矿产资源的，并应当依法办理有关手续。</w:t>
                  </w:r>
                </w:p>
                <w:p w14:paraId="0CD54BDA">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4.严格控制草原上新建矿产资源开发项目。落实最严格的草原生态环境保护制度，在草原生态红线内严禁乱采滥挖、新上矿产资源开发项目，其他草原除经依法依规批准的保障国家能源战略安全项目外，不得新上矿产资源开发项目。新上矿产资源开发项目在开展前期工作时，应征求林业和草原行政主管部门意见，把先预审、再立项、后建设的源头把控原则落到实处，进一步加大草原生态保护修复力度，加快草原生态恢复，提升草原生态服务功能，筑牢我国北方重要生态安全屏障。严格执行国家林草局《草原征占用审核审批管理规范》《内蒙古自治区草原征占用审核审批管理规定》等草原征占用审核审批管理制度。矿产资源在勘查时确需临时占用草原的，由旗县级以上人民政府林业和草原行政主管部门依据确定的权限分级审批。在临时占用的草原上不得修建永久性建筑物、构筑物，使用期限不得超过两年，占用期届满后，使用草原的单位应恢复草原植被并及时退还。依据《国家林业和草原局草原征占用审核审批管理规范》与《内蒙古自治区草原征占用审核审批管理规定》：“除国务院有关部门、自治区人民政府及其有关部门批准同意的基础设施、公共事业、民生建设项目和国防、外交建设项目外，不得占用基本草原。”</w:t>
                  </w:r>
                </w:p>
                <w:p w14:paraId="3325D48D">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5.严格规范草原上已建矿产资源开发项目。对依法批准的草原上已建和在建矿产资源开发项目，要严格执行矿产资源开发和草原生态保护法律法规和政策，不得在依法确定的矿区范围外平面增扩面积，不得未经批准由井工开采变为露天开采，严格控制排渣场、排土场、煤矸石堆场、场区道路占用草原面积。对申请接续用地占用草原的，要按照矿山地质环境保护与土地复垦方案要求，对原有矿山用地进行相应治理后，方可申请使用草原，资源枯竭服务期满后退出并恢复植被。</w:t>
                  </w:r>
                </w:p>
                <w:p w14:paraId="30576EB2">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6.全面建设绿色矿山，加大露天矿山综合整治力度。</w:t>
                  </w:r>
                </w:p>
                <w:p w14:paraId="57F120A6">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7.临近生态保护红线的矿产资源开采活动，应采取有效措施，避免产生不利影响。</w:t>
                  </w:r>
                </w:p>
                <w:p w14:paraId="59E17D8F">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8.合理开发利用和保护煤炭资源，规范煤炭生产、经营清洁高效利用及相关活动，保障煤炭产业高质量发展。</w:t>
                  </w:r>
                </w:p>
                <w:p w14:paraId="70C70215">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9.执行《内蒙古自治区矿产资源总体规划（2021—2025年）》中最低开采规模相关要求。</w:t>
                  </w:r>
                </w:p>
              </w:tc>
              <w:tc>
                <w:tcPr>
                  <w:tcW w:w="0" w:type="auto"/>
                  <w:noWrap w:val="0"/>
                  <w:vAlign w:val="center"/>
                </w:tcPr>
                <w:p w14:paraId="414F814E">
                  <w:pPr>
                    <w:keepNext w:val="0"/>
                    <w:keepLines w:val="0"/>
                    <w:numPr>
                      <w:ilvl w:val="0"/>
                      <w:numId w:val="2"/>
                    </w:numPr>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本项目</w:t>
                  </w:r>
                  <w:r>
                    <w:rPr>
                      <w:rFonts w:hint="default" w:ascii="Times New Roman" w:hAnsi="Times New Roman" w:eastAsia="宋体" w:cs="Times New Roman"/>
                      <w:color w:val="auto"/>
                      <w:lang w:val="en-US" w:eastAsia="zh-CN" w:bidi="ar"/>
                    </w:rPr>
                    <w:t>220kV</w:t>
                  </w:r>
                  <w:r>
                    <w:rPr>
                      <w:rFonts w:hint="default" w:ascii="Times New Roman" w:hAnsi="Times New Roman" w:eastAsia="宋体" w:cs="Times New Roman"/>
                      <w:color w:val="auto"/>
                      <w:lang w:eastAsia="zh-CN" w:bidi="ar"/>
                    </w:rPr>
                    <w:t>升压站属于输变电工程，属于鼓励类。</w:t>
                  </w:r>
                </w:p>
                <w:p w14:paraId="7D0EE577">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2、不涉及开采矿产资源。</w:t>
                  </w:r>
                </w:p>
                <w:p w14:paraId="52DD2E65">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3、不涉及采土、采石、采砂、开采矿产资源等活动。</w:t>
                  </w:r>
                </w:p>
                <w:p w14:paraId="1586C785">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4、不涉及开采矿产资源，根据土地勘测定界技术报告书，本项目不涉及基本草原。</w:t>
                  </w:r>
                </w:p>
                <w:p w14:paraId="556153B0">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本项目为输变电项目5、6、7、8、9，均不涉及。</w:t>
                  </w:r>
                </w:p>
              </w:tc>
              <w:tc>
                <w:tcPr>
                  <w:tcW w:w="0" w:type="auto"/>
                  <w:noWrap w:val="0"/>
                  <w:vAlign w:val="center"/>
                </w:tcPr>
                <w:p w14:paraId="6B8B95ED">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14:paraId="43CD72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3E213FDD">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bidi="ar"/>
                    </w:rPr>
                  </w:pPr>
                </w:p>
              </w:tc>
              <w:tc>
                <w:tcPr>
                  <w:tcW w:w="0" w:type="auto"/>
                  <w:vMerge w:val="continue"/>
                  <w:noWrap w:val="0"/>
                  <w:vAlign w:val="center"/>
                </w:tcPr>
                <w:p w14:paraId="0656172B">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eastAsia="zh-CN" w:bidi="ar"/>
                    </w:rPr>
                  </w:pPr>
                </w:p>
              </w:tc>
              <w:tc>
                <w:tcPr>
                  <w:tcW w:w="0" w:type="auto"/>
                  <w:vMerge w:val="continue"/>
                  <w:noWrap w:val="0"/>
                  <w:vAlign w:val="center"/>
                </w:tcPr>
                <w:p w14:paraId="4EC2E6F1">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eastAsia="zh-CN"/>
                    </w:rPr>
                  </w:pPr>
                </w:p>
              </w:tc>
              <w:tc>
                <w:tcPr>
                  <w:tcW w:w="0" w:type="auto"/>
                  <w:noWrap w:val="0"/>
                  <w:vAlign w:val="center"/>
                </w:tcPr>
                <w:p w14:paraId="1C6515A3">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bidi="ar"/>
                    </w:rPr>
                    <w:t>污染物排放管控</w:t>
                  </w:r>
                </w:p>
              </w:tc>
              <w:tc>
                <w:tcPr>
                  <w:tcW w:w="0" w:type="auto"/>
                  <w:noWrap w:val="0"/>
                  <w:vAlign w:val="center"/>
                </w:tcPr>
                <w:p w14:paraId="2D1D60B4">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1.矿产资源勘查以及采选过程中排土场、露天采场、尾矿库、矿区专用道路、矿山工业场地、沉陷区、矸石场、矿山污染场地等的生态环境保护与治理恢复工作须满足《矿山生态环境保护与治理恢复技术规范（试行）》（HJ651-2013）要求。</w:t>
                  </w:r>
                </w:p>
                <w:p w14:paraId="4B66B91C">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2.落实边开采、边保护、边复垦的要求，使新建、在建矿山损毁土地得到全面复垦。</w:t>
                  </w:r>
                </w:p>
                <w:p w14:paraId="74C98846">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3.现有矿山进行资源整合和技术改造，生产工艺、设备水平、清洁生产水平必须提升至国内先进水平。</w:t>
                  </w:r>
                </w:p>
                <w:p w14:paraId="28A01F0B">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4.矿山开采企业应当加强精细化管理，采取有效措施防治矿山开采、贮存、装卸、运输全过程的扬尘污染，确保扬尘达标排放。</w:t>
                  </w:r>
                </w:p>
              </w:tc>
              <w:tc>
                <w:tcPr>
                  <w:tcW w:w="0" w:type="auto"/>
                  <w:noWrap w:val="0"/>
                  <w:vAlign w:val="center"/>
                </w:tcPr>
                <w:p w14:paraId="6C4B70B6">
                  <w:pPr>
                    <w:pStyle w:val="109"/>
                    <w:keepNext w:val="0"/>
                    <w:keepLines w:val="0"/>
                    <w:suppressLineNumbers w:val="0"/>
                    <w:shd w:val="clear" w:color="auto" w:fill="auto"/>
                    <w:kinsoku/>
                    <w:overflowPunct w:val="0"/>
                    <w:spacing w:before="0" w:beforeAutospacing="0" w:afterAutospacing="0" w:line="240" w:lineRule="auto"/>
                    <w:ind w:left="0" w:leftChars="0" w:right="0"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本项目为输变电项目，不涉及。</w:t>
                  </w:r>
                </w:p>
              </w:tc>
              <w:tc>
                <w:tcPr>
                  <w:tcW w:w="0" w:type="auto"/>
                  <w:noWrap w:val="0"/>
                  <w:vAlign w:val="center"/>
                </w:tcPr>
                <w:p w14:paraId="66EE6F36">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符合</w:t>
                  </w:r>
                </w:p>
              </w:tc>
            </w:tr>
            <w:tr w14:paraId="12BF5B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71846771">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bidi="ar"/>
                    </w:rPr>
                  </w:pPr>
                </w:p>
              </w:tc>
              <w:tc>
                <w:tcPr>
                  <w:tcW w:w="0" w:type="auto"/>
                  <w:vMerge w:val="continue"/>
                  <w:noWrap w:val="0"/>
                  <w:vAlign w:val="center"/>
                </w:tcPr>
                <w:p w14:paraId="1A45F91A">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eastAsia="zh-CN" w:bidi="ar"/>
                    </w:rPr>
                  </w:pPr>
                </w:p>
              </w:tc>
              <w:tc>
                <w:tcPr>
                  <w:tcW w:w="0" w:type="auto"/>
                  <w:vMerge w:val="continue"/>
                  <w:noWrap w:val="0"/>
                  <w:vAlign w:val="center"/>
                </w:tcPr>
                <w:p w14:paraId="12C23026">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eastAsia="zh-CN"/>
                    </w:rPr>
                  </w:pPr>
                </w:p>
              </w:tc>
              <w:tc>
                <w:tcPr>
                  <w:tcW w:w="0" w:type="auto"/>
                  <w:noWrap w:val="0"/>
                  <w:vAlign w:val="center"/>
                </w:tcPr>
                <w:p w14:paraId="2966E670">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环境风险防控</w:t>
                  </w:r>
                </w:p>
              </w:tc>
              <w:tc>
                <w:tcPr>
                  <w:tcW w:w="0" w:type="auto"/>
                  <w:noWrap w:val="0"/>
                  <w:vAlign w:val="center"/>
                </w:tcPr>
                <w:p w14:paraId="49C7A016">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1.制定环境风险应急预案，成立应急组织机构，配备必要的应急设施和应急物资，定期开展环境风险应急演练。</w:t>
                  </w:r>
                </w:p>
                <w:p w14:paraId="519EF16E">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2.全面整治历史遗留尾矿库，完善覆膜、压土、排洪、堤坝加固等隐患治理和闭库措施。有重点监管尾矿库的企业要开展环境风险评估，完善污染治理设施，储备应急物资。加强对矿产资源开发利用活动的辐射安全监管，有关企业每年要对本矿区土壤进行辐射环境监测。</w:t>
                  </w:r>
                </w:p>
                <w:p w14:paraId="1E75B2B0">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3.强化安全生产责任落实，建立安全生产长效机制，坚决防范、遏制露天煤矿生产安全事故发生。</w:t>
                  </w:r>
                </w:p>
              </w:tc>
              <w:tc>
                <w:tcPr>
                  <w:tcW w:w="0" w:type="auto"/>
                  <w:noWrap w:val="0"/>
                  <w:vAlign w:val="center"/>
                </w:tcPr>
                <w:p w14:paraId="7BA109EF">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highlight w:val="green"/>
                      <w:lang w:eastAsia="zh-CN"/>
                    </w:rPr>
                  </w:pPr>
                  <w:r>
                    <w:rPr>
                      <w:rFonts w:hint="default" w:ascii="Times New Roman" w:hAnsi="Times New Roman" w:eastAsia="宋体" w:cs="Times New Roman"/>
                      <w:color w:val="auto"/>
                      <w:lang w:eastAsia="zh-CN" w:bidi="ar"/>
                    </w:rPr>
                    <w:t>制定环境风险应急预案，成立应急组织机构，配备应急设施和物资，定期开展应急演练。</w:t>
                  </w:r>
                </w:p>
              </w:tc>
              <w:tc>
                <w:tcPr>
                  <w:tcW w:w="0" w:type="auto"/>
                  <w:noWrap w:val="0"/>
                  <w:vAlign w:val="center"/>
                </w:tcPr>
                <w:p w14:paraId="2BD268B3">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符合</w:t>
                  </w:r>
                </w:p>
              </w:tc>
            </w:tr>
            <w:tr w14:paraId="200E5A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noWrap w:val="0"/>
                  <w:vAlign w:val="center"/>
                </w:tcPr>
                <w:p w14:paraId="291F77E1">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bidi="ar"/>
                    </w:rPr>
                  </w:pPr>
                </w:p>
              </w:tc>
              <w:tc>
                <w:tcPr>
                  <w:tcW w:w="0" w:type="auto"/>
                  <w:vMerge w:val="continue"/>
                  <w:noWrap w:val="0"/>
                  <w:vAlign w:val="center"/>
                </w:tcPr>
                <w:p w14:paraId="75EEF959">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eastAsia="zh-CN" w:bidi="ar"/>
                    </w:rPr>
                  </w:pPr>
                </w:p>
              </w:tc>
              <w:tc>
                <w:tcPr>
                  <w:tcW w:w="0" w:type="auto"/>
                  <w:vMerge w:val="continue"/>
                  <w:noWrap w:val="0"/>
                  <w:vAlign w:val="center"/>
                </w:tcPr>
                <w:p w14:paraId="0215AF30">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eastAsia="zh-CN"/>
                    </w:rPr>
                  </w:pPr>
                </w:p>
              </w:tc>
              <w:tc>
                <w:tcPr>
                  <w:tcW w:w="0" w:type="auto"/>
                  <w:noWrap w:val="0"/>
                  <w:vAlign w:val="center"/>
                </w:tcPr>
                <w:p w14:paraId="36C03FB9">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资源利用效率要求</w:t>
                  </w:r>
                </w:p>
              </w:tc>
              <w:tc>
                <w:tcPr>
                  <w:tcW w:w="0" w:type="auto"/>
                  <w:noWrap w:val="0"/>
                  <w:vAlign w:val="center"/>
                </w:tcPr>
                <w:p w14:paraId="45E43E78">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1.矿山“三率”水平达到国内同行业先进水平，矿山“三率”水平达标率达85%以上，尾矿排放重金属残留水平进一步降低。</w:t>
                  </w:r>
                </w:p>
                <w:p w14:paraId="5A8D0F43">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2.煤矿采区回采率、原煤入选率、煤矸石与共伴生矿产资源综合利用率等三项指标符合自然资源部发布的《煤炭资源合理开发利用“三率”指标要求（试行）》。</w:t>
                  </w:r>
                </w:p>
                <w:p w14:paraId="220C1494">
                  <w:pPr>
                    <w:keepNext w:val="0"/>
                    <w:keepLines w:val="0"/>
                    <w:suppressLineNumbers w:val="0"/>
                    <w:shd w:val="clear" w:color="auto" w:fill="auto"/>
                    <w:kinsoku/>
                    <w:overflowPunct w:val="0"/>
                    <w:spacing w:before="0" w:beforeAutospacing="0" w:after="0" w:afterAutospacing="0"/>
                    <w:ind w:left="0" w:right="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3.2025年，矿山“三率”水平达标率达95%以上，废水利用率达85%以上。</w:t>
                  </w:r>
                </w:p>
              </w:tc>
              <w:tc>
                <w:tcPr>
                  <w:tcW w:w="0" w:type="auto"/>
                  <w:noWrap w:val="0"/>
                  <w:vAlign w:val="center"/>
                </w:tcPr>
                <w:p w14:paraId="7FABE29B">
                  <w:pPr>
                    <w:pStyle w:val="109"/>
                    <w:keepNext w:val="0"/>
                    <w:keepLines w:val="0"/>
                    <w:suppressLineNumbers w:val="0"/>
                    <w:shd w:val="clear" w:color="auto" w:fill="auto"/>
                    <w:kinsoku/>
                    <w:overflowPunct w:val="0"/>
                    <w:spacing w:before="0" w:beforeAutospacing="0" w:afterAutospacing="0" w:line="240" w:lineRule="auto"/>
                    <w:ind w:left="0" w:leftChars="0" w:right="0"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本项目为输变电项目，不涉及。</w:t>
                  </w:r>
                </w:p>
              </w:tc>
              <w:tc>
                <w:tcPr>
                  <w:tcW w:w="0" w:type="auto"/>
                  <w:noWrap w:val="0"/>
                  <w:vAlign w:val="center"/>
                </w:tcPr>
                <w:p w14:paraId="1FE2826C">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符合</w:t>
                  </w:r>
                </w:p>
              </w:tc>
            </w:tr>
          </w:tbl>
          <w:p w14:paraId="2817CB57">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由上表</w:t>
            </w:r>
            <w:r>
              <w:rPr>
                <w:rFonts w:hint="default" w:ascii="Times New Roman" w:hAnsi="Times New Roman" w:cs="Times New Roman"/>
                <w:bCs/>
                <w:color w:val="auto"/>
                <w:sz w:val="24"/>
                <w:szCs w:val="24"/>
                <w:highlight w:val="none"/>
                <w:lang w:val="en-US" w:eastAsia="zh-CN"/>
              </w:rPr>
              <w:t>可知</w:t>
            </w:r>
            <w:r>
              <w:rPr>
                <w:rFonts w:hint="default" w:ascii="Times New Roman" w:hAnsi="Times New Roman" w:cs="Times New Roman"/>
                <w:bCs/>
                <w:color w:val="auto"/>
                <w:sz w:val="24"/>
                <w:szCs w:val="24"/>
                <w:highlight w:val="none"/>
              </w:rPr>
              <w:t>，本次拟建项目符合《阿拉善盟生态环境准入清单》中重点管控单元-温图高勒苏木采矿用地（ZH15292320013）管控要求。</w:t>
            </w:r>
          </w:p>
          <w:p w14:paraId="728B2D18">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综上所述，本项目符合“生态环境分区管控”要求。</w:t>
            </w:r>
          </w:p>
          <w:p w14:paraId="2799D820">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szCs w:val="24"/>
                <w:highlight w:val="none"/>
                <w:lang w:val="en-US" w:eastAsia="zh-CN"/>
              </w:rPr>
            </w:pPr>
          </w:p>
          <w:p w14:paraId="3042791F">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szCs w:val="24"/>
                <w:highlight w:val="none"/>
                <w:lang w:val="en-US" w:eastAsia="zh-CN"/>
              </w:rPr>
            </w:pPr>
          </w:p>
          <w:p w14:paraId="66DFB181">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szCs w:val="24"/>
                <w:highlight w:val="none"/>
                <w:lang w:val="en-US" w:eastAsia="zh-CN"/>
              </w:rPr>
            </w:pPr>
          </w:p>
          <w:p w14:paraId="550C3643">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szCs w:val="24"/>
                <w:highlight w:val="none"/>
                <w:lang w:val="en-US" w:eastAsia="zh-CN"/>
              </w:rPr>
            </w:pPr>
          </w:p>
          <w:p w14:paraId="37468085">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szCs w:val="24"/>
                <w:highlight w:val="none"/>
                <w:lang w:val="en-US" w:eastAsia="zh-CN"/>
              </w:rPr>
            </w:pPr>
          </w:p>
          <w:p w14:paraId="2A4272A0">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szCs w:val="24"/>
                <w:highlight w:val="none"/>
                <w:lang w:val="en-US" w:eastAsia="zh-CN"/>
              </w:rPr>
            </w:pPr>
          </w:p>
          <w:p w14:paraId="38B2C555">
            <w:pPr>
              <w:keepNext w:val="0"/>
              <w:keepLines w:val="0"/>
              <w:suppressLineNumbers w:val="0"/>
              <w:autoSpaceDE w:val="0"/>
              <w:autoSpaceDN w:val="0"/>
              <w:adjustRightInd w:val="0"/>
              <w:snapToGrid w:val="0"/>
              <w:spacing w:before="0" w:beforeAutospacing="0" w:after="0" w:afterAutospacing="0" w:line="360" w:lineRule="auto"/>
              <w:ind w:left="0" w:right="0"/>
              <w:jc w:val="left"/>
              <w:rPr>
                <w:rFonts w:hint="default" w:ascii="Times New Roman" w:hAnsi="Times New Roman" w:cs="Times New Roman"/>
                <w:bCs/>
                <w:color w:val="auto"/>
                <w:sz w:val="24"/>
                <w:szCs w:val="24"/>
                <w:highlight w:val="none"/>
                <w:lang w:val="en-US" w:eastAsia="zh-CN"/>
              </w:rPr>
            </w:pPr>
          </w:p>
        </w:tc>
      </w:tr>
    </w:tbl>
    <w:p w14:paraId="16EC2489">
      <w:pPr>
        <w:spacing w:line="360" w:lineRule="auto"/>
        <w:outlineLvl w:val="9"/>
        <w:rPr>
          <w:rFonts w:hint="default" w:ascii="Times New Roman" w:hAnsi="Times New Roman" w:eastAsia="黑体" w:cs="Times New Roman"/>
          <w:color w:val="0000FF"/>
          <w:sz w:val="30"/>
          <w:highlight w:val="none"/>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3503DD5B">
      <w:pPr>
        <w:pStyle w:val="26"/>
        <w:jc w:val="center"/>
        <w:outlineLvl w:val="0"/>
        <w:rPr>
          <w:rFonts w:hint="default" w:ascii="Times New Roman" w:hAnsi="Times New Roman" w:eastAsia="黑体" w:cs="Times New Roman"/>
          <w:snapToGrid w:val="0"/>
          <w:color w:val="auto"/>
          <w:sz w:val="30"/>
          <w:szCs w:val="30"/>
          <w:highlight w:val="none"/>
          <w:lang w:val="en-US" w:eastAsia="zh-CN"/>
        </w:rPr>
      </w:pPr>
      <w:bookmarkStart w:id="4" w:name="_Toc30874"/>
      <w:bookmarkStart w:id="5" w:name="_Toc2509"/>
      <w:r>
        <w:rPr>
          <w:rFonts w:hint="default" w:ascii="Times New Roman" w:hAnsi="Times New Roman" w:eastAsia="黑体" w:cs="Times New Roman"/>
          <w:snapToGrid w:val="0"/>
          <w:color w:val="auto"/>
          <w:sz w:val="30"/>
          <w:szCs w:val="30"/>
          <w:highlight w:val="none"/>
          <w:lang w:val="en-US" w:eastAsia="zh-CN"/>
        </w:rPr>
        <w:t>二、建设</w:t>
      </w:r>
      <w:bookmarkEnd w:id="1"/>
      <w:bookmarkEnd w:id="4"/>
      <w:r>
        <w:rPr>
          <w:rFonts w:hint="default" w:ascii="Times New Roman" w:hAnsi="Times New Roman" w:eastAsia="黑体" w:cs="Times New Roman"/>
          <w:snapToGrid w:val="0"/>
          <w:color w:val="auto"/>
          <w:sz w:val="30"/>
          <w:szCs w:val="30"/>
          <w:highlight w:val="none"/>
          <w:lang w:val="en-US" w:eastAsia="zh-CN"/>
        </w:rPr>
        <w:t>内容</w:t>
      </w:r>
      <w:bookmarkEnd w:id="5"/>
    </w:p>
    <w:tbl>
      <w:tblPr>
        <w:tblStyle w:val="30"/>
        <w:tblW w:w="95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8652"/>
      </w:tblGrid>
      <w:tr w14:paraId="2585C4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823" w:type="dxa"/>
            <w:noWrap w:val="0"/>
            <w:vAlign w:val="center"/>
          </w:tcPr>
          <w:p w14:paraId="5352ED3A">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地理位置</w:t>
            </w:r>
          </w:p>
        </w:tc>
        <w:tc>
          <w:tcPr>
            <w:tcW w:w="8161" w:type="dxa"/>
            <w:noWrap w:val="0"/>
            <w:vAlign w:val="top"/>
          </w:tcPr>
          <w:p w14:paraId="2CBA8B97">
            <w:pPr>
              <w:pStyle w:val="69"/>
              <w:keepNext w:val="0"/>
              <w:keepLines w:val="0"/>
              <w:pageBreakBefore w:val="0"/>
              <w:widowControl w:val="0"/>
              <w:suppressLineNumbers w:val="0"/>
              <w:kinsoku/>
              <w:wordWrap/>
              <w:topLinePunct w:val="0"/>
              <w:bidi w:val="0"/>
              <w:adjustRightInd w:val="0"/>
              <w:snapToGrid w:val="0"/>
              <w:spacing w:before="0" w:beforeAutospacing="0" w:after="0" w:afterAutospacing="0" w:line="240" w:lineRule="auto"/>
              <w:ind w:left="0" w:right="0" w:firstLine="480" w:firstLineChars="200"/>
              <w:rPr>
                <w:rFonts w:hint="default" w:ascii="Times New Roman" w:hAnsi="Times New Roman" w:cs="Times New Roman"/>
                <w:color w:val="auto"/>
                <w:sz w:val="24"/>
                <w:szCs w:val="24"/>
                <w:highlight w:val="none"/>
                <w:lang w:eastAsia="zh-CN"/>
              </w:rPr>
            </w:pPr>
          </w:p>
          <w:p w14:paraId="5B020FD3">
            <w:pPr>
              <w:pStyle w:val="69"/>
              <w:keepNext w:val="0"/>
              <w:keepLines w:val="0"/>
              <w:pageBreakBefore w:val="0"/>
              <w:widowControl w:val="0"/>
              <w:suppressLineNumbers w:val="0"/>
              <w:kinsoku/>
              <w:wordWrap/>
              <w:topLinePunct w:val="0"/>
              <w:bidi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华润新能源额济纳旗100兆瓦风电项目</w:t>
            </w:r>
            <w:r>
              <w:rPr>
                <w:rFonts w:hint="default" w:ascii="Times New Roman" w:hAnsi="Times New Roman" w:eastAsia="宋体" w:cs="Times New Roman"/>
                <w:color w:val="auto"/>
                <w:sz w:val="24"/>
                <w:szCs w:val="24"/>
                <w:highlight w:val="none"/>
                <w:lang w:val="en-US" w:eastAsia="zh-CN"/>
              </w:rPr>
              <w:t>220</w:t>
            </w:r>
            <w:r>
              <w:rPr>
                <w:rFonts w:hint="default" w:ascii="Times New Roman" w:hAnsi="Times New Roman" w:cs="Times New Roman"/>
                <w:color w:val="auto"/>
                <w:sz w:val="24"/>
                <w:szCs w:val="24"/>
                <w:highlight w:val="none"/>
                <w:lang w:val="en-US" w:eastAsia="zh-CN"/>
              </w:rPr>
              <w:t>kV</w:t>
            </w:r>
            <w:r>
              <w:rPr>
                <w:rFonts w:hint="default" w:ascii="Times New Roman" w:hAnsi="Times New Roman" w:eastAsia="宋体" w:cs="Times New Roman"/>
                <w:color w:val="auto"/>
                <w:sz w:val="24"/>
                <w:szCs w:val="24"/>
                <w:highlight w:val="none"/>
                <w:lang w:val="en-US" w:eastAsia="zh-CN"/>
              </w:rPr>
              <w:t>升压站工程位于</w:t>
            </w:r>
            <w:r>
              <w:rPr>
                <w:rFonts w:hint="default" w:ascii="Times New Roman" w:hAnsi="Times New Roman" w:cs="Times New Roman"/>
                <w:color w:val="auto"/>
                <w:sz w:val="24"/>
                <w:szCs w:val="24"/>
                <w:highlight w:val="none"/>
                <w:lang w:val="en-US" w:eastAsia="zh-CN"/>
              </w:rPr>
              <w:t>内蒙古自治区阿拉善盟额济纳旗温图高勒苏木东北部</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kern w:val="2"/>
                <w:sz w:val="24"/>
                <w:szCs w:val="21"/>
                <w:highlight w:val="none"/>
                <w:lang w:val="en-US" w:eastAsia="zh-CN" w:bidi="ar-SA"/>
              </w:rPr>
              <w:t>升压站中心坐标为102°27'7.189"E；41°47'3.674"N，海拔在</w:t>
            </w:r>
            <w:r>
              <w:rPr>
                <w:rFonts w:hint="default" w:ascii="Times New Roman" w:hAnsi="Times New Roman" w:cs="Times New Roman"/>
                <w:color w:val="auto"/>
                <w:kern w:val="2"/>
                <w:sz w:val="24"/>
                <w:szCs w:val="21"/>
                <w:highlight w:val="none"/>
                <w:lang w:val="en-US" w:eastAsia="zh-CN" w:bidi="ar-SA"/>
              </w:rPr>
              <w:t>1</w:t>
            </w:r>
            <w:r>
              <w:rPr>
                <w:rFonts w:hint="default" w:ascii="Times New Roman" w:hAnsi="Times New Roman" w:eastAsia="宋体" w:cs="Times New Roman"/>
                <w:color w:val="auto"/>
                <w:kern w:val="2"/>
                <w:sz w:val="24"/>
                <w:szCs w:val="21"/>
                <w:highlight w:val="none"/>
                <w:lang w:val="en-US" w:eastAsia="zh-CN" w:bidi="ar-SA"/>
              </w:rPr>
              <w:t>000m左右。站场区地貌单元属</w:t>
            </w:r>
            <w:r>
              <w:rPr>
                <w:rFonts w:hint="default" w:ascii="Times New Roman" w:hAnsi="Times New Roman" w:cs="Times New Roman"/>
                <w:color w:val="auto"/>
                <w:kern w:val="2"/>
                <w:sz w:val="24"/>
                <w:szCs w:val="21"/>
                <w:highlight w:val="none"/>
                <w:lang w:val="en-US" w:eastAsia="zh-CN" w:bidi="ar-SA"/>
              </w:rPr>
              <w:t>其他土地（裸岩石砾地）</w:t>
            </w:r>
            <w:r>
              <w:rPr>
                <w:rFonts w:hint="default" w:ascii="Times New Roman" w:hAnsi="Times New Roman" w:eastAsia="宋体" w:cs="Times New Roman"/>
                <w:color w:val="auto"/>
                <w:kern w:val="2"/>
                <w:sz w:val="24"/>
                <w:szCs w:val="21"/>
                <w:highlight w:val="none"/>
                <w:lang w:val="en-US" w:eastAsia="zh-CN" w:bidi="ar-SA"/>
              </w:rPr>
              <w:t>，地形起伏不大</w:t>
            </w:r>
            <w:r>
              <w:rPr>
                <w:rFonts w:hint="default" w:ascii="Times New Roman" w:hAnsi="Times New Roman" w:eastAsia="宋体" w:cs="Times New Roman"/>
                <w:color w:val="auto"/>
                <w:sz w:val="24"/>
                <w:szCs w:val="24"/>
                <w:highlight w:val="none"/>
                <w:lang w:val="en-US" w:eastAsia="zh-CN"/>
              </w:rPr>
              <w:t>。站址所处地形整体地势较高，四周无河流发育，无明显汇水坡面，不受水文因素影响，场平土方量较小。场区内G7京新高速、国道G331、县道X762通过，对外交通便利，利用站区北侧已建县道X018，进站道路由此路引接</w:t>
            </w:r>
            <w:r>
              <w:rPr>
                <w:rFonts w:hint="default" w:ascii="Times New Roman" w:hAnsi="Times New Roman" w:eastAsia="宋体" w:cs="Times New Roman"/>
                <w:color w:val="auto"/>
                <w:sz w:val="24"/>
                <w:szCs w:val="24"/>
                <w:highlight w:val="none"/>
                <w:shd w:val="clear"/>
                <w:lang w:val="en-US" w:eastAsia="zh-CN"/>
              </w:rPr>
              <w:t>，交通相对较为便利。项目地理位置图见附图1，项目区域现状情况见附图</w:t>
            </w:r>
            <w:r>
              <w:rPr>
                <w:rFonts w:hint="eastAsia" w:cs="Times New Roman"/>
                <w:color w:val="auto"/>
                <w:sz w:val="24"/>
                <w:szCs w:val="24"/>
                <w:highlight w:val="none"/>
                <w:shd w:val="clear"/>
                <w:lang w:val="en-US" w:eastAsia="zh-CN"/>
              </w:rPr>
              <w:t>10</w:t>
            </w:r>
            <w:r>
              <w:rPr>
                <w:rFonts w:hint="default" w:ascii="Times New Roman" w:hAnsi="Times New Roman" w:eastAsia="宋体" w:cs="Times New Roman"/>
                <w:color w:val="auto"/>
                <w:sz w:val="24"/>
                <w:szCs w:val="24"/>
                <w:highlight w:val="none"/>
                <w:shd w:val="clear"/>
                <w:lang w:val="en-US" w:eastAsia="zh-CN"/>
              </w:rPr>
              <w:t>。</w:t>
            </w:r>
          </w:p>
          <w:p w14:paraId="2442A646">
            <w:pPr>
              <w:keepNext w:val="0"/>
              <w:keepLines w:val="0"/>
              <w:suppressLineNumbers w:val="0"/>
              <w:shd w:val="clear" w:color="auto" w:fill="auto"/>
              <w:adjustRightInd w:val="0"/>
              <w:snapToGrid w:val="0"/>
              <w:spacing w:before="0" w:beforeAutospacing="0" w:after="0" w:afterAutospacing="0"/>
              <w:ind w:left="0" w:right="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 xml:space="preserve">表2-1 </w:t>
            </w:r>
            <w:r>
              <w:rPr>
                <w:rFonts w:hint="default" w:ascii="Times New Roman" w:hAnsi="Times New Roman" w:cs="Times New Roman"/>
                <w:b/>
                <w:bCs/>
                <w:color w:val="auto"/>
                <w:kern w:val="0"/>
                <w:sz w:val="21"/>
                <w:szCs w:val="21"/>
                <w:highlight w:val="none"/>
                <w:lang w:val="en-US" w:eastAsia="zh-CN"/>
              </w:rPr>
              <w:t xml:space="preserve">  </w:t>
            </w:r>
            <w:r>
              <w:rPr>
                <w:rFonts w:hint="default" w:ascii="Times New Roman" w:hAnsi="Times New Roman" w:cs="Times New Roman"/>
                <w:b/>
                <w:bCs/>
                <w:color w:val="auto"/>
                <w:kern w:val="0"/>
                <w:sz w:val="21"/>
                <w:szCs w:val="21"/>
                <w:highlight w:val="none"/>
              </w:rPr>
              <w:t>升压站拐点坐标（国家2000坐标）</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6"/>
              <w:gridCol w:w="3350"/>
              <w:gridCol w:w="3020"/>
            </w:tblGrid>
            <w:tr w14:paraId="08D9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034" w:type="dxa"/>
                  <w:noWrap w:val="0"/>
                  <w:vAlign w:val="center"/>
                </w:tcPr>
                <w:p w14:paraId="66701083">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b/>
                      <w:bCs/>
                      <w:color w:val="auto"/>
                      <w:kern w:val="0"/>
                      <w:sz w:val="21"/>
                      <w:szCs w:val="21"/>
                      <w:highlight w:val="none"/>
                      <w:lang w:bidi="ar"/>
                    </w:rPr>
                    <w:t>拐点</w:t>
                  </w:r>
                </w:p>
              </w:tc>
              <w:tc>
                <w:tcPr>
                  <w:tcW w:w="1684" w:type="dxa"/>
                  <w:noWrap w:val="0"/>
                  <w:vAlign w:val="center"/>
                </w:tcPr>
                <w:p w14:paraId="6164942B">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b/>
                      <w:bCs/>
                      <w:color w:val="auto"/>
                      <w:kern w:val="0"/>
                      <w:sz w:val="21"/>
                      <w:szCs w:val="21"/>
                      <w:highlight w:val="none"/>
                      <w:lang w:bidi="ar"/>
                    </w:rPr>
                    <w:t>X</w:t>
                  </w:r>
                </w:p>
              </w:tc>
              <w:tc>
                <w:tcPr>
                  <w:tcW w:w="1518" w:type="dxa"/>
                  <w:noWrap w:val="0"/>
                  <w:vAlign w:val="center"/>
                </w:tcPr>
                <w:p w14:paraId="23B34A8D">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b/>
                      <w:bCs/>
                      <w:color w:val="auto"/>
                      <w:kern w:val="0"/>
                      <w:sz w:val="21"/>
                      <w:szCs w:val="21"/>
                      <w:highlight w:val="none"/>
                      <w:lang w:bidi="ar"/>
                    </w:rPr>
                    <w:t>Y</w:t>
                  </w:r>
                </w:p>
              </w:tc>
            </w:tr>
            <w:tr w14:paraId="3A382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34" w:type="dxa"/>
                  <w:noWrap w:val="0"/>
                  <w:vAlign w:val="bottom"/>
                </w:tcPr>
                <w:p w14:paraId="012BD0CE">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bidi="ar"/>
                    </w:rPr>
                    <w:t>1</w:t>
                  </w:r>
                </w:p>
              </w:tc>
              <w:tc>
                <w:tcPr>
                  <w:tcW w:w="1684" w:type="dxa"/>
                  <w:noWrap w:val="0"/>
                  <w:vAlign w:val="center"/>
                </w:tcPr>
                <w:p w14:paraId="0E38EB63">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 xml:space="preserve">34537528.506 </w:t>
                  </w:r>
                </w:p>
              </w:tc>
              <w:tc>
                <w:tcPr>
                  <w:tcW w:w="1518" w:type="dxa"/>
                  <w:noWrap w:val="0"/>
                  <w:vAlign w:val="center"/>
                </w:tcPr>
                <w:p w14:paraId="7A0AC6F0">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4627841.215</w:t>
                  </w:r>
                </w:p>
              </w:tc>
            </w:tr>
            <w:tr w14:paraId="1F10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034" w:type="dxa"/>
                  <w:noWrap w:val="0"/>
                  <w:vAlign w:val="bottom"/>
                </w:tcPr>
                <w:p w14:paraId="360D5822">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bidi="ar"/>
                    </w:rPr>
                    <w:t>2</w:t>
                  </w:r>
                </w:p>
              </w:tc>
              <w:tc>
                <w:tcPr>
                  <w:tcW w:w="1684" w:type="dxa"/>
                  <w:noWrap w:val="0"/>
                  <w:vAlign w:val="center"/>
                </w:tcPr>
                <w:p w14:paraId="41D86119">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 xml:space="preserve">34537623.504 </w:t>
                  </w:r>
                </w:p>
              </w:tc>
              <w:tc>
                <w:tcPr>
                  <w:tcW w:w="1518" w:type="dxa"/>
                  <w:noWrap w:val="0"/>
                  <w:vAlign w:val="center"/>
                </w:tcPr>
                <w:p w14:paraId="2811BA6F">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4627841.714</w:t>
                  </w:r>
                </w:p>
              </w:tc>
            </w:tr>
            <w:tr w14:paraId="5031E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034" w:type="dxa"/>
                  <w:noWrap w:val="0"/>
                  <w:vAlign w:val="bottom"/>
                </w:tcPr>
                <w:p w14:paraId="100A4E29">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w:t>
                  </w:r>
                </w:p>
              </w:tc>
              <w:tc>
                <w:tcPr>
                  <w:tcW w:w="1684" w:type="dxa"/>
                  <w:noWrap w:val="0"/>
                  <w:vAlign w:val="center"/>
                </w:tcPr>
                <w:p w14:paraId="3B100BEE">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 xml:space="preserve">34537624.090 </w:t>
                  </w:r>
                </w:p>
              </w:tc>
              <w:tc>
                <w:tcPr>
                  <w:tcW w:w="1518" w:type="dxa"/>
                  <w:noWrap w:val="0"/>
                  <w:vAlign w:val="center"/>
                </w:tcPr>
                <w:p w14:paraId="4ACA6D5B">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4627730.156</w:t>
                  </w:r>
                </w:p>
              </w:tc>
            </w:tr>
            <w:tr w14:paraId="66B9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034" w:type="dxa"/>
                  <w:noWrap w:val="0"/>
                  <w:vAlign w:val="bottom"/>
                </w:tcPr>
                <w:p w14:paraId="17AA0057">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w:t>
                  </w:r>
                </w:p>
              </w:tc>
              <w:tc>
                <w:tcPr>
                  <w:tcW w:w="1684" w:type="dxa"/>
                  <w:noWrap w:val="0"/>
                  <w:vAlign w:val="center"/>
                </w:tcPr>
                <w:p w14:paraId="2B1DC6F6">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 xml:space="preserve">34537529.092 </w:t>
                  </w:r>
                </w:p>
              </w:tc>
              <w:tc>
                <w:tcPr>
                  <w:tcW w:w="1518" w:type="dxa"/>
                  <w:noWrap w:val="0"/>
                  <w:vAlign w:val="center"/>
                </w:tcPr>
                <w:p w14:paraId="300AE012">
                  <w:pPr>
                    <w:keepNext w:val="0"/>
                    <w:keepLines w:val="0"/>
                    <w:widowControl/>
                    <w:suppressLineNumbers w:val="0"/>
                    <w:shd w:val="clear" w:color="auto" w:fill="auto"/>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4627729.717</w:t>
                  </w:r>
                </w:p>
              </w:tc>
            </w:tr>
          </w:tbl>
          <w:p w14:paraId="4DB8B131">
            <w:pPr>
              <w:pStyle w:val="69"/>
              <w:keepNext w:val="0"/>
              <w:keepLines w:val="0"/>
              <w:pageBreakBefore w:val="0"/>
              <w:widowControl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val="en-US" w:eastAsia="zh-CN"/>
              </w:rPr>
            </w:pPr>
          </w:p>
        </w:tc>
      </w:tr>
      <w:tr w14:paraId="5E0212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3" w:type="dxa"/>
            <w:noWrap w:val="0"/>
            <w:vAlign w:val="center"/>
          </w:tcPr>
          <w:p w14:paraId="2088566F">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cs="Times New Roman"/>
                <w:color w:val="auto"/>
                <w:sz w:val="24"/>
                <w:szCs w:val="24"/>
                <w:highlight w:val="none"/>
                <w:lang w:val="en-US" w:eastAsia="zh-CN"/>
              </w:rPr>
              <w:t>项目组成及规模</w:t>
            </w:r>
          </w:p>
        </w:tc>
        <w:tc>
          <w:tcPr>
            <w:tcW w:w="8161" w:type="dxa"/>
            <w:noWrap w:val="0"/>
            <w:vAlign w:val="top"/>
          </w:tcPr>
          <w:p w14:paraId="72626039">
            <w:pPr>
              <w:keepNext/>
              <w:keepLines/>
              <w:suppressLineNumbers w:val="0"/>
              <w:spacing w:before="0" w:beforeAutospacing="0" w:after="0" w:afterAutospacing="0" w:line="360" w:lineRule="auto"/>
              <w:ind w:left="0" w:right="0" w:firstLine="482" w:firstLineChars="200"/>
              <w:contextualSpacing/>
              <w:outlineLvl w:val="2"/>
              <w:rPr>
                <w:rFonts w:hint="default" w:ascii="Times New Roman" w:hAnsi="Times New Roman" w:eastAsia="宋体" w:cs="Times New Roman"/>
                <w:b/>
                <w:bCs/>
                <w:color w:val="auto"/>
                <w:sz w:val="24"/>
                <w:highlight w:val="none"/>
                <w:lang w:eastAsia="zh-CN"/>
              </w:rPr>
            </w:pPr>
            <w:r>
              <w:rPr>
                <w:rFonts w:hint="default" w:ascii="Times New Roman" w:hAnsi="Times New Roman" w:cs="Times New Roman"/>
                <w:b/>
                <w:bCs/>
                <w:color w:val="auto"/>
                <w:sz w:val="24"/>
                <w:highlight w:val="none"/>
                <w:lang w:val="en-US" w:eastAsia="zh-CN"/>
              </w:rPr>
              <w:t>1、</w:t>
            </w:r>
            <w:r>
              <w:rPr>
                <w:rFonts w:hint="default" w:ascii="Times New Roman" w:hAnsi="Times New Roman" w:cs="Times New Roman"/>
                <w:b/>
                <w:bCs/>
                <w:color w:val="auto"/>
                <w:sz w:val="24"/>
                <w:highlight w:val="none"/>
              </w:rPr>
              <w:t>项目</w:t>
            </w:r>
            <w:r>
              <w:rPr>
                <w:rFonts w:hint="default" w:ascii="Times New Roman" w:hAnsi="Times New Roman" w:cs="Times New Roman"/>
                <w:b/>
                <w:bCs/>
                <w:color w:val="auto"/>
                <w:sz w:val="24"/>
                <w:highlight w:val="none"/>
                <w:lang w:val="en-US" w:eastAsia="zh-CN"/>
              </w:rPr>
              <w:t>由来</w:t>
            </w:r>
          </w:p>
          <w:p w14:paraId="217A1CDC">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为应对全球气候变化带来的挑战，实现二氧化碳排放达到峰值与实现二氧化碳“零排放”已成为全球发展趋势与共识。目前传统化石能源占我国能源结构中绝对地位，能源生产清洁化与能源消费电气化为实现前述目标的重要途径。目前清洁能源发电项目中，适宜于内蒙古地区发展的清洁能源电源项目主要为风电与光伏发电项目。内蒙古自治区地缘辽阔，风能资源富集，结合内蒙古地区风能资源开发优势，发展风力发电清洁能源项目将对我国实现碳达峰与碳中和的发展目标具有积极作用。</w:t>
            </w:r>
          </w:p>
          <w:p w14:paraId="62CBDAD3">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为发挥区域资源优势、推动风电产业高质有序发展，华润新能源（额济纳旗）有限公司在内蒙古自治区阿拉善盟额济纳旗温图高勒苏木东北部开发建设“华润新能源额济纳旗100兆瓦风电项目”</w:t>
            </w:r>
            <w:r>
              <w:rPr>
                <w:rFonts w:hint="eastAsia" w:cs="Times New Roman"/>
                <w:color w:val="auto"/>
                <w:sz w:val="24"/>
                <w:highlight w:val="none"/>
                <w:lang w:val="en-US" w:eastAsia="zh-CN"/>
              </w:rPr>
              <w:t>，目前</w:t>
            </w:r>
            <w:r>
              <w:rPr>
                <w:rFonts w:hint="default" w:ascii="Times New Roman" w:hAnsi="Times New Roman" w:cs="Times New Roman"/>
                <w:color w:val="auto"/>
                <w:sz w:val="24"/>
                <w:highlight w:val="none"/>
                <w:lang w:val="en-US" w:eastAsia="zh-CN"/>
              </w:rPr>
              <w:t>华润新能源额济纳旗100兆瓦风电项目</w:t>
            </w:r>
            <w:r>
              <w:rPr>
                <w:rFonts w:hint="eastAsia" w:ascii="Times New Roman" w:hAnsi="Times New Roman" w:cs="Times New Roman"/>
                <w:color w:val="auto"/>
                <w:sz w:val="24"/>
                <w:highlight w:val="none"/>
                <w:lang w:val="en-US" w:eastAsia="zh-CN"/>
              </w:rPr>
              <w:t>环评手续正处于报审阶段。</w:t>
            </w:r>
          </w:p>
          <w:p w14:paraId="2D91DF3C">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本项目为“华润新能源额济纳旗100兆瓦风电项目”配套建设的220kV升压站，选址位于风电场征地范围内。</w:t>
            </w:r>
          </w:p>
          <w:p w14:paraId="6E3EE598">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根据《中华人民共和国环境影响评价法》的有关规定和《建设项目环境影响评价分类管理名录》（2021年版），本项目属于“五十五、核与辐射，第161条输变电工程，500千伏及以上的或者涉及环境敏感区的330千伏及以上的应编制报告书，其他的编制报告表（110千伏以下除外）”。本项目为220kV升压站工程，应当编制环境影响评价报告表。</w:t>
            </w:r>
          </w:p>
          <w:p w14:paraId="739EB380">
            <w:pPr>
              <w:keepNext/>
              <w:keepLines/>
              <w:suppressLineNumbers w:val="0"/>
              <w:spacing w:before="0" w:beforeAutospacing="0" w:after="0" w:afterAutospacing="0" w:line="360" w:lineRule="auto"/>
              <w:ind w:left="0" w:right="0" w:firstLine="482" w:firstLineChars="200"/>
              <w:contextualSpacing/>
              <w:outlineLvl w:val="2"/>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2、项目概况</w:t>
            </w:r>
          </w:p>
          <w:p w14:paraId="172F346B">
            <w:pPr>
              <w:keepNext/>
              <w:keepLines/>
              <w:suppressLineNumbers w:val="0"/>
              <w:spacing w:before="0" w:beforeAutospacing="0" w:after="0" w:afterAutospacing="0" w:line="360" w:lineRule="auto"/>
              <w:ind w:left="0" w:right="0" w:firstLine="480" w:firstLineChars="200"/>
              <w:contextualSpacing/>
              <w:outlineLvl w:val="2"/>
              <w:rPr>
                <w:rFonts w:hint="default" w:ascii="Times New Roman" w:hAnsi="Times New Roman" w:cs="Times New Roman"/>
                <w:b w:val="0"/>
                <w:bCs w:val="0"/>
                <w:color w:val="auto"/>
                <w:sz w:val="24"/>
                <w:highlight w:val="none"/>
                <w:lang w:val="en-US" w:eastAsia="zh-CN"/>
              </w:rPr>
            </w:pPr>
            <w:r>
              <w:rPr>
                <w:rFonts w:hint="default" w:ascii="Times New Roman" w:hAnsi="Times New Roman" w:cs="Times New Roman"/>
                <w:b w:val="0"/>
                <w:bCs w:val="0"/>
                <w:color w:val="auto"/>
                <w:sz w:val="24"/>
                <w:highlight w:val="none"/>
                <w:lang w:val="en-US" w:eastAsia="zh-CN"/>
              </w:rPr>
              <w:t>工程名称：</w:t>
            </w:r>
            <w:r>
              <w:rPr>
                <w:rFonts w:hint="default" w:ascii="Times New Roman" w:hAnsi="Times New Roman" w:cs="Times New Roman"/>
                <w:color w:val="auto"/>
                <w:sz w:val="24"/>
                <w:szCs w:val="24"/>
                <w:highlight w:val="none"/>
                <w:lang w:val="en-US" w:eastAsia="zh-CN"/>
              </w:rPr>
              <w:t>华润新能源额济纳旗100兆瓦风电项目</w:t>
            </w:r>
            <w:r>
              <w:rPr>
                <w:rFonts w:hint="default" w:ascii="Times New Roman" w:hAnsi="Times New Roman" w:eastAsia="宋体" w:cs="Times New Roman"/>
                <w:color w:val="auto"/>
                <w:sz w:val="24"/>
                <w:szCs w:val="24"/>
                <w:highlight w:val="none"/>
                <w:lang w:val="en-US" w:eastAsia="zh-CN"/>
              </w:rPr>
              <w:t>220kV升压站工程</w:t>
            </w:r>
          </w:p>
          <w:p w14:paraId="0F4C5199">
            <w:pPr>
              <w:keepNext/>
              <w:keepLines/>
              <w:suppressLineNumbers w:val="0"/>
              <w:spacing w:before="0" w:beforeAutospacing="0" w:after="0" w:afterAutospacing="0" w:line="360" w:lineRule="auto"/>
              <w:ind w:left="0" w:right="0" w:firstLine="480" w:firstLineChars="200"/>
              <w:contextualSpacing/>
              <w:outlineLvl w:val="2"/>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b w:val="0"/>
                <w:bCs w:val="0"/>
                <w:color w:val="auto"/>
                <w:sz w:val="24"/>
                <w:highlight w:val="none"/>
                <w:lang w:val="en-US" w:eastAsia="zh-CN"/>
              </w:rPr>
              <w:t>建设地点：</w:t>
            </w:r>
            <w:r>
              <w:rPr>
                <w:rFonts w:hint="default" w:ascii="Times New Roman" w:hAnsi="Times New Roman" w:cs="Times New Roman"/>
                <w:color w:val="auto"/>
                <w:sz w:val="24"/>
                <w:szCs w:val="24"/>
                <w:highlight w:val="none"/>
                <w:lang w:val="en-US" w:eastAsia="zh-CN"/>
              </w:rPr>
              <w:t>内蒙古自治区阿拉善盟额济纳旗温图高勒苏木东北部</w:t>
            </w:r>
          </w:p>
          <w:p w14:paraId="7FC3ED7D">
            <w:pPr>
              <w:keepNext/>
              <w:keepLines/>
              <w:suppressLineNumbers w:val="0"/>
              <w:spacing w:before="0" w:beforeAutospacing="0" w:after="0" w:afterAutospacing="0" w:line="360" w:lineRule="auto"/>
              <w:ind w:left="0" w:right="0" w:firstLine="480" w:firstLineChars="200"/>
              <w:contextualSpacing/>
              <w:outlineLvl w:val="2"/>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建设性质：新建</w:t>
            </w:r>
          </w:p>
          <w:p w14:paraId="1D4963A3">
            <w:pPr>
              <w:keepNext/>
              <w:keepLines/>
              <w:suppressLineNumbers w:val="0"/>
              <w:spacing w:before="0" w:beforeAutospacing="0" w:after="0" w:afterAutospacing="0" w:line="360" w:lineRule="auto"/>
              <w:ind w:left="0" w:right="0" w:firstLine="480" w:firstLineChars="200"/>
              <w:contextualSpacing/>
              <w:outlineLvl w:val="2"/>
              <w:rPr>
                <w:rFonts w:hint="default" w:ascii="Times New Roman" w:hAnsi="Times New Roman" w:cs="Times New Roman"/>
                <w:bCs/>
                <w:color w:val="0000FF"/>
                <w:spacing w:val="10"/>
                <w:sz w:val="24"/>
                <w:szCs w:val="24"/>
                <w:highlight w:val="none"/>
              </w:rPr>
            </w:pPr>
            <w:r>
              <w:rPr>
                <w:rFonts w:hint="default" w:ascii="Times New Roman" w:hAnsi="Times New Roman" w:eastAsia="宋体" w:cs="Times New Roman"/>
                <w:color w:val="auto"/>
                <w:sz w:val="24"/>
                <w:szCs w:val="24"/>
                <w:highlight w:val="none"/>
                <w:lang w:val="en-US" w:eastAsia="zh-CN"/>
              </w:rPr>
              <w:t>项目投资</w:t>
            </w:r>
            <w:r>
              <w:rPr>
                <w:rFonts w:hint="default" w:ascii="Times New Roman" w:hAnsi="Times New Roman" w:cs="Times New Roman"/>
                <w:color w:val="auto"/>
                <w:kern w:val="0"/>
                <w:sz w:val="24"/>
                <w:szCs w:val="24"/>
                <w:highlight w:val="none"/>
                <w:lang w:bidi="ar"/>
              </w:rPr>
              <w:t>：</w:t>
            </w:r>
            <w:r>
              <w:rPr>
                <w:rFonts w:hint="default" w:ascii="Times New Roman" w:hAnsi="Times New Roman" w:cs="Times New Roman"/>
                <w:color w:val="auto"/>
                <w:kern w:val="0"/>
                <w:sz w:val="24"/>
                <w:szCs w:val="24"/>
                <w:highlight w:val="none"/>
                <w:lang w:val="en-US" w:eastAsia="zh-CN" w:bidi="ar"/>
              </w:rPr>
              <w:t>风电项目</w:t>
            </w:r>
            <w:r>
              <w:rPr>
                <w:rFonts w:hint="default" w:ascii="Times New Roman" w:hAnsi="Times New Roman" w:cs="Times New Roman"/>
                <w:bCs/>
                <w:color w:val="auto"/>
                <w:spacing w:val="10"/>
                <w:sz w:val="24"/>
                <w:szCs w:val="24"/>
                <w:highlight w:val="none"/>
              </w:rPr>
              <w:t>总投资</w:t>
            </w:r>
            <w:r>
              <w:rPr>
                <w:rFonts w:hint="default" w:ascii="Times New Roman" w:hAnsi="Times New Roman" w:cs="Times New Roman"/>
                <w:bCs/>
                <w:color w:val="auto"/>
                <w:spacing w:val="10"/>
                <w:sz w:val="24"/>
                <w:szCs w:val="24"/>
                <w:highlight w:val="none"/>
                <w:shd w:val="clear" w:color="auto" w:fill="auto"/>
                <w:lang w:val="en-US" w:eastAsia="zh-CN"/>
              </w:rPr>
              <w:t>35585.7</w:t>
            </w:r>
            <w:r>
              <w:rPr>
                <w:rFonts w:hint="default" w:ascii="Times New Roman" w:hAnsi="Times New Roman" w:cs="Times New Roman"/>
                <w:bCs/>
                <w:color w:val="auto"/>
                <w:spacing w:val="10"/>
                <w:sz w:val="24"/>
                <w:szCs w:val="24"/>
                <w:highlight w:val="none"/>
              </w:rPr>
              <w:t>万元</w:t>
            </w:r>
            <w:r>
              <w:rPr>
                <w:rFonts w:hint="default" w:ascii="Times New Roman" w:hAnsi="Times New Roman" w:cs="Times New Roman"/>
                <w:bCs/>
                <w:color w:val="auto"/>
                <w:spacing w:val="10"/>
                <w:sz w:val="24"/>
                <w:szCs w:val="24"/>
                <w:highlight w:val="none"/>
                <w:lang w:eastAsia="zh-CN"/>
              </w:rPr>
              <w:t>。</w:t>
            </w:r>
            <w:r>
              <w:rPr>
                <w:rFonts w:hint="default" w:ascii="Times New Roman" w:hAnsi="Times New Roman" w:cs="Times New Roman"/>
                <w:bCs/>
                <w:color w:val="auto"/>
                <w:spacing w:val="10"/>
                <w:sz w:val="24"/>
                <w:szCs w:val="24"/>
                <w:highlight w:val="none"/>
              </w:rPr>
              <w:t>其中</w:t>
            </w:r>
            <w:r>
              <w:rPr>
                <w:rFonts w:hint="default" w:ascii="Times New Roman" w:hAnsi="Times New Roman" w:cs="Times New Roman"/>
                <w:bCs/>
                <w:color w:val="auto"/>
                <w:spacing w:val="10"/>
                <w:sz w:val="24"/>
                <w:szCs w:val="24"/>
                <w:highlight w:val="none"/>
                <w:lang w:eastAsia="zh-CN"/>
              </w:rPr>
              <w:t>，</w:t>
            </w:r>
            <w:r>
              <w:rPr>
                <w:rFonts w:hint="default" w:ascii="Times New Roman" w:hAnsi="Times New Roman" w:cs="Times New Roman"/>
                <w:bCs/>
                <w:color w:val="auto"/>
                <w:spacing w:val="10"/>
                <w:sz w:val="24"/>
                <w:szCs w:val="24"/>
                <w:highlight w:val="none"/>
                <w:lang w:val="en-US" w:eastAsia="zh-CN"/>
              </w:rPr>
              <w:t>升压站部分的总投资3631.97万元、</w:t>
            </w:r>
            <w:r>
              <w:rPr>
                <w:rFonts w:hint="default" w:ascii="Times New Roman" w:hAnsi="Times New Roman" w:cs="Times New Roman"/>
                <w:bCs/>
                <w:color w:val="auto"/>
                <w:spacing w:val="10"/>
                <w:sz w:val="24"/>
                <w:szCs w:val="24"/>
                <w:highlight w:val="none"/>
              </w:rPr>
              <w:t>环保投资</w:t>
            </w:r>
            <w:r>
              <w:rPr>
                <w:rFonts w:hint="default" w:ascii="Times New Roman" w:hAnsi="Times New Roman" w:cs="Times New Roman"/>
                <w:bCs/>
                <w:color w:val="auto"/>
                <w:spacing w:val="10"/>
                <w:sz w:val="24"/>
                <w:szCs w:val="24"/>
                <w:highlight w:val="none"/>
                <w:lang w:val="en-US" w:eastAsia="zh-CN"/>
              </w:rPr>
              <w:t>150</w:t>
            </w:r>
            <w:r>
              <w:rPr>
                <w:rFonts w:hint="default" w:ascii="Times New Roman" w:hAnsi="Times New Roman" w:cs="Times New Roman"/>
                <w:bCs/>
                <w:color w:val="auto"/>
                <w:spacing w:val="10"/>
                <w:sz w:val="24"/>
                <w:szCs w:val="24"/>
                <w:highlight w:val="none"/>
              </w:rPr>
              <w:t>万元，占</w:t>
            </w:r>
            <w:r>
              <w:rPr>
                <w:rFonts w:hint="default" w:ascii="Times New Roman" w:hAnsi="Times New Roman" w:cs="Times New Roman"/>
                <w:bCs/>
                <w:color w:val="auto"/>
                <w:spacing w:val="10"/>
                <w:sz w:val="24"/>
                <w:szCs w:val="24"/>
                <w:highlight w:val="none"/>
                <w:lang w:val="en-US" w:eastAsia="zh-CN"/>
              </w:rPr>
              <w:t>升压站</w:t>
            </w:r>
            <w:r>
              <w:rPr>
                <w:rFonts w:hint="default" w:ascii="Times New Roman" w:hAnsi="Times New Roman" w:cs="Times New Roman"/>
                <w:bCs/>
                <w:color w:val="auto"/>
                <w:spacing w:val="10"/>
                <w:sz w:val="24"/>
                <w:szCs w:val="24"/>
                <w:highlight w:val="none"/>
              </w:rPr>
              <w:t>总投资的</w:t>
            </w:r>
            <w:r>
              <w:rPr>
                <w:rFonts w:hint="default" w:ascii="Times New Roman" w:hAnsi="Times New Roman" w:cs="Times New Roman"/>
                <w:bCs/>
                <w:color w:val="auto"/>
                <w:spacing w:val="10"/>
                <w:sz w:val="24"/>
                <w:szCs w:val="24"/>
                <w:highlight w:val="none"/>
                <w:lang w:val="en-US" w:eastAsia="zh-CN"/>
              </w:rPr>
              <w:t>4.1</w:t>
            </w:r>
            <w:r>
              <w:rPr>
                <w:rFonts w:hint="default" w:ascii="Times New Roman" w:hAnsi="Times New Roman" w:cs="Times New Roman"/>
                <w:bCs/>
                <w:color w:val="auto"/>
                <w:spacing w:val="10"/>
                <w:sz w:val="24"/>
                <w:szCs w:val="24"/>
                <w:highlight w:val="none"/>
              </w:rPr>
              <w:t>%。</w:t>
            </w:r>
          </w:p>
          <w:p w14:paraId="654F2378">
            <w:pPr>
              <w:keepNext/>
              <w:keepLines/>
              <w:suppressLineNumbers w:val="0"/>
              <w:spacing w:before="0" w:beforeAutospacing="0" w:after="0" w:afterAutospacing="0" w:line="360" w:lineRule="auto"/>
              <w:ind w:left="0" w:right="0" w:firstLine="520" w:firstLineChars="200"/>
              <w:contextualSpacing/>
              <w:outlineLvl w:val="2"/>
              <w:rPr>
                <w:rFonts w:hint="default" w:ascii="Times New Roman" w:hAnsi="Times New Roman" w:cs="Times New Roman"/>
                <w:bCs/>
                <w:color w:val="auto"/>
                <w:spacing w:val="10"/>
                <w:sz w:val="24"/>
                <w:szCs w:val="24"/>
                <w:highlight w:val="none"/>
                <w:lang w:val="en-US" w:eastAsia="zh-CN"/>
              </w:rPr>
            </w:pPr>
            <w:r>
              <w:rPr>
                <w:rFonts w:hint="default" w:ascii="Times New Roman" w:hAnsi="Times New Roman" w:cs="Times New Roman"/>
                <w:bCs/>
                <w:color w:val="auto"/>
                <w:spacing w:val="10"/>
                <w:sz w:val="24"/>
                <w:szCs w:val="24"/>
                <w:highlight w:val="none"/>
                <w:lang w:val="en-US" w:eastAsia="zh-CN"/>
              </w:rPr>
              <w:t>占地面积：永久占地面积12510m</w:t>
            </w:r>
            <w:r>
              <w:rPr>
                <w:rFonts w:hint="default" w:ascii="Times New Roman" w:hAnsi="Times New Roman" w:cs="Times New Roman"/>
                <w:bCs/>
                <w:color w:val="auto"/>
                <w:spacing w:val="10"/>
                <w:sz w:val="24"/>
                <w:szCs w:val="24"/>
                <w:highlight w:val="none"/>
                <w:vertAlign w:val="superscript"/>
                <w:lang w:val="en-US" w:eastAsia="zh-CN"/>
              </w:rPr>
              <w:t>2</w:t>
            </w:r>
            <w:r>
              <w:rPr>
                <w:rFonts w:hint="default" w:ascii="Times New Roman" w:hAnsi="Times New Roman" w:cs="Times New Roman"/>
                <w:bCs/>
                <w:color w:val="auto"/>
                <w:spacing w:val="10"/>
                <w:sz w:val="24"/>
                <w:szCs w:val="24"/>
                <w:highlight w:val="none"/>
                <w:lang w:val="en-US" w:eastAsia="zh-CN"/>
              </w:rPr>
              <w:t>，包括升压站占地10597m</w:t>
            </w:r>
            <w:r>
              <w:rPr>
                <w:rFonts w:hint="default" w:ascii="Times New Roman" w:hAnsi="Times New Roman" w:cs="Times New Roman"/>
                <w:bCs/>
                <w:color w:val="auto"/>
                <w:spacing w:val="10"/>
                <w:sz w:val="24"/>
                <w:szCs w:val="24"/>
                <w:highlight w:val="none"/>
                <w:vertAlign w:val="superscript"/>
                <w:lang w:val="en-US" w:eastAsia="zh-CN"/>
              </w:rPr>
              <w:t>2</w:t>
            </w:r>
            <w:r>
              <w:rPr>
                <w:rFonts w:hint="default" w:ascii="Times New Roman" w:hAnsi="Times New Roman" w:cs="Times New Roman"/>
                <w:bCs/>
                <w:color w:val="auto"/>
                <w:spacing w:val="10"/>
                <w:sz w:val="24"/>
                <w:szCs w:val="24"/>
                <w:highlight w:val="none"/>
                <w:lang w:val="en-US" w:eastAsia="zh-CN"/>
              </w:rPr>
              <w:t>、进站道路占地1913m</w:t>
            </w:r>
            <w:r>
              <w:rPr>
                <w:rFonts w:hint="default" w:ascii="Times New Roman" w:hAnsi="Times New Roman" w:cs="Times New Roman"/>
                <w:bCs/>
                <w:color w:val="auto"/>
                <w:spacing w:val="10"/>
                <w:sz w:val="24"/>
                <w:szCs w:val="24"/>
                <w:highlight w:val="none"/>
                <w:vertAlign w:val="superscript"/>
                <w:lang w:val="en-US" w:eastAsia="zh-CN"/>
              </w:rPr>
              <w:t>2</w:t>
            </w:r>
            <w:r>
              <w:rPr>
                <w:rFonts w:hint="default" w:ascii="Times New Roman" w:hAnsi="Times New Roman" w:cs="Times New Roman"/>
                <w:bCs/>
                <w:color w:val="auto"/>
                <w:spacing w:val="10"/>
                <w:sz w:val="24"/>
                <w:szCs w:val="24"/>
                <w:highlight w:val="none"/>
                <w:lang w:val="en-US" w:eastAsia="zh-CN"/>
              </w:rPr>
              <w:t>；不单独设置临时占地，均依托风电项目，依托临时占地面积22040m</w:t>
            </w:r>
            <w:r>
              <w:rPr>
                <w:rFonts w:hint="default" w:ascii="Times New Roman" w:hAnsi="Times New Roman" w:cs="Times New Roman"/>
                <w:bCs/>
                <w:color w:val="auto"/>
                <w:spacing w:val="10"/>
                <w:sz w:val="24"/>
                <w:szCs w:val="24"/>
                <w:highlight w:val="none"/>
                <w:vertAlign w:val="superscript"/>
                <w:lang w:val="en-US" w:eastAsia="zh-CN"/>
              </w:rPr>
              <w:t>2</w:t>
            </w:r>
            <w:r>
              <w:rPr>
                <w:rFonts w:hint="default" w:ascii="Times New Roman" w:hAnsi="Times New Roman" w:cs="Times New Roman"/>
                <w:bCs/>
                <w:color w:val="auto"/>
                <w:spacing w:val="10"/>
                <w:sz w:val="24"/>
                <w:szCs w:val="24"/>
                <w:highlight w:val="none"/>
                <w:lang w:val="en-US" w:eastAsia="zh-CN"/>
              </w:rPr>
              <w:t>。</w:t>
            </w:r>
          </w:p>
          <w:p w14:paraId="4CE01D73">
            <w:pPr>
              <w:keepNext w:val="0"/>
              <w:keepLines w:val="0"/>
              <w:widowControl/>
              <w:suppressLineNumbers w:val="0"/>
              <w:spacing w:before="0" w:beforeAutospacing="0" w:after="0" w:afterAutospacing="0" w:line="360" w:lineRule="auto"/>
              <w:ind w:left="0" w:right="0" w:firstLine="482" w:firstLineChars="200"/>
              <w:contextualSpacing/>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2.1工程建设内容及规模</w:t>
            </w:r>
          </w:p>
          <w:p w14:paraId="6819BEE6">
            <w:pPr>
              <w:pStyle w:val="69"/>
              <w:keepNext w:val="0"/>
              <w:keepLines w:val="0"/>
              <w:pageBreakBefore w:val="0"/>
              <w:widowControl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snapToGrid/>
                <w:color w:val="auto"/>
                <w:kern w:val="2"/>
                <w:sz w:val="24"/>
                <w:szCs w:val="24"/>
                <w:highlight w:val="none"/>
                <w:lang w:val="en-US" w:eastAsia="zh-CN" w:bidi="ar-SA"/>
              </w:rPr>
            </w:pPr>
            <w:r>
              <w:rPr>
                <w:rFonts w:hint="default" w:ascii="Times New Roman" w:hAnsi="Times New Roman" w:cs="Times New Roman"/>
                <w:color w:val="auto"/>
                <w:sz w:val="24"/>
                <w:highlight w:val="none"/>
                <w:lang w:val="en-US" w:eastAsia="zh-CN"/>
              </w:rPr>
              <w:t>本工程为新建220kV升压站工程，南北长111.5m，东西宽95m，升压站占地面积为</w:t>
            </w:r>
            <w:r>
              <w:rPr>
                <w:rFonts w:hint="default" w:ascii="Times New Roman" w:hAnsi="Times New Roman" w:cs="Times New Roman"/>
                <w:bCs/>
                <w:color w:val="auto"/>
                <w:spacing w:val="10"/>
                <w:sz w:val="24"/>
                <w:szCs w:val="24"/>
                <w:highlight w:val="none"/>
                <w:lang w:val="en-US" w:eastAsia="zh-CN"/>
              </w:rPr>
              <w:t>10597</w:t>
            </w:r>
            <w:r>
              <w:rPr>
                <w:rFonts w:hint="default" w:ascii="Times New Roman" w:hAnsi="Times New Roman" w:eastAsia="宋体" w:cs="Times New Roman"/>
                <w:b w:val="0"/>
                <w:bCs w:val="0"/>
                <w:snapToGrid/>
                <w:color w:val="auto"/>
                <w:kern w:val="2"/>
                <w:sz w:val="24"/>
                <w:szCs w:val="24"/>
                <w:highlight w:val="none"/>
                <w:lang w:val="en-US" w:eastAsia="zh-CN" w:bidi="ar-SA"/>
              </w:rPr>
              <w:t>m</w:t>
            </w:r>
            <w:r>
              <w:rPr>
                <w:rFonts w:hint="default" w:ascii="Times New Roman" w:hAnsi="Times New Roman" w:eastAsia="宋体" w:cs="Times New Roman"/>
                <w:b w:val="0"/>
                <w:bCs w:val="0"/>
                <w:snapToGrid/>
                <w:color w:val="auto"/>
                <w:kern w:val="2"/>
                <w:sz w:val="24"/>
                <w:szCs w:val="24"/>
                <w:highlight w:val="none"/>
                <w:vertAlign w:val="superscript"/>
                <w:lang w:val="en-US" w:eastAsia="zh-CN" w:bidi="ar-SA"/>
              </w:rPr>
              <w:t>2</w:t>
            </w:r>
            <w:r>
              <w:rPr>
                <w:rFonts w:hint="default" w:ascii="Times New Roman" w:hAnsi="Times New Roman" w:cs="Times New Roman"/>
                <w:b w:val="0"/>
                <w:bCs w:val="0"/>
                <w:snapToGrid/>
                <w:color w:val="auto"/>
                <w:kern w:val="2"/>
                <w:sz w:val="24"/>
                <w:szCs w:val="24"/>
                <w:highlight w:val="none"/>
                <w:lang w:val="en-US" w:eastAsia="zh-CN" w:bidi="ar-SA"/>
              </w:rPr>
              <w:t>，</w:t>
            </w:r>
            <w:r>
              <w:rPr>
                <w:rFonts w:hint="default" w:ascii="Times New Roman" w:hAnsi="Times New Roman" w:eastAsia="宋体" w:cs="Times New Roman"/>
                <w:b w:val="0"/>
                <w:bCs w:val="0"/>
                <w:snapToGrid/>
                <w:color w:val="auto"/>
                <w:kern w:val="2"/>
                <w:sz w:val="24"/>
                <w:szCs w:val="24"/>
                <w:highlight w:val="none"/>
                <w:lang w:val="en-US" w:eastAsia="zh-CN" w:bidi="ar-SA"/>
              </w:rPr>
              <w:t>占地类型为</w:t>
            </w:r>
            <w:r>
              <w:rPr>
                <w:rFonts w:hint="default" w:ascii="Times New Roman" w:hAnsi="Times New Roman" w:cs="Times New Roman"/>
                <w:color w:val="auto"/>
                <w:kern w:val="2"/>
                <w:sz w:val="24"/>
                <w:szCs w:val="21"/>
                <w:highlight w:val="none"/>
                <w:lang w:val="en-US" w:eastAsia="zh-CN" w:bidi="ar-SA"/>
              </w:rPr>
              <w:t>其他土地（裸岩石砾地）</w:t>
            </w:r>
            <w:r>
              <w:rPr>
                <w:rFonts w:hint="default" w:ascii="Times New Roman" w:hAnsi="Times New Roman" w:eastAsia="宋体" w:cs="Times New Roman"/>
                <w:b w:val="0"/>
                <w:bCs w:val="0"/>
                <w:snapToGrid/>
                <w:color w:val="auto"/>
                <w:kern w:val="2"/>
                <w:sz w:val="24"/>
                <w:szCs w:val="24"/>
                <w:highlight w:val="none"/>
                <w:lang w:val="en-US" w:eastAsia="zh-CN" w:bidi="ar-SA"/>
              </w:rPr>
              <w:t>。</w:t>
            </w:r>
          </w:p>
          <w:p w14:paraId="32089218">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升压站的220kV电气主接线采用线变组型式设计，配制1台容量为100MVA双绕组变压器，采用户外布置，电压等级220/35kV。220kV配电装置采用SF6全封闭组合电器（GIS）设备，35kV配电装置采用SF6充气柜（短路水平按31.5kA选择），220kV出线1回，35kV出线4回，升压站35kV母线上安装1台SVG型无功动态补偿装置（容量±25Mvar）。建设工程同时包括主体工程、辅助工程、储运工程、公用工程、环保工程等，工程组成见下表。</w:t>
            </w:r>
          </w:p>
          <w:p w14:paraId="66311549">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表2-</w:t>
            </w:r>
            <w:r>
              <w:rPr>
                <w:rFonts w:hint="default" w:ascii="Times New Roman" w:hAnsi="Times New Roman" w:cs="Times New Roman"/>
                <w:b/>
                <w:bCs w:val="0"/>
                <w:color w:val="auto"/>
                <w:sz w:val="21"/>
                <w:szCs w:val="21"/>
                <w:highlight w:val="none"/>
                <w:lang w:val="en-US" w:eastAsia="zh-CN"/>
              </w:rPr>
              <w:t>2</w:t>
            </w:r>
            <w:r>
              <w:rPr>
                <w:rFonts w:hint="default" w:ascii="Times New Roman" w:hAnsi="Times New Roman" w:cs="Times New Roman"/>
                <w:b/>
                <w:bCs w:val="0"/>
                <w:color w:val="auto"/>
                <w:sz w:val="21"/>
                <w:szCs w:val="21"/>
                <w:highlight w:val="none"/>
              </w:rPr>
              <w:t xml:space="preserve"> </w:t>
            </w:r>
            <w:r>
              <w:rPr>
                <w:rFonts w:hint="default" w:ascii="Times New Roman" w:hAnsi="Times New Roman" w:cs="Times New Roman"/>
                <w:b/>
                <w:bCs w:val="0"/>
                <w:color w:val="auto"/>
                <w:sz w:val="21"/>
                <w:szCs w:val="21"/>
                <w:highlight w:val="none"/>
                <w:lang w:val="en-US" w:eastAsia="zh-CN"/>
              </w:rPr>
              <w:t xml:space="preserve"> 项目工程组成</w:t>
            </w:r>
            <w:r>
              <w:rPr>
                <w:rFonts w:hint="default" w:ascii="Times New Roman" w:hAnsi="Times New Roman" w:cs="Times New Roman"/>
                <w:b/>
                <w:bCs w:val="0"/>
                <w:color w:val="auto"/>
                <w:sz w:val="21"/>
                <w:szCs w:val="21"/>
                <w:highlight w:val="none"/>
              </w:rPr>
              <w:t>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9"/>
              <w:gridCol w:w="705"/>
              <w:gridCol w:w="1060"/>
              <w:gridCol w:w="5352"/>
              <w:gridCol w:w="710"/>
            </w:tblGrid>
            <w:tr w14:paraId="2052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noWrap w:val="0"/>
                  <w:vAlign w:val="center"/>
                </w:tcPr>
                <w:p w14:paraId="4E7901E9">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b/>
                      <w:bCs w:val="0"/>
                      <w:color w:val="auto"/>
                      <w:sz w:val="21"/>
                      <w:highlight w:val="none"/>
                    </w:rPr>
                  </w:pPr>
                  <w:r>
                    <w:rPr>
                      <w:rFonts w:hint="default" w:ascii="Times New Roman" w:hAnsi="Times New Roman" w:cs="Times New Roman"/>
                      <w:b/>
                      <w:bCs w:val="0"/>
                      <w:color w:val="auto"/>
                      <w:sz w:val="21"/>
                      <w:highlight w:val="none"/>
                    </w:rPr>
                    <w:t>工程名称</w:t>
                  </w:r>
                </w:p>
              </w:tc>
              <w:tc>
                <w:tcPr>
                  <w:tcW w:w="4222" w:type="pct"/>
                  <w:gridSpan w:val="3"/>
                  <w:noWrap w:val="0"/>
                  <w:vAlign w:val="center"/>
                </w:tcPr>
                <w:p w14:paraId="5759B92C">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val="0"/>
                      <w:color w:val="auto"/>
                      <w:sz w:val="21"/>
                      <w:highlight w:val="none"/>
                      <w:lang w:val="en-US" w:eastAsia="zh-CN"/>
                    </w:rPr>
                  </w:pPr>
                  <w:r>
                    <w:rPr>
                      <w:rFonts w:hint="default" w:ascii="Times New Roman" w:hAnsi="Times New Roman" w:eastAsia="宋体" w:cs="Times New Roman"/>
                      <w:b/>
                      <w:bCs w:val="0"/>
                      <w:color w:val="auto"/>
                      <w:sz w:val="21"/>
                      <w:highlight w:val="none"/>
                    </w:rPr>
                    <w:t>建设内容</w:t>
                  </w:r>
                  <w:r>
                    <w:rPr>
                      <w:rFonts w:hint="default" w:ascii="Times New Roman" w:hAnsi="Times New Roman" w:eastAsia="宋体" w:cs="Times New Roman"/>
                      <w:b/>
                      <w:bCs w:val="0"/>
                      <w:color w:val="auto"/>
                      <w:sz w:val="21"/>
                      <w:highlight w:val="none"/>
                      <w:lang w:val="en-US" w:eastAsia="zh-CN"/>
                    </w:rPr>
                    <w:t>及规模</w:t>
                  </w:r>
                </w:p>
              </w:tc>
              <w:tc>
                <w:tcPr>
                  <w:tcW w:w="421" w:type="pct"/>
                  <w:noWrap w:val="0"/>
                  <w:vAlign w:val="center"/>
                </w:tcPr>
                <w:p w14:paraId="7BEF97D5">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val="0"/>
                      <w:color w:val="auto"/>
                      <w:sz w:val="21"/>
                      <w:highlight w:val="none"/>
                      <w:lang w:val="en-US" w:eastAsia="zh-CN"/>
                    </w:rPr>
                  </w:pPr>
                  <w:r>
                    <w:rPr>
                      <w:rFonts w:hint="default" w:ascii="Times New Roman" w:hAnsi="Times New Roman" w:cs="Times New Roman"/>
                      <w:b/>
                      <w:bCs w:val="0"/>
                      <w:color w:val="auto"/>
                      <w:sz w:val="21"/>
                      <w:highlight w:val="none"/>
                      <w:lang w:val="en-US" w:eastAsia="zh-CN"/>
                    </w:rPr>
                    <w:t>备注</w:t>
                  </w:r>
                </w:p>
              </w:tc>
            </w:tr>
            <w:tr w14:paraId="0F63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restart"/>
                  <w:noWrap w:val="0"/>
                  <w:vAlign w:val="center"/>
                </w:tcPr>
                <w:p w14:paraId="64A64FB4">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升压站工程</w:t>
                  </w:r>
                </w:p>
              </w:tc>
              <w:tc>
                <w:tcPr>
                  <w:tcW w:w="1047" w:type="pct"/>
                  <w:gridSpan w:val="2"/>
                  <w:noWrap w:val="0"/>
                  <w:vAlign w:val="center"/>
                </w:tcPr>
                <w:p w14:paraId="0FEFA9D0">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主变规模</w:t>
                  </w:r>
                </w:p>
              </w:tc>
              <w:tc>
                <w:tcPr>
                  <w:tcW w:w="3174" w:type="pct"/>
                  <w:shd w:val="clear" w:color="auto" w:fill="auto"/>
                  <w:noWrap w:val="0"/>
                  <w:vAlign w:val="center"/>
                </w:tcPr>
                <w:p w14:paraId="7C8AC860">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1台容量为100</w:t>
                  </w:r>
                  <w:r>
                    <w:rPr>
                      <w:rFonts w:hint="default" w:ascii="Times New Roman" w:hAnsi="Times New Roman" w:eastAsia="宋体" w:cs="Times New Roman"/>
                      <w:b w:val="0"/>
                      <w:color w:val="auto"/>
                      <w:sz w:val="21"/>
                      <w:szCs w:val="21"/>
                      <w:highlight w:val="none"/>
                      <w:lang w:val="en-US" w:eastAsia="zh"/>
                    </w:rPr>
                    <w:t>MVA</w:t>
                  </w:r>
                  <w:r>
                    <w:rPr>
                      <w:rFonts w:hint="default" w:ascii="Times New Roman" w:hAnsi="Times New Roman" w:eastAsia="宋体" w:cs="Times New Roman"/>
                      <w:b w:val="0"/>
                      <w:color w:val="auto"/>
                      <w:sz w:val="21"/>
                      <w:szCs w:val="21"/>
                      <w:highlight w:val="none"/>
                      <w:lang w:val="en-US" w:eastAsia="zh-CN"/>
                    </w:rPr>
                    <w:t>双绕组变压器，</w:t>
                  </w:r>
                  <w:r>
                    <w:rPr>
                      <w:rFonts w:hint="default" w:ascii="Times New Roman" w:hAnsi="Times New Roman" w:cs="Times New Roman"/>
                      <w:b w:val="0"/>
                      <w:color w:val="auto"/>
                      <w:sz w:val="21"/>
                      <w:szCs w:val="21"/>
                      <w:highlight w:val="none"/>
                      <w:lang w:val="en-US" w:eastAsia="zh-CN"/>
                    </w:rPr>
                    <w:t>主变型号SZ18-100000/220，</w:t>
                  </w:r>
                  <w:r>
                    <w:rPr>
                      <w:rFonts w:hint="default" w:ascii="Times New Roman" w:hAnsi="Times New Roman" w:eastAsia="宋体" w:cs="Times New Roman"/>
                      <w:b w:val="0"/>
                      <w:color w:val="auto"/>
                      <w:sz w:val="21"/>
                      <w:szCs w:val="21"/>
                      <w:highlight w:val="none"/>
                      <w:lang w:val="en-US" w:eastAsia="zh-CN"/>
                    </w:rPr>
                    <w:t>电压等级230kV±8×1.25%/35kV，接线组别Yn,yn0+d11，阻抗电压14%，冷却方式采用风冷</w:t>
                  </w:r>
                  <w:r>
                    <w:rPr>
                      <w:rFonts w:hint="default" w:ascii="Times New Roman" w:hAnsi="Times New Roman" w:cs="Times New Roman"/>
                      <w:b w:val="0"/>
                      <w:color w:val="auto"/>
                      <w:sz w:val="21"/>
                      <w:szCs w:val="21"/>
                      <w:highlight w:val="none"/>
                      <w:lang w:val="en-US" w:eastAsia="zh-CN"/>
                    </w:rPr>
                    <w:t>，</w:t>
                  </w:r>
                  <w:r>
                    <w:rPr>
                      <w:rFonts w:hint="default" w:ascii="Times New Roman" w:hAnsi="Times New Roman" w:eastAsia="宋体" w:cs="Times New Roman"/>
                      <w:b w:val="0"/>
                      <w:color w:val="auto"/>
                      <w:sz w:val="21"/>
                      <w:szCs w:val="21"/>
                      <w:highlight w:val="none"/>
                      <w:lang w:val="en-US" w:eastAsia="zh-CN"/>
                    </w:rPr>
                    <w:t>户外布置；调压方式三相双绕组油浸自冷有载调压。</w:t>
                  </w:r>
                </w:p>
              </w:tc>
              <w:tc>
                <w:tcPr>
                  <w:tcW w:w="421" w:type="pct"/>
                  <w:vMerge w:val="restart"/>
                  <w:noWrap w:val="0"/>
                  <w:vAlign w:val="center"/>
                </w:tcPr>
                <w:p w14:paraId="246CA5F8">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新建</w:t>
                  </w:r>
                </w:p>
              </w:tc>
            </w:tr>
            <w:tr w14:paraId="6715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17E5CAB5">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5AF4FD68">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35kV进线</w:t>
                  </w:r>
                </w:p>
              </w:tc>
              <w:tc>
                <w:tcPr>
                  <w:tcW w:w="3174" w:type="pct"/>
                  <w:shd w:val="clear" w:color="auto" w:fill="auto"/>
                  <w:noWrap w:val="0"/>
                  <w:vAlign w:val="center"/>
                </w:tcPr>
                <w:p w14:paraId="3FD36FF8">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420" w:firstLineChars="20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4回电缆集电线路接入升压站35kV侧母线，35kV电气主接线采用单母线接线。</w:t>
                  </w:r>
                </w:p>
              </w:tc>
              <w:tc>
                <w:tcPr>
                  <w:tcW w:w="421" w:type="pct"/>
                  <w:vMerge w:val="continue"/>
                  <w:noWrap w:val="0"/>
                  <w:vAlign w:val="center"/>
                </w:tcPr>
                <w:p w14:paraId="3D77DE48">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r>
            <w:tr w14:paraId="32D20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47F0287F">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45AADF06">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220kV出线</w:t>
                  </w:r>
                </w:p>
              </w:tc>
              <w:tc>
                <w:tcPr>
                  <w:tcW w:w="3174" w:type="pct"/>
                  <w:shd w:val="clear" w:color="auto" w:fill="auto"/>
                  <w:noWrap w:val="0"/>
                  <w:vAlign w:val="center"/>
                </w:tcPr>
                <w:p w14:paraId="50A6C2FA">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firstLine="420" w:firstLineChars="20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rPr>
                    <w:t>22</w:t>
                  </w:r>
                  <w:r>
                    <w:rPr>
                      <w:rFonts w:hint="default" w:ascii="Times New Roman" w:hAnsi="Times New Roman" w:cs="Times New Roman"/>
                      <w:color w:val="000000" w:themeColor="text1"/>
                      <w:highlight w:val="none"/>
                      <w14:textFill>
                        <w14:solidFill>
                          <w14:schemeClr w14:val="tx1"/>
                        </w14:solidFill>
                      </w14:textFill>
                    </w:rPr>
                    <w:t>0kV出线1回，线路接至</w:t>
                  </w:r>
                  <w:r>
                    <w:rPr>
                      <w:rFonts w:hint="default" w:ascii="Times New Roman" w:hAnsi="Times New Roman" w:cs="Times New Roman"/>
                      <w:color w:val="000000" w:themeColor="text1"/>
                      <w:highlight w:val="none"/>
                      <w:lang w:val="en-US" w:eastAsia="zh-CN"/>
                      <w14:textFill>
                        <w14:solidFill>
                          <w14:schemeClr w14:val="tx1"/>
                        </w14:solidFill>
                      </w14:textFill>
                    </w:rPr>
                    <w:t>大唐220kV升压站220kV侧</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该段线路工</w:t>
                  </w:r>
                  <w:r>
                    <w:rPr>
                      <w:rFonts w:hint="default" w:ascii="Times New Roman" w:hAnsi="Times New Roman" w:cs="Times New Roman"/>
                      <w:color w:val="auto"/>
                      <w:highlight w:val="none"/>
                      <w:lang w:val="en-US" w:eastAsia="zh-CN"/>
                    </w:rPr>
                    <w:t>程不在本次建设内容及评价范围内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tc>
              <w:tc>
                <w:tcPr>
                  <w:tcW w:w="421" w:type="pct"/>
                  <w:vMerge w:val="continue"/>
                  <w:noWrap w:val="0"/>
                  <w:vAlign w:val="center"/>
                </w:tcPr>
                <w:p w14:paraId="42B54592">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r>
            <w:tr w14:paraId="5388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52E8A45D">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2631D73E">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220kV配电装置</w:t>
                  </w:r>
                </w:p>
              </w:tc>
              <w:tc>
                <w:tcPr>
                  <w:tcW w:w="3174" w:type="pct"/>
                  <w:shd w:val="clear" w:color="auto" w:fill="auto"/>
                  <w:noWrap w:val="0"/>
                  <w:vAlign w:val="center"/>
                </w:tcPr>
                <w:p w14:paraId="7AF83CB5">
                  <w:pPr>
                    <w:keepNext w:val="0"/>
                    <w:keepLines w:val="0"/>
                    <w:pageBreakBefore w:val="0"/>
                    <w:widowControl/>
                    <w:suppressLineNumbers w:val="0"/>
                    <w:shd w:val="clear" w:color="auto" w:fill="auto"/>
                    <w:kinsoku/>
                    <w:wordWrap/>
                    <w:overflowPunct/>
                    <w:topLinePunct w:val="0"/>
                    <w:autoSpaceDE/>
                    <w:autoSpaceDN/>
                    <w:bidi w:val="0"/>
                    <w:spacing w:before="0" w:beforeAutospacing="0" w:after="0" w:afterAutospacing="0" w:line="240" w:lineRule="auto"/>
                    <w:ind w:left="0" w:leftChars="0" w:right="0" w:rightChars="0" w:firstLine="420" w:firstLineChars="20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000000" w:themeColor="text1"/>
                      <w:kern w:val="0"/>
                      <w:szCs w:val="21"/>
                      <w:highlight w:val="none"/>
                      <w:lang w:val="en-US" w:eastAsia="zh-CN" w:bidi="ar"/>
                      <w14:textFill>
                        <w14:solidFill>
                          <w14:schemeClr w14:val="tx1"/>
                        </w14:solidFill>
                      </w14:textFill>
                    </w:rPr>
                    <w:t>采用SF6全封闭组合电器（GIS）设备，1回线变组间隔，选用252kv 3150A GIS线变阻间隔，户外布置。220kV配电装置布置在站区内北侧并向北侧出线。</w:t>
                  </w:r>
                </w:p>
              </w:tc>
              <w:tc>
                <w:tcPr>
                  <w:tcW w:w="421" w:type="pct"/>
                  <w:vMerge w:val="continue"/>
                  <w:noWrap w:val="0"/>
                  <w:vAlign w:val="center"/>
                </w:tcPr>
                <w:p w14:paraId="7B9EE3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color w:val="0000FF"/>
                      <w:sz w:val="21"/>
                      <w:szCs w:val="21"/>
                      <w:highlight w:val="none"/>
                      <w:lang w:val="en-US" w:eastAsia="zh-CN"/>
                    </w:rPr>
                  </w:pPr>
                </w:p>
              </w:tc>
            </w:tr>
            <w:tr w14:paraId="61A34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56" w:type="pct"/>
                  <w:vMerge w:val="continue"/>
                  <w:noWrap w:val="0"/>
                  <w:vAlign w:val="center"/>
                </w:tcPr>
                <w:p w14:paraId="61E2688E">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1A982EA2">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35kV配电装置</w:t>
                  </w:r>
                </w:p>
              </w:tc>
              <w:tc>
                <w:tcPr>
                  <w:tcW w:w="3174" w:type="pct"/>
                  <w:shd w:val="clear" w:color="auto" w:fill="auto"/>
                  <w:noWrap w:val="0"/>
                  <w:vAlign w:val="center"/>
                </w:tcPr>
                <w:p w14:paraId="49E3C78B">
                  <w:pPr>
                    <w:keepNext w:val="0"/>
                    <w:keepLines w:val="0"/>
                    <w:pageBreakBefore w:val="0"/>
                    <w:widowControl/>
                    <w:suppressLineNumbers w:val="0"/>
                    <w:shd w:val="clear" w:color="auto" w:fill="auto"/>
                    <w:kinsoku/>
                    <w:wordWrap/>
                    <w:overflowPunct/>
                    <w:topLinePunct w:val="0"/>
                    <w:autoSpaceDE/>
                    <w:autoSpaceDN/>
                    <w:bidi w:val="0"/>
                    <w:spacing w:before="0" w:beforeAutospacing="0" w:after="0" w:afterAutospacing="0" w:line="240" w:lineRule="auto"/>
                    <w:ind w:left="0" w:leftChars="0" w:right="0" w:rightChars="0" w:firstLine="420" w:firstLineChars="200"/>
                    <w:jc w:val="both"/>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Cs w:val="21"/>
                      <w:highlight w:val="none"/>
                      <w:lang w:val="en-US" w:eastAsia="zh-CN" w:bidi="ar"/>
                    </w:rPr>
                    <w:t>采用SF6充气柜（充气柜-40.5kV）</w:t>
                  </w:r>
                  <w:r>
                    <w:rPr>
                      <w:rFonts w:hint="default" w:ascii="Times New Roman" w:hAnsi="Times New Roman" w:cs="Times New Roman"/>
                      <w:color w:val="auto"/>
                      <w:kern w:val="0"/>
                      <w:szCs w:val="21"/>
                      <w:highlight w:val="none"/>
                      <w:lang w:bidi="ar"/>
                    </w:rPr>
                    <w:t>，</w:t>
                  </w:r>
                  <w:r>
                    <w:rPr>
                      <w:rFonts w:hint="default" w:ascii="Times New Roman" w:hAnsi="Times New Roman" w:cs="Times New Roman"/>
                      <w:color w:val="auto"/>
                      <w:kern w:val="0"/>
                      <w:szCs w:val="21"/>
                      <w:highlight w:val="none"/>
                      <w:lang w:val="en-US" w:eastAsia="zh-CN" w:bidi="ar"/>
                    </w:rPr>
                    <w:t>预制舱</w:t>
                  </w:r>
                  <w:r>
                    <w:rPr>
                      <w:rFonts w:hint="default" w:ascii="Times New Roman" w:hAnsi="Times New Roman" w:cs="Times New Roman"/>
                      <w:color w:val="auto"/>
                      <w:kern w:val="0"/>
                      <w:szCs w:val="21"/>
                      <w:highlight w:val="none"/>
                      <w:lang w:bidi="ar"/>
                    </w:rPr>
                    <w:t>内布置</w:t>
                  </w:r>
                  <w:r>
                    <w:rPr>
                      <w:rFonts w:hint="default" w:ascii="Times New Roman" w:hAnsi="Times New Roman" w:cs="Times New Roman"/>
                      <w:color w:val="auto"/>
                      <w:kern w:val="0"/>
                      <w:szCs w:val="21"/>
                      <w:highlight w:val="none"/>
                      <w:lang w:eastAsia="zh-CN" w:bidi="ar"/>
                    </w:rPr>
                    <w:t>。</w:t>
                  </w:r>
                  <w:r>
                    <w:rPr>
                      <w:rFonts w:hint="default" w:ascii="Times New Roman" w:hAnsi="Times New Roman" w:cs="Times New Roman"/>
                      <w:color w:val="auto"/>
                      <w:spacing w:val="-1"/>
                      <w:kern w:val="2"/>
                      <w:sz w:val="21"/>
                      <w:szCs w:val="21"/>
                      <w:lang w:val="en-US" w:eastAsia="zh-CN" w:bidi="ar-SA"/>
                    </w:rPr>
                    <w:t>设1座</w:t>
                  </w:r>
                  <w:r>
                    <w:rPr>
                      <w:rFonts w:hint="default" w:ascii="Times New Roman" w:hAnsi="Times New Roman" w:cs="Times New Roman"/>
                      <w:color w:val="auto"/>
                      <w:spacing w:val="-1"/>
                      <w:sz w:val="21"/>
                      <w:szCs w:val="21"/>
                      <w:highlight w:val="none"/>
                      <w:lang w:val="en-US" w:eastAsia="zh-CN"/>
                    </w:rPr>
                    <w:t>35kV变配电舱</w:t>
                  </w:r>
                  <w:r>
                    <w:rPr>
                      <w:rFonts w:hint="default" w:ascii="Times New Roman" w:hAnsi="Times New Roman" w:cs="Times New Roman"/>
                      <w:color w:val="auto"/>
                      <w:spacing w:val="-1"/>
                      <w:kern w:val="2"/>
                      <w:sz w:val="21"/>
                      <w:szCs w:val="21"/>
                      <w:lang w:val="en-US" w:eastAsia="zh-CN" w:bidi="ar-SA"/>
                    </w:rPr>
                    <w:t>，建筑面积均为35.00</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2</w:t>
                  </w:r>
                  <w:r>
                    <w:rPr>
                      <w:rFonts w:hint="default" w:ascii="Times New Roman" w:hAnsi="Times New Roman" w:eastAsia="宋体" w:cs="Times New Roman"/>
                      <w:color w:val="auto"/>
                      <w:spacing w:val="-1"/>
                      <w:sz w:val="21"/>
                      <w:szCs w:val="21"/>
                      <w:lang w:val="en-US" w:eastAsia="zh-CN"/>
                    </w:rPr>
                    <w:t>，建筑高度3.5m，建筑体积122.5m</w:t>
                  </w:r>
                  <w:r>
                    <w:rPr>
                      <w:rFonts w:hint="default" w:ascii="Times New Roman" w:hAnsi="Times New Roman" w:eastAsia="宋体" w:cs="Times New Roman"/>
                      <w:color w:val="auto"/>
                      <w:spacing w:val="-1"/>
                      <w:sz w:val="21"/>
                      <w:szCs w:val="21"/>
                      <w:vertAlign w:val="superscript"/>
                      <w:lang w:val="en-US" w:eastAsia="zh-CN"/>
                    </w:rPr>
                    <w:t>3</w:t>
                  </w:r>
                  <w:r>
                    <w:rPr>
                      <w:rFonts w:hint="default" w:ascii="Times New Roman" w:hAnsi="Times New Roman" w:eastAsia="宋体" w:cs="Times New Roman"/>
                      <w:color w:val="auto"/>
                      <w:spacing w:val="-1"/>
                      <w:sz w:val="21"/>
                      <w:szCs w:val="21"/>
                      <w:lang w:val="en-US" w:eastAsia="zh-CN"/>
                    </w:rPr>
                    <w:t>。</w:t>
                  </w:r>
                </w:p>
              </w:tc>
              <w:tc>
                <w:tcPr>
                  <w:tcW w:w="421" w:type="pct"/>
                  <w:vMerge w:val="continue"/>
                  <w:noWrap w:val="0"/>
                  <w:vAlign w:val="center"/>
                </w:tcPr>
                <w:p w14:paraId="689AF3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sz w:val="21"/>
                      <w:highlight w:val="none"/>
                      <w:lang w:val="en-US" w:eastAsia="zh-CN"/>
                    </w:rPr>
                  </w:pPr>
                </w:p>
              </w:tc>
            </w:tr>
            <w:tr w14:paraId="19C7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53206C9E">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noWrap w:val="0"/>
                  <w:vAlign w:val="center"/>
                </w:tcPr>
                <w:p w14:paraId="4C72B445">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35kV无功补偿装置</w:t>
                  </w:r>
                </w:p>
              </w:tc>
              <w:tc>
                <w:tcPr>
                  <w:tcW w:w="3174" w:type="pct"/>
                  <w:noWrap w:val="0"/>
                  <w:vAlign w:val="center"/>
                </w:tcPr>
                <w:p w14:paraId="1A1ABDAA">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暂定35kV母线上设置2组±22.5Mvar直挂水冷式SVG型无功动态补偿装置，位于站区内主变及GIS南侧。</w:t>
                  </w:r>
                </w:p>
              </w:tc>
              <w:tc>
                <w:tcPr>
                  <w:tcW w:w="421" w:type="pct"/>
                  <w:vMerge w:val="continue"/>
                  <w:noWrap w:val="0"/>
                  <w:vAlign w:val="center"/>
                </w:tcPr>
                <w:p w14:paraId="0B59778B">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r>
            <w:tr w14:paraId="1EBF1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restart"/>
                  <w:noWrap w:val="0"/>
                  <w:vAlign w:val="center"/>
                </w:tcPr>
                <w:p w14:paraId="74392E59">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FF"/>
                      <w:sz w:val="21"/>
                      <w:highlight w:val="none"/>
                      <w:lang w:val="en-US" w:eastAsia="zh-CN"/>
                    </w:rPr>
                  </w:pPr>
                  <w:r>
                    <w:rPr>
                      <w:rFonts w:hint="default" w:ascii="Times New Roman" w:hAnsi="Times New Roman" w:cs="Times New Roman"/>
                      <w:color w:val="auto"/>
                      <w:sz w:val="21"/>
                      <w:highlight w:val="none"/>
                      <w:lang w:val="en-US" w:eastAsia="zh-CN"/>
                    </w:rPr>
                    <w:t>辅助工程</w:t>
                  </w:r>
                </w:p>
              </w:tc>
              <w:tc>
                <w:tcPr>
                  <w:tcW w:w="1047" w:type="pct"/>
                  <w:gridSpan w:val="2"/>
                  <w:shd w:val="clear" w:color="auto" w:fill="auto"/>
                  <w:noWrap w:val="0"/>
                  <w:vAlign w:val="center"/>
                </w:tcPr>
                <w:p w14:paraId="5B75B8ED">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进站道路</w:t>
                  </w:r>
                </w:p>
              </w:tc>
              <w:tc>
                <w:tcPr>
                  <w:tcW w:w="3174" w:type="pct"/>
                  <w:shd w:val="clear" w:color="auto" w:fill="auto"/>
                  <w:noWrap w:val="0"/>
                  <w:vAlign w:val="center"/>
                </w:tcPr>
                <w:p w14:paraId="3A771DC3">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08" w:firstLineChars="200"/>
                    <w:jc w:val="both"/>
                    <w:textAlignment w:val="baseline"/>
                    <w:rPr>
                      <w:rFonts w:hint="default" w:ascii="Times New Roman" w:hAnsi="Times New Roman" w:eastAsia="宋体" w:cs="Times New Roman"/>
                      <w:color w:val="auto"/>
                      <w:spacing w:val="-3"/>
                      <w:kern w:val="2"/>
                      <w:sz w:val="21"/>
                      <w:szCs w:val="21"/>
                      <w:lang w:val="en-US" w:eastAsia="zh-CN" w:bidi="ar-SA"/>
                    </w:rPr>
                  </w:pPr>
                  <w:r>
                    <w:rPr>
                      <w:rFonts w:hint="default" w:ascii="Times New Roman" w:hAnsi="Times New Roman" w:cs="Times New Roman"/>
                      <w:color w:val="auto"/>
                      <w:spacing w:val="-3"/>
                      <w:sz w:val="21"/>
                      <w:szCs w:val="21"/>
                      <w:lang w:val="en-US" w:eastAsia="zh-CN"/>
                    </w:rPr>
                    <w:t>本项目占地面积</w:t>
                  </w:r>
                  <w:r>
                    <w:rPr>
                      <w:rFonts w:hint="default" w:ascii="Times New Roman" w:hAnsi="Times New Roman" w:cs="Times New Roman"/>
                      <w:color w:val="000000" w:themeColor="text1"/>
                      <w:spacing w:val="-16"/>
                      <w:kern w:val="2"/>
                      <w:sz w:val="21"/>
                      <w:szCs w:val="21"/>
                      <w:highlight w:val="none"/>
                      <w:lang w:val="en-US" w:eastAsia="zh-CN" w:bidi="ar-SA"/>
                      <w14:textFill>
                        <w14:solidFill>
                          <w14:schemeClr w14:val="tx1"/>
                        </w14:solidFill>
                      </w14:textFill>
                    </w:rPr>
                    <w:t>1913</w:t>
                  </w:r>
                  <w:r>
                    <w:rPr>
                      <w:rFonts w:hint="default" w:ascii="Times New Roman" w:hAnsi="Times New Roman" w:cs="Times New Roman"/>
                      <w:color w:val="auto"/>
                      <w:spacing w:val="-3"/>
                      <w:sz w:val="21"/>
                      <w:szCs w:val="21"/>
                      <w:lang w:val="en-US" w:eastAsia="zh-CN"/>
                    </w:rPr>
                    <w:t>m</w:t>
                  </w:r>
                  <w:r>
                    <w:rPr>
                      <w:rFonts w:hint="default" w:ascii="Times New Roman" w:hAnsi="Times New Roman" w:cs="Times New Roman"/>
                      <w:color w:val="auto"/>
                      <w:spacing w:val="-3"/>
                      <w:sz w:val="21"/>
                      <w:szCs w:val="21"/>
                      <w:vertAlign w:val="superscript"/>
                      <w:lang w:val="en-US" w:eastAsia="zh-CN"/>
                    </w:rPr>
                    <w:t>2</w:t>
                  </w:r>
                  <w:r>
                    <w:rPr>
                      <w:rFonts w:hint="default" w:ascii="Times New Roman" w:hAnsi="Times New Roman" w:cs="Times New Roman"/>
                      <w:color w:val="auto"/>
                      <w:spacing w:val="-3"/>
                      <w:sz w:val="21"/>
                      <w:szCs w:val="21"/>
                      <w:vertAlign w:val="baseline"/>
                      <w:lang w:val="en-US" w:eastAsia="zh-CN"/>
                    </w:rPr>
                    <w:t>，</w:t>
                  </w:r>
                  <w:r>
                    <w:rPr>
                      <w:rFonts w:hint="default" w:ascii="Times New Roman" w:hAnsi="Times New Roman" w:cs="Times New Roman"/>
                      <w:color w:val="auto"/>
                      <w:spacing w:val="-3"/>
                      <w:sz w:val="21"/>
                      <w:szCs w:val="21"/>
                      <w:lang w:val="en-US" w:eastAsia="zh-CN"/>
                    </w:rPr>
                    <w:t>新建进站道路长0.31km，道路路基宽度5.5m，路面宽度4.5m，路面结构采用20cm厚C30水泥砼面层+20cm级配碎石基层。利用站区北侧已建县道X018，进站道路由此路引接。</w:t>
                  </w:r>
                </w:p>
              </w:tc>
              <w:tc>
                <w:tcPr>
                  <w:tcW w:w="421" w:type="pct"/>
                  <w:vMerge w:val="restart"/>
                  <w:noWrap w:val="0"/>
                  <w:vAlign w:val="center"/>
                </w:tcPr>
                <w:p w14:paraId="560724B8">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新建</w:t>
                  </w:r>
                </w:p>
              </w:tc>
            </w:tr>
            <w:tr w14:paraId="00E5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39393B3F">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4D2E988C">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升压站围墙</w:t>
                  </w:r>
                </w:p>
              </w:tc>
              <w:tc>
                <w:tcPr>
                  <w:tcW w:w="3174" w:type="pct"/>
                  <w:shd w:val="clear" w:color="auto" w:fill="auto"/>
                  <w:noWrap w:val="0"/>
                  <w:vAlign w:val="center"/>
                </w:tcPr>
                <w:p w14:paraId="0A4F7665">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08" w:firstLineChars="200"/>
                    <w:jc w:val="both"/>
                    <w:textAlignment w:val="baseline"/>
                    <w:rPr>
                      <w:rFonts w:hint="default" w:ascii="Times New Roman" w:hAnsi="Times New Roman" w:cs="Times New Roman"/>
                      <w:color w:val="auto"/>
                      <w:spacing w:val="-3"/>
                      <w:sz w:val="21"/>
                      <w:szCs w:val="21"/>
                      <w:lang w:val="en-US" w:eastAsia="zh-CN"/>
                    </w:rPr>
                  </w:pPr>
                  <w:r>
                    <w:rPr>
                      <w:rFonts w:hint="default" w:ascii="Times New Roman" w:hAnsi="Times New Roman" w:cs="Times New Roman"/>
                      <w:color w:val="auto"/>
                      <w:spacing w:val="-3"/>
                      <w:sz w:val="21"/>
                      <w:szCs w:val="21"/>
                      <w:lang w:val="en-US" w:eastAsia="zh-CN"/>
                    </w:rPr>
                    <w:t>升压站站外围墙采用壁柱+实心砖砌体结构，围墙厚度200mm，高度2.3m，北侧生产区和南侧办公生活区之间设置隔离围栏。</w:t>
                  </w:r>
                </w:p>
              </w:tc>
              <w:tc>
                <w:tcPr>
                  <w:tcW w:w="421" w:type="pct"/>
                  <w:vMerge w:val="continue"/>
                  <w:noWrap w:val="0"/>
                  <w:vAlign w:val="center"/>
                </w:tcPr>
                <w:p w14:paraId="28D42F12">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r>
            <w:tr w14:paraId="6A8E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56" w:type="pct"/>
                  <w:vMerge w:val="continue"/>
                  <w:noWrap w:val="0"/>
                  <w:vAlign w:val="center"/>
                </w:tcPr>
                <w:p w14:paraId="6B06A543">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16DD7116">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综合楼</w:t>
                  </w:r>
                </w:p>
              </w:tc>
              <w:tc>
                <w:tcPr>
                  <w:tcW w:w="3174" w:type="pct"/>
                  <w:shd w:val="clear" w:color="auto" w:fill="auto"/>
                  <w:noWrap w:val="0"/>
                  <w:vAlign w:val="center"/>
                </w:tcPr>
                <w:p w14:paraId="65649186">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kern w:val="2"/>
                      <w:sz w:val="21"/>
                      <w:szCs w:val="21"/>
                      <w:lang w:val="en-US" w:eastAsia="zh-CN" w:bidi="ar-SA"/>
                    </w:rPr>
                  </w:pPr>
                  <w:r>
                    <w:rPr>
                      <w:rFonts w:hint="default" w:ascii="Times New Roman" w:hAnsi="Times New Roman" w:cs="Times New Roman"/>
                      <w:color w:val="auto"/>
                      <w:spacing w:val="-1"/>
                      <w:sz w:val="21"/>
                      <w:szCs w:val="21"/>
                      <w:lang w:val="en-US" w:eastAsia="zh-CN"/>
                    </w:rPr>
                    <w:t>预制舱结构</w:t>
                  </w:r>
                  <w:r>
                    <w:rPr>
                      <w:rFonts w:hint="default" w:ascii="Times New Roman" w:hAnsi="Times New Roman" w:eastAsia="宋体" w:cs="Times New Roman"/>
                      <w:color w:val="auto"/>
                      <w:spacing w:val="-1"/>
                      <w:sz w:val="21"/>
                      <w:szCs w:val="21"/>
                      <w:lang w:val="en-US" w:eastAsia="zh-CN"/>
                    </w:rPr>
                    <w:t>，建筑面积66.34m</w:t>
                  </w:r>
                  <w:r>
                    <w:rPr>
                      <w:rFonts w:hint="default" w:ascii="Times New Roman" w:hAnsi="Times New Roman" w:eastAsia="宋体" w:cs="Times New Roman"/>
                      <w:color w:val="auto"/>
                      <w:spacing w:val="-1"/>
                      <w:sz w:val="21"/>
                      <w:szCs w:val="21"/>
                      <w:vertAlign w:val="superscript"/>
                      <w:lang w:val="en-US" w:eastAsia="zh-CN"/>
                    </w:rPr>
                    <w:t>2</w:t>
                  </w:r>
                  <w:r>
                    <w:rPr>
                      <w:rFonts w:hint="default" w:ascii="Times New Roman" w:hAnsi="Times New Roman" w:eastAsia="宋体" w:cs="Times New Roman"/>
                      <w:color w:val="auto"/>
                      <w:spacing w:val="-1"/>
                      <w:sz w:val="21"/>
                      <w:szCs w:val="21"/>
                      <w:lang w:val="en-US" w:eastAsia="zh-CN"/>
                    </w:rPr>
                    <w:t>，建筑高度</w:t>
                  </w:r>
                  <w:r>
                    <w:rPr>
                      <w:rFonts w:hint="default" w:ascii="Times New Roman" w:hAnsi="Times New Roman" w:cs="Times New Roman"/>
                      <w:color w:val="auto"/>
                      <w:spacing w:val="-1"/>
                      <w:sz w:val="21"/>
                      <w:szCs w:val="21"/>
                      <w:lang w:val="en-US" w:eastAsia="zh-CN"/>
                    </w:rPr>
                    <w:t>3.5</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cs="Times New Roman"/>
                      <w:color w:val="auto"/>
                      <w:spacing w:val="-1"/>
                      <w:sz w:val="21"/>
                      <w:szCs w:val="21"/>
                      <w:lang w:val="en-US" w:eastAsia="zh-CN"/>
                    </w:rPr>
                    <w:t>，</w:t>
                  </w:r>
                  <w:r>
                    <w:rPr>
                      <w:rFonts w:hint="default" w:ascii="Times New Roman" w:hAnsi="Times New Roman" w:eastAsia="宋体" w:cs="Times New Roman"/>
                      <w:color w:val="auto"/>
                      <w:spacing w:val="-1"/>
                      <w:sz w:val="21"/>
                      <w:szCs w:val="21"/>
                      <w:lang w:val="en-US" w:eastAsia="zh-CN"/>
                    </w:rPr>
                    <w:t>建筑体积</w:t>
                  </w:r>
                  <w:r>
                    <w:rPr>
                      <w:rFonts w:hint="default" w:ascii="Times New Roman" w:hAnsi="Times New Roman" w:cs="Times New Roman"/>
                      <w:color w:val="auto"/>
                      <w:spacing w:val="-1"/>
                      <w:sz w:val="21"/>
                      <w:szCs w:val="21"/>
                      <w:lang w:val="en-US" w:eastAsia="zh-CN"/>
                    </w:rPr>
                    <w:t>232.19</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3</w:t>
                  </w:r>
                  <w:r>
                    <w:rPr>
                      <w:rFonts w:hint="default" w:ascii="Times New Roman" w:hAnsi="Times New Roman" w:eastAsia="宋体" w:cs="Times New Roman"/>
                      <w:color w:val="auto"/>
                      <w:spacing w:val="-1"/>
                      <w:sz w:val="21"/>
                      <w:szCs w:val="21"/>
                      <w:lang w:val="en-US" w:eastAsia="zh-CN"/>
                    </w:rPr>
                    <w:t>，</w:t>
                  </w:r>
                  <w:r>
                    <w:rPr>
                      <w:rFonts w:hint="default" w:ascii="Times New Roman" w:hAnsi="Times New Roman" w:cs="Times New Roman"/>
                      <w:color w:val="auto"/>
                      <w:spacing w:val="-1"/>
                      <w:sz w:val="21"/>
                      <w:szCs w:val="21"/>
                      <w:lang w:val="en-US" w:eastAsia="zh-CN"/>
                    </w:rPr>
                    <w:t>用于日常生活办公</w:t>
                  </w:r>
                  <w:r>
                    <w:rPr>
                      <w:rFonts w:hint="default" w:ascii="Times New Roman" w:hAnsi="Times New Roman" w:eastAsia="宋体" w:cs="Times New Roman"/>
                      <w:color w:val="auto"/>
                      <w:spacing w:val="-1"/>
                      <w:sz w:val="21"/>
                      <w:szCs w:val="21"/>
                      <w:lang w:val="en-US" w:eastAsia="zh-CN"/>
                    </w:rPr>
                    <w:t>。</w:t>
                  </w:r>
                </w:p>
              </w:tc>
              <w:tc>
                <w:tcPr>
                  <w:tcW w:w="421" w:type="pct"/>
                  <w:vMerge w:val="continue"/>
                  <w:noWrap w:val="0"/>
                  <w:vAlign w:val="center"/>
                </w:tcPr>
                <w:p w14:paraId="43F8628C">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r>
            <w:tr w14:paraId="7DE7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56" w:type="pct"/>
                  <w:vMerge w:val="continue"/>
                  <w:noWrap w:val="0"/>
                  <w:vAlign w:val="center"/>
                </w:tcPr>
                <w:p w14:paraId="52032742">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6B2001CD">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auto"/>
                      <w:spacing w:val="-1"/>
                      <w:kern w:val="2"/>
                      <w:sz w:val="21"/>
                      <w:szCs w:val="21"/>
                      <w:highlight w:val="none"/>
                      <w:lang w:val="en-US" w:eastAsia="zh-CN" w:bidi="ar-SA"/>
                    </w:rPr>
                  </w:pPr>
                  <w:r>
                    <w:rPr>
                      <w:rFonts w:hint="default" w:ascii="Times New Roman" w:hAnsi="Times New Roman" w:cs="Times New Roman"/>
                      <w:color w:val="auto"/>
                      <w:spacing w:val="-1"/>
                      <w:sz w:val="21"/>
                      <w:szCs w:val="21"/>
                      <w:highlight w:val="none"/>
                      <w:lang w:val="en-US" w:eastAsia="zh-CN"/>
                    </w:rPr>
                    <w:t>检修工具舱</w:t>
                  </w:r>
                </w:p>
              </w:tc>
              <w:tc>
                <w:tcPr>
                  <w:tcW w:w="3174" w:type="pct"/>
                  <w:shd w:val="clear" w:color="auto" w:fill="auto"/>
                  <w:noWrap w:val="0"/>
                  <w:vAlign w:val="center"/>
                </w:tcPr>
                <w:p w14:paraId="661F28AC">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kern w:val="2"/>
                      <w:sz w:val="21"/>
                      <w:szCs w:val="21"/>
                      <w:lang w:val="en-US" w:eastAsia="zh-CN" w:bidi="ar-SA"/>
                    </w:rPr>
                  </w:pPr>
                  <w:r>
                    <w:rPr>
                      <w:rFonts w:hint="default" w:ascii="Times New Roman" w:hAnsi="Times New Roman" w:cs="Times New Roman"/>
                      <w:color w:val="auto"/>
                      <w:spacing w:val="-1"/>
                      <w:kern w:val="2"/>
                      <w:sz w:val="21"/>
                      <w:szCs w:val="21"/>
                      <w:lang w:val="en-US" w:eastAsia="zh-CN" w:bidi="ar-SA"/>
                    </w:rPr>
                    <w:t>设1座检修工具舱，建筑面积30.60</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2</w:t>
                  </w:r>
                  <w:r>
                    <w:rPr>
                      <w:rFonts w:hint="default" w:ascii="Times New Roman" w:hAnsi="Times New Roman" w:eastAsia="宋体" w:cs="Times New Roman"/>
                      <w:color w:val="auto"/>
                      <w:spacing w:val="-1"/>
                      <w:sz w:val="21"/>
                      <w:szCs w:val="21"/>
                      <w:lang w:val="en-US" w:eastAsia="zh-CN"/>
                    </w:rPr>
                    <w:t>，建筑高度3.5m，建筑体积107.1m</w:t>
                  </w:r>
                  <w:r>
                    <w:rPr>
                      <w:rFonts w:hint="default" w:ascii="Times New Roman" w:hAnsi="Times New Roman" w:eastAsia="宋体" w:cs="Times New Roman"/>
                      <w:color w:val="auto"/>
                      <w:spacing w:val="-1"/>
                      <w:sz w:val="21"/>
                      <w:szCs w:val="21"/>
                      <w:vertAlign w:val="superscript"/>
                      <w:lang w:val="en-US" w:eastAsia="zh-CN"/>
                    </w:rPr>
                    <w:t>3</w:t>
                  </w:r>
                  <w:r>
                    <w:rPr>
                      <w:rFonts w:hint="default" w:ascii="Times New Roman" w:hAnsi="Times New Roman" w:cs="Times New Roman"/>
                      <w:color w:val="auto"/>
                      <w:spacing w:val="-1"/>
                      <w:sz w:val="21"/>
                      <w:szCs w:val="21"/>
                      <w:lang w:val="en-US" w:eastAsia="zh-CN"/>
                    </w:rPr>
                    <w:t>，用于存放运维检修工具、备品备件等。</w:t>
                  </w:r>
                </w:p>
              </w:tc>
              <w:tc>
                <w:tcPr>
                  <w:tcW w:w="421" w:type="pct"/>
                  <w:vMerge w:val="continue"/>
                  <w:noWrap w:val="0"/>
                  <w:vAlign w:val="center"/>
                </w:tcPr>
                <w:p w14:paraId="351CAD96">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r>
            <w:tr w14:paraId="5070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765D0934">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56DA474B">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cs="Times New Roman"/>
                      <w:color w:val="auto"/>
                      <w:spacing w:val="-1"/>
                      <w:sz w:val="21"/>
                      <w:szCs w:val="21"/>
                      <w:highlight w:val="none"/>
                      <w:lang w:val="en-US" w:eastAsia="zh-CN"/>
                    </w:rPr>
                  </w:pPr>
                  <w:r>
                    <w:rPr>
                      <w:rFonts w:hint="default" w:ascii="Times New Roman" w:hAnsi="Times New Roman" w:cs="Times New Roman"/>
                      <w:color w:val="auto"/>
                      <w:spacing w:val="-1"/>
                      <w:sz w:val="21"/>
                      <w:szCs w:val="21"/>
                      <w:highlight w:val="none"/>
                      <w:lang w:val="en-US" w:eastAsia="zh-CN"/>
                    </w:rPr>
                    <w:t>10kV施工</w:t>
                  </w:r>
                </w:p>
                <w:p w14:paraId="03673182">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auto"/>
                      <w:spacing w:val="-1"/>
                      <w:kern w:val="2"/>
                      <w:sz w:val="21"/>
                      <w:szCs w:val="21"/>
                      <w:highlight w:val="none"/>
                      <w:lang w:val="en-US" w:eastAsia="zh-CN" w:bidi="ar-SA"/>
                    </w:rPr>
                  </w:pPr>
                  <w:r>
                    <w:rPr>
                      <w:rFonts w:hint="default" w:ascii="Times New Roman" w:hAnsi="Times New Roman" w:cs="Times New Roman"/>
                      <w:color w:val="auto"/>
                      <w:spacing w:val="-1"/>
                      <w:sz w:val="21"/>
                      <w:szCs w:val="21"/>
                      <w:highlight w:val="none"/>
                      <w:lang w:val="en-US" w:eastAsia="zh-CN"/>
                    </w:rPr>
                    <w:t>备用变</w:t>
                  </w:r>
                </w:p>
              </w:tc>
              <w:tc>
                <w:tcPr>
                  <w:tcW w:w="3174" w:type="pct"/>
                  <w:shd w:val="clear" w:color="auto" w:fill="auto"/>
                  <w:noWrap w:val="0"/>
                  <w:vAlign w:val="center"/>
                </w:tcPr>
                <w:p w14:paraId="6A6D0471">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kern w:val="2"/>
                      <w:sz w:val="21"/>
                      <w:szCs w:val="21"/>
                      <w:lang w:val="en-US" w:eastAsia="zh-CN" w:bidi="ar-SA"/>
                    </w:rPr>
                  </w:pPr>
                  <w:r>
                    <w:rPr>
                      <w:rFonts w:hint="default" w:ascii="Times New Roman" w:hAnsi="Times New Roman" w:cs="Times New Roman"/>
                      <w:color w:val="auto"/>
                      <w:spacing w:val="-1"/>
                      <w:kern w:val="2"/>
                      <w:sz w:val="21"/>
                      <w:szCs w:val="21"/>
                      <w:lang w:val="en-US" w:eastAsia="zh-CN" w:bidi="ar-SA"/>
                    </w:rPr>
                    <w:t>设1座10kV施工备用变，建筑面积14.24</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2</w:t>
                  </w:r>
                  <w:r>
                    <w:rPr>
                      <w:rFonts w:hint="default" w:ascii="Times New Roman" w:hAnsi="Times New Roman" w:eastAsia="宋体" w:cs="Times New Roman"/>
                      <w:color w:val="auto"/>
                      <w:spacing w:val="-1"/>
                      <w:sz w:val="21"/>
                      <w:szCs w:val="21"/>
                      <w:lang w:val="en-US" w:eastAsia="zh-CN"/>
                    </w:rPr>
                    <w:t>，建筑高度</w:t>
                  </w:r>
                  <w:r>
                    <w:rPr>
                      <w:rFonts w:hint="default" w:ascii="Times New Roman" w:hAnsi="Times New Roman" w:cs="Times New Roman"/>
                      <w:color w:val="auto"/>
                      <w:spacing w:val="-1"/>
                      <w:sz w:val="21"/>
                      <w:szCs w:val="21"/>
                      <w:lang w:val="en-US" w:eastAsia="zh-CN"/>
                    </w:rPr>
                    <w:t>3.5</w:t>
                  </w:r>
                  <w:r>
                    <w:rPr>
                      <w:rFonts w:hint="default" w:ascii="Times New Roman" w:hAnsi="Times New Roman" w:eastAsia="宋体" w:cs="Times New Roman"/>
                      <w:color w:val="auto"/>
                      <w:spacing w:val="-1"/>
                      <w:sz w:val="21"/>
                      <w:szCs w:val="21"/>
                      <w:lang w:val="en-US" w:eastAsia="zh-CN"/>
                    </w:rPr>
                    <w:t>m，建筑体积</w:t>
                  </w:r>
                  <w:r>
                    <w:rPr>
                      <w:rFonts w:hint="default" w:ascii="Times New Roman" w:hAnsi="Times New Roman" w:cs="Times New Roman"/>
                      <w:color w:val="auto"/>
                      <w:spacing w:val="-1"/>
                      <w:sz w:val="21"/>
                      <w:szCs w:val="21"/>
                      <w:lang w:val="en-US" w:eastAsia="zh-CN"/>
                    </w:rPr>
                    <w:t>49.84</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3</w:t>
                  </w:r>
                  <w:r>
                    <w:rPr>
                      <w:rFonts w:hint="default" w:ascii="Times New Roman" w:hAnsi="Times New Roman" w:eastAsia="宋体" w:cs="Times New Roman"/>
                      <w:color w:val="auto"/>
                      <w:spacing w:val="-1"/>
                      <w:sz w:val="21"/>
                      <w:szCs w:val="21"/>
                      <w:lang w:val="en-US" w:eastAsia="zh-CN"/>
                    </w:rPr>
                    <w:t>，用于提供临时电源。</w:t>
                  </w:r>
                </w:p>
              </w:tc>
              <w:tc>
                <w:tcPr>
                  <w:tcW w:w="421" w:type="pct"/>
                  <w:vMerge w:val="continue"/>
                  <w:shd w:val="clear" w:color="auto" w:fill="auto"/>
                  <w:noWrap w:val="0"/>
                  <w:vAlign w:val="center"/>
                </w:tcPr>
                <w:p w14:paraId="1A7E37C0">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r>
            <w:tr w14:paraId="4C5C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4D6E82E5">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25635821">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auto"/>
                      <w:spacing w:val="-1"/>
                      <w:kern w:val="2"/>
                      <w:sz w:val="21"/>
                      <w:szCs w:val="21"/>
                      <w:highlight w:val="none"/>
                      <w:lang w:val="en-US" w:eastAsia="zh-CN" w:bidi="ar-SA"/>
                    </w:rPr>
                  </w:pPr>
                  <w:r>
                    <w:rPr>
                      <w:rFonts w:hint="default" w:ascii="Times New Roman" w:hAnsi="Times New Roman" w:cs="Times New Roman"/>
                      <w:color w:val="auto"/>
                      <w:spacing w:val="-1"/>
                      <w:sz w:val="21"/>
                      <w:szCs w:val="21"/>
                      <w:highlight w:val="none"/>
                      <w:lang w:val="en-US" w:eastAsia="zh-CN"/>
                    </w:rPr>
                    <w:t>监控舱</w:t>
                  </w:r>
                </w:p>
              </w:tc>
              <w:tc>
                <w:tcPr>
                  <w:tcW w:w="3174" w:type="pct"/>
                  <w:shd w:val="clear" w:color="auto" w:fill="auto"/>
                  <w:noWrap w:val="0"/>
                  <w:vAlign w:val="center"/>
                </w:tcPr>
                <w:p w14:paraId="6EAA4537">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kern w:val="2"/>
                      <w:sz w:val="21"/>
                      <w:szCs w:val="21"/>
                      <w:vertAlign w:val="baseline"/>
                      <w:lang w:val="en-US" w:eastAsia="zh-CN" w:bidi="ar-SA"/>
                    </w:rPr>
                  </w:pPr>
                  <w:r>
                    <w:rPr>
                      <w:rFonts w:hint="default" w:ascii="Times New Roman" w:hAnsi="Times New Roman" w:cs="Times New Roman"/>
                      <w:color w:val="auto"/>
                      <w:spacing w:val="-1"/>
                      <w:kern w:val="2"/>
                      <w:sz w:val="21"/>
                      <w:szCs w:val="21"/>
                      <w:vertAlign w:val="baseline"/>
                      <w:lang w:val="en-US" w:eastAsia="zh-CN" w:bidi="ar-SA"/>
                    </w:rPr>
                    <w:t>设1座监控舱，建筑面积42.13</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2</w:t>
                  </w:r>
                  <w:r>
                    <w:rPr>
                      <w:rFonts w:hint="default" w:ascii="Times New Roman" w:hAnsi="Times New Roman" w:eastAsia="宋体" w:cs="Times New Roman"/>
                      <w:color w:val="auto"/>
                      <w:spacing w:val="-1"/>
                      <w:sz w:val="21"/>
                      <w:szCs w:val="21"/>
                      <w:lang w:val="en-US" w:eastAsia="zh-CN"/>
                    </w:rPr>
                    <w:t>，建筑高度</w:t>
                  </w:r>
                  <w:r>
                    <w:rPr>
                      <w:rFonts w:hint="default" w:ascii="Times New Roman" w:hAnsi="Times New Roman" w:cs="Times New Roman"/>
                      <w:color w:val="auto"/>
                      <w:spacing w:val="-1"/>
                      <w:sz w:val="21"/>
                      <w:szCs w:val="21"/>
                      <w:lang w:val="en-US" w:eastAsia="zh-CN"/>
                    </w:rPr>
                    <w:t>3.5</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cs="Times New Roman"/>
                      <w:color w:val="auto"/>
                      <w:spacing w:val="-1"/>
                      <w:sz w:val="21"/>
                      <w:szCs w:val="21"/>
                      <w:lang w:val="en-US" w:eastAsia="zh-CN"/>
                    </w:rPr>
                    <w:t>，</w:t>
                  </w:r>
                  <w:r>
                    <w:rPr>
                      <w:rFonts w:hint="default" w:ascii="Times New Roman" w:hAnsi="Times New Roman" w:eastAsia="宋体" w:cs="Times New Roman"/>
                      <w:color w:val="auto"/>
                      <w:spacing w:val="-1"/>
                      <w:sz w:val="21"/>
                      <w:szCs w:val="21"/>
                      <w:lang w:val="en-US" w:eastAsia="zh-CN"/>
                    </w:rPr>
                    <w:t>建筑体积</w:t>
                  </w:r>
                  <w:r>
                    <w:rPr>
                      <w:rFonts w:hint="default" w:ascii="Times New Roman" w:hAnsi="Times New Roman" w:cs="Times New Roman"/>
                      <w:color w:val="auto"/>
                      <w:spacing w:val="-1"/>
                      <w:sz w:val="21"/>
                      <w:szCs w:val="21"/>
                      <w:lang w:val="en-US" w:eastAsia="zh-CN"/>
                    </w:rPr>
                    <w:t>147.5</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3</w:t>
                  </w:r>
                  <w:r>
                    <w:rPr>
                      <w:rFonts w:hint="default" w:ascii="Times New Roman" w:hAnsi="Times New Roman" w:eastAsia="宋体" w:cs="Times New Roman"/>
                      <w:color w:val="auto"/>
                      <w:spacing w:val="-1"/>
                      <w:sz w:val="21"/>
                      <w:szCs w:val="21"/>
                      <w:lang w:val="en-US" w:eastAsia="zh-CN"/>
                    </w:rPr>
                    <w:t>，</w:t>
                  </w:r>
                  <w:r>
                    <w:rPr>
                      <w:rFonts w:hint="default" w:ascii="Times New Roman" w:hAnsi="Times New Roman" w:cs="Times New Roman"/>
                      <w:color w:val="auto"/>
                      <w:spacing w:val="-1"/>
                      <w:sz w:val="21"/>
                      <w:szCs w:val="21"/>
                      <w:lang w:val="en-US" w:eastAsia="zh-CN"/>
                    </w:rPr>
                    <w:t>用于日常站内监控、智能化运维。</w:t>
                  </w:r>
                </w:p>
              </w:tc>
              <w:tc>
                <w:tcPr>
                  <w:tcW w:w="421" w:type="pct"/>
                  <w:vMerge w:val="continue"/>
                  <w:shd w:val="clear" w:color="auto" w:fill="auto"/>
                  <w:noWrap w:val="0"/>
                  <w:vAlign w:val="center"/>
                </w:tcPr>
                <w:p w14:paraId="4B8D2C70">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r>
            <w:tr w14:paraId="1874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59208B1E">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1A4566DB">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auto"/>
                      <w:spacing w:val="-1"/>
                      <w:kern w:val="2"/>
                      <w:sz w:val="21"/>
                      <w:szCs w:val="21"/>
                      <w:highlight w:val="none"/>
                      <w:lang w:val="en-US" w:eastAsia="zh-CN" w:bidi="ar-SA"/>
                    </w:rPr>
                  </w:pPr>
                  <w:r>
                    <w:rPr>
                      <w:rFonts w:hint="default" w:ascii="Times New Roman" w:hAnsi="Times New Roman" w:cs="Times New Roman"/>
                      <w:color w:val="auto"/>
                      <w:spacing w:val="-1"/>
                      <w:sz w:val="21"/>
                      <w:szCs w:val="21"/>
                      <w:highlight w:val="none"/>
                      <w:lang w:val="en-US" w:eastAsia="zh-CN"/>
                    </w:rPr>
                    <w:t>二次设备舱</w:t>
                  </w:r>
                </w:p>
              </w:tc>
              <w:tc>
                <w:tcPr>
                  <w:tcW w:w="3174" w:type="pct"/>
                  <w:shd w:val="clear" w:color="auto" w:fill="auto"/>
                  <w:noWrap w:val="0"/>
                  <w:vAlign w:val="center"/>
                </w:tcPr>
                <w:p w14:paraId="643BE5F7">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kern w:val="2"/>
                      <w:sz w:val="21"/>
                      <w:szCs w:val="21"/>
                      <w:lang w:val="en-US" w:eastAsia="zh-CN" w:bidi="ar-SA"/>
                    </w:rPr>
                  </w:pPr>
                  <w:r>
                    <w:rPr>
                      <w:rFonts w:hint="default" w:ascii="Times New Roman" w:hAnsi="Times New Roman" w:cs="Times New Roman"/>
                      <w:color w:val="auto"/>
                      <w:spacing w:val="-1"/>
                      <w:kern w:val="2"/>
                      <w:sz w:val="21"/>
                      <w:szCs w:val="21"/>
                      <w:lang w:val="en-US" w:eastAsia="zh-CN" w:bidi="ar-SA"/>
                    </w:rPr>
                    <w:t>设2座二次设备舱（1#、2#），建筑面积分别为51.00</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2</w:t>
                  </w:r>
                  <w:r>
                    <w:rPr>
                      <w:rFonts w:hint="default" w:ascii="Times New Roman" w:hAnsi="Times New Roman" w:cs="Times New Roman"/>
                      <w:color w:val="auto"/>
                      <w:spacing w:val="-1"/>
                      <w:sz w:val="21"/>
                      <w:szCs w:val="21"/>
                      <w:vertAlign w:val="baseline"/>
                      <w:lang w:val="en-US" w:eastAsia="zh-CN"/>
                    </w:rPr>
                    <w:t>、7.68</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2</w:t>
                  </w:r>
                  <w:r>
                    <w:rPr>
                      <w:rFonts w:hint="default" w:ascii="Times New Roman" w:hAnsi="Times New Roman" w:eastAsia="宋体" w:cs="Times New Roman"/>
                      <w:color w:val="auto"/>
                      <w:spacing w:val="-1"/>
                      <w:sz w:val="21"/>
                      <w:szCs w:val="21"/>
                      <w:lang w:val="en-US" w:eastAsia="zh-CN"/>
                    </w:rPr>
                    <w:t>，建筑高度</w:t>
                  </w:r>
                  <w:r>
                    <w:rPr>
                      <w:rFonts w:hint="default" w:ascii="Times New Roman" w:hAnsi="Times New Roman" w:cs="Times New Roman"/>
                      <w:color w:val="auto"/>
                      <w:spacing w:val="-1"/>
                      <w:kern w:val="2"/>
                      <w:sz w:val="21"/>
                      <w:szCs w:val="21"/>
                      <w:lang w:val="en-US" w:eastAsia="zh-CN" w:bidi="ar-SA"/>
                    </w:rPr>
                    <w:t>均为</w:t>
                  </w:r>
                  <w:r>
                    <w:rPr>
                      <w:rFonts w:hint="default" w:ascii="Times New Roman" w:hAnsi="Times New Roman" w:eastAsia="宋体" w:cs="Times New Roman"/>
                      <w:color w:val="auto"/>
                      <w:spacing w:val="-1"/>
                      <w:sz w:val="21"/>
                      <w:szCs w:val="21"/>
                      <w:lang w:val="en-US" w:eastAsia="zh-CN"/>
                    </w:rPr>
                    <w:t>3.5m</w:t>
                  </w:r>
                  <w:r>
                    <w:rPr>
                      <w:rFonts w:hint="default" w:ascii="Times New Roman" w:hAnsi="Times New Roman" w:cs="Times New Roman"/>
                      <w:color w:val="auto"/>
                      <w:spacing w:val="-1"/>
                      <w:sz w:val="21"/>
                      <w:szCs w:val="21"/>
                      <w:lang w:val="en-US" w:eastAsia="zh-CN"/>
                    </w:rPr>
                    <w:t>，</w:t>
                  </w:r>
                  <w:r>
                    <w:rPr>
                      <w:rFonts w:hint="default" w:ascii="Times New Roman" w:hAnsi="Times New Roman" w:eastAsia="宋体" w:cs="Times New Roman"/>
                      <w:color w:val="auto"/>
                      <w:spacing w:val="-1"/>
                      <w:sz w:val="21"/>
                      <w:szCs w:val="21"/>
                      <w:lang w:val="en-US" w:eastAsia="zh-CN"/>
                    </w:rPr>
                    <w:t>建筑体积</w:t>
                  </w:r>
                  <w:r>
                    <w:rPr>
                      <w:rFonts w:hint="default" w:ascii="Times New Roman" w:hAnsi="Times New Roman" w:cs="Times New Roman"/>
                      <w:color w:val="auto"/>
                      <w:spacing w:val="-1"/>
                      <w:kern w:val="2"/>
                      <w:sz w:val="21"/>
                      <w:szCs w:val="21"/>
                      <w:lang w:val="en-US" w:eastAsia="zh-CN" w:bidi="ar-SA"/>
                    </w:rPr>
                    <w:t>分别为</w:t>
                  </w:r>
                  <w:r>
                    <w:rPr>
                      <w:rFonts w:hint="default" w:ascii="Times New Roman" w:hAnsi="Times New Roman" w:eastAsia="宋体" w:cs="Times New Roman"/>
                      <w:color w:val="auto"/>
                      <w:spacing w:val="-1"/>
                      <w:sz w:val="21"/>
                      <w:szCs w:val="21"/>
                      <w:lang w:val="en-US" w:eastAsia="zh-CN"/>
                    </w:rPr>
                    <w:t>178.5m</w:t>
                  </w:r>
                  <w:r>
                    <w:rPr>
                      <w:rFonts w:hint="default" w:ascii="Times New Roman" w:hAnsi="Times New Roman" w:eastAsia="宋体" w:cs="Times New Roman"/>
                      <w:color w:val="auto"/>
                      <w:spacing w:val="-1"/>
                      <w:sz w:val="21"/>
                      <w:szCs w:val="21"/>
                      <w:vertAlign w:val="superscript"/>
                      <w:lang w:val="en-US" w:eastAsia="zh-CN"/>
                    </w:rPr>
                    <w:t>3</w:t>
                  </w:r>
                  <w:r>
                    <w:rPr>
                      <w:rFonts w:hint="default" w:ascii="Times New Roman" w:hAnsi="Times New Roman" w:cs="Times New Roman"/>
                      <w:color w:val="auto"/>
                      <w:spacing w:val="-1"/>
                      <w:sz w:val="21"/>
                      <w:szCs w:val="21"/>
                      <w:vertAlign w:val="baseline"/>
                      <w:lang w:val="en-US" w:eastAsia="zh-CN"/>
                    </w:rPr>
                    <w:t>和26.88m</w:t>
                  </w:r>
                  <w:r>
                    <w:rPr>
                      <w:rFonts w:hint="default" w:ascii="Times New Roman" w:hAnsi="Times New Roman" w:cs="Times New Roman"/>
                      <w:color w:val="auto"/>
                      <w:spacing w:val="-1"/>
                      <w:sz w:val="21"/>
                      <w:szCs w:val="21"/>
                      <w:vertAlign w:val="superscript"/>
                      <w:lang w:val="en-US" w:eastAsia="zh-CN"/>
                    </w:rPr>
                    <w:t>2</w:t>
                  </w:r>
                  <w:r>
                    <w:rPr>
                      <w:rFonts w:hint="default" w:ascii="Times New Roman" w:hAnsi="Times New Roman" w:eastAsia="宋体" w:cs="Times New Roman"/>
                      <w:color w:val="auto"/>
                      <w:spacing w:val="-1"/>
                      <w:sz w:val="21"/>
                      <w:szCs w:val="21"/>
                      <w:lang w:val="en-US" w:eastAsia="zh-CN"/>
                    </w:rPr>
                    <w:t>，</w:t>
                  </w:r>
                  <w:r>
                    <w:rPr>
                      <w:rFonts w:hint="default" w:ascii="Times New Roman" w:hAnsi="Times New Roman" w:cs="Times New Roman"/>
                      <w:color w:val="auto"/>
                      <w:spacing w:val="-1"/>
                      <w:sz w:val="21"/>
                      <w:szCs w:val="21"/>
                      <w:lang w:val="en-US" w:eastAsia="zh-CN"/>
                    </w:rPr>
                    <w:t>用于主变配电系统监控。</w:t>
                  </w:r>
                </w:p>
              </w:tc>
              <w:tc>
                <w:tcPr>
                  <w:tcW w:w="421" w:type="pct"/>
                  <w:vMerge w:val="continue"/>
                  <w:shd w:val="clear" w:color="auto" w:fill="auto"/>
                  <w:noWrap w:val="0"/>
                  <w:vAlign w:val="center"/>
                </w:tcPr>
                <w:p w14:paraId="69306E24">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r>
            <w:tr w14:paraId="370B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080F9488">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5CF5856D">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auto"/>
                      <w:spacing w:val="-1"/>
                      <w:sz w:val="21"/>
                      <w:szCs w:val="21"/>
                      <w:highlight w:val="none"/>
                      <w:lang w:val="en-US" w:eastAsia="zh-CN"/>
                    </w:rPr>
                  </w:pPr>
                  <w:r>
                    <w:rPr>
                      <w:rFonts w:hint="default" w:ascii="Times New Roman" w:hAnsi="Times New Roman" w:cs="Times New Roman"/>
                      <w:color w:val="auto"/>
                      <w:spacing w:val="-1"/>
                      <w:sz w:val="21"/>
                      <w:szCs w:val="21"/>
                      <w:highlight w:val="none"/>
                      <w:lang w:val="en-US" w:eastAsia="zh-CN"/>
                    </w:rPr>
                    <w:t>接地变舱</w:t>
                  </w:r>
                </w:p>
              </w:tc>
              <w:tc>
                <w:tcPr>
                  <w:tcW w:w="3174" w:type="pct"/>
                  <w:shd w:val="clear" w:color="auto" w:fill="auto"/>
                  <w:noWrap w:val="0"/>
                  <w:vAlign w:val="center"/>
                </w:tcPr>
                <w:p w14:paraId="3599EEAA">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cs="Times New Roman"/>
                      <w:color w:val="auto"/>
                      <w:spacing w:val="-1"/>
                      <w:kern w:val="2"/>
                      <w:sz w:val="21"/>
                      <w:szCs w:val="21"/>
                      <w:lang w:val="en-US" w:eastAsia="zh-CN" w:bidi="ar-SA"/>
                    </w:rPr>
                  </w:pPr>
                  <w:r>
                    <w:rPr>
                      <w:rFonts w:hint="default" w:ascii="Times New Roman" w:hAnsi="Times New Roman" w:cs="Times New Roman"/>
                      <w:color w:val="auto"/>
                      <w:spacing w:val="-1"/>
                      <w:kern w:val="2"/>
                      <w:sz w:val="21"/>
                      <w:szCs w:val="21"/>
                      <w:lang w:val="en-US" w:eastAsia="zh-CN" w:bidi="ar-SA"/>
                    </w:rPr>
                    <w:t>设1座接地变舱，建筑面积18.00</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2</w:t>
                  </w:r>
                  <w:r>
                    <w:rPr>
                      <w:rFonts w:hint="default" w:ascii="Times New Roman" w:hAnsi="Times New Roman" w:eastAsia="宋体" w:cs="Times New Roman"/>
                      <w:color w:val="auto"/>
                      <w:spacing w:val="-1"/>
                      <w:sz w:val="21"/>
                      <w:szCs w:val="21"/>
                      <w:lang w:val="en-US" w:eastAsia="zh-CN"/>
                    </w:rPr>
                    <w:t>，建筑高度3.5m</w:t>
                  </w:r>
                  <w:r>
                    <w:rPr>
                      <w:rFonts w:hint="default" w:ascii="Times New Roman" w:hAnsi="Times New Roman" w:cs="Times New Roman"/>
                      <w:color w:val="auto"/>
                      <w:spacing w:val="-1"/>
                      <w:sz w:val="21"/>
                      <w:szCs w:val="21"/>
                      <w:lang w:val="en-US" w:eastAsia="zh-CN"/>
                    </w:rPr>
                    <w:t>，</w:t>
                  </w:r>
                  <w:r>
                    <w:rPr>
                      <w:rFonts w:hint="default" w:ascii="Times New Roman" w:hAnsi="Times New Roman" w:eastAsia="宋体" w:cs="Times New Roman"/>
                      <w:color w:val="auto"/>
                      <w:spacing w:val="-1"/>
                      <w:sz w:val="21"/>
                      <w:szCs w:val="21"/>
                      <w:lang w:val="en-US" w:eastAsia="zh-CN"/>
                    </w:rPr>
                    <w:t>建筑体积</w:t>
                  </w:r>
                  <w:r>
                    <w:rPr>
                      <w:rFonts w:hint="default" w:ascii="Times New Roman" w:hAnsi="Times New Roman" w:cs="Times New Roman"/>
                      <w:color w:val="auto"/>
                      <w:spacing w:val="-1"/>
                      <w:sz w:val="21"/>
                      <w:szCs w:val="21"/>
                      <w:lang w:val="en-US" w:eastAsia="zh-CN"/>
                    </w:rPr>
                    <w:t>63</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3</w:t>
                  </w:r>
                  <w:r>
                    <w:rPr>
                      <w:rFonts w:hint="default" w:ascii="Times New Roman" w:hAnsi="Times New Roman" w:eastAsia="宋体" w:cs="Times New Roman"/>
                      <w:color w:val="auto"/>
                      <w:spacing w:val="-1"/>
                      <w:sz w:val="21"/>
                      <w:szCs w:val="21"/>
                      <w:lang w:val="en-US" w:eastAsia="zh-CN"/>
                    </w:rPr>
                    <w:t>，</w:t>
                  </w:r>
                  <w:r>
                    <w:rPr>
                      <w:rFonts w:hint="default" w:ascii="Times New Roman" w:hAnsi="Times New Roman" w:cs="Times New Roman"/>
                      <w:color w:val="auto"/>
                      <w:spacing w:val="-1"/>
                      <w:sz w:val="21"/>
                      <w:szCs w:val="21"/>
                      <w:lang w:val="en-US" w:eastAsia="zh-CN"/>
                    </w:rPr>
                    <w:t>用于为系统提供中性点接地。</w:t>
                  </w:r>
                </w:p>
              </w:tc>
              <w:tc>
                <w:tcPr>
                  <w:tcW w:w="421" w:type="pct"/>
                  <w:vMerge w:val="continue"/>
                  <w:noWrap w:val="0"/>
                  <w:vAlign w:val="center"/>
                </w:tcPr>
                <w:p w14:paraId="3A1A7E6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r>
            <w:tr w14:paraId="4C41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64B66332">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1E2D01E2">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cs="Times New Roman"/>
                      <w:color w:val="auto"/>
                      <w:spacing w:val="-1"/>
                      <w:sz w:val="21"/>
                      <w:szCs w:val="21"/>
                      <w:highlight w:val="none"/>
                      <w:lang w:val="en-US" w:eastAsia="zh-CN"/>
                    </w:rPr>
                  </w:pPr>
                  <w:r>
                    <w:rPr>
                      <w:rFonts w:hint="default" w:ascii="Times New Roman" w:hAnsi="Times New Roman" w:cs="Times New Roman"/>
                      <w:color w:val="auto"/>
                      <w:spacing w:val="-1"/>
                      <w:sz w:val="21"/>
                      <w:szCs w:val="21"/>
                      <w:highlight w:val="none"/>
                      <w:lang w:val="en-US" w:eastAsia="zh-CN"/>
                    </w:rPr>
                    <w:t>站用变</w:t>
                  </w:r>
                </w:p>
                <w:p w14:paraId="06AA87B3">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auto"/>
                      <w:spacing w:val="-1"/>
                      <w:kern w:val="2"/>
                      <w:sz w:val="21"/>
                      <w:szCs w:val="21"/>
                      <w:highlight w:val="none"/>
                      <w:lang w:val="en-US" w:eastAsia="zh-CN" w:bidi="ar-SA"/>
                    </w:rPr>
                  </w:pPr>
                  <w:r>
                    <w:rPr>
                      <w:rFonts w:hint="default" w:ascii="Times New Roman" w:hAnsi="Times New Roman" w:cs="Times New Roman"/>
                      <w:color w:val="auto"/>
                      <w:spacing w:val="-1"/>
                      <w:sz w:val="21"/>
                      <w:szCs w:val="21"/>
                      <w:highlight w:val="none"/>
                      <w:lang w:val="en-US" w:eastAsia="zh-CN"/>
                    </w:rPr>
                    <w:t>及400V舱</w:t>
                  </w:r>
                </w:p>
              </w:tc>
              <w:tc>
                <w:tcPr>
                  <w:tcW w:w="3174" w:type="pct"/>
                  <w:shd w:val="clear" w:color="auto" w:fill="auto"/>
                  <w:noWrap w:val="0"/>
                  <w:vAlign w:val="center"/>
                </w:tcPr>
                <w:p w14:paraId="1B5D1E3F">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left"/>
                    <w:textAlignment w:val="baseline"/>
                    <w:rPr>
                      <w:rFonts w:hint="default" w:ascii="Times New Roman" w:hAnsi="Times New Roman" w:eastAsia="宋体" w:cs="Times New Roman"/>
                      <w:color w:val="auto"/>
                      <w:spacing w:val="-1"/>
                      <w:kern w:val="2"/>
                      <w:sz w:val="21"/>
                      <w:szCs w:val="21"/>
                      <w:lang w:val="en-US" w:eastAsia="zh-CN" w:bidi="ar-SA"/>
                    </w:rPr>
                  </w:pPr>
                  <w:r>
                    <w:rPr>
                      <w:rFonts w:hint="default" w:ascii="Times New Roman" w:hAnsi="Times New Roman" w:cs="Times New Roman"/>
                      <w:color w:val="auto"/>
                      <w:spacing w:val="-1"/>
                      <w:kern w:val="2"/>
                      <w:sz w:val="21"/>
                      <w:szCs w:val="21"/>
                      <w:lang w:val="en-US" w:eastAsia="zh-CN" w:bidi="ar-SA"/>
                    </w:rPr>
                    <w:t>设1座</w:t>
                  </w:r>
                  <w:r>
                    <w:rPr>
                      <w:rFonts w:hint="default" w:ascii="Times New Roman" w:hAnsi="Times New Roman" w:cs="Times New Roman"/>
                      <w:color w:val="auto"/>
                      <w:spacing w:val="-1"/>
                      <w:sz w:val="21"/>
                      <w:szCs w:val="21"/>
                      <w:highlight w:val="none"/>
                      <w:lang w:val="en-US" w:eastAsia="zh-CN"/>
                    </w:rPr>
                    <w:t>站用变及400V舱</w:t>
                  </w:r>
                  <w:r>
                    <w:rPr>
                      <w:rFonts w:hint="default" w:ascii="Times New Roman" w:hAnsi="Times New Roman" w:cs="Times New Roman"/>
                      <w:color w:val="auto"/>
                      <w:spacing w:val="-1"/>
                      <w:kern w:val="2"/>
                      <w:sz w:val="21"/>
                      <w:szCs w:val="21"/>
                      <w:lang w:val="en-US" w:eastAsia="zh-CN" w:bidi="ar-SA"/>
                    </w:rPr>
                    <w:t>，建筑面积41.20</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2</w:t>
                  </w:r>
                  <w:r>
                    <w:rPr>
                      <w:rFonts w:hint="default" w:ascii="Times New Roman" w:hAnsi="Times New Roman" w:eastAsia="宋体" w:cs="Times New Roman"/>
                      <w:color w:val="auto"/>
                      <w:spacing w:val="-1"/>
                      <w:sz w:val="21"/>
                      <w:szCs w:val="21"/>
                      <w:lang w:val="en-US" w:eastAsia="zh-CN"/>
                    </w:rPr>
                    <w:t>，建筑体积</w:t>
                  </w:r>
                  <w:r>
                    <w:rPr>
                      <w:rFonts w:hint="default" w:ascii="Times New Roman" w:hAnsi="Times New Roman" w:cs="Times New Roman"/>
                      <w:color w:val="auto"/>
                      <w:spacing w:val="-1"/>
                      <w:sz w:val="21"/>
                      <w:szCs w:val="21"/>
                      <w:lang w:val="en-US" w:eastAsia="zh-CN"/>
                    </w:rPr>
                    <w:t>144.2</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3</w:t>
                  </w:r>
                  <w:r>
                    <w:rPr>
                      <w:rFonts w:hint="default" w:ascii="Times New Roman" w:hAnsi="Times New Roman" w:eastAsia="宋体" w:cs="Times New Roman"/>
                      <w:color w:val="auto"/>
                      <w:spacing w:val="-1"/>
                      <w:sz w:val="21"/>
                      <w:szCs w:val="21"/>
                      <w:lang w:val="en-US" w:eastAsia="zh-CN"/>
                    </w:rPr>
                    <w:t>，建筑高度</w:t>
                  </w:r>
                  <w:r>
                    <w:rPr>
                      <w:rFonts w:hint="default" w:ascii="Times New Roman" w:hAnsi="Times New Roman" w:cs="Times New Roman"/>
                      <w:color w:val="auto"/>
                      <w:spacing w:val="-1"/>
                      <w:sz w:val="21"/>
                      <w:szCs w:val="21"/>
                      <w:lang w:val="en-US" w:eastAsia="zh-CN"/>
                    </w:rPr>
                    <w:t>3.5</w:t>
                  </w:r>
                  <w:r>
                    <w:rPr>
                      <w:rFonts w:hint="default" w:ascii="Times New Roman" w:hAnsi="Times New Roman" w:eastAsia="宋体" w:cs="Times New Roman"/>
                      <w:color w:val="auto"/>
                      <w:spacing w:val="-1"/>
                      <w:sz w:val="21"/>
                      <w:szCs w:val="21"/>
                      <w:lang w:val="en-US" w:eastAsia="zh-CN"/>
                    </w:rPr>
                    <w:t>m，用于为站内主系统的操作电源、保护装置等提供可靠电源。</w:t>
                  </w:r>
                </w:p>
              </w:tc>
              <w:tc>
                <w:tcPr>
                  <w:tcW w:w="421" w:type="pct"/>
                  <w:vMerge w:val="continue"/>
                  <w:noWrap w:val="0"/>
                  <w:vAlign w:val="center"/>
                </w:tcPr>
                <w:p w14:paraId="6BA57BC1">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r>
            <w:tr w14:paraId="6091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3B4D3B08">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3F53479B">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auto"/>
                      <w:spacing w:val="-1"/>
                      <w:kern w:val="2"/>
                      <w:sz w:val="21"/>
                      <w:szCs w:val="21"/>
                      <w:highlight w:val="none"/>
                      <w:lang w:val="en-US" w:eastAsia="zh-CN" w:bidi="ar-SA"/>
                    </w:rPr>
                  </w:pPr>
                  <w:r>
                    <w:rPr>
                      <w:rFonts w:hint="default" w:ascii="Times New Roman" w:hAnsi="Times New Roman" w:cs="Times New Roman"/>
                      <w:color w:val="auto"/>
                      <w:spacing w:val="-1"/>
                      <w:sz w:val="21"/>
                      <w:szCs w:val="21"/>
                      <w:highlight w:val="none"/>
                      <w:lang w:val="en-US" w:eastAsia="zh-CN"/>
                    </w:rPr>
                    <w:t>直流蓄电舱</w:t>
                  </w:r>
                </w:p>
              </w:tc>
              <w:tc>
                <w:tcPr>
                  <w:tcW w:w="3174" w:type="pct"/>
                  <w:shd w:val="clear" w:color="auto" w:fill="auto"/>
                  <w:noWrap w:val="0"/>
                  <w:vAlign w:val="center"/>
                </w:tcPr>
                <w:p w14:paraId="38BFF683">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kern w:val="2"/>
                      <w:sz w:val="21"/>
                      <w:szCs w:val="21"/>
                      <w:lang w:val="en-US" w:eastAsia="zh-CN" w:bidi="ar-SA"/>
                    </w:rPr>
                  </w:pPr>
                  <w:r>
                    <w:rPr>
                      <w:rFonts w:hint="default" w:ascii="Times New Roman" w:hAnsi="Times New Roman" w:cs="Times New Roman"/>
                      <w:color w:val="auto"/>
                      <w:spacing w:val="-1"/>
                      <w:kern w:val="2"/>
                      <w:sz w:val="21"/>
                      <w:szCs w:val="21"/>
                      <w:lang w:val="en-US" w:eastAsia="zh-CN" w:bidi="ar-SA"/>
                    </w:rPr>
                    <w:t>设1座直流蓄电舱，建筑面积均为28.00</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2</w:t>
                  </w:r>
                  <w:r>
                    <w:rPr>
                      <w:rFonts w:hint="default" w:ascii="Times New Roman" w:hAnsi="Times New Roman" w:eastAsia="宋体" w:cs="Times New Roman"/>
                      <w:color w:val="auto"/>
                      <w:spacing w:val="-1"/>
                      <w:sz w:val="21"/>
                      <w:szCs w:val="21"/>
                      <w:lang w:val="en-US" w:eastAsia="zh-CN"/>
                    </w:rPr>
                    <w:t>，建筑高度3.5m，建筑体积98m</w:t>
                  </w:r>
                  <w:r>
                    <w:rPr>
                      <w:rFonts w:hint="default" w:ascii="Times New Roman" w:hAnsi="Times New Roman" w:eastAsia="宋体" w:cs="Times New Roman"/>
                      <w:color w:val="auto"/>
                      <w:spacing w:val="-1"/>
                      <w:sz w:val="21"/>
                      <w:szCs w:val="21"/>
                      <w:vertAlign w:val="superscript"/>
                      <w:lang w:val="en-US" w:eastAsia="zh-CN"/>
                    </w:rPr>
                    <w:t>3</w:t>
                  </w:r>
                  <w:r>
                    <w:rPr>
                      <w:rFonts w:hint="default" w:ascii="Times New Roman" w:hAnsi="Times New Roman" w:eastAsia="宋体" w:cs="Times New Roman"/>
                      <w:color w:val="auto"/>
                      <w:spacing w:val="-1"/>
                      <w:sz w:val="21"/>
                      <w:szCs w:val="21"/>
                      <w:lang w:val="en-US" w:eastAsia="zh-CN"/>
                    </w:rPr>
                    <w:t>，用于为保护、控制、通信设备提供不间断直流电源。</w:t>
                  </w:r>
                </w:p>
              </w:tc>
              <w:tc>
                <w:tcPr>
                  <w:tcW w:w="421" w:type="pct"/>
                  <w:vMerge w:val="continue"/>
                  <w:noWrap w:val="0"/>
                  <w:vAlign w:val="center"/>
                </w:tcPr>
                <w:p w14:paraId="13E8841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r>
            <w:tr w14:paraId="11A2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6B85A36A">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597BA3E8">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0009D0"/>
                      <w:spacing w:val="-1"/>
                      <w:kern w:val="2"/>
                      <w:sz w:val="21"/>
                      <w:szCs w:val="21"/>
                      <w:lang w:val="en-US" w:eastAsia="zh-CN" w:bidi="ar-SA"/>
                    </w:rPr>
                  </w:pPr>
                  <w:r>
                    <w:rPr>
                      <w:rFonts w:hint="default" w:ascii="Times New Roman" w:hAnsi="Times New Roman" w:eastAsia="宋体" w:cs="Times New Roman"/>
                      <w:color w:val="auto"/>
                      <w:spacing w:val="-1"/>
                      <w:kern w:val="2"/>
                      <w:sz w:val="21"/>
                      <w:szCs w:val="21"/>
                      <w:lang w:val="en-US" w:eastAsia="zh-CN" w:bidi="ar-SA"/>
                    </w:rPr>
                    <w:t>危废暂存间</w:t>
                  </w:r>
                </w:p>
              </w:tc>
              <w:tc>
                <w:tcPr>
                  <w:tcW w:w="3174" w:type="pct"/>
                  <w:shd w:val="clear" w:color="auto" w:fill="auto"/>
                  <w:noWrap w:val="0"/>
                  <w:vAlign w:val="center"/>
                </w:tcPr>
                <w:p w14:paraId="3F9C3F01">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eastAsia" w:ascii="Times New Roman" w:hAnsi="Times New Roman" w:cs="Times New Roman"/>
                      <w:color w:val="auto"/>
                      <w:spacing w:val="-1"/>
                      <w:sz w:val="21"/>
                      <w:szCs w:val="21"/>
                      <w:vertAlign w:val="baseline"/>
                      <w:lang w:val="en-US" w:eastAsia="zh-CN"/>
                    </w:rPr>
                  </w:pPr>
                  <w:r>
                    <w:rPr>
                      <w:rFonts w:hint="default" w:ascii="Times New Roman" w:hAnsi="Times New Roman" w:cs="Times New Roman"/>
                      <w:color w:val="auto"/>
                      <w:spacing w:val="-1"/>
                      <w:kern w:val="2"/>
                      <w:sz w:val="21"/>
                      <w:szCs w:val="21"/>
                      <w:lang w:val="en-US" w:eastAsia="zh-CN" w:bidi="ar-SA"/>
                    </w:rPr>
                    <w:t>设1座</w:t>
                  </w:r>
                  <w:r>
                    <w:rPr>
                      <w:rFonts w:hint="eastAsia" w:ascii="Times New Roman" w:hAnsi="Times New Roman" w:cs="Times New Roman"/>
                      <w:color w:val="auto"/>
                      <w:spacing w:val="-1"/>
                      <w:sz w:val="21"/>
                      <w:szCs w:val="21"/>
                      <w:highlight w:val="none"/>
                      <w:lang w:val="en-US" w:eastAsia="zh-CN"/>
                    </w:rPr>
                    <w:t>危废暂存间</w:t>
                  </w:r>
                  <w:r>
                    <w:rPr>
                      <w:rFonts w:hint="default" w:ascii="Times New Roman" w:hAnsi="Times New Roman" w:cs="Times New Roman"/>
                      <w:color w:val="auto"/>
                      <w:spacing w:val="-1"/>
                      <w:kern w:val="2"/>
                      <w:sz w:val="21"/>
                      <w:szCs w:val="21"/>
                      <w:lang w:val="en-US" w:eastAsia="zh-CN" w:bidi="ar-SA"/>
                    </w:rPr>
                    <w:t>，建筑面积均为</w:t>
                  </w:r>
                  <w:r>
                    <w:rPr>
                      <w:rFonts w:hint="eastAsia" w:ascii="Times New Roman" w:hAnsi="Times New Roman" w:cs="Times New Roman"/>
                      <w:color w:val="auto"/>
                      <w:spacing w:val="-1"/>
                      <w:kern w:val="2"/>
                      <w:sz w:val="21"/>
                      <w:szCs w:val="21"/>
                      <w:lang w:val="en-US" w:eastAsia="zh-CN" w:bidi="ar-SA"/>
                    </w:rPr>
                    <w:t>9</w:t>
                  </w:r>
                  <w:r>
                    <w:rPr>
                      <w:rFonts w:hint="default" w:ascii="Times New Roman" w:hAnsi="Times New Roman" w:cs="Times New Roman"/>
                      <w:color w:val="auto"/>
                      <w:spacing w:val="-1"/>
                      <w:kern w:val="2"/>
                      <w:sz w:val="21"/>
                      <w:szCs w:val="21"/>
                      <w:lang w:val="en-US" w:eastAsia="zh-CN" w:bidi="ar-SA"/>
                    </w:rPr>
                    <w:t>.00</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2</w:t>
                  </w:r>
                  <w:r>
                    <w:rPr>
                      <w:rFonts w:hint="default" w:ascii="Times New Roman" w:hAnsi="Times New Roman" w:eastAsia="宋体" w:cs="Times New Roman"/>
                      <w:color w:val="auto"/>
                      <w:spacing w:val="-1"/>
                      <w:sz w:val="21"/>
                      <w:szCs w:val="21"/>
                      <w:lang w:val="en-US" w:eastAsia="zh-CN"/>
                    </w:rPr>
                    <w:t>，建筑高度3.5m，建筑体积</w:t>
                  </w:r>
                  <w:r>
                    <w:rPr>
                      <w:rFonts w:hint="eastAsia" w:ascii="Times New Roman" w:hAnsi="Times New Roman" w:cs="Times New Roman"/>
                      <w:color w:val="auto"/>
                      <w:spacing w:val="-1"/>
                      <w:sz w:val="21"/>
                      <w:szCs w:val="21"/>
                      <w:lang w:val="en-US" w:eastAsia="zh-CN"/>
                    </w:rPr>
                    <w:t>31.5</w:t>
                  </w:r>
                  <w:r>
                    <w:rPr>
                      <w:rFonts w:hint="default" w:ascii="Times New Roman" w:hAnsi="Times New Roman" w:eastAsia="宋体" w:cs="Times New Roman"/>
                      <w:color w:val="auto"/>
                      <w:spacing w:val="-1"/>
                      <w:sz w:val="21"/>
                      <w:szCs w:val="21"/>
                      <w:lang w:val="en-US" w:eastAsia="zh-CN"/>
                    </w:rPr>
                    <w:t>m</w:t>
                  </w:r>
                  <w:r>
                    <w:rPr>
                      <w:rFonts w:hint="default" w:ascii="Times New Roman" w:hAnsi="Times New Roman" w:eastAsia="宋体" w:cs="Times New Roman"/>
                      <w:color w:val="auto"/>
                      <w:spacing w:val="-1"/>
                      <w:sz w:val="21"/>
                      <w:szCs w:val="21"/>
                      <w:vertAlign w:val="superscript"/>
                      <w:lang w:val="en-US" w:eastAsia="zh-CN"/>
                    </w:rPr>
                    <w:t>3</w:t>
                  </w:r>
                  <w:r>
                    <w:rPr>
                      <w:rFonts w:hint="eastAsia" w:ascii="Times New Roman" w:hAnsi="Times New Roman" w:cs="Times New Roman"/>
                      <w:color w:val="auto"/>
                      <w:spacing w:val="-1"/>
                      <w:sz w:val="21"/>
                      <w:szCs w:val="21"/>
                      <w:vertAlign w:val="baseline"/>
                      <w:lang w:val="en-US" w:eastAsia="zh-CN"/>
                    </w:rPr>
                    <w:t>。</w:t>
                  </w:r>
                </w:p>
                <w:p w14:paraId="47AB3B8C">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sz w:val="21"/>
                      <w:szCs w:val="21"/>
                      <w:lang w:val="en-US" w:eastAsia="zh-CN"/>
                    </w:rPr>
                  </w:pPr>
                  <w:r>
                    <w:rPr>
                      <w:rFonts w:hint="default" w:ascii="Times New Roman" w:hAnsi="Times New Roman" w:eastAsia="宋体" w:cs="Times New Roman"/>
                      <w:color w:val="auto"/>
                      <w:spacing w:val="-1"/>
                      <w:sz w:val="21"/>
                      <w:szCs w:val="21"/>
                      <w:lang w:val="en-US" w:eastAsia="zh-CN"/>
                    </w:rPr>
                    <w:t>①贮存设施应根据危险废物的形态、物理化学性质、包装形式和污染物迁移途径，采取必要的防风、防晒、防雨、防漏、防渗、防腐以及其他环境污染防治措施，不应露天堆放危险废物；</w:t>
                  </w:r>
                </w:p>
                <w:p w14:paraId="07D7B556">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sz w:val="21"/>
                      <w:szCs w:val="21"/>
                      <w:lang w:val="en-US" w:eastAsia="zh-CN"/>
                    </w:rPr>
                  </w:pPr>
                  <w:r>
                    <w:rPr>
                      <w:rFonts w:hint="default" w:ascii="Times New Roman" w:hAnsi="Times New Roman" w:eastAsia="宋体" w:cs="Times New Roman"/>
                      <w:color w:val="auto"/>
                      <w:spacing w:val="-1"/>
                      <w:sz w:val="21"/>
                      <w:szCs w:val="21"/>
                      <w:lang w:val="en-US" w:eastAsia="zh-CN"/>
                    </w:rPr>
                    <w:t>②贮存库内不同贮存分区之间应采取隔离措施，避免不相容的危险废物接触、混合。隔离措施可根据危险废物特性采用过道、隔板或隔墙等方式；</w:t>
                  </w:r>
                </w:p>
                <w:p w14:paraId="314E56B8">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sz w:val="21"/>
                      <w:szCs w:val="21"/>
                      <w:lang w:val="en-US" w:eastAsia="zh-CN"/>
                    </w:rPr>
                  </w:pPr>
                  <w:r>
                    <w:rPr>
                      <w:rFonts w:hint="default" w:ascii="Times New Roman" w:hAnsi="Times New Roman" w:eastAsia="宋体" w:cs="Times New Roman"/>
                      <w:color w:val="auto"/>
                      <w:spacing w:val="-1"/>
                      <w:sz w:val="21"/>
                      <w:szCs w:val="21"/>
                      <w:lang w:val="en-US" w:eastAsia="zh-CN"/>
                    </w:rPr>
                    <w:t>③贮存设施或贮存分区内地面、墙面裙脚、堵截泄漏的围堰、接触危险废物的隔板和墙体等应采用坚固的材料建造，表面无裂缝；</w:t>
                  </w:r>
                </w:p>
                <w:p w14:paraId="4E8A783E">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sz w:val="21"/>
                      <w:szCs w:val="21"/>
                      <w:lang w:val="en-US" w:eastAsia="zh-CN"/>
                    </w:rPr>
                  </w:pPr>
                  <w:r>
                    <w:rPr>
                      <w:rFonts w:hint="default" w:ascii="Times New Roman" w:hAnsi="Times New Roman" w:eastAsia="宋体" w:cs="Times New Roman"/>
                      <w:color w:val="auto"/>
                      <w:spacing w:val="-1"/>
                      <w:sz w:val="21"/>
                      <w:szCs w:val="21"/>
                      <w:lang w:val="en-US" w:eastAsia="zh-CN"/>
                    </w:rPr>
                    <w:t>④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 m厚黏土层（渗透系数不大于10</w:t>
                  </w:r>
                  <w:r>
                    <w:rPr>
                      <w:rFonts w:hint="default" w:ascii="Times New Roman" w:hAnsi="Times New Roman" w:eastAsia="宋体" w:cs="Times New Roman"/>
                      <w:color w:val="auto"/>
                      <w:spacing w:val="-1"/>
                      <w:sz w:val="21"/>
                      <w:szCs w:val="21"/>
                      <w:vertAlign w:val="superscript"/>
                      <w:lang w:val="en-US" w:eastAsia="zh-CN"/>
                    </w:rPr>
                    <w:t>-7</w:t>
                  </w:r>
                  <w:r>
                    <w:rPr>
                      <w:rFonts w:hint="default" w:ascii="Times New Roman" w:hAnsi="Times New Roman" w:eastAsia="宋体" w:cs="Times New Roman"/>
                      <w:color w:val="auto"/>
                      <w:spacing w:val="-1"/>
                      <w:sz w:val="21"/>
                      <w:szCs w:val="21"/>
                      <w:lang w:val="en-US" w:eastAsia="zh-CN"/>
                    </w:rPr>
                    <w:t>cm/s），或至少2 mm厚高密度聚乙烯膜等人工防渗材料（渗透系数不大于10</w:t>
                  </w:r>
                  <w:r>
                    <w:rPr>
                      <w:rFonts w:hint="default" w:ascii="Times New Roman" w:hAnsi="Times New Roman" w:eastAsia="宋体" w:cs="Times New Roman"/>
                      <w:color w:val="auto"/>
                      <w:spacing w:val="-1"/>
                      <w:sz w:val="21"/>
                      <w:szCs w:val="21"/>
                      <w:vertAlign w:val="superscript"/>
                      <w:lang w:val="en-US" w:eastAsia="zh-CN"/>
                    </w:rPr>
                    <w:t xml:space="preserve">-10 </w:t>
                  </w:r>
                  <w:r>
                    <w:rPr>
                      <w:rFonts w:hint="default" w:ascii="Times New Roman" w:hAnsi="Times New Roman" w:eastAsia="宋体" w:cs="Times New Roman"/>
                      <w:color w:val="auto"/>
                      <w:spacing w:val="-1"/>
                      <w:sz w:val="21"/>
                      <w:szCs w:val="21"/>
                      <w:lang w:val="en-US" w:eastAsia="zh-CN"/>
                    </w:rPr>
                    <w:t>cm/s），或其他防渗性能等效的材料；</w:t>
                  </w:r>
                </w:p>
                <w:p w14:paraId="5A5F533E">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sz w:val="21"/>
                      <w:szCs w:val="21"/>
                      <w:lang w:val="en-US" w:eastAsia="zh-CN"/>
                    </w:rPr>
                  </w:pPr>
                  <w:r>
                    <w:rPr>
                      <w:rFonts w:hint="default" w:ascii="Times New Roman" w:hAnsi="Times New Roman" w:eastAsia="宋体" w:cs="Times New Roman"/>
                      <w:color w:val="auto"/>
                      <w:spacing w:val="-1"/>
                      <w:sz w:val="21"/>
                      <w:szCs w:val="21"/>
                      <w:lang w:val="en-US" w:eastAsia="zh-CN"/>
                    </w:rPr>
                    <w:t>⑤同一贮存设施宜采用相同的防渗、防腐工艺（包括防渗、防腐结构或材料），防渗、防腐材料应覆盖所有可能与废物及其渗滤液、渗漏液等接触的构筑物表面；采用不同防渗、防腐工艺应分别建设贮存分区；</w:t>
                  </w:r>
                </w:p>
                <w:p w14:paraId="4D894BC6">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sz w:val="21"/>
                      <w:szCs w:val="21"/>
                      <w:lang w:val="en-US" w:eastAsia="zh-CN"/>
                    </w:rPr>
                  </w:pPr>
                  <w:r>
                    <w:rPr>
                      <w:rFonts w:hint="default" w:ascii="Times New Roman" w:hAnsi="Times New Roman" w:eastAsia="宋体" w:cs="Times New Roman"/>
                      <w:color w:val="auto"/>
                      <w:spacing w:val="-1"/>
                      <w:sz w:val="21"/>
                      <w:szCs w:val="21"/>
                      <w:lang w:val="en-US" w:eastAsia="zh-CN"/>
                    </w:rPr>
                    <w:t>⑥在贮存库内贮存液态危险废物，应具有液体泄漏堵截设施，堵截设施最小容积不应低于对应贮存区域最大液态废物容器容积或液态废物总储量1/10（二者取较大者）；使用容器盛装液态、半固态危险废物时，容器内部应留有适当的空间，以适应因温度变化等可能引发的收缩和膨胀，防止其导致容器渗漏或永久变形。</w:t>
                  </w:r>
                </w:p>
                <w:p w14:paraId="4A78703F">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auto"/>
                      <w:spacing w:val="-1"/>
                      <w:sz w:val="21"/>
                      <w:szCs w:val="21"/>
                      <w:lang w:val="en-US" w:eastAsia="zh-CN"/>
                    </w:rPr>
                  </w:pPr>
                  <w:r>
                    <w:rPr>
                      <w:rFonts w:hint="default" w:ascii="Times New Roman" w:hAnsi="Times New Roman" w:eastAsia="宋体" w:cs="Times New Roman"/>
                      <w:color w:val="auto"/>
                      <w:spacing w:val="-1"/>
                      <w:sz w:val="21"/>
                      <w:szCs w:val="21"/>
                      <w:lang w:val="en-US" w:eastAsia="zh-CN"/>
                    </w:rPr>
                    <w:t>⑦贮存设施应采取技术和管理措施防止无关人员进入；</w:t>
                  </w:r>
                </w:p>
                <w:p w14:paraId="091EC87B">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416" w:firstLineChars="200"/>
                    <w:jc w:val="both"/>
                    <w:textAlignment w:val="baseline"/>
                    <w:rPr>
                      <w:rFonts w:hint="default" w:ascii="Times New Roman" w:hAnsi="Times New Roman" w:eastAsia="宋体" w:cs="Times New Roman"/>
                      <w:color w:val="0009D0"/>
                      <w:spacing w:val="-1"/>
                      <w:kern w:val="2"/>
                      <w:sz w:val="21"/>
                      <w:szCs w:val="21"/>
                      <w:highlight w:val="none"/>
                      <w:lang w:val="en-US" w:eastAsia="zh-CN" w:bidi="ar-SA"/>
                    </w:rPr>
                  </w:pPr>
                  <w:r>
                    <w:rPr>
                      <w:rFonts w:hint="default" w:ascii="Times New Roman" w:hAnsi="Times New Roman" w:eastAsia="宋体" w:cs="Times New Roman"/>
                      <w:color w:val="auto"/>
                      <w:spacing w:val="-1"/>
                      <w:sz w:val="21"/>
                      <w:szCs w:val="21"/>
                      <w:lang w:val="en-US" w:eastAsia="zh-CN"/>
                    </w:rPr>
                    <w:t>⑧贮存设施运行期间，应按国家有关标准和规定建立危险废物管理台账并保存。危险废物识别标志的设置除应满足本标准的要求外，还应执行《危险废物识别标志设置技术规范》（HJ1276-2022）的要求。</w:t>
                  </w:r>
                </w:p>
              </w:tc>
              <w:tc>
                <w:tcPr>
                  <w:tcW w:w="421" w:type="pct"/>
                  <w:vMerge w:val="continue"/>
                  <w:noWrap w:val="0"/>
                  <w:vAlign w:val="center"/>
                </w:tcPr>
                <w:p w14:paraId="754A01E2">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r>
            <w:tr w14:paraId="72C0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noWrap w:val="0"/>
                  <w:vAlign w:val="center"/>
                </w:tcPr>
                <w:p w14:paraId="74057AEB">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1047" w:type="pct"/>
                  <w:gridSpan w:val="2"/>
                  <w:shd w:val="clear" w:color="auto" w:fill="auto"/>
                  <w:noWrap w:val="0"/>
                  <w:vAlign w:val="center"/>
                </w:tcPr>
                <w:p w14:paraId="1CD637BE">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color w:val="0000FF"/>
                      <w:kern w:val="0"/>
                      <w:sz w:val="21"/>
                      <w:szCs w:val="22"/>
                      <w:highlight w:val="none"/>
                      <w:lang w:val="en-US" w:eastAsia="zh-CN" w:bidi="ar-SA"/>
                    </w:rPr>
                  </w:pPr>
                  <w:r>
                    <w:rPr>
                      <w:rFonts w:hint="default" w:ascii="Times New Roman" w:hAnsi="Times New Roman" w:eastAsia="宋体" w:cs="Times New Roman"/>
                      <w:b w:val="0"/>
                      <w:color w:val="auto"/>
                      <w:sz w:val="21"/>
                      <w:szCs w:val="21"/>
                      <w:highlight w:val="none"/>
                      <w:lang w:val="en-US" w:eastAsia="zh-CN"/>
                    </w:rPr>
                    <w:t>事故油池</w:t>
                  </w:r>
                </w:p>
              </w:tc>
              <w:tc>
                <w:tcPr>
                  <w:tcW w:w="3174" w:type="pct"/>
                  <w:shd w:val="clear" w:color="auto" w:fill="auto"/>
                  <w:noWrap w:val="0"/>
                  <w:vAlign w:val="center"/>
                </w:tcPr>
                <w:p w14:paraId="3FB58802">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本项目主变压器旁设1座事故油池，变压器的事故排油经排油管道自流至事故油池。事故油池容积</w:t>
                  </w:r>
                  <w:r>
                    <w:rPr>
                      <w:rFonts w:hint="eastAsia" w:cs="Times New Roman"/>
                      <w:b w:val="0"/>
                      <w:color w:val="auto"/>
                      <w:sz w:val="21"/>
                      <w:szCs w:val="21"/>
                      <w:highlight w:val="none"/>
                      <w:lang w:val="en-US" w:eastAsia="zh-CN"/>
                    </w:rPr>
                    <w:t>100</w:t>
                  </w:r>
                  <w:r>
                    <w:rPr>
                      <w:rFonts w:hint="default" w:ascii="Times New Roman" w:hAnsi="Times New Roman" w:eastAsia="宋体" w:cs="Times New Roman"/>
                      <w:b w:val="0"/>
                      <w:color w:val="auto"/>
                      <w:sz w:val="21"/>
                      <w:szCs w:val="21"/>
                      <w:highlight w:val="none"/>
                      <w:lang w:val="en-US" w:eastAsia="zh-CN"/>
                    </w:rPr>
                    <w:t>m</w:t>
                  </w:r>
                  <w:r>
                    <w:rPr>
                      <w:rFonts w:hint="default" w:ascii="Times New Roman" w:hAnsi="Times New Roman" w:eastAsia="宋体" w:cs="Times New Roman"/>
                      <w:b w:val="0"/>
                      <w:color w:val="auto"/>
                      <w:sz w:val="21"/>
                      <w:szCs w:val="21"/>
                      <w:highlight w:val="none"/>
                      <w:vertAlign w:val="superscript"/>
                      <w:lang w:val="en-US" w:eastAsia="zh-CN"/>
                    </w:rPr>
                    <w:t>3</w:t>
                  </w:r>
                  <w:r>
                    <w:rPr>
                      <w:rFonts w:hint="default" w:ascii="Times New Roman" w:hAnsi="Times New Roman" w:cs="Times New Roman"/>
                      <w:b w:val="0"/>
                      <w:color w:val="auto"/>
                      <w:sz w:val="21"/>
                      <w:szCs w:val="21"/>
                      <w:highlight w:val="none"/>
                      <w:lang w:val="en-US" w:eastAsia="zh-CN"/>
                    </w:rPr>
                    <w:t>，</w:t>
                  </w:r>
                  <w:r>
                    <w:rPr>
                      <w:rFonts w:hint="default" w:ascii="Times New Roman" w:hAnsi="Times New Roman" w:cs="Times New Roman"/>
                      <w:b w:val="0"/>
                      <w:bCs/>
                      <w:color w:val="auto"/>
                      <w:spacing w:val="-3"/>
                      <w:sz w:val="21"/>
                      <w:szCs w:val="21"/>
                      <w:highlight w:val="none"/>
                      <w:lang w:val="en-US" w:eastAsia="zh-CN"/>
                    </w:rPr>
                    <w:t>可以满足单台变压器最大油量100%的处置要求。</w:t>
                  </w:r>
                  <w:r>
                    <w:rPr>
                      <w:rFonts w:hint="default" w:ascii="Times New Roman" w:hAnsi="Times New Roman" w:eastAsia="宋体" w:cs="Times New Roman"/>
                      <w:b w:val="0"/>
                      <w:bCs/>
                      <w:snapToGrid w:val="0"/>
                      <w:color w:val="auto"/>
                      <w:spacing w:val="-1"/>
                      <w:kern w:val="0"/>
                      <w:sz w:val="21"/>
                      <w:szCs w:val="21"/>
                      <w:highlight w:val="none"/>
                      <w:vertAlign w:val="baseline"/>
                      <w:lang w:val="en-US" w:eastAsia="zh-CN" w:bidi="ar-SA"/>
                    </w:rPr>
                    <w:t>事故油池为地下钢筋混凝土箱型结构，结构基础为400mm厚筏板，顶板侧壁为300mm厚混凝土，混凝土强度等级：C35P10，防渗层为</w:t>
                  </w:r>
                  <w:r>
                    <w:rPr>
                      <w:rFonts w:hint="default" w:ascii="Times New Roman" w:hAnsi="Times New Roman" w:eastAsia="宋体" w:cs="Times New Roman"/>
                      <w:b w:val="0"/>
                      <w:bCs/>
                      <w:color w:val="auto"/>
                      <w:kern w:val="0"/>
                      <w:sz w:val="21"/>
                      <w:szCs w:val="21"/>
                      <w:highlight w:val="none"/>
                      <w:lang w:val="en-US" w:eastAsia="zh-CN" w:bidi="ar-SA"/>
                    </w:rPr>
                    <w:t>至少2mm厚高密度聚乙烯膜等人工防渗材料，或其他防渗性能等效的材料</w:t>
                  </w:r>
                  <w:r>
                    <w:rPr>
                      <w:rFonts w:hint="default" w:ascii="Times New Roman" w:hAnsi="Times New Roman" w:eastAsia="宋体" w:cs="Times New Roman"/>
                      <w:b w:val="0"/>
                      <w:bCs/>
                      <w:snapToGrid w:val="0"/>
                      <w:color w:val="auto"/>
                      <w:spacing w:val="-1"/>
                      <w:kern w:val="0"/>
                      <w:sz w:val="21"/>
                      <w:szCs w:val="21"/>
                      <w:highlight w:val="none"/>
                      <w:vertAlign w:val="baseline"/>
                      <w:lang w:val="en-US" w:eastAsia="zh-CN" w:bidi="ar-SA"/>
                    </w:rPr>
                    <w:t>，渗透系数≤10</w:t>
                  </w:r>
                  <w:r>
                    <w:rPr>
                      <w:rFonts w:hint="default" w:ascii="Times New Roman" w:hAnsi="Times New Roman" w:eastAsia="宋体" w:cs="Times New Roman"/>
                      <w:b w:val="0"/>
                      <w:bCs/>
                      <w:snapToGrid w:val="0"/>
                      <w:color w:val="auto"/>
                      <w:spacing w:val="-1"/>
                      <w:kern w:val="0"/>
                      <w:sz w:val="21"/>
                      <w:szCs w:val="21"/>
                      <w:highlight w:val="none"/>
                      <w:vertAlign w:val="superscript"/>
                      <w:lang w:val="en-US" w:eastAsia="zh-CN" w:bidi="ar-SA"/>
                    </w:rPr>
                    <w:t>-10</w:t>
                  </w:r>
                  <w:r>
                    <w:rPr>
                      <w:rFonts w:hint="default" w:ascii="Times New Roman" w:hAnsi="Times New Roman" w:eastAsia="宋体" w:cs="Times New Roman"/>
                      <w:b w:val="0"/>
                      <w:bCs/>
                      <w:snapToGrid w:val="0"/>
                      <w:color w:val="auto"/>
                      <w:spacing w:val="-1"/>
                      <w:kern w:val="0"/>
                      <w:sz w:val="21"/>
                      <w:szCs w:val="21"/>
                      <w:highlight w:val="none"/>
                      <w:vertAlign w:val="baseline"/>
                      <w:lang w:val="en-US" w:eastAsia="zh-CN" w:bidi="ar-SA"/>
                    </w:rPr>
                    <w:t>cm/s，</w:t>
                  </w:r>
                  <w:r>
                    <w:rPr>
                      <w:rFonts w:hint="default" w:ascii="Times New Roman" w:hAnsi="Times New Roman" w:eastAsia="宋体" w:cs="Times New Roman"/>
                      <w:b w:val="0"/>
                      <w:bCs/>
                      <w:color w:val="auto"/>
                      <w:spacing w:val="-1"/>
                      <w:sz w:val="21"/>
                      <w:szCs w:val="21"/>
                      <w:lang w:val="en-US" w:eastAsia="zh-CN"/>
                    </w:rPr>
                    <w:t>该事故油池可满足主变事故油暂存。</w:t>
                  </w:r>
                </w:p>
                <w:p w14:paraId="05FEDA99">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0000FF"/>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正常情况下变压器油不外排，仅在事故失控状态下才可能造成变压器油的泄漏，</w:t>
                  </w:r>
                  <w:r>
                    <w:rPr>
                      <w:rFonts w:hint="default" w:ascii="Times New Roman" w:hAnsi="Times New Roman" w:eastAsia="宋体" w:cs="Times New Roman"/>
                      <w:b w:val="0"/>
                      <w:bCs w:val="0"/>
                      <w:color w:val="auto"/>
                      <w:sz w:val="21"/>
                      <w:szCs w:val="24"/>
                      <w:highlight w:val="none"/>
                    </w:rPr>
                    <w:t>主变下方设有事故油坑，</w:t>
                  </w:r>
                  <w:r>
                    <w:rPr>
                      <w:rFonts w:hint="default" w:ascii="Times New Roman" w:hAnsi="Times New Roman" w:cs="Times New Roman"/>
                      <w:b w:val="0"/>
                      <w:bCs w:val="0"/>
                      <w:color w:val="auto"/>
                      <w:sz w:val="21"/>
                      <w:szCs w:val="24"/>
                      <w:highlight w:val="none"/>
                      <w:lang w:val="en-US" w:eastAsia="zh-CN"/>
                    </w:rPr>
                    <w:t>油坑下设钢格栅，格栅上铺设厚度</w:t>
                  </w:r>
                  <w:r>
                    <w:rPr>
                      <w:rFonts w:hint="default" w:ascii="Times New Roman" w:hAnsi="Times New Roman" w:eastAsia="宋体" w:cs="Times New Roman"/>
                      <w:b w:val="0"/>
                      <w:bCs w:val="0"/>
                      <w:color w:val="auto"/>
                      <w:sz w:val="21"/>
                      <w:szCs w:val="24"/>
                      <w:highlight w:val="none"/>
                      <w:lang w:val="en-US" w:eastAsia="zh-CN"/>
                    </w:rPr>
                    <w:t>≥</w:t>
                  </w:r>
                  <w:r>
                    <w:rPr>
                      <w:rFonts w:hint="default" w:ascii="Times New Roman" w:hAnsi="Times New Roman" w:cs="Times New Roman"/>
                      <w:b w:val="0"/>
                      <w:bCs w:val="0"/>
                      <w:color w:val="auto"/>
                      <w:sz w:val="21"/>
                      <w:szCs w:val="24"/>
                      <w:highlight w:val="none"/>
                      <w:lang w:val="en-US" w:eastAsia="zh-CN"/>
                    </w:rPr>
                    <w:t>250mm的卵石。</w:t>
                  </w:r>
                  <w:r>
                    <w:rPr>
                      <w:rFonts w:hint="default" w:ascii="Times New Roman" w:hAnsi="Times New Roman" w:eastAsia="宋体" w:cs="Times New Roman"/>
                      <w:b w:val="0"/>
                      <w:bCs w:val="0"/>
                      <w:color w:val="auto"/>
                      <w:sz w:val="21"/>
                      <w:szCs w:val="24"/>
                      <w:highlight w:val="none"/>
                    </w:rPr>
                    <w:t>事故油坑</w:t>
                  </w:r>
                  <w:r>
                    <w:rPr>
                      <w:rFonts w:hint="default" w:ascii="Times New Roman" w:hAnsi="Times New Roman" w:eastAsia="宋体" w:cs="Times New Roman"/>
                      <w:b w:val="0"/>
                      <w:color w:val="auto"/>
                      <w:sz w:val="21"/>
                      <w:szCs w:val="21"/>
                      <w:highlight w:val="none"/>
                      <w:lang w:val="en-US" w:eastAsia="zh-CN"/>
                    </w:rPr>
                    <w:t>设收集管与事故油池相连</w:t>
                  </w:r>
                  <w:r>
                    <w:rPr>
                      <w:rFonts w:hint="default" w:ascii="Times New Roman" w:hAnsi="Times New Roman" w:eastAsia="宋体" w:cs="Times New Roman"/>
                      <w:b w:val="0"/>
                      <w:bCs/>
                      <w:color w:val="auto"/>
                      <w:spacing w:val="-1"/>
                      <w:sz w:val="21"/>
                      <w:szCs w:val="21"/>
                      <w:lang w:val="en-US" w:eastAsia="zh-CN"/>
                    </w:rPr>
                    <w:t>。</w:t>
                  </w:r>
                </w:p>
                <w:p w14:paraId="68B9CE0D">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bCs w:val="0"/>
                      <w:color w:val="0000FF"/>
                      <w:kern w:val="0"/>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容积可满足《火力发电厂与变电站设计防火标准》（GB</w:t>
                  </w:r>
                  <w:r>
                    <w:rPr>
                      <w:rFonts w:hint="default" w:ascii="Times New Roman" w:hAnsi="Times New Roman" w:cs="Times New Roman"/>
                      <w:b w:val="0"/>
                      <w:bCs/>
                      <w:color w:val="auto"/>
                      <w:sz w:val="21"/>
                      <w:szCs w:val="21"/>
                      <w:highlight w:val="none"/>
                      <w:lang w:val="en-US" w:eastAsia="zh-CN"/>
                    </w:rPr>
                    <w:t xml:space="preserve"> </w:t>
                  </w:r>
                  <w:r>
                    <w:rPr>
                      <w:rFonts w:hint="default" w:ascii="Times New Roman" w:hAnsi="Times New Roman" w:eastAsia="宋体" w:cs="Times New Roman"/>
                      <w:b w:val="0"/>
                      <w:bCs/>
                      <w:color w:val="auto"/>
                      <w:sz w:val="21"/>
                      <w:szCs w:val="21"/>
                      <w:highlight w:val="none"/>
                    </w:rPr>
                    <w:t>50229-2019）“6.7.8户外单台油量为1000kg以上的电气设备，应设置贮油或挡油设施，其容积宜按设备油量的20％设计，并能将事故油排至总事故贮油池。总事故贮油池的容量应按其接入的油量最大的一台设备确定。事故油坑和事故油池要进行防渗，严格按照《危险废物贮存污染控制标准》（GB</w:t>
                  </w:r>
                  <w:r>
                    <w:rPr>
                      <w:rFonts w:hint="default" w:ascii="Times New Roman" w:hAnsi="Times New Roman" w:cs="Times New Roman"/>
                      <w:b w:val="0"/>
                      <w:bCs/>
                      <w:color w:val="auto"/>
                      <w:sz w:val="21"/>
                      <w:szCs w:val="21"/>
                      <w:highlight w:val="none"/>
                      <w:lang w:val="en-US" w:eastAsia="zh-CN"/>
                    </w:rPr>
                    <w:t xml:space="preserve"> </w:t>
                  </w:r>
                  <w:r>
                    <w:rPr>
                      <w:rFonts w:hint="default" w:ascii="Times New Roman" w:hAnsi="Times New Roman" w:eastAsia="宋体" w:cs="Times New Roman"/>
                      <w:b w:val="0"/>
                      <w:bCs/>
                      <w:color w:val="auto"/>
                      <w:sz w:val="21"/>
                      <w:szCs w:val="21"/>
                      <w:highlight w:val="none"/>
                    </w:rPr>
                    <w:t>18597-2023）中相关规定要求建设，防渗层为至少1m厚黏土层（渗透系数不大于10</w:t>
                  </w:r>
                  <w:r>
                    <w:rPr>
                      <w:rFonts w:hint="default" w:ascii="Times New Roman" w:hAnsi="Times New Roman" w:eastAsia="宋体" w:cs="Times New Roman"/>
                      <w:b w:val="0"/>
                      <w:bCs/>
                      <w:color w:val="auto"/>
                      <w:sz w:val="21"/>
                      <w:szCs w:val="21"/>
                      <w:highlight w:val="none"/>
                      <w:vertAlign w:val="superscript"/>
                    </w:rPr>
                    <w:t>-7</w:t>
                  </w:r>
                  <w:r>
                    <w:rPr>
                      <w:rFonts w:hint="default" w:ascii="Times New Roman" w:hAnsi="Times New Roman" w:eastAsia="宋体" w:cs="Times New Roman"/>
                      <w:b w:val="0"/>
                      <w:bCs/>
                      <w:color w:val="auto"/>
                      <w:sz w:val="21"/>
                      <w:szCs w:val="21"/>
                      <w:highlight w:val="none"/>
                    </w:rPr>
                    <w:t>cm/s），或至少2mm厚高密度聚乙烯膜等人工防渗材料（渗透系数不大于10</w:t>
                  </w:r>
                  <w:r>
                    <w:rPr>
                      <w:rFonts w:hint="default" w:ascii="Times New Roman" w:hAnsi="Times New Roman" w:eastAsia="宋体" w:cs="Times New Roman"/>
                      <w:b w:val="0"/>
                      <w:bCs/>
                      <w:color w:val="auto"/>
                      <w:sz w:val="21"/>
                      <w:szCs w:val="21"/>
                      <w:highlight w:val="none"/>
                      <w:vertAlign w:val="superscript"/>
                    </w:rPr>
                    <w:t>-10</w:t>
                  </w:r>
                  <w:r>
                    <w:rPr>
                      <w:rFonts w:hint="default" w:ascii="Times New Roman" w:hAnsi="Times New Roman" w:eastAsia="宋体" w:cs="Times New Roman"/>
                      <w:b w:val="0"/>
                      <w:bCs/>
                      <w:color w:val="auto"/>
                      <w:sz w:val="21"/>
                      <w:szCs w:val="21"/>
                      <w:highlight w:val="none"/>
                    </w:rPr>
                    <w:t>cm/s），确保无渗漏、无溢流。事故状态下的泄漏油收集至事故油池，委托有资质单位清运处理。</w:t>
                  </w:r>
                </w:p>
              </w:tc>
              <w:tc>
                <w:tcPr>
                  <w:tcW w:w="421" w:type="pct"/>
                  <w:vMerge w:val="continue"/>
                  <w:noWrap w:val="0"/>
                  <w:vAlign w:val="center"/>
                </w:tcPr>
                <w:p w14:paraId="62D29197">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r>
            <w:tr w14:paraId="1184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restart"/>
                  <w:shd w:val="clear" w:color="auto" w:fill="auto"/>
                  <w:noWrap w:val="0"/>
                  <w:vAlign w:val="center"/>
                </w:tcPr>
                <w:p w14:paraId="44077AB9">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公用工程</w:t>
                  </w:r>
                </w:p>
              </w:tc>
              <w:tc>
                <w:tcPr>
                  <w:tcW w:w="1047" w:type="pct"/>
                  <w:gridSpan w:val="2"/>
                  <w:shd w:val="clear" w:color="auto" w:fill="auto"/>
                  <w:noWrap w:val="0"/>
                  <w:vAlign w:val="center"/>
                </w:tcPr>
                <w:p w14:paraId="6012D193">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供水</w:t>
                  </w:r>
                </w:p>
              </w:tc>
              <w:tc>
                <w:tcPr>
                  <w:tcW w:w="3174" w:type="pct"/>
                  <w:shd w:val="clear" w:color="auto" w:fill="auto"/>
                  <w:noWrap w:val="0"/>
                  <w:vAlign w:val="center"/>
                </w:tcPr>
                <w:p w14:paraId="406CFC3A">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项目运行期无需生产用水，</w:t>
                  </w:r>
                  <w:r>
                    <w:rPr>
                      <w:rFonts w:hint="default" w:ascii="Times New Roman" w:hAnsi="Times New Roman" w:cs="Times New Roman"/>
                      <w:b w:val="0"/>
                      <w:color w:val="auto"/>
                      <w:sz w:val="21"/>
                      <w:szCs w:val="21"/>
                      <w:highlight w:val="none"/>
                      <w:lang w:val="en-US" w:eastAsia="zh-CN"/>
                    </w:rPr>
                    <w:t>升压站</w:t>
                  </w:r>
                  <w:r>
                    <w:rPr>
                      <w:rFonts w:hint="default" w:ascii="Times New Roman" w:hAnsi="Times New Roman" w:eastAsia="宋体" w:cs="Times New Roman"/>
                      <w:b w:val="0"/>
                      <w:color w:val="auto"/>
                      <w:sz w:val="21"/>
                      <w:szCs w:val="21"/>
                      <w:highlight w:val="none"/>
                      <w:lang w:val="en-US" w:eastAsia="zh-CN"/>
                    </w:rPr>
                    <w:t>用水主要为生活用水。</w:t>
                  </w:r>
                  <w:r>
                    <w:rPr>
                      <w:rFonts w:hint="default" w:ascii="Times New Roman" w:hAnsi="Times New Roman" w:cs="Times New Roman"/>
                      <w:b w:val="0"/>
                      <w:color w:val="auto"/>
                      <w:sz w:val="21"/>
                      <w:szCs w:val="21"/>
                      <w:highlight w:val="none"/>
                      <w:lang w:val="en-US" w:eastAsia="zh-CN"/>
                    </w:rPr>
                    <w:t>站区内设置1座有效容积4m</w:t>
                  </w:r>
                  <w:r>
                    <w:rPr>
                      <w:rFonts w:hint="default" w:ascii="Times New Roman" w:hAnsi="Times New Roman" w:cs="Times New Roman"/>
                      <w:b w:val="0"/>
                      <w:color w:val="auto"/>
                      <w:sz w:val="21"/>
                      <w:szCs w:val="21"/>
                      <w:highlight w:val="none"/>
                      <w:vertAlign w:val="superscript"/>
                      <w:lang w:val="en-US" w:eastAsia="zh-CN"/>
                    </w:rPr>
                    <w:t>3</w:t>
                  </w:r>
                  <w:r>
                    <w:rPr>
                      <w:rFonts w:hint="default" w:ascii="Times New Roman" w:hAnsi="Times New Roman" w:cs="Times New Roman"/>
                      <w:b w:val="0"/>
                      <w:color w:val="auto"/>
                      <w:sz w:val="21"/>
                      <w:szCs w:val="21"/>
                      <w:highlight w:val="none"/>
                      <w:lang w:val="en-US" w:eastAsia="zh-CN"/>
                    </w:rPr>
                    <w:t>水箱的地上式一体化给水设备，为综合楼驻留人员供应日常生活用水，由运水车定期供应。</w:t>
                  </w:r>
                </w:p>
              </w:tc>
              <w:tc>
                <w:tcPr>
                  <w:tcW w:w="421" w:type="pct"/>
                  <w:vMerge w:val="restart"/>
                  <w:shd w:val="clear" w:color="auto" w:fill="auto"/>
                  <w:noWrap w:val="0"/>
                  <w:vAlign w:val="center"/>
                </w:tcPr>
                <w:p w14:paraId="191F70B1">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新建</w:t>
                  </w:r>
                </w:p>
              </w:tc>
            </w:tr>
            <w:tr w14:paraId="58D3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3DB2E5E9">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1047" w:type="pct"/>
                  <w:gridSpan w:val="2"/>
                  <w:shd w:val="clear" w:color="auto" w:fill="auto"/>
                  <w:noWrap w:val="0"/>
                  <w:vAlign w:val="center"/>
                </w:tcPr>
                <w:p w14:paraId="35E04183">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排水</w:t>
                  </w:r>
                </w:p>
              </w:tc>
              <w:tc>
                <w:tcPr>
                  <w:tcW w:w="3174" w:type="pct"/>
                  <w:shd w:val="clear" w:color="auto" w:fill="auto"/>
                  <w:noWrap w:val="0"/>
                  <w:vAlign w:val="center"/>
                </w:tcPr>
                <w:p w14:paraId="7C0A961C">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站区内设置化粪池（容积6m</w:t>
                  </w:r>
                  <w:r>
                    <w:rPr>
                      <w:rFonts w:hint="default" w:ascii="Times New Roman" w:hAnsi="Times New Roman" w:cs="Times New Roman"/>
                      <w:b w:val="0"/>
                      <w:color w:val="auto"/>
                      <w:sz w:val="21"/>
                      <w:szCs w:val="21"/>
                      <w:highlight w:val="none"/>
                      <w:vertAlign w:val="superscript"/>
                      <w:lang w:val="en-US" w:eastAsia="zh-CN"/>
                    </w:rPr>
                    <w:t>3</w:t>
                  </w:r>
                  <w:r>
                    <w:rPr>
                      <w:rFonts w:hint="default" w:ascii="Times New Roman" w:hAnsi="Times New Roman" w:cs="Times New Roman"/>
                      <w:b w:val="0"/>
                      <w:color w:val="auto"/>
                      <w:sz w:val="21"/>
                      <w:szCs w:val="21"/>
                      <w:highlight w:val="none"/>
                      <w:vertAlign w:val="baseline"/>
                      <w:lang w:val="en-US" w:eastAsia="zh-CN"/>
                    </w:rPr>
                    <w:t>，</w:t>
                  </w:r>
                  <w:r>
                    <w:rPr>
                      <w:rFonts w:hint="default" w:ascii="Times New Roman" w:hAnsi="Times New Roman" w:cs="Times New Roman"/>
                      <w:b w:val="0"/>
                      <w:color w:val="auto"/>
                      <w:sz w:val="21"/>
                      <w:szCs w:val="21"/>
                      <w:highlight w:val="none"/>
                      <w:lang w:val="en-US" w:eastAsia="zh-CN"/>
                    </w:rPr>
                    <w:t>防渗要求满足渗透系数≤10</w:t>
                  </w:r>
                  <w:r>
                    <w:rPr>
                      <w:rFonts w:hint="default" w:ascii="Times New Roman" w:hAnsi="Times New Roman" w:cs="Times New Roman"/>
                      <w:b w:val="0"/>
                      <w:color w:val="auto"/>
                      <w:sz w:val="21"/>
                      <w:szCs w:val="21"/>
                      <w:highlight w:val="none"/>
                      <w:vertAlign w:val="superscript"/>
                      <w:lang w:val="en-US" w:eastAsia="zh-CN"/>
                    </w:rPr>
                    <w:t>-7</w:t>
                  </w:r>
                  <w:r>
                    <w:rPr>
                      <w:rFonts w:hint="default" w:ascii="Times New Roman" w:hAnsi="Times New Roman" w:cs="Times New Roman"/>
                      <w:b w:val="0"/>
                      <w:color w:val="auto"/>
                      <w:sz w:val="21"/>
                      <w:szCs w:val="21"/>
                      <w:highlight w:val="none"/>
                      <w:lang w:val="en-US" w:eastAsia="zh-CN"/>
                    </w:rPr>
                    <w:t>cm/s）、地埋式一体化污水处理装置（处理能力1m</w:t>
                  </w:r>
                  <w:r>
                    <w:rPr>
                      <w:rFonts w:hint="default" w:ascii="Times New Roman" w:hAnsi="Times New Roman" w:cs="Times New Roman"/>
                      <w:b w:val="0"/>
                      <w:color w:val="auto"/>
                      <w:sz w:val="21"/>
                      <w:szCs w:val="21"/>
                      <w:highlight w:val="none"/>
                      <w:vertAlign w:val="superscript"/>
                      <w:lang w:val="en-US" w:eastAsia="zh-CN"/>
                    </w:rPr>
                    <w:t>3</w:t>
                  </w:r>
                  <w:r>
                    <w:rPr>
                      <w:rFonts w:hint="default" w:ascii="Times New Roman" w:hAnsi="Times New Roman" w:cs="Times New Roman"/>
                      <w:b w:val="0"/>
                      <w:color w:val="auto"/>
                      <w:sz w:val="21"/>
                      <w:szCs w:val="21"/>
                      <w:highlight w:val="none"/>
                      <w:vertAlign w:val="baseline"/>
                      <w:lang w:val="en-US" w:eastAsia="zh-CN"/>
                    </w:rPr>
                    <w:t>/h</w:t>
                  </w:r>
                  <w:r>
                    <w:rPr>
                      <w:rFonts w:hint="default" w:ascii="Times New Roman" w:hAnsi="Times New Roman" w:cs="Times New Roman"/>
                      <w:b w:val="0"/>
                      <w:color w:val="auto"/>
                      <w:sz w:val="21"/>
                      <w:szCs w:val="21"/>
                      <w:highlight w:val="none"/>
                      <w:lang w:val="en-US" w:eastAsia="zh-CN"/>
                    </w:rPr>
                    <w:t>）、中水池（容积20m</w:t>
                  </w:r>
                  <w:r>
                    <w:rPr>
                      <w:rFonts w:hint="default" w:ascii="Times New Roman" w:hAnsi="Times New Roman" w:cs="Times New Roman"/>
                      <w:b w:val="0"/>
                      <w:color w:val="auto"/>
                      <w:sz w:val="21"/>
                      <w:szCs w:val="21"/>
                      <w:highlight w:val="none"/>
                      <w:vertAlign w:val="superscript"/>
                      <w:lang w:val="en-US" w:eastAsia="zh-CN"/>
                    </w:rPr>
                    <w:t>3</w:t>
                  </w:r>
                  <w:r>
                    <w:rPr>
                      <w:rFonts w:hint="default" w:ascii="Times New Roman" w:hAnsi="Times New Roman" w:cs="Times New Roman"/>
                      <w:b w:val="0"/>
                      <w:color w:val="auto"/>
                      <w:sz w:val="21"/>
                      <w:szCs w:val="21"/>
                      <w:highlight w:val="none"/>
                      <w:vertAlign w:val="baseline"/>
                      <w:lang w:val="en-US" w:eastAsia="zh-CN"/>
                    </w:rPr>
                    <w:t>，</w:t>
                  </w:r>
                  <w:r>
                    <w:rPr>
                      <w:rFonts w:hint="default" w:ascii="Times New Roman" w:hAnsi="Times New Roman" w:cs="Times New Roman"/>
                      <w:b w:val="0"/>
                      <w:color w:val="auto"/>
                      <w:sz w:val="21"/>
                      <w:szCs w:val="21"/>
                      <w:highlight w:val="none"/>
                      <w:lang w:val="en-US" w:eastAsia="zh-CN"/>
                    </w:rPr>
                    <w:t>防渗要求满足渗透系数≤10</w:t>
                  </w:r>
                  <w:r>
                    <w:rPr>
                      <w:rFonts w:hint="default" w:ascii="Times New Roman" w:hAnsi="Times New Roman" w:cs="Times New Roman"/>
                      <w:b w:val="0"/>
                      <w:color w:val="auto"/>
                      <w:sz w:val="21"/>
                      <w:szCs w:val="21"/>
                      <w:highlight w:val="none"/>
                      <w:vertAlign w:val="superscript"/>
                      <w:lang w:val="en-US" w:eastAsia="zh-CN"/>
                    </w:rPr>
                    <w:t>-7</w:t>
                  </w:r>
                  <w:r>
                    <w:rPr>
                      <w:rFonts w:hint="default" w:ascii="Times New Roman" w:hAnsi="Times New Roman" w:cs="Times New Roman"/>
                      <w:b w:val="0"/>
                      <w:color w:val="auto"/>
                      <w:sz w:val="21"/>
                      <w:szCs w:val="21"/>
                      <w:highlight w:val="none"/>
                      <w:lang w:val="en-US" w:eastAsia="zh-CN"/>
                    </w:rPr>
                    <w:t>cm/s），生活污水经处置后用于</w:t>
                  </w:r>
                  <w:r>
                    <w:rPr>
                      <w:rFonts w:hint="eastAsia" w:cs="Times New Roman"/>
                      <w:b w:val="0"/>
                      <w:color w:val="auto"/>
                      <w:sz w:val="21"/>
                      <w:szCs w:val="21"/>
                      <w:highlight w:val="none"/>
                      <w:lang w:val="en-US" w:eastAsia="zh-CN"/>
                    </w:rPr>
                    <w:t>洒水抑尘</w:t>
                  </w:r>
                  <w:r>
                    <w:rPr>
                      <w:rFonts w:hint="default" w:ascii="Times New Roman" w:hAnsi="Times New Roman" w:cs="Times New Roman"/>
                      <w:b w:val="0"/>
                      <w:color w:val="auto"/>
                      <w:sz w:val="21"/>
                      <w:szCs w:val="21"/>
                      <w:highlight w:val="none"/>
                      <w:lang w:val="en-US" w:eastAsia="zh-CN"/>
                    </w:rPr>
                    <w:t>及冲洗道路使用，不外排。期间产生的污泥由环卫部门定期清掏后外运。</w:t>
                  </w:r>
                </w:p>
              </w:tc>
              <w:tc>
                <w:tcPr>
                  <w:tcW w:w="421" w:type="pct"/>
                  <w:vMerge w:val="continue"/>
                  <w:shd w:val="clear" w:color="auto" w:fill="auto"/>
                  <w:noWrap w:val="0"/>
                  <w:vAlign w:val="center"/>
                </w:tcPr>
                <w:p w14:paraId="1394DE50">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p>
              </w:tc>
            </w:tr>
            <w:tr w14:paraId="584F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26A6E614">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1047" w:type="pct"/>
                  <w:gridSpan w:val="2"/>
                  <w:shd w:val="clear" w:color="auto" w:fill="auto"/>
                  <w:noWrap w:val="0"/>
                  <w:vAlign w:val="center"/>
                </w:tcPr>
                <w:p w14:paraId="2769D2BD">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供电</w:t>
                  </w:r>
                </w:p>
              </w:tc>
              <w:tc>
                <w:tcPr>
                  <w:tcW w:w="3174" w:type="pct"/>
                  <w:shd w:val="clear" w:color="auto" w:fill="auto"/>
                  <w:noWrap w:val="0"/>
                  <w:vAlign w:val="center"/>
                </w:tcPr>
                <w:p w14:paraId="0DA703A5">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本项目运营期生产用电等直接取自本风电场。</w:t>
                  </w:r>
                </w:p>
              </w:tc>
              <w:tc>
                <w:tcPr>
                  <w:tcW w:w="421" w:type="pct"/>
                  <w:vMerge w:val="continue"/>
                  <w:shd w:val="clear" w:color="auto" w:fill="auto"/>
                  <w:noWrap w:val="0"/>
                  <w:vAlign w:val="center"/>
                </w:tcPr>
                <w:p w14:paraId="3C114DA9">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p>
              </w:tc>
            </w:tr>
            <w:tr w14:paraId="3C23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66284448">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1047" w:type="pct"/>
                  <w:gridSpan w:val="2"/>
                  <w:shd w:val="clear" w:color="auto" w:fill="auto"/>
                  <w:noWrap w:val="0"/>
                  <w:vAlign w:val="center"/>
                </w:tcPr>
                <w:p w14:paraId="059E7D4B">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供暖</w:t>
                  </w:r>
                </w:p>
              </w:tc>
              <w:tc>
                <w:tcPr>
                  <w:tcW w:w="3174" w:type="pct"/>
                  <w:shd w:val="clear" w:color="auto" w:fill="auto"/>
                  <w:noWrap w:val="0"/>
                  <w:vAlign w:val="center"/>
                </w:tcPr>
                <w:p w14:paraId="656766F9">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本项目采用电暖器供热方式。</w:t>
                  </w:r>
                </w:p>
              </w:tc>
              <w:tc>
                <w:tcPr>
                  <w:tcW w:w="421" w:type="pct"/>
                  <w:vMerge w:val="continue"/>
                  <w:shd w:val="clear" w:color="auto" w:fill="auto"/>
                  <w:noWrap w:val="0"/>
                  <w:vAlign w:val="center"/>
                </w:tcPr>
                <w:p w14:paraId="21CC9E77">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p>
              </w:tc>
            </w:tr>
            <w:tr w14:paraId="55303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77EF7B6C">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1047" w:type="pct"/>
                  <w:gridSpan w:val="2"/>
                  <w:shd w:val="clear" w:color="auto" w:fill="auto"/>
                  <w:noWrap w:val="0"/>
                  <w:vAlign w:val="center"/>
                </w:tcPr>
                <w:p w14:paraId="298B8D52">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消防</w:t>
                  </w:r>
                </w:p>
              </w:tc>
              <w:tc>
                <w:tcPr>
                  <w:tcW w:w="3174" w:type="pct"/>
                  <w:shd w:val="clear" w:color="auto" w:fill="auto"/>
                  <w:noWrap w:val="0"/>
                  <w:vAlign w:val="center"/>
                </w:tcPr>
                <w:p w14:paraId="71CA1B1F">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本项目各电气设备舱在舱内统一配备自动灭火装置，舱外设置磷酸铵盐干粉灭火器，主变周围设施推车式磷酸铵盐干粉灭火器以及砂箱、消防铲和消防桶等。</w:t>
                  </w:r>
                </w:p>
              </w:tc>
              <w:tc>
                <w:tcPr>
                  <w:tcW w:w="421" w:type="pct"/>
                  <w:vMerge w:val="continue"/>
                  <w:shd w:val="clear" w:color="auto" w:fill="auto"/>
                  <w:noWrap w:val="0"/>
                  <w:vAlign w:val="center"/>
                </w:tcPr>
                <w:p w14:paraId="241EE28E">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p>
              </w:tc>
            </w:tr>
            <w:tr w14:paraId="0591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restart"/>
                  <w:shd w:val="clear" w:color="auto" w:fill="auto"/>
                  <w:noWrap w:val="0"/>
                  <w:vAlign w:val="center"/>
                </w:tcPr>
                <w:p w14:paraId="0DD38EEE">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环保工程</w:t>
                  </w:r>
                </w:p>
              </w:tc>
              <w:tc>
                <w:tcPr>
                  <w:tcW w:w="418" w:type="pct"/>
                  <w:vMerge w:val="restart"/>
                  <w:shd w:val="clear" w:color="auto" w:fill="auto"/>
                  <w:noWrap w:val="0"/>
                  <w:vAlign w:val="center"/>
                </w:tcPr>
                <w:p w14:paraId="3D0247D6">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施工期</w:t>
                  </w:r>
                </w:p>
              </w:tc>
              <w:tc>
                <w:tcPr>
                  <w:tcW w:w="629" w:type="pct"/>
                  <w:shd w:val="clear" w:color="auto" w:fill="auto"/>
                  <w:noWrap w:val="0"/>
                  <w:vAlign w:val="center"/>
                </w:tcPr>
                <w:p w14:paraId="2D50494D">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废气治理措施</w:t>
                  </w:r>
                </w:p>
              </w:tc>
              <w:tc>
                <w:tcPr>
                  <w:tcW w:w="3174" w:type="pct"/>
                  <w:shd w:val="clear" w:color="auto" w:fill="auto"/>
                  <w:noWrap w:val="0"/>
                  <w:vAlign w:val="center"/>
                </w:tcPr>
                <w:p w14:paraId="23C94B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firstLine="420" w:firstLine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施工期废气为</w:t>
                  </w:r>
                  <w:r>
                    <w:rPr>
                      <w:rFonts w:hint="default" w:ascii="Times New Roman" w:hAnsi="Times New Roman" w:eastAsia="宋体" w:cs="Times New Roman"/>
                      <w:color w:val="auto"/>
                      <w:sz w:val="21"/>
                      <w:szCs w:val="21"/>
                      <w:highlight w:val="none"/>
                      <w:lang w:val="en-US" w:eastAsia="zh-CN"/>
                    </w:rPr>
                    <w:t>工程土建施工、建筑装修材料装卸</w:t>
                  </w:r>
                  <w:r>
                    <w:rPr>
                      <w:rFonts w:hint="default" w:ascii="Times New Roman" w:hAnsi="Times New Roman" w:eastAsia="宋体" w:cs="Times New Roman"/>
                      <w:color w:val="auto"/>
                      <w:sz w:val="21"/>
                      <w:szCs w:val="21"/>
                      <w:highlight w:val="none"/>
                    </w:rPr>
                    <w:t>及交通运输过程中产生的扬尘以及燃油机械废气和汽车尾气；</w:t>
                  </w:r>
                </w:p>
                <w:p w14:paraId="687572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firstLine="420" w:firstLine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施工扬尘：施工作业面、运输道路洒水抑尘，粉状和颗粒状物料使用苫布遮盖，对路面洒水，要求运输车辆遮盖或封闭，杜绝物料撒落；</w:t>
                  </w:r>
                </w:p>
                <w:p w14:paraId="56DAE6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firstLine="420" w:firstLineChars="20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燃油机械废气和汽车尾气：加强对施工车辆的检修，严禁使用超期服役和尾气超标的车辆。</w:t>
                  </w:r>
                </w:p>
              </w:tc>
              <w:tc>
                <w:tcPr>
                  <w:tcW w:w="421" w:type="pct"/>
                  <w:vMerge w:val="restart"/>
                  <w:shd w:val="clear" w:color="auto" w:fill="auto"/>
                  <w:noWrap w:val="0"/>
                  <w:vAlign w:val="center"/>
                </w:tcPr>
                <w:p w14:paraId="1C97FB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sz w:val="21"/>
                      <w:szCs w:val="21"/>
                      <w:highlight w:val="none"/>
                      <w:lang w:val="en-US" w:eastAsia="zh-CN"/>
                    </w:rPr>
                    <w:t>新建</w:t>
                  </w:r>
                </w:p>
              </w:tc>
            </w:tr>
            <w:tr w14:paraId="7543D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7676EEC2">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CN"/>
                    </w:rPr>
                  </w:pPr>
                </w:p>
              </w:tc>
              <w:tc>
                <w:tcPr>
                  <w:tcW w:w="418" w:type="pct"/>
                  <w:vMerge w:val="continue"/>
                  <w:shd w:val="clear" w:color="auto" w:fill="auto"/>
                  <w:noWrap w:val="0"/>
                  <w:vAlign w:val="center"/>
                </w:tcPr>
                <w:p w14:paraId="2D7E48E8">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629" w:type="pct"/>
                  <w:shd w:val="clear" w:color="auto" w:fill="auto"/>
                  <w:noWrap w:val="0"/>
                  <w:vAlign w:val="center"/>
                </w:tcPr>
                <w:p w14:paraId="714BC84F">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kern w:val="2"/>
                      <w:sz w:val="21"/>
                      <w:szCs w:val="21"/>
                      <w:highlight w:val="none"/>
                      <w:lang w:val="en-US" w:eastAsia="zh-CN" w:bidi="ar-SA"/>
                    </w:rPr>
                    <w:t>废水治理措施</w:t>
                  </w:r>
                </w:p>
              </w:tc>
              <w:tc>
                <w:tcPr>
                  <w:tcW w:w="3174" w:type="pct"/>
                  <w:shd w:val="clear" w:color="auto" w:fill="auto"/>
                  <w:noWrap w:val="0"/>
                  <w:vAlign w:val="center"/>
                </w:tcPr>
                <w:p w14:paraId="4E9449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firstLine="420" w:firstLineChars="20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施工废水：</w:t>
                  </w:r>
                  <w:r>
                    <w:rPr>
                      <w:rFonts w:hint="default" w:ascii="Times New Roman" w:hAnsi="Times New Roman" w:eastAsia="宋体" w:cs="Times New Roman"/>
                      <w:color w:val="auto"/>
                      <w:sz w:val="21"/>
                      <w:szCs w:val="21"/>
                      <w:highlight w:val="none"/>
                      <w:lang w:val="en-US" w:eastAsia="zh-CN"/>
                    </w:rPr>
                    <w:t>机械冲洗水经移动式油处理设施处理，其他施工废水通过沉淀池处理，处理后全部用于洒水降尘。</w:t>
                  </w:r>
                </w:p>
                <w:p w14:paraId="786F66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firstLine="420" w:firstLineChars="200"/>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施工期生活污水：</w:t>
                  </w:r>
                  <w:r>
                    <w:rPr>
                      <w:rFonts w:hint="default" w:ascii="Times New Roman" w:hAnsi="Times New Roman" w:eastAsia="宋体" w:cs="Times New Roman"/>
                      <w:color w:val="auto"/>
                      <w:sz w:val="21"/>
                      <w:szCs w:val="21"/>
                      <w:highlight w:val="none"/>
                      <w:lang w:val="en-US" w:eastAsia="zh-CN"/>
                    </w:rPr>
                    <w:t>升压站施工人员日常生活依托风电场内施工生产生活区，生活污水由生活区内的化粪池</w:t>
                  </w:r>
                  <w:r>
                    <w:rPr>
                      <w:rFonts w:hint="default" w:ascii="Times New Roman" w:hAnsi="Times New Roman" w:cs="Times New Roman"/>
                      <w:color w:val="auto"/>
                      <w:sz w:val="21"/>
                      <w:szCs w:val="21"/>
                      <w:highlight w:val="none"/>
                      <w:lang w:val="en-US" w:eastAsia="zh-CN"/>
                    </w:rPr>
                    <w:t>静置沉淀</w:t>
                  </w:r>
                  <w:r>
                    <w:rPr>
                      <w:rFonts w:hint="default" w:ascii="Times New Roman" w:hAnsi="Times New Roman" w:eastAsia="宋体" w:cs="Times New Roman"/>
                      <w:color w:val="auto"/>
                      <w:sz w:val="21"/>
                      <w:szCs w:val="21"/>
                      <w:highlight w:val="none"/>
                      <w:lang w:val="en-US" w:eastAsia="zh-CN"/>
                    </w:rPr>
                    <w:t>后，拉运至污水处理厂</w:t>
                  </w:r>
                  <w:r>
                    <w:rPr>
                      <w:rFonts w:hint="default" w:ascii="Times New Roman" w:hAnsi="Times New Roman" w:cs="Times New Roman"/>
                      <w:color w:val="auto"/>
                      <w:sz w:val="21"/>
                      <w:szCs w:val="21"/>
                      <w:highlight w:val="none"/>
                      <w:lang w:val="en-US" w:eastAsia="zh-CN"/>
                    </w:rPr>
                    <w:t>进一步</w:t>
                  </w:r>
                  <w:r>
                    <w:rPr>
                      <w:rFonts w:hint="default" w:ascii="Times New Roman" w:hAnsi="Times New Roman" w:eastAsia="宋体" w:cs="Times New Roman"/>
                      <w:color w:val="auto"/>
                      <w:sz w:val="21"/>
                      <w:szCs w:val="21"/>
                      <w:highlight w:val="none"/>
                      <w:lang w:val="en-US" w:eastAsia="zh-CN"/>
                    </w:rPr>
                    <w:t>处理</w:t>
                  </w:r>
                  <w:r>
                    <w:rPr>
                      <w:rFonts w:hint="default" w:ascii="Times New Roman" w:hAnsi="Times New Roman" w:eastAsia="宋体" w:cs="Times New Roman"/>
                      <w:color w:val="auto"/>
                      <w:sz w:val="21"/>
                      <w:szCs w:val="21"/>
                      <w:highlight w:val="none"/>
                    </w:rPr>
                    <w:t>。</w:t>
                  </w:r>
                </w:p>
              </w:tc>
              <w:tc>
                <w:tcPr>
                  <w:tcW w:w="421" w:type="pct"/>
                  <w:vMerge w:val="continue"/>
                  <w:shd w:val="clear" w:color="auto" w:fill="auto"/>
                  <w:noWrap w:val="0"/>
                  <w:vAlign w:val="center"/>
                </w:tcPr>
                <w:p w14:paraId="4A714C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color w:val="auto"/>
                      <w:kern w:val="2"/>
                      <w:sz w:val="21"/>
                      <w:szCs w:val="21"/>
                      <w:highlight w:val="none"/>
                      <w:lang w:val="en-US" w:eastAsia="zh-CN" w:bidi="ar-SA"/>
                    </w:rPr>
                  </w:pPr>
                </w:p>
              </w:tc>
            </w:tr>
            <w:tr w14:paraId="2026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7CCC6203">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
                    </w:rPr>
                  </w:pPr>
                </w:p>
              </w:tc>
              <w:tc>
                <w:tcPr>
                  <w:tcW w:w="418" w:type="pct"/>
                  <w:vMerge w:val="continue"/>
                  <w:shd w:val="clear" w:color="auto" w:fill="auto"/>
                  <w:noWrap w:val="0"/>
                  <w:vAlign w:val="center"/>
                </w:tcPr>
                <w:p w14:paraId="4C1FEF85">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629" w:type="pct"/>
                  <w:shd w:val="clear" w:color="auto" w:fill="auto"/>
                  <w:noWrap w:val="0"/>
                  <w:vAlign w:val="center"/>
                </w:tcPr>
                <w:p w14:paraId="65C67E50">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highlight w:val="none"/>
                      <w:lang w:val="en-US" w:eastAsia="zh-CN"/>
                    </w:rPr>
                    <w:t>噪声治理措施</w:t>
                  </w:r>
                </w:p>
              </w:tc>
              <w:tc>
                <w:tcPr>
                  <w:tcW w:w="3174" w:type="pct"/>
                  <w:shd w:val="clear" w:color="auto" w:fill="auto"/>
                  <w:noWrap w:val="0"/>
                  <w:vAlign w:val="center"/>
                </w:tcPr>
                <w:p w14:paraId="1E1A2145">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firstLine="420" w:firstLineChars="200"/>
                    <w:jc w:val="left"/>
                    <w:textAlignment w:val="auto"/>
                    <w:rPr>
                      <w:rFonts w:hint="default" w:ascii="Times New Roman" w:hAnsi="Times New Roman" w:eastAsia="宋体" w:cs="Times New Roman"/>
                      <w:color w:val="auto"/>
                      <w:kern w:val="2"/>
                      <w:sz w:val="21"/>
                      <w:szCs w:val="21"/>
                      <w:highlight w:val="none"/>
                      <w:lang w:val="en-US" w:eastAsia="zh" w:bidi="ar-SA"/>
                    </w:rPr>
                  </w:pPr>
                  <w:r>
                    <w:rPr>
                      <w:rFonts w:hint="default" w:ascii="Times New Roman" w:hAnsi="Times New Roman" w:eastAsia="宋体" w:cs="Times New Roman"/>
                      <w:color w:val="auto"/>
                      <w:sz w:val="21"/>
                      <w:szCs w:val="21"/>
                      <w:highlight w:val="none"/>
                    </w:rPr>
                    <w:t>合理安排了施工时间，强化了施工人员管理、选用规范的施工工艺及方法、施工机械选用低噪声设备。</w:t>
                  </w:r>
                </w:p>
              </w:tc>
              <w:tc>
                <w:tcPr>
                  <w:tcW w:w="421" w:type="pct"/>
                  <w:vMerge w:val="continue"/>
                  <w:shd w:val="clear" w:color="auto" w:fill="auto"/>
                  <w:noWrap w:val="0"/>
                  <w:vAlign w:val="center"/>
                </w:tcPr>
                <w:p w14:paraId="5F3E31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p>
              </w:tc>
            </w:tr>
            <w:tr w14:paraId="6617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092F8808">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
                    </w:rPr>
                  </w:pPr>
                </w:p>
              </w:tc>
              <w:tc>
                <w:tcPr>
                  <w:tcW w:w="418" w:type="pct"/>
                  <w:vMerge w:val="continue"/>
                  <w:shd w:val="clear" w:color="auto" w:fill="auto"/>
                  <w:noWrap w:val="0"/>
                  <w:vAlign w:val="center"/>
                </w:tcPr>
                <w:p w14:paraId="1BFC6F37">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629" w:type="pct"/>
                  <w:shd w:val="clear" w:color="auto" w:fill="auto"/>
                  <w:noWrap w:val="0"/>
                  <w:vAlign w:val="center"/>
                </w:tcPr>
                <w:p w14:paraId="6C5D5576">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highlight w:val="none"/>
                      <w:lang w:val="en-US" w:eastAsia="zh-CN"/>
                    </w:rPr>
                    <w:t>固废处置措施</w:t>
                  </w:r>
                </w:p>
              </w:tc>
              <w:tc>
                <w:tcPr>
                  <w:tcW w:w="3174" w:type="pct"/>
                  <w:shd w:val="clear" w:color="auto" w:fill="auto"/>
                  <w:noWrap w:val="0"/>
                  <w:vAlign w:val="top"/>
                </w:tcPr>
                <w:p w14:paraId="5220810C">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firstLine="420" w:firstLineChars="200"/>
                    <w:jc w:val="both"/>
                    <w:textAlignment w:val="auto"/>
                    <w:rPr>
                      <w:rFonts w:hint="default" w:ascii="Times New Roman" w:hAnsi="Times New Roman" w:eastAsia="宋体" w:cs="Times New Roman"/>
                      <w:color w:val="0000FF"/>
                      <w:kern w:val="2"/>
                      <w:sz w:val="21"/>
                      <w:szCs w:val="21"/>
                      <w:highlight w:val="none"/>
                      <w:lang w:val="en-US" w:eastAsia="zh" w:bidi="ar-SA"/>
                    </w:rPr>
                  </w:pPr>
                  <w:r>
                    <w:rPr>
                      <w:rFonts w:hint="default" w:ascii="Times New Roman" w:hAnsi="Times New Roman" w:eastAsia="宋体" w:cs="Times New Roman"/>
                      <w:color w:val="auto"/>
                      <w:kern w:val="0"/>
                      <w:sz w:val="21"/>
                      <w:szCs w:val="21"/>
                      <w:highlight w:val="none"/>
                      <w:lang w:val="en-US" w:eastAsia="zh-CN" w:bidi="ar"/>
                    </w:rPr>
                    <w:t>生活垃圾统一收集后委托当地环卫部门定期清运；建筑垃圾</w:t>
                  </w:r>
                  <w:r>
                    <w:rPr>
                      <w:rFonts w:hint="default" w:ascii="Times New Roman" w:hAnsi="Times New Roman" w:cs="Times New Roman"/>
                      <w:color w:val="auto"/>
                      <w:kern w:val="0"/>
                      <w:sz w:val="21"/>
                      <w:szCs w:val="21"/>
                      <w:highlight w:val="none"/>
                      <w:lang w:val="en-US" w:eastAsia="zh-CN" w:bidi="ar"/>
                    </w:rPr>
                    <w:t>分类收集暂存，废弃砂石、混凝土优先风电场内综合利用</w:t>
                  </w:r>
                  <w:r>
                    <w:rPr>
                      <w:rFonts w:hint="eastAsia" w:cs="Times New Roman"/>
                      <w:color w:val="auto"/>
                      <w:kern w:val="0"/>
                      <w:sz w:val="21"/>
                      <w:szCs w:val="21"/>
                      <w:highlight w:val="none"/>
                      <w:lang w:val="en-US" w:eastAsia="zh-CN" w:bidi="ar"/>
                    </w:rPr>
                    <w:t>，</w:t>
                  </w:r>
                  <w:r>
                    <w:rPr>
                      <w:rFonts w:hint="default" w:ascii="Times New Roman" w:hAnsi="Times New Roman" w:cs="Times New Roman"/>
                      <w:color w:val="auto"/>
                      <w:kern w:val="0"/>
                      <w:sz w:val="21"/>
                      <w:szCs w:val="21"/>
                      <w:highlight w:val="none"/>
                      <w:lang w:val="en-US" w:eastAsia="zh-CN" w:bidi="ar"/>
                    </w:rPr>
                    <w:t>废包装物交有关部门回收利用</w:t>
                  </w:r>
                  <w:r>
                    <w:rPr>
                      <w:rFonts w:hint="default" w:ascii="Times New Roman" w:hAnsi="Times New Roman" w:eastAsia="宋体" w:cs="Times New Roman"/>
                      <w:color w:val="auto"/>
                      <w:kern w:val="0"/>
                      <w:sz w:val="21"/>
                      <w:szCs w:val="21"/>
                      <w:highlight w:val="none"/>
                      <w:lang w:val="en-US" w:eastAsia="zh-CN" w:bidi="ar"/>
                    </w:rPr>
                    <w:t>。</w:t>
                  </w:r>
                </w:p>
              </w:tc>
              <w:tc>
                <w:tcPr>
                  <w:tcW w:w="421" w:type="pct"/>
                  <w:vMerge w:val="continue"/>
                  <w:shd w:val="clear" w:color="auto" w:fill="auto"/>
                  <w:noWrap w:val="0"/>
                  <w:vAlign w:val="center"/>
                </w:tcPr>
                <w:p w14:paraId="6BDDFF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p>
              </w:tc>
            </w:tr>
            <w:tr w14:paraId="1AD5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27CA7B3F">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
                    </w:rPr>
                  </w:pPr>
                </w:p>
              </w:tc>
              <w:tc>
                <w:tcPr>
                  <w:tcW w:w="418" w:type="pct"/>
                  <w:vMerge w:val="continue"/>
                  <w:shd w:val="clear" w:color="auto" w:fill="auto"/>
                  <w:noWrap w:val="0"/>
                  <w:vAlign w:val="center"/>
                </w:tcPr>
                <w:p w14:paraId="5EA44803">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629" w:type="pct"/>
                  <w:shd w:val="clear" w:color="auto" w:fill="auto"/>
                  <w:noWrap w:val="0"/>
                  <w:vAlign w:val="center"/>
                </w:tcPr>
                <w:p w14:paraId="0E5328BD">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生态环境保护措施</w:t>
                  </w:r>
                </w:p>
              </w:tc>
              <w:tc>
                <w:tcPr>
                  <w:tcW w:w="3174" w:type="pct"/>
                  <w:shd w:val="clear" w:color="auto" w:fill="auto"/>
                  <w:noWrap w:val="0"/>
                  <w:vAlign w:val="center"/>
                </w:tcPr>
                <w:p w14:paraId="02413087">
                  <w:pPr>
                    <w:keepNext w:val="0"/>
                    <w:keepLines w:val="0"/>
                    <w:pageBreakBefore w:val="0"/>
                    <w:widowControl/>
                    <w:suppressLineNumbers w:val="0"/>
                    <w:kinsoku/>
                    <w:wordWrap/>
                    <w:overflowPunct/>
                    <w:topLinePunct w:val="0"/>
                    <w:autoSpaceDE/>
                    <w:autoSpaceDN/>
                    <w:bidi w:val="0"/>
                    <w:adjustRightInd/>
                    <w:spacing w:before="0" w:beforeAutospacing="0" w:after="0" w:afterAutospacing="0"/>
                    <w:ind w:left="0" w:right="0" w:firstLine="408" w:firstLineChars="200"/>
                    <w:jc w:val="left"/>
                    <w:textAlignment w:val="auto"/>
                    <w:rPr>
                      <w:rFonts w:hint="default" w:ascii="Times New Roman" w:hAnsi="Times New Roman" w:eastAsia="宋体" w:cs="Times New Roman"/>
                      <w:color w:val="0000FF"/>
                      <w:kern w:val="0"/>
                      <w:sz w:val="21"/>
                      <w:szCs w:val="21"/>
                      <w:highlight w:val="none"/>
                      <w:lang w:val="en-US" w:eastAsia="zh" w:bidi="ar"/>
                    </w:rPr>
                  </w:pPr>
                  <w:r>
                    <w:rPr>
                      <w:rFonts w:hint="default" w:ascii="Times New Roman" w:hAnsi="Times New Roman" w:cs="Times New Roman"/>
                      <w:color w:val="auto"/>
                      <w:spacing w:val="-3"/>
                      <w:sz w:val="21"/>
                      <w:szCs w:val="21"/>
                      <w:highlight w:val="none"/>
                      <w:lang w:val="en-US" w:eastAsia="zh-CN"/>
                    </w:rPr>
                    <w:t>建设过程中严格控制施工范围，按要求进行土地开挖，分层剥离，分层取土，分层堆放，分段开挖。表土单独保存好，反序分层回填。基础开挖处及临时堆土进行苫盖，施工结束后对场地清理平整。</w:t>
                  </w:r>
                </w:p>
              </w:tc>
              <w:tc>
                <w:tcPr>
                  <w:tcW w:w="421" w:type="pct"/>
                  <w:vMerge w:val="continue"/>
                  <w:shd w:val="clear" w:color="auto" w:fill="auto"/>
                  <w:noWrap w:val="0"/>
                  <w:vAlign w:val="center"/>
                </w:tcPr>
                <w:p w14:paraId="4752B1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p>
              </w:tc>
            </w:tr>
            <w:tr w14:paraId="011A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43E0961C">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
                    </w:rPr>
                  </w:pPr>
                </w:p>
              </w:tc>
              <w:tc>
                <w:tcPr>
                  <w:tcW w:w="418" w:type="pct"/>
                  <w:vMerge w:val="restart"/>
                  <w:shd w:val="clear" w:color="auto" w:fill="auto"/>
                  <w:noWrap w:val="0"/>
                  <w:vAlign w:val="center"/>
                </w:tcPr>
                <w:p w14:paraId="641DCFC6">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运营期</w:t>
                  </w:r>
                </w:p>
              </w:tc>
              <w:tc>
                <w:tcPr>
                  <w:tcW w:w="629" w:type="pct"/>
                  <w:shd w:val="clear" w:color="auto" w:fill="auto"/>
                  <w:noWrap w:val="0"/>
                  <w:vAlign w:val="center"/>
                </w:tcPr>
                <w:p w14:paraId="5AFF152A">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废水治理措施</w:t>
                  </w:r>
                </w:p>
              </w:tc>
              <w:tc>
                <w:tcPr>
                  <w:tcW w:w="3174" w:type="pct"/>
                  <w:shd w:val="clear" w:color="auto" w:fill="auto"/>
                  <w:noWrap w:val="0"/>
                  <w:vAlign w:val="center"/>
                </w:tcPr>
                <w:p w14:paraId="7059A15A">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
                    </w:rPr>
                  </w:pPr>
                  <w:r>
                    <w:rPr>
                      <w:rFonts w:hint="default" w:ascii="Times New Roman" w:hAnsi="Times New Roman" w:eastAsia="宋体" w:cs="Times New Roman"/>
                      <w:b w:val="0"/>
                      <w:color w:val="auto"/>
                      <w:sz w:val="21"/>
                      <w:szCs w:val="21"/>
                      <w:highlight w:val="none"/>
                      <w:lang w:val="en-US" w:eastAsia="zh"/>
                    </w:rPr>
                    <w:t>站内产生的生活污水经化粪池（防渗要求满足渗透系数≤10</w:t>
                  </w:r>
                  <w:r>
                    <w:rPr>
                      <w:rFonts w:hint="default" w:ascii="Times New Roman" w:hAnsi="Times New Roman" w:eastAsia="宋体" w:cs="Times New Roman"/>
                      <w:b w:val="0"/>
                      <w:color w:val="auto"/>
                      <w:sz w:val="21"/>
                      <w:szCs w:val="21"/>
                      <w:highlight w:val="none"/>
                      <w:vertAlign w:val="superscript"/>
                      <w:lang w:val="en-US" w:eastAsia="zh"/>
                    </w:rPr>
                    <w:t>-7</w:t>
                  </w:r>
                  <w:r>
                    <w:rPr>
                      <w:rFonts w:hint="default" w:ascii="Times New Roman" w:hAnsi="Times New Roman" w:eastAsia="宋体" w:cs="Times New Roman"/>
                      <w:b w:val="0"/>
                      <w:color w:val="auto"/>
                      <w:sz w:val="21"/>
                      <w:szCs w:val="21"/>
                      <w:highlight w:val="none"/>
                      <w:lang w:val="en-US" w:eastAsia="zh"/>
                    </w:rPr>
                    <w:t>cm/s）处理后，排入地埋式一体化污水处理装置再次进行处理后，达到《城市污水再生利用城市杂用水水质标准》（GB/T18920-2020）中</w:t>
                  </w:r>
                  <w:r>
                    <w:rPr>
                      <w:rFonts w:hint="default" w:ascii="Times New Roman" w:hAnsi="Times New Roman" w:cs="Times New Roman"/>
                      <w:b w:val="0"/>
                      <w:color w:val="auto"/>
                      <w:sz w:val="21"/>
                      <w:szCs w:val="21"/>
                      <w:highlight w:val="none"/>
                      <w:lang w:val="en-US" w:eastAsia="zh-CN"/>
                    </w:rPr>
                    <w:t>“道路清扫”</w:t>
                  </w:r>
                  <w:r>
                    <w:rPr>
                      <w:rFonts w:hint="default" w:ascii="Times New Roman" w:hAnsi="Times New Roman" w:eastAsia="宋体" w:cs="Times New Roman"/>
                      <w:b w:val="0"/>
                      <w:color w:val="auto"/>
                      <w:sz w:val="21"/>
                      <w:szCs w:val="21"/>
                      <w:highlight w:val="none"/>
                      <w:lang w:val="en-US" w:eastAsia="zh"/>
                    </w:rPr>
                    <w:t>标准后，用于</w:t>
                  </w:r>
                  <w:r>
                    <w:rPr>
                      <w:rFonts w:hint="eastAsia" w:cs="Times New Roman"/>
                      <w:b w:val="0"/>
                      <w:color w:val="auto"/>
                      <w:sz w:val="21"/>
                      <w:szCs w:val="21"/>
                      <w:highlight w:val="none"/>
                      <w:lang w:val="en-US" w:eastAsia="zh-CN"/>
                    </w:rPr>
                    <w:t>洒水抑尘</w:t>
                  </w:r>
                  <w:r>
                    <w:rPr>
                      <w:rFonts w:hint="default" w:ascii="Times New Roman" w:hAnsi="Times New Roman" w:cs="Times New Roman"/>
                      <w:b w:val="0"/>
                      <w:color w:val="auto"/>
                      <w:sz w:val="21"/>
                      <w:szCs w:val="21"/>
                      <w:highlight w:val="none"/>
                      <w:lang w:val="en-US" w:eastAsia="zh-CN"/>
                    </w:rPr>
                    <w:t>、冲洗道路</w:t>
                  </w:r>
                  <w:r>
                    <w:rPr>
                      <w:rFonts w:hint="default" w:ascii="Times New Roman" w:hAnsi="Times New Roman" w:eastAsia="宋体" w:cs="Times New Roman"/>
                      <w:b w:val="0"/>
                      <w:color w:val="auto"/>
                      <w:sz w:val="21"/>
                      <w:szCs w:val="21"/>
                      <w:highlight w:val="none"/>
                      <w:lang w:val="en-US" w:eastAsia="zh"/>
                    </w:rPr>
                    <w:t>使用，不外排。期间产生的污泥由环卫部门定期清掏后外运。</w:t>
                  </w:r>
                </w:p>
              </w:tc>
              <w:tc>
                <w:tcPr>
                  <w:tcW w:w="421" w:type="pct"/>
                  <w:vMerge w:val="restart"/>
                  <w:shd w:val="clear" w:color="auto" w:fill="auto"/>
                  <w:noWrap w:val="0"/>
                  <w:vAlign w:val="center"/>
                </w:tcPr>
                <w:p w14:paraId="6F3C92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新建</w:t>
                  </w:r>
                </w:p>
              </w:tc>
            </w:tr>
            <w:tr w14:paraId="7485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7BB0F474">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
                    </w:rPr>
                  </w:pPr>
                </w:p>
              </w:tc>
              <w:tc>
                <w:tcPr>
                  <w:tcW w:w="418" w:type="pct"/>
                  <w:vMerge w:val="continue"/>
                  <w:shd w:val="clear" w:color="auto" w:fill="auto"/>
                  <w:noWrap w:val="0"/>
                  <w:vAlign w:val="center"/>
                </w:tcPr>
                <w:p w14:paraId="377438E8">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629" w:type="pct"/>
                  <w:shd w:val="clear" w:color="auto" w:fill="auto"/>
                  <w:noWrap w:val="0"/>
                  <w:vAlign w:val="center"/>
                </w:tcPr>
                <w:p w14:paraId="42498F7E">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highlight w:val="none"/>
                      <w:lang w:val="en-US" w:eastAsia="zh-CN"/>
                    </w:rPr>
                    <w:t>噪声治理措施</w:t>
                  </w:r>
                </w:p>
              </w:tc>
              <w:tc>
                <w:tcPr>
                  <w:tcW w:w="3174" w:type="pct"/>
                  <w:shd w:val="clear" w:color="auto" w:fill="auto"/>
                  <w:noWrap w:val="0"/>
                  <w:vAlign w:val="center"/>
                </w:tcPr>
                <w:p w14:paraId="10B986C4">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
                    </w:rPr>
                  </w:pPr>
                  <w:r>
                    <w:rPr>
                      <w:rFonts w:hint="default" w:ascii="Times New Roman" w:hAnsi="Times New Roman" w:eastAsia="宋体" w:cs="Times New Roman"/>
                      <w:b w:val="0"/>
                      <w:color w:val="auto"/>
                      <w:sz w:val="21"/>
                      <w:szCs w:val="21"/>
                      <w:highlight w:val="none"/>
                      <w:lang w:val="en-US" w:eastAsia="zh-CN"/>
                    </w:rPr>
                    <w:t>噪声主要来自主变噪声，项目主变冷却方式为油浸自冷，噪声量较小；站界四周建有围墙隔声。</w:t>
                  </w:r>
                </w:p>
              </w:tc>
              <w:tc>
                <w:tcPr>
                  <w:tcW w:w="421" w:type="pct"/>
                  <w:vMerge w:val="continue"/>
                  <w:shd w:val="clear" w:color="auto" w:fill="auto"/>
                  <w:noWrap w:val="0"/>
                  <w:vAlign w:val="center"/>
                </w:tcPr>
                <w:p w14:paraId="4AF0EB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p>
              </w:tc>
            </w:tr>
            <w:tr w14:paraId="51F3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2AAD4A1F">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
                    </w:rPr>
                  </w:pPr>
                </w:p>
              </w:tc>
              <w:tc>
                <w:tcPr>
                  <w:tcW w:w="418" w:type="pct"/>
                  <w:vMerge w:val="continue"/>
                  <w:shd w:val="clear" w:color="auto" w:fill="auto"/>
                  <w:noWrap w:val="0"/>
                  <w:vAlign w:val="center"/>
                </w:tcPr>
                <w:p w14:paraId="5DFF3C5E">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629" w:type="pct"/>
                  <w:shd w:val="clear" w:color="auto" w:fill="auto"/>
                  <w:noWrap w:val="0"/>
                  <w:vAlign w:val="center"/>
                </w:tcPr>
                <w:p w14:paraId="01E309DF">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highlight w:val="none"/>
                      <w:lang w:val="en-US" w:eastAsia="zh-CN"/>
                    </w:rPr>
                    <w:t>固废处置措施</w:t>
                  </w:r>
                </w:p>
              </w:tc>
              <w:tc>
                <w:tcPr>
                  <w:tcW w:w="3174" w:type="pct"/>
                  <w:shd w:val="clear" w:color="auto" w:fill="auto"/>
                  <w:noWrap w:val="0"/>
                  <w:vAlign w:val="center"/>
                </w:tcPr>
                <w:p w14:paraId="561D222D">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
                    </w:rPr>
                  </w:pPr>
                  <w:r>
                    <w:rPr>
                      <w:rFonts w:hint="default" w:ascii="Times New Roman" w:hAnsi="Times New Roman" w:eastAsia="宋体" w:cs="Times New Roman"/>
                      <w:b w:val="0"/>
                      <w:color w:val="auto"/>
                      <w:sz w:val="21"/>
                      <w:szCs w:val="21"/>
                      <w:highlight w:val="none"/>
                      <w:lang w:val="en-US" w:eastAsia="zh"/>
                    </w:rPr>
                    <w:t>站内生活垃圾经站内生活垃圾桶收集后委托环卫部门定期清运。</w:t>
                  </w:r>
                </w:p>
                <w:p w14:paraId="1B24B3F4">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cs="Times New Roman"/>
                    </w:rPr>
                  </w:pPr>
                  <w:r>
                    <w:rPr>
                      <w:rFonts w:hint="default" w:ascii="Times New Roman" w:hAnsi="Times New Roman" w:eastAsia="宋体" w:cs="Times New Roman"/>
                      <w:b w:val="0"/>
                      <w:color w:val="auto"/>
                      <w:sz w:val="21"/>
                      <w:szCs w:val="21"/>
                      <w:highlight w:val="none"/>
                      <w:lang w:val="en-US" w:eastAsia="zh"/>
                    </w:rPr>
                    <w:t>水处理设备产生的污泥</w:t>
                  </w:r>
                  <w:r>
                    <w:rPr>
                      <w:rFonts w:hint="default" w:ascii="Times New Roman" w:hAnsi="Times New Roman" w:cs="Times New Roman"/>
                      <w:b w:val="0"/>
                      <w:color w:val="auto"/>
                      <w:sz w:val="21"/>
                      <w:szCs w:val="21"/>
                      <w:highlight w:val="none"/>
                      <w:lang w:val="en-US" w:eastAsia="zh-CN"/>
                    </w:rPr>
                    <w:t>定期</w:t>
                  </w:r>
                  <w:r>
                    <w:rPr>
                      <w:rFonts w:hint="default" w:ascii="Times New Roman" w:hAnsi="Times New Roman" w:eastAsia="宋体" w:cs="Times New Roman"/>
                      <w:b w:val="0"/>
                      <w:color w:val="auto"/>
                      <w:sz w:val="21"/>
                      <w:szCs w:val="21"/>
                      <w:highlight w:val="none"/>
                      <w:lang w:val="en-US" w:eastAsia="zh"/>
                    </w:rPr>
                    <w:t>清掏后由环卫部门外运。</w:t>
                  </w:r>
                </w:p>
                <w:p w14:paraId="19814052">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
                    </w:rPr>
                  </w:pPr>
                  <w:r>
                    <w:rPr>
                      <w:rFonts w:hint="default" w:ascii="Times New Roman" w:hAnsi="Times New Roman" w:eastAsia="宋体" w:cs="Times New Roman"/>
                      <w:b w:val="0"/>
                      <w:color w:val="auto"/>
                      <w:sz w:val="21"/>
                      <w:szCs w:val="21"/>
                      <w:highlight w:val="none"/>
                      <w:lang w:val="en-US" w:eastAsia="zh"/>
                    </w:rPr>
                    <w:t>废铅蓄电池（废物类别HW31：废物代码900-052-31）、废润滑油（废物类别HW08：废物代码900-214-08）、废润滑油桶（废物类别HW08：废物代码900-249-08）、沾染油污的油布废手套等检修废物（废物类别HW49：废物代码900-041-049）经专用容器集中收集后，暂存于危废暂存间，定期由有资质单位处置。</w:t>
                  </w:r>
                </w:p>
                <w:p w14:paraId="33D0E660">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
                    </w:rPr>
                  </w:pPr>
                  <w:r>
                    <w:rPr>
                      <w:rFonts w:hint="default" w:ascii="Times New Roman" w:hAnsi="Times New Roman" w:eastAsia="宋体" w:cs="Times New Roman"/>
                      <w:b w:val="0"/>
                      <w:color w:val="auto"/>
                      <w:sz w:val="21"/>
                      <w:szCs w:val="21"/>
                      <w:highlight w:val="none"/>
                      <w:lang w:val="en-US" w:eastAsia="zh"/>
                    </w:rPr>
                    <w:t>主变压器事故油（废物类别HW08：废物代码900-220-08）通过变压器底部的贮油坑进入</w:t>
                  </w:r>
                  <w:r>
                    <w:rPr>
                      <w:rFonts w:hint="eastAsia" w:cs="Times New Roman"/>
                      <w:b w:val="0"/>
                      <w:color w:val="auto"/>
                      <w:sz w:val="21"/>
                      <w:szCs w:val="21"/>
                      <w:highlight w:val="none"/>
                      <w:lang w:val="en-US" w:eastAsia="zh-CN"/>
                    </w:rPr>
                    <w:t>100</w:t>
                  </w:r>
                  <w:r>
                    <w:rPr>
                      <w:rFonts w:hint="default" w:ascii="Times New Roman" w:hAnsi="Times New Roman" w:eastAsia="宋体" w:cs="Times New Roman"/>
                      <w:b w:val="0"/>
                      <w:color w:val="auto"/>
                      <w:sz w:val="21"/>
                      <w:szCs w:val="21"/>
                      <w:highlight w:val="none"/>
                      <w:lang w:val="en-US" w:eastAsia="zh"/>
                    </w:rPr>
                    <w:t>m</w:t>
                  </w:r>
                  <w:r>
                    <w:rPr>
                      <w:rFonts w:hint="default" w:ascii="Times New Roman" w:hAnsi="Times New Roman" w:eastAsia="宋体" w:cs="Times New Roman"/>
                      <w:b w:val="0"/>
                      <w:color w:val="auto"/>
                      <w:sz w:val="21"/>
                      <w:szCs w:val="21"/>
                      <w:highlight w:val="none"/>
                      <w:vertAlign w:val="superscript"/>
                      <w:lang w:val="en-US" w:eastAsia="zh"/>
                    </w:rPr>
                    <w:t>3</w:t>
                  </w:r>
                  <w:r>
                    <w:rPr>
                      <w:rFonts w:hint="default" w:ascii="Times New Roman" w:hAnsi="Times New Roman" w:eastAsia="宋体" w:cs="Times New Roman"/>
                      <w:b w:val="0"/>
                      <w:color w:val="auto"/>
                      <w:sz w:val="21"/>
                      <w:szCs w:val="21"/>
                      <w:highlight w:val="none"/>
                      <w:lang w:val="en-US" w:eastAsia="zh"/>
                    </w:rPr>
                    <w:t>事故油池暂存后委托有资质单位进行处置。</w:t>
                  </w:r>
                </w:p>
              </w:tc>
              <w:tc>
                <w:tcPr>
                  <w:tcW w:w="421" w:type="pct"/>
                  <w:vMerge w:val="continue"/>
                  <w:shd w:val="clear" w:color="auto" w:fill="auto"/>
                  <w:noWrap w:val="0"/>
                  <w:vAlign w:val="center"/>
                </w:tcPr>
                <w:p w14:paraId="03B6AC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p>
              </w:tc>
            </w:tr>
            <w:tr w14:paraId="7120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3D8799C8">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
                    </w:rPr>
                  </w:pPr>
                </w:p>
              </w:tc>
              <w:tc>
                <w:tcPr>
                  <w:tcW w:w="418" w:type="pct"/>
                  <w:vMerge w:val="continue"/>
                  <w:shd w:val="clear" w:color="auto" w:fill="auto"/>
                  <w:noWrap w:val="0"/>
                  <w:vAlign w:val="center"/>
                </w:tcPr>
                <w:p w14:paraId="6E8B7047">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629" w:type="pct"/>
                  <w:shd w:val="clear" w:color="auto" w:fill="auto"/>
                  <w:noWrap w:val="0"/>
                  <w:vAlign w:val="center"/>
                </w:tcPr>
                <w:p w14:paraId="4B1A0A7B">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电磁污染防治措施</w:t>
                  </w:r>
                </w:p>
              </w:tc>
              <w:tc>
                <w:tcPr>
                  <w:tcW w:w="3174" w:type="pct"/>
                  <w:shd w:val="clear" w:color="auto" w:fill="auto"/>
                  <w:noWrap w:val="0"/>
                  <w:vAlign w:val="center"/>
                </w:tcPr>
                <w:p w14:paraId="41AD0F72">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
                    </w:rPr>
                  </w:pPr>
                  <w:r>
                    <w:rPr>
                      <w:rFonts w:hint="default" w:ascii="Times New Roman" w:hAnsi="Times New Roman" w:cs="Times New Roman"/>
                      <w:b w:val="0"/>
                      <w:color w:val="auto"/>
                      <w:sz w:val="21"/>
                      <w:szCs w:val="21"/>
                      <w:highlight w:val="none"/>
                      <w:lang w:val="en-US" w:eastAsia="zh-CN"/>
                    </w:rPr>
                    <w:t>（1）</w:t>
                  </w:r>
                  <w:r>
                    <w:rPr>
                      <w:rFonts w:hint="default" w:ascii="Times New Roman" w:hAnsi="Times New Roman" w:eastAsia="宋体" w:cs="Times New Roman"/>
                      <w:b w:val="0"/>
                      <w:color w:val="auto"/>
                      <w:sz w:val="21"/>
                      <w:szCs w:val="21"/>
                      <w:highlight w:val="none"/>
                      <w:lang w:val="en-US" w:eastAsia="zh"/>
                    </w:rPr>
                    <w:t>选择电磁源强低的设备；设置明显高压警告标志。</w:t>
                  </w:r>
                </w:p>
                <w:p w14:paraId="13F5B0DF">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
                    </w:rPr>
                  </w:pPr>
                  <w:r>
                    <w:rPr>
                      <w:rFonts w:hint="default" w:ascii="Times New Roman" w:hAnsi="Times New Roman" w:cs="Times New Roman"/>
                      <w:b w:val="0"/>
                      <w:color w:val="auto"/>
                      <w:sz w:val="21"/>
                      <w:szCs w:val="21"/>
                      <w:highlight w:val="none"/>
                      <w:lang w:val="en-US" w:eastAsia="zh-CN"/>
                    </w:rPr>
                    <w:t>（2）</w:t>
                  </w:r>
                  <w:r>
                    <w:rPr>
                      <w:rFonts w:hint="default" w:ascii="Times New Roman" w:hAnsi="Times New Roman" w:eastAsia="宋体" w:cs="Times New Roman"/>
                      <w:b w:val="0"/>
                      <w:color w:val="auto"/>
                      <w:sz w:val="21"/>
                      <w:szCs w:val="21"/>
                      <w:highlight w:val="none"/>
                      <w:lang w:val="en-US" w:eastAsia="zh"/>
                    </w:rPr>
                    <w:t>建设实体围墙来屏蔽、吸收电磁辐射；加强房屋墙体厚度、站区围墙高度等措施来屏蔽、吸收电磁辐射。</w:t>
                  </w:r>
                </w:p>
                <w:p w14:paraId="3187F88A">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
                    </w:rPr>
                  </w:pPr>
                  <w:r>
                    <w:rPr>
                      <w:rFonts w:hint="default" w:ascii="Times New Roman" w:hAnsi="Times New Roman" w:cs="Times New Roman"/>
                      <w:b w:val="0"/>
                      <w:color w:val="auto"/>
                      <w:sz w:val="21"/>
                      <w:szCs w:val="21"/>
                      <w:highlight w:val="none"/>
                      <w:lang w:val="en-US" w:eastAsia="zh-CN"/>
                    </w:rPr>
                    <w:t>（3）</w:t>
                  </w:r>
                  <w:r>
                    <w:rPr>
                      <w:rFonts w:hint="default" w:ascii="Times New Roman" w:hAnsi="Times New Roman" w:eastAsia="宋体" w:cs="Times New Roman"/>
                      <w:b w:val="0"/>
                      <w:color w:val="auto"/>
                      <w:sz w:val="21"/>
                      <w:szCs w:val="21"/>
                      <w:highlight w:val="none"/>
                      <w:lang w:val="en-US" w:eastAsia="zh"/>
                    </w:rPr>
                    <w:t>使用设计合理的绝缘子，使用能改善绝缘子表面或沿绝缘子串电压分布的保护装置。</w:t>
                  </w:r>
                </w:p>
                <w:p w14:paraId="2B2A5056">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
                    </w:rPr>
                  </w:pPr>
                  <w:r>
                    <w:rPr>
                      <w:rFonts w:hint="default" w:ascii="Times New Roman" w:hAnsi="Times New Roman" w:cs="Times New Roman"/>
                      <w:b w:val="0"/>
                      <w:color w:val="auto"/>
                      <w:sz w:val="21"/>
                      <w:szCs w:val="21"/>
                      <w:highlight w:val="none"/>
                      <w:lang w:val="en-US" w:eastAsia="zh-CN"/>
                    </w:rPr>
                    <w:t>（4）</w:t>
                  </w:r>
                  <w:r>
                    <w:rPr>
                      <w:rFonts w:hint="default" w:ascii="Times New Roman" w:hAnsi="Times New Roman" w:eastAsia="宋体" w:cs="Times New Roman"/>
                      <w:b w:val="0"/>
                      <w:color w:val="auto"/>
                      <w:sz w:val="21"/>
                      <w:szCs w:val="21"/>
                      <w:highlight w:val="none"/>
                      <w:lang w:val="en-US" w:eastAsia="zh"/>
                    </w:rPr>
                    <w:t>安装高压设备时，保证所有的固定螺栓都可靠拧紧，导电元件尽可能接地、或连接导线电位，提高屏蔽效果。</w:t>
                  </w:r>
                </w:p>
                <w:p w14:paraId="72E78414">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
                    </w:rPr>
                  </w:pPr>
                  <w:r>
                    <w:rPr>
                      <w:rFonts w:hint="default" w:ascii="Times New Roman" w:hAnsi="Times New Roman" w:cs="Times New Roman"/>
                      <w:b w:val="0"/>
                      <w:color w:val="auto"/>
                      <w:sz w:val="21"/>
                      <w:szCs w:val="21"/>
                      <w:highlight w:val="none"/>
                      <w:lang w:val="en-US" w:eastAsia="zh-CN"/>
                    </w:rPr>
                    <w:t>（5）</w:t>
                  </w:r>
                  <w:r>
                    <w:rPr>
                      <w:rFonts w:hint="default" w:ascii="Times New Roman" w:hAnsi="Times New Roman" w:eastAsia="宋体" w:cs="Times New Roman"/>
                      <w:b w:val="0"/>
                      <w:color w:val="auto"/>
                      <w:sz w:val="21"/>
                      <w:szCs w:val="21"/>
                      <w:highlight w:val="none"/>
                      <w:lang w:val="en-US" w:eastAsia="zh"/>
                    </w:rPr>
                    <w:t>对站内工作人员进行电磁环境知识的培训。</w:t>
                  </w:r>
                </w:p>
                <w:p w14:paraId="006683D7">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420" w:firstLineChars="200"/>
                    <w:jc w:val="both"/>
                    <w:textAlignment w:val="auto"/>
                    <w:outlineLvl w:val="9"/>
                    <w:rPr>
                      <w:rFonts w:hint="default" w:ascii="Times New Roman" w:hAnsi="Times New Roman" w:eastAsia="宋体" w:cs="Times New Roman"/>
                      <w:b w:val="0"/>
                      <w:color w:val="auto"/>
                      <w:sz w:val="21"/>
                      <w:szCs w:val="21"/>
                      <w:highlight w:val="none"/>
                      <w:lang w:val="en-US" w:eastAsia="zh"/>
                    </w:rPr>
                  </w:pPr>
                  <w:r>
                    <w:rPr>
                      <w:rFonts w:hint="default" w:ascii="Times New Roman" w:hAnsi="Times New Roman" w:cs="Times New Roman"/>
                      <w:b w:val="0"/>
                      <w:color w:val="auto"/>
                      <w:sz w:val="21"/>
                      <w:szCs w:val="21"/>
                      <w:highlight w:val="none"/>
                      <w:lang w:val="en-US" w:eastAsia="zh-CN"/>
                    </w:rPr>
                    <w:t>（6）</w:t>
                  </w:r>
                  <w:r>
                    <w:rPr>
                      <w:rFonts w:hint="default" w:ascii="Times New Roman" w:hAnsi="Times New Roman" w:eastAsia="宋体" w:cs="Times New Roman"/>
                      <w:b w:val="0"/>
                      <w:color w:val="auto"/>
                      <w:sz w:val="21"/>
                      <w:szCs w:val="21"/>
                      <w:highlight w:val="none"/>
                      <w:lang w:val="en-US" w:eastAsia="zh"/>
                    </w:rPr>
                    <w:t>定期对设备进行维护与检修，经常监测其周围的电磁辐射强度。</w:t>
                  </w:r>
                </w:p>
              </w:tc>
              <w:tc>
                <w:tcPr>
                  <w:tcW w:w="421" w:type="pct"/>
                  <w:vMerge w:val="continue"/>
                  <w:shd w:val="clear" w:color="auto" w:fill="auto"/>
                  <w:noWrap w:val="0"/>
                  <w:vAlign w:val="center"/>
                </w:tcPr>
                <w:p w14:paraId="35F4B7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p>
              </w:tc>
            </w:tr>
            <w:tr w14:paraId="620A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56" w:type="pct"/>
                  <w:vMerge w:val="continue"/>
                  <w:shd w:val="clear" w:color="auto" w:fill="auto"/>
                  <w:noWrap w:val="0"/>
                  <w:vAlign w:val="center"/>
                </w:tcPr>
                <w:p w14:paraId="6F2B408F">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FF"/>
                      <w:sz w:val="21"/>
                      <w:highlight w:val="none"/>
                      <w:lang w:val="en-US" w:eastAsia="zh"/>
                    </w:rPr>
                  </w:pPr>
                </w:p>
              </w:tc>
              <w:tc>
                <w:tcPr>
                  <w:tcW w:w="418" w:type="pct"/>
                  <w:vMerge w:val="continue"/>
                  <w:shd w:val="clear" w:color="auto" w:fill="auto"/>
                  <w:noWrap w:val="0"/>
                  <w:vAlign w:val="center"/>
                </w:tcPr>
                <w:p w14:paraId="28EFF6C7">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629" w:type="pct"/>
                  <w:shd w:val="clear" w:color="auto" w:fill="auto"/>
                  <w:noWrap w:val="0"/>
                  <w:vAlign w:val="center"/>
                </w:tcPr>
                <w:p w14:paraId="49B54477">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生态环境保护措施</w:t>
                  </w:r>
                </w:p>
              </w:tc>
              <w:tc>
                <w:tcPr>
                  <w:tcW w:w="3174" w:type="pct"/>
                  <w:shd w:val="clear" w:color="auto" w:fill="auto"/>
                  <w:noWrap w:val="0"/>
                  <w:vAlign w:val="center"/>
                </w:tcPr>
                <w:p w14:paraId="7B93A817">
                  <w:pPr>
                    <w:pStyle w:val="65"/>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firstLine="420" w:firstLineChars="200"/>
                    <w:jc w:val="left"/>
                    <w:rPr>
                      <w:rFonts w:hint="default" w:ascii="Times New Roman" w:hAnsi="Times New Roman" w:eastAsia="宋体" w:cs="Times New Roman"/>
                      <w:color w:val="auto"/>
                      <w:sz w:val="21"/>
                      <w:highlight w:val="none"/>
                      <w:lang w:val="en-US" w:eastAsia="zh"/>
                    </w:rPr>
                  </w:pPr>
                  <w:r>
                    <w:rPr>
                      <w:rFonts w:hint="default" w:ascii="Times New Roman" w:hAnsi="Times New Roman" w:eastAsia="宋体" w:cs="Times New Roman"/>
                      <w:color w:val="auto"/>
                      <w:sz w:val="21"/>
                      <w:highlight w:val="none"/>
                      <w:lang w:val="en-US" w:eastAsia="zh-CN"/>
                    </w:rPr>
                    <w:t>对站区内裸露场地采取硬化碎石铺设等多种方式以减少水土流失。</w:t>
                  </w:r>
                </w:p>
              </w:tc>
              <w:tc>
                <w:tcPr>
                  <w:tcW w:w="421" w:type="pct"/>
                  <w:vMerge w:val="continue"/>
                  <w:shd w:val="clear" w:color="auto" w:fill="auto"/>
                  <w:noWrap w:val="0"/>
                  <w:vAlign w:val="center"/>
                </w:tcPr>
                <w:p w14:paraId="55BAB9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p>
              </w:tc>
            </w:tr>
          </w:tbl>
          <w:p w14:paraId="3438BB12">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2、工程概况</w:t>
            </w:r>
          </w:p>
          <w:p w14:paraId="2C867FDC">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2.1 站址概况</w:t>
            </w:r>
          </w:p>
          <w:p w14:paraId="0506085D">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本项目总用地12510m</w:t>
            </w:r>
            <w:r>
              <w:rPr>
                <w:rFonts w:hint="default"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，含永久用地升压站10597m</w:t>
            </w:r>
            <w:r>
              <w:rPr>
                <w:rFonts w:hint="default"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、进站道路1913m</w:t>
            </w:r>
            <w:r>
              <w:rPr>
                <w:rFonts w:hint="default"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。其中，站址内占地9004.39m</w:t>
            </w:r>
            <w:r>
              <w:rPr>
                <w:rFonts w:hint="default"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。所占土地属性主要为裸岩石砾地。</w:t>
            </w:r>
          </w:p>
          <w:p w14:paraId="58C363A8">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升压站工程不单独设置临时占地，临时施工占地均依托风电项目，</w:t>
            </w:r>
            <w:r>
              <w:rPr>
                <w:rFonts w:hint="default" w:ascii="Times New Roman" w:hAnsi="Times New Roman" w:cs="Times New Roman"/>
                <w:color w:val="auto"/>
                <w:highlight w:val="none"/>
                <w:lang w:eastAsia="zh-CN"/>
              </w:rPr>
              <w:t>华润新能源额济纳旗100兆瓦风电项目</w:t>
            </w:r>
            <w:r>
              <w:rPr>
                <w:rFonts w:hint="eastAsia" w:ascii="Times New Roman" w:cs="Times New Roman"/>
                <w:color w:val="auto"/>
                <w:highlight w:val="none"/>
                <w:lang w:val="en-US" w:eastAsia="zh-CN"/>
              </w:rPr>
              <w:t>目前正在报审中，</w:t>
            </w:r>
            <w:r>
              <w:rPr>
                <w:rFonts w:hint="default" w:ascii="Times New Roman" w:hAnsi="Times New Roman" w:cs="Times New Roman"/>
                <w:bCs/>
                <w:color w:val="000000" w:themeColor="text1"/>
                <w:spacing w:val="10"/>
                <w:sz w:val="24"/>
                <w:szCs w:val="24"/>
                <w:highlight w:val="none"/>
                <w:lang w:val="en-US" w:eastAsia="zh-CN"/>
                <w14:textFill>
                  <w14:solidFill>
                    <w14:schemeClr w14:val="tx1"/>
                  </w14:solidFill>
                </w14:textFill>
              </w:rPr>
              <w:t>依托临时占地面</w:t>
            </w:r>
            <w:r>
              <w:rPr>
                <w:rFonts w:hint="default" w:ascii="Times New Roman" w:hAnsi="Times New Roman" w:cs="Times New Roman"/>
                <w:bCs/>
                <w:color w:val="000000" w:themeColor="text1"/>
                <w:spacing w:val="10"/>
                <w:sz w:val="24"/>
                <w:szCs w:val="24"/>
                <w:highlight w:val="none"/>
                <w:shd w:val="clear"/>
                <w:lang w:val="en-US" w:eastAsia="zh-CN"/>
                <w14:textFill>
                  <w14:solidFill>
                    <w14:schemeClr w14:val="tx1"/>
                  </w14:solidFill>
                </w14:textFill>
              </w:rPr>
              <w:t>积22040m</w:t>
            </w:r>
            <w:r>
              <w:rPr>
                <w:rFonts w:hint="default" w:ascii="Times New Roman" w:hAnsi="Times New Roman" w:cs="Times New Roman"/>
                <w:bCs/>
                <w:color w:val="000000" w:themeColor="text1"/>
                <w:spacing w:val="10"/>
                <w:sz w:val="24"/>
                <w:szCs w:val="24"/>
                <w:highlight w:val="none"/>
                <w:shd w:val="clear"/>
                <w:vertAlign w:val="superscript"/>
                <w:lang w:val="en-US" w:eastAsia="zh-CN"/>
                <w14:textFill>
                  <w14:solidFill>
                    <w14:schemeClr w14:val="tx1"/>
                  </w14:solidFill>
                </w14:textFill>
              </w:rPr>
              <w:t>2</w:t>
            </w:r>
            <w:r>
              <w:rPr>
                <w:rFonts w:hint="default" w:ascii="Times New Roman" w:hAnsi="Times New Roman" w:cs="Times New Roman"/>
                <w:bCs/>
                <w:color w:val="000000" w:themeColor="text1"/>
                <w:spacing w:val="10"/>
                <w:sz w:val="24"/>
                <w:szCs w:val="24"/>
                <w:highlight w:val="none"/>
                <w:shd w:val="clear"/>
                <w:vertAlign w:val="baseline"/>
                <w:lang w:val="en-US" w:eastAsia="zh-CN"/>
                <w14:textFill>
                  <w14:solidFill>
                    <w14:schemeClr w14:val="tx1"/>
                  </w14:solidFill>
                </w14:textFill>
              </w:rPr>
              <w:t>，含施工生产生活区10800</w:t>
            </w:r>
            <w:r>
              <w:rPr>
                <w:rFonts w:hint="default" w:ascii="Times New Roman" w:hAnsi="Times New Roman" w:cs="Times New Roman"/>
                <w:bCs/>
                <w:color w:val="000000" w:themeColor="text1"/>
                <w:spacing w:val="10"/>
                <w:sz w:val="24"/>
                <w:szCs w:val="24"/>
                <w:highlight w:val="none"/>
                <w:shd w:val="clear"/>
                <w:lang w:val="en-US" w:eastAsia="zh-CN"/>
                <w14:textFill>
                  <w14:solidFill>
                    <w14:schemeClr w14:val="tx1"/>
                  </w14:solidFill>
                </w14:textFill>
              </w:rPr>
              <w:t>m</w:t>
            </w:r>
            <w:r>
              <w:rPr>
                <w:rFonts w:hint="default" w:ascii="Times New Roman" w:hAnsi="Times New Roman" w:cs="Times New Roman"/>
                <w:bCs/>
                <w:color w:val="000000" w:themeColor="text1"/>
                <w:spacing w:val="10"/>
                <w:sz w:val="24"/>
                <w:szCs w:val="24"/>
                <w:highlight w:val="none"/>
                <w:shd w:val="clear"/>
                <w:vertAlign w:val="superscript"/>
                <w:lang w:val="en-US" w:eastAsia="zh-CN"/>
                <w14:textFill>
                  <w14:solidFill>
                    <w14:schemeClr w14:val="tx1"/>
                  </w14:solidFill>
                </w14:textFill>
              </w:rPr>
              <w:t>2</w:t>
            </w:r>
            <w:r>
              <w:rPr>
                <w:rFonts w:hint="default" w:ascii="Times New Roman" w:hAnsi="Times New Roman" w:cs="Times New Roman"/>
                <w:bCs/>
                <w:color w:val="000000" w:themeColor="text1"/>
                <w:spacing w:val="10"/>
                <w:sz w:val="24"/>
                <w:szCs w:val="24"/>
                <w:highlight w:val="none"/>
                <w:shd w:val="clear"/>
                <w:vertAlign w:val="baseline"/>
                <w:lang w:val="en-US" w:eastAsia="zh-CN"/>
                <w14:textFill>
                  <w14:solidFill>
                    <w14:schemeClr w14:val="tx1"/>
                  </w14:solidFill>
                </w14:textFill>
              </w:rPr>
              <w:t>、临时道路1240</w:t>
            </w:r>
            <w:r>
              <w:rPr>
                <w:rFonts w:hint="default" w:ascii="Times New Roman" w:hAnsi="Times New Roman" w:cs="Times New Roman"/>
                <w:bCs/>
                <w:color w:val="000000" w:themeColor="text1"/>
                <w:spacing w:val="10"/>
                <w:sz w:val="24"/>
                <w:szCs w:val="24"/>
                <w:highlight w:val="none"/>
                <w:shd w:val="clear"/>
                <w:lang w:val="en-US" w:eastAsia="zh-CN"/>
                <w14:textFill>
                  <w14:solidFill>
                    <w14:schemeClr w14:val="tx1"/>
                  </w14:solidFill>
                </w14:textFill>
              </w:rPr>
              <w:t>m</w:t>
            </w:r>
            <w:r>
              <w:rPr>
                <w:rFonts w:hint="default" w:ascii="Times New Roman" w:hAnsi="Times New Roman" w:cs="Times New Roman"/>
                <w:bCs/>
                <w:color w:val="000000" w:themeColor="text1"/>
                <w:spacing w:val="10"/>
                <w:sz w:val="24"/>
                <w:szCs w:val="24"/>
                <w:highlight w:val="none"/>
                <w:shd w:val="clear"/>
                <w:vertAlign w:val="superscript"/>
                <w:lang w:val="en-US" w:eastAsia="zh-CN"/>
                <w14:textFill>
                  <w14:solidFill>
                    <w14:schemeClr w14:val="tx1"/>
                  </w14:solidFill>
                </w14:textFill>
              </w:rPr>
              <w:t>2</w:t>
            </w:r>
            <w:r>
              <w:rPr>
                <w:rFonts w:hint="default" w:ascii="Times New Roman" w:hAnsi="Times New Roman" w:cs="Times New Roman"/>
                <w:bCs/>
                <w:color w:val="000000" w:themeColor="text1"/>
                <w:spacing w:val="10"/>
                <w:sz w:val="24"/>
                <w:szCs w:val="24"/>
                <w:highlight w:val="none"/>
                <w:shd w:val="clear"/>
                <w:vertAlign w:val="baseline"/>
                <w:lang w:val="en-US" w:eastAsia="zh-CN"/>
                <w14:textFill>
                  <w14:solidFill>
                    <w14:schemeClr w14:val="tx1"/>
                  </w14:solidFill>
                </w14:textFill>
              </w:rPr>
              <w:t>、</w:t>
            </w:r>
            <w:r>
              <w:rPr>
                <w:rFonts w:hint="eastAsia" w:ascii="Times New Roman" w:cs="Times New Roman"/>
                <w:bCs/>
                <w:color w:val="000000" w:themeColor="text1"/>
                <w:spacing w:val="10"/>
                <w:sz w:val="24"/>
                <w:szCs w:val="24"/>
                <w:highlight w:val="none"/>
                <w:shd w:val="clear"/>
                <w:vertAlign w:val="baseline"/>
                <w:lang w:val="en-US" w:eastAsia="zh-CN"/>
                <w14:textFill>
                  <w14:solidFill>
                    <w14:schemeClr w14:val="tx1"/>
                  </w14:solidFill>
                </w14:textFill>
              </w:rPr>
              <w:t>临时堆土场</w:t>
            </w:r>
            <w:r>
              <w:rPr>
                <w:rFonts w:hint="default" w:ascii="Times New Roman" w:hAnsi="Times New Roman" w:cs="Times New Roman"/>
                <w:bCs/>
                <w:color w:val="000000" w:themeColor="text1"/>
                <w:spacing w:val="10"/>
                <w:sz w:val="24"/>
                <w:szCs w:val="24"/>
                <w:highlight w:val="none"/>
                <w:shd w:val="clear"/>
                <w:vertAlign w:val="baseline"/>
                <w:lang w:val="en-US" w:eastAsia="zh-CN"/>
                <w14:textFill>
                  <w14:solidFill>
                    <w14:schemeClr w14:val="tx1"/>
                  </w14:solidFill>
                </w14:textFill>
              </w:rPr>
              <w:t>10000</w:t>
            </w:r>
            <w:r>
              <w:rPr>
                <w:rFonts w:hint="default" w:ascii="Times New Roman" w:hAnsi="Times New Roman" w:cs="Times New Roman"/>
                <w:bCs/>
                <w:color w:val="000000" w:themeColor="text1"/>
                <w:spacing w:val="10"/>
                <w:sz w:val="24"/>
                <w:szCs w:val="24"/>
                <w:highlight w:val="none"/>
                <w:shd w:val="clear"/>
                <w:lang w:val="en-US" w:eastAsia="zh-CN"/>
                <w14:textFill>
                  <w14:solidFill>
                    <w14:schemeClr w14:val="tx1"/>
                  </w14:solidFill>
                </w14:textFill>
              </w:rPr>
              <w:t>m</w:t>
            </w:r>
            <w:r>
              <w:rPr>
                <w:rFonts w:hint="default" w:ascii="Times New Roman" w:hAnsi="Times New Roman" w:cs="Times New Roman"/>
                <w:bCs/>
                <w:color w:val="000000" w:themeColor="text1"/>
                <w:spacing w:val="10"/>
                <w:sz w:val="24"/>
                <w:szCs w:val="24"/>
                <w:highlight w:val="none"/>
                <w:shd w:val="clear"/>
                <w:vertAlign w:val="superscript"/>
                <w:lang w:val="en-US" w:eastAsia="zh-CN"/>
                <w14:textFill>
                  <w14:solidFill>
                    <w14:schemeClr w14:val="tx1"/>
                  </w14:solidFill>
                </w14:textFill>
              </w:rPr>
              <w:t>2</w:t>
            </w:r>
            <w:r>
              <w:rPr>
                <w:rFonts w:hint="default" w:ascii="Times New Roman" w:hAnsi="Times New Roman" w:cs="Times New Roman"/>
                <w:bCs/>
                <w:color w:val="000000" w:themeColor="text1"/>
                <w:spacing w:val="10"/>
                <w:sz w:val="24"/>
                <w:szCs w:val="24"/>
                <w:highlight w:val="none"/>
                <w:shd w:val="clear"/>
                <w:lang w:val="en-US" w:eastAsia="zh-CN"/>
                <w14:textFill>
                  <w14:solidFill>
                    <w14:schemeClr w14:val="tx1"/>
                  </w14:solidFill>
                </w14:textFill>
              </w:rPr>
              <w:t>。</w:t>
            </w:r>
            <w:r>
              <w:rPr>
                <w:rFonts w:hint="default" w:ascii="Times New Roman" w:hAnsi="Times New Roman" w:cs="Times New Roman"/>
                <w:b w:val="0"/>
                <w:bCs w:val="0"/>
                <w:color w:val="000000" w:themeColor="text1"/>
                <w:sz w:val="24"/>
                <w:highlight w:val="none"/>
                <w:shd w:val="clear"/>
                <w:lang w:val="en-US" w:eastAsia="zh-CN"/>
                <w14:textFill>
                  <w14:solidFill>
                    <w14:schemeClr w14:val="tx1"/>
                  </w14:solidFill>
                </w14:textFill>
              </w:rPr>
              <w:t>拟建项目现状图见附图</w:t>
            </w:r>
            <w:r>
              <w:rPr>
                <w:rFonts w:hint="eastAsia" w:ascii="Times New Roman" w:cs="Times New Roman"/>
                <w:b w:val="0"/>
                <w:bCs w:val="0"/>
                <w:color w:val="000000" w:themeColor="text1"/>
                <w:sz w:val="24"/>
                <w:highlight w:val="none"/>
                <w:shd w:val="clear"/>
                <w:lang w:val="en-US" w:eastAsia="zh-CN"/>
                <w14:textFill>
                  <w14:solidFill>
                    <w14:schemeClr w14:val="tx1"/>
                  </w14:solidFill>
                </w14:textFill>
              </w:rPr>
              <w:t>10</w:t>
            </w:r>
            <w:r>
              <w:rPr>
                <w:rFonts w:hint="default" w:ascii="Times New Roman" w:hAnsi="Times New Roman" w:cs="Times New Roman"/>
                <w:b w:val="0"/>
                <w:bCs w:val="0"/>
                <w:color w:val="000000" w:themeColor="text1"/>
                <w:sz w:val="24"/>
                <w:highlight w:val="none"/>
                <w:shd w:val="clear"/>
                <w:lang w:val="en-US" w:eastAsia="zh-CN"/>
                <w14:textFill>
                  <w14:solidFill>
                    <w14:schemeClr w14:val="tx1"/>
                  </w14:solidFill>
                </w14:textFill>
              </w:rPr>
              <w:t>。</w:t>
            </w:r>
          </w:p>
          <w:p w14:paraId="292E9A11">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2.2 位置</w:t>
            </w:r>
          </w:p>
          <w:p w14:paraId="05C4F311">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站址处于华润新能源额济纳旗100兆瓦风电项目场址区内（风电场中部偏西北区域）。站址附近有已建县道X762，进站道路可以由此路引接，交通相对较为便利。站址中心坐标为</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经度102.451997E；纬度41.784354N</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w:t>
            </w:r>
          </w:p>
          <w:p w14:paraId="2FB474B7">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2.3 建设方案</w:t>
            </w:r>
          </w:p>
          <w:p w14:paraId="3153564D">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（1）主变压器</w:t>
            </w:r>
          </w:p>
          <w:p w14:paraId="6AE35F3A">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型号：三相双绕组油浸式有载调压变压器；</w:t>
            </w:r>
          </w:p>
          <w:p w14:paraId="717EC775">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数量：1台；</w:t>
            </w:r>
          </w:p>
          <w:p w14:paraId="50352FF7">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容量：100MVA；</w:t>
            </w:r>
          </w:p>
          <w:p w14:paraId="1D4C71AF">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电压比：230±8x1.25%/35kV；</w:t>
            </w:r>
          </w:p>
          <w:p w14:paraId="0A19ADCA">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冷却方式：风冷。</w:t>
            </w:r>
          </w:p>
          <w:p w14:paraId="293B259E">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（2）出线间隔</w:t>
            </w:r>
          </w:p>
          <w:p w14:paraId="64F18CFB">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1回220kV出线间隔。</w:t>
            </w:r>
          </w:p>
          <w:p w14:paraId="78A6C057">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（3）220kV设备</w:t>
            </w:r>
          </w:p>
          <w:p w14:paraId="3C7E9EB6">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主变压器户外布置，220kV配电装置采用户外GIS预制舱布置。本方案中220kV采用线变组接线，220kV出线采用架空出线方式，35kV电缆进线采用电缆沟敷设。</w:t>
            </w:r>
          </w:p>
          <w:p w14:paraId="265635D4">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3、劳动定员及工作制度</w:t>
            </w:r>
          </w:p>
          <w:p w14:paraId="7C655AB4">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color w:val="auto"/>
                <w:highlight w:val="none"/>
                <w:lang w:val="en-US" w:eastAsia="zh-CN"/>
              </w:rPr>
            </w:pPr>
            <w:r>
              <w:rPr>
                <w:rFonts w:hint="default" w:ascii="Times New Roman" w:hAnsi="Times New Roman" w:cs="Times New Roman"/>
                <w:b w:val="0"/>
                <w:bCs/>
                <w:color w:val="auto"/>
                <w:highlight w:val="none"/>
                <w:lang w:val="en-US" w:eastAsia="zh-CN"/>
              </w:rPr>
              <w:t>项目劳动定员14人，年工作365天，实行24小时制。</w:t>
            </w:r>
          </w:p>
          <w:p w14:paraId="486890BE">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color w:val="0000FF"/>
                <w:sz w:val="24"/>
                <w:highlight w:val="none"/>
                <w:lang w:val="en-US" w:eastAsia="zh-CN"/>
              </w:rPr>
            </w:pPr>
            <w:r>
              <w:rPr>
                <w:rFonts w:hint="default" w:ascii="Times New Roman" w:hAnsi="Times New Roman" w:cs="Times New Roman"/>
                <w:b/>
                <w:bCs w:val="0"/>
                <w:color w:val="auto"/>
                <w:highlight w:val="none"/>
                <w:lang w:val="en-US" w:eastAsia="zh-CN"/>
              </w:rPr>
              <w:t>4、公用工程</w:t>
            </w:r>
          </w:p>
          <w:p w14:paraId="63525F21">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val="zh-CN"/>
              </w:rPr>
              <w:t>）</w:t>
            </w:r>
            <w:r>
              <w:rPr>
                <w:rFonts w:hint="default" w:ascii="Times New Roman" w:hAnsi="Times New Roman" w:cs="Times New Roman"/>
                <w:color w:val="auto"/>
                <w:sz w:val="24"/>
                <w:highlight w:val="none"/>
                <w:lang w:val="en-US" w:eastAsia="zh-CN"/>
              </w:rPr>
              <w:t>给水</w:t>
            </w:r>
          </w:p>
          <w:p w14:paraId="2269238C">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eastAsia="zh-CN"/>
              </w:rPr>
              <w:t>项目运行期无需生产用水，升压站用水主要为生活用水。站区内设置1座有效容积</w:t>
            </w:r>
            <w:r>
              <w:rPr>
                <w:rFonts w:hint="default" w:ascii="Times New Roman" w:hAnsi="Times New Roman" w:cs="Times New Roman"/>
                <w:color w:val="auto"/>
                <w:sz w:val="24"/>
                <w:highlight w:val="none"/>
                <w:lang w:val="en-US" w:eastAsia="zh-CN"/>
              </w:rPr>
              <w:t>6</w:t>
            </w:r>
            <w:r>
              <w:rPr>
                <w:rFonts w:hint="default" w:ascii="Times New Roman" w:hAnsi="Times New Roman" w:eastAsia="宋体" w:cs="Times New Roman"/>
                <w:color w:val="auto"/>
                <w:sz w:val="24"/>
                <w:highlight w:val="none"/>
                <w:lang w:val="zh-CN" w:eastAsia="zh-CN"/>
              </w:rPr>
              <w:t>m</w:t>
            </w:r>
            <w:r>
              <w:rPr>
                <w:rFonts w:hint="default" w:ascii="Times New Roman" w:hAnsi="Times New Roman" w:eastAsia="宋体" w:cs="Times New Roman"/>
                <w:color w:val="auto"/>
                <w:sz w:val="24"/>
                <w:highlight w:val="none"/>
                <w:vertAlign w:val="superscript"/>
                <w:lang w:val="zh-CN" w:eastAsia="zh-CN"/>
              </w:rPr>
              <w:t>3</w:t>
            </w:r>
            <w:r>
              <w:rPr>
                <w:rFonts w:hint="default" w:ascii="Times New Roman" w:hAnsi="Times New Roman" w:eastAsia="宋体" w:cs="Times New Roman"/>
                <w:color w:val="auto"/>
                <w:sz w:val="24"/>
                <w:highlight w:val="none"/>
                <w:lang w:val="zh-CN" w:eastAsia="zh-CN"/>
              </w:rPr>
              <w:t>水箱的地上式一体化给水设备，为</w:t>
            </w:r>
            <w:r>
              <w:rPr>
                <w:rFonts w:hint="default" w:ascii="Times New Roman" w:hAnsi="Times New Roman" w:cs="Times New Roman"/>
                <w:color w:val="auto"/>
                <w:sz w:val="24"/>
                <w:highlight w:val="none"/>
                <w:lang w:val="en-US" w:eastAsia="zh-CN"/>
              </w:rPr>
              <w:t>综合楼</w:t>
            </w:r>
            <w:r>
              <w:rPr>
                <w:rFonts w:hint="default" w:ascii="Times New Roman" w:hAnsi="Times New Roman" w:eastAsia="宋体" w:cs="Times New Roman"/>
                <w:color w:val="auto"/>
                <w:sz w:val="24"/>
                <w:highlight w:val="none"/>
                <w:lang w:val="zh-CN" w:eastAsia="zh-CN"/>
              </w:rPr>
              <w:t>驻留人员供应日常生活用水，由运水车定期供应。</w:t>
            </w:r>
          </w:p>
          <w:p w14:paraId="3387A159">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本项目劳动定员</w:t>
            </w:r>
            <w:r>
              <w:rPr>
                <w:rFonts w:hint="default" w:ascii="Times New Roman" w:hAnsi="Times New Roman" w:cs="Times New Roman"/>
                <w:color w:val="auto"/>
                <w:sz w:val="24"/>
                <w:highlight w:val="none"/>
                <w:lang w:val="en-US" w:eastAsia="zh-CN"/>
              </w:rPr>
              <w:t>14</w:t>
            </w:r>
            <w:r>
              <w:rPr>
                <w:rFonts w:hint="default" w:ascii="Times New Roman" w:hAnsi="Times New Roman" w:eastAsia="宋体" w:cs="Times New Roman"/>
                <w:color w:val="auto"/>
                <w:sz w:val="24"/>
                <w:highlight w:val="none"/>
                <w:lang w:val="en-US" w:eastAsia="zh-CN"/>
              </w:rPr>
              <w:t>人，年工作365天，实行24h制。站内设有宿舍、淋浴、食堂，参照《行业用水定额》（内蒙古自治区地方标准DB</w:t>
            </w:r>
            <w:r>
              <w:rPr>
                <w:rFonts w:hint="default" w:ascii="Times New Roman" w:hAnsi="Times New Roman"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lang w:val="en-US" w:eastAsia="zh-CN"/>
              </w:rPr>
              <w:t>15/T385-2025），用水定额按60L/人·d计，则生活用水量为</w:t>
            </w:r>
            <w:r>
              <w:rPr>
                <w:rFonts w:hint="default" w:ascii="Times New Roman" w:hAnsi="Times New Roman" w:cs="Times New Roman"/>
                <w:color w:val="auto"/>
                <w:sz w:val="24"/>
                <w:highlight w:val="none"/>
                <w:lang w:val="en-US" w:eastAsia="zh-CN"/>
              </w:rPr>
              <w:t>0.84</w:t>
            </w:r>
            <w:r>
              <w:rPr>
                <w:rFonts w:hint="default" w:ascii="Times New Roman" w:hAnsi="Times New Roman" w:eastAsia="宋体" w:cs="Times New Roman"/>
                <w:color w:val="auto"/>
                <w:sz w:val="24"/>
                <w:highlight w:val="none"/>
                <w:lang w:val="en-US" w:eastAsia="zh-CN"/>
              </w:rPr>
              <w:t>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/d（</w:t>
            </w:r>
            <w:r>
              <w:rPr>
                <w:rFonts w:hint="default" w:ascii="Times New Roman" w:hAnsi="Times New Roman" w:cs="Times New Roman"/>
                <w:color w:val="auto"/>
                <w:sz w:val="24"/>
                <w:highlight w:val="none"/>
                <w:lang w:val="en-US" w:eastAsia="zh-CN"/>
              </w:rPr>
              <w:t>306.6</w:t>
            </w:r>
            <w:r>
              <w:rPr>
                <w:rFonts w:hint="default" w:ascii="Times New Roman" w:hAnsi="Times New Roman" w:eastAsia="宋体" w:cs="Times New Roman"/>
                <w:color w:val="auto"/>
                <w:sz w:val="24"/>
                <w:highlight w:val="none"/>
                <w:lang w:val="en-US" w:eastAsia="zh-CN"/>
              </w:rPr>
              <w:t>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/a）。</w:t>
            </w:r>
          </w:p>
          <w:p w14:paraId="6E1EEDD8">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zh-CN"/>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val="zh-CN"/>
              </w:rPr>
              <w:t>）</w:t>
            </w:r>
            <w:r>
              <w:rPr>
                <w:rFonts w:hint="default" w:ascii="Times New Roman" w:hAnsi="Times New Roman" w:cs="Times New Roman"/>
                <w:color w:val="auto"/>
                <w:sz w:val="24"/>
                <w:highlight w:val="none"/>
                <w:lang w:val="en-US" w:eastAsia="zh-CN"/>
              </w:rPr>
              <w:t>排水</w:t>
            </w:r>
          </w:p>
          <w:p w14:paraId="051B5823">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zh-CN" w:eastAsia="zh-CN"/>
              </w:rPr>
            </w:pPr>
            <w:r>
              <w:rPr>
                <w:rFonts w:hint="default" w:ascii="Times New Roman" w:hAnsi="Times New Roman" w:eastAsia="宋体" w:cs="Times New Roman"/>
                <w:color w:val="auto"/>
                <w:sz w:val="24"/>
                <w:highlight w:val="none"/>
                <w:lang w:val="zh-CN" w:eastAsia="zh-CN"/>
              </w:rPr>
              <w:t>①雨水排水</w:t>
            </w:r>
          </w:p>
          <w:p w14:paraId="7516A75E">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zh-CN" w:eastAsia="zh-CN"/>
              </w:rPr>
            </w:pPr>
            <w:r>
              <w:rPr>
                <w:rFonts w:hint="default" w:ascii="Times New Roman" w:hAnsi="Times New Roman" w:eastAsia="宋体" w:cs="Times New Roman"/>
                <w:color w:val="auto"/>
                <w:sz w:val="24"/>
                <w:highlight w:val="none"/>
                <w:lang w:val="zh-CN" w:eastAsia="zh-CN"/>
              </w:rPr>
              <w:t>站内雨水排放采用散排方式，</w:t>
            </w:r>
            <w:r>
              <w:rPr>
                <w:rFonts w:hint="default" w:ascii="Times New Roman" w:hAnsi="Times New Roman" w:eastAsia="宋体" w:cs="Times New Roman"/>
                <w:color w:val="auto"/>
                <w:sz w:val="24"/>
                <w:highlight w:val="none"/>
                <w:lang w:val="zh-CN"/>
              </w:rPr>
              <w:t>通过围墙排水孔排至站外。</w:t>
            </w:r>
          </w:p>
          <w:p w14:paraId="5A952C54">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2" w:firstLineChars="200"/>
              <w:jc w:val="both"/>
              <w:textAlignment w:val="baseline"/>
              <w:rPr>
                <w:rFonts w:hint="default" w:ascii="Times New Roman" w:hAnsi="Times New Roman" w:cs="Times New Roman"/>
                <w:color w:val="auto"/>
                <w:spacing w:val="-2"/>
                <w:lang w:val="en-US" w:eastAsia="zh-CN"/>
              </w:rPr>
            </w:pPr>
            <w:r>
              <w:rPr>
                <w:rFonts w:hint="default" w:ascii="Times New Roman" w:hAnsi="Times New Roman" w:cs="Times New Roman"/>
                <w:color w:val="auto"/>
                <w:spacing w:val="-2"/>
                <w:lang w:val="en-US" w:eastAsia="zh-CN"/>
              </w:rPr>
              <w:t>②生活污水排水</w:t>
            </w:r>
          </w:p>
          <w:p w14:paraId="7A7FA141">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站内年生活用水量为306.6</w:t>
            </w:r>
            <w:r>
              <w:rPr>
                <w:rFonts w:hint="default" w:ascii="Times New Roman" w:hAnsi="Times New Roman" w:eastAsia="宋体" w:cs="Times New Roman"/>
                <w:color w:val="auto"/>
                <w:sz w:val="24"/>
                <w:highlight w:val="none"/>
                <w:lang w:val="en-US" w:eastAsia="zh-CN"/>
              </w:rPr>
              <w:t>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/a</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pacing w:val="-2"/>
                <w:sz w:val="24"/>
                <w:szCs w:val="24"/>
                <w:highlight w:val="none"/>
                <w:lang w:val="en-US" w:eastAsia="zh-CN"/>
              </w:rPr>
              <w:t>排污系数按80%计，则生活污水日产生量为0.672m</w:t>
            </w:r>
            <w:r>
              <w:rPr>
                <w:rFonts w:hint="default" w:ascii="Times New Roman" w:hAnsi="Times New Roman" w:cs="Times New Roman"/>
                <w:color w:val="auto"/>
                <w:spacing w:val="-2"/>
                <w:sz w:val="24"/>
                <w:szCs w:val="24"/>
                <w:highlight w:val="none"/>
                <w:vertAlign w:val="superscript"/>
                <w:lang w:val="en-US" w:eastAsia="zh-CN"/>
              </w:rPr>
              <w:t>3</w:t>
            </w:r>
            <w:r>
              <w:rPr>
                <w:rFonts w:hint="default" w:ascii="Times New Roman" w:hAnsi="Times New Roman" w:cs="Times New Roman"/>
                <w:color w:val="auto"/>
                <w:spacing w:val="-2"/>
                <w:sz w:val="24"/>
                <w:szCs w:val="24"/>
                <w:highlight w:val="none"/>
                <w:lang w:val="en-US" w:eastAsia="zh-CN"/>
              </w:rPr>
              <w:t>/d，年产生量为245.28m</w:t>
            </w:r>
            <w:r>
              <w:rPr>
                <w:rFonts w:hint="default" w:ascii="Times New Roman" w:hAnsi="Times New Roman" w:cs="Times New Roman"/>
                <w:color w:val="auto"/>
                <w:spacing w:val="-2"/>
                <w:sz w:val="24"/>
                <w:szCs w:val="24"/>
                <w:highlight w:val="none"/>
                <w:vertAlign w:val="superscript"/>
                <w:lang w:val="en-US" w:eastAsia="zh-CN"/>
              </w:rPr>
              <w:t>3</w:t>
            </w:r>
            <w:r>
              <w:rPr>
                <w:rFonts w:hint="default" w:ascii="Times New Roman" w:hAnsi="Times New Roman" w:cs="Times New Roman"/>
                <w:color w:val="auto"/>
                <w:spacing w:val="-2"/>
                <w:sz w:val="24"/>
                <w:szCs w:val="24"/>
                <w:highlight w:val="none"/>
                <w:lang w:val="en-US" w:eastAsia="zh-CN"/>
              </w:rPr>
              <w:t>/a，站内设置1套地埋式一体化污水处理设备，生活污水通过接触氧化、沉淀、消毒后达到《城市污水再生利用城市杂用水水质标准》（GB/T18920-2020）中的要求后方可排放用于</w:t>
            </w:r>
            <w:r>
              <w:rPr>
                <w:rFonts w:hint="eastAsia" w:cs="Times New Roman"/>
                <w:color w:val="auto"/>
                <w:spacing w:val="-2"/>
                <w:sz w:val="24"/>
                <w:szCs w:val="24"/>
                <w:highlight w:val="none"/>
                <w:lang w:val="en-US" w:eastAsia="zh-CN"/>
              </w:rPr>
              <w:t>洒水抑尘</w:t>
            </w:r>
            <w:r>
              <w:rPr>
                <w:rFonts w:hint="default" w:ascii="Times New Roman" w:hAnsi="Times New Roman" w:cs="Times New Roman"/>
                <w:color w:val="auto"/>
                <w:spacing w:val="-2"/>
                <w:sz w:val="24"/>
                <w:szCs w:val="24"/>
                <w:highlight w:val="none"/>
                <w:lang w:val="en-US" w:eastAsia="zh-CN"/>
              </w:rPr>
              <w:t>及冲洗道路。</w:t>
            </w:r>
            <w:r>
              <w:rPr>
                <w:rFonts w:hint="default" w:ascii="Times New Roman" w:hAnsi="Times New Roman" w:eastAsia="宋体" w:cs="Times New Roman"/>
                <w:color w:val="auto"/>
                <w:sz w:val="24"/>
                <w:highlight w:val="none"/>
                <w:lang w:val="en-US" w:eastAsia="zh-CN"/>
              </w:rPr>
              <w:t>其处理流程为：化粪池-</w:t>
            </w:r>
            <w:r>
              <w:rPr>
                <w:rFonts w:hint="default" w:ascii="Times New Roman" w:hAnsi="Times New Roman" w:eastAsia="宋体" w:cs="Times New Roman"/>
                <w:b w:val="0"/>
                <w:bCs/>
                <w:color w:val="auto"/>
                <w:kern w:val="0"/>
                <w:sz w:val="24"/>
                <w:szCs w:val="24"/>
                <w:highlight w:val="none"/>
                <w:lang w:val="en-US" w:eastAsia="zh-CN" w:bidi="ar-SA"/>
              </w:rPr>
              <w:t>格栅-调节池+MBR膜生物反应器+消毒</w:t>
            </w:r>
            <w:r>
              <w:rPr>
                <w:rFonts w:hint="default" w:ascii="Times New Roman" w:hAnsi="Times New Roman" w:eastAsia="宋体" w:cs="Times New Roman"/>
                <w:color w:val="auto"/>
                <w:sz w:val="24"/>
                <w:highlight w:val="none"/>
                <w:lang w:val="en-US" w:eastAsia="zh-CN"/>
              </w:rPr>
              <w:t>。</w:t>
            </w:r>
          </w:p>
          <w:p w14:paraId="0ED6353A">
            <w:pPr>
              <w:keepNext w:val="0"/>
              <w:keepLines w:val="0"/>
              <w:widowControl/>
              <w:suppressLineNumbers w:val="0"/>
              <w:spacing w:before="0" w:beforeAutospacing="0" w:after="0" w:afterAutospacing="0" w:line="360" w:lineRule="auto"/>
              <w:ind w:left="0" w:right="0" w:firstLine="472" w:firstLineChars="200"/>
              <w:contextualSpacing/>
              <w:rPr>
                <w:rFonts w:hint="default" w:ascii="Times New Roman" w:hAnsi="Times New Roman" w:cs="Times New Roman"/>
                <w:color w:val="auto"/>
                <w:spacing w:val="-2"/>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（3）供电</w:t>
            </w:r>
          </w:p>
          <w:p w14:paraId="2C3EE37A">
            <w:pPr>
              <w:keepNext w:val="0"/>
              <w:keepLines w:val="0"/>
              <w:widowControl/>
              <w:suppressLineNumbers w:val="0"/>
              <w:spacing w:before="0" w:beforeAutospacing="0" w:after="0" w:afterAutospacing="0" w:line="360" w:lineRule="auto"/>
              <w:ind w:left="0" w:right="0" w:firstLine="472" w:firstLineChars="200"/>
              <w:contextualSpacing/>
              <w:rPr>
                <w:rFonts w:hint="default" w:ascii="Times New Roman" w:hAnsi="Times New Roman" w:eastAsia="宋体" w:cs="Times New Roman"/>
                <w:color w:val="0000FF"/>
                <w:sz w:val="24"/>
                <w:highlight w:val="none"/>
                <w:lang w:val="zh-CN" w:eastAsia="zh-CN"/>
              </w:rPr>
            </w:pPr>
            <w:r>
              <w:rPr>
                <w:rFonts w:hint="default" w:ascii="Times New Roman" w:hAnsi="Times New Roman" w:cs="Times New Roman"/>
                <w:color w:val="auto"/>
                <w:spacing w:val="-2"/>
                <w:sz w:val="24"/>
                <w:szCs w:val="24"/>
                <w:highlight w:val="none"/>
                <w:lang w:val="en-US" w:eastAsia="zh-CN"/>
              </w:rPr>
              <w:t>本工程站内</w:t>
            </w:r>
            <w:r>
              <w:rPr>
                <w:rFonts w:hint="default" w:ascii="Times New Roman" w:hAnsi="Times New Roman" w:eastAsia="宋体" w:cs="Times New Roman"/>
                <w:color w:val="auto"/>
                <w:sz w:val="24"/>
                <w:highlight w:val="none"/>
                <w:lang w:val="zh-CN" w:eastAsia="zh-CN"/>
              </w:rPr>
              <w:t>生产生活用电等直接取自本风电场。</w:t>
            </w:r>
          </w:p>
          <w:p w14:paraId="37C6E493">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2" w:firstLineChars="200"/>
              <w:jc w:val="both"/>
              <w:textAlignment w:val="baseline"/>
              <w:rPr>
                <w:rFonts w:hint="default" w:ascii="Times New Roman" w:hAnsi="Times New Roman" w:cs="Times New Roman"/>
                <w:color w:val="auto"/>
                <w:spacing w:val="-2"/>
                <w:lang w:val="en-US" w:eastAsia="zh-CN"/>
              </w:rPr>
            </w:pPr>
            <w:r>
              <w:rPr>
                <w:rFonts w:hint="default" w:ascii="Times New Roman" w:hAnsi="Times New Roman" w:cs="Times New Roman"/>
                <w:color w:val="auto"/>
                <w:spacing w:val="-2"/>
                <w:lang w:val="en-US" w:eastAsia="zh-CN"/>
              </w:rPr>
              <w:t>（4）供暖</w:t>
            </w:r>
          </w:p>
          <w:p w14:paraId="7195E14D">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2" w:firstLineChars="200"/>
              <w:jc w:val="both"/>
              <w:textAlignment w:val="baseline"/>
              <w:rPr>
                <w:rFonts w:hint="default" w:ascii="Times New Roman" w:hAnsi="Times New Roman" w:cs="Times New Roman"/>
                <w:color w:val="auto"/>
                <w:spacing w:val="-2"/>
                <w:lang w:val="en-US" w:eastAsia="zh-CN"/>
              </w:rPr>
            </w:pPr>
            <w:r>
              <w:rPr>
                <w:rFonts w:hint="default" w:ascii="Times New Roman" w:hAnsi="Times New Roman" w:cs="Times New Roman"/>
                <w:color w:val="auto"/>
                <w:spacing w:val="-2"/>
                <w:lang w:val="en-US" w:eastAsia="zh-CN"/>
              </w:rPr>
              <w:t>本工程采用电暖器供热方式。</w:t>
            </w:r>
          </w:p>
          <w:p w14:paraId="6D0945F3">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2" w:firstLineChars="200"/>
              <w:jc w:val="both"/>
              <w:textAlignment w:val="baseline"/>
              <w:rPr>
                <w:rFonts w:hint="default" w:ascii="Times New Roman" w:hAnsi="Times New Roman" w:cs="Times New Roman"/>
                <w:color w:val="auto"/>
                <w:spacing w:val="-2"/>
                <w:lang w:val="en-US" w:eastAsia="zh-CN"/>
              </w:rPr>
            </w:pPr>
            <w:r>
              <w:rPr>
                <w:rFonts w:hint="default" w:ascii="Times New Roman" w:hAnsi="Times New Roman" w:cs="Times New Roman"/>
                <w:color w:val="auto"/>
                <w:spacing w:val="-2"/>
                <w:lang w:val="en-US" w:eastAsia="zh-CN"/>
              </w:rPr>
              <w:t>（5）通风</w:t>
            </w:r>
          </w:p>
          <w:p w14:paraId="23F2B725">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2" w:firstLineChars="200"/>
              <w:jc w:val="both"/>
              <w:textAlignment w:val="baseline"/>
              <w:rPr>
                <w:rFonts w:hint="default" w:ascii="Times New Roman" w:hAnsi="Times New Roman" w:cs="Times New Roman"/>
                <w:color w:val="auto"/>
                <w:spacing w:val="-2"/>
                <w:lang w:val="en-US" w:eastAsia="zh-CN"/>
              </w:rPr>
            </w:pPr>
            <w:r>
              <w:rPr>
                <w:rFonts w:hint="default" w:ascii="Times New Roman" w:hAnsi="Times New Roman" w:cs="Times New Roman"/>
                <w:color w:val="auto"/>
                <w:spacing w:val="-2"/>
                <w:lang w:val="en-US" w:eastAsia="zh-CN"/>
              </w:rPr>
              <w:t>采用自然排风、机械排风相结合的通风方式。</w:t>
            </w:r>
          </w:p>
          <w:p w14:paraId="6BC0B0F4">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2" w:firstLineChars="200"/>
              <w:jc w:val="both"/>
              <w:textAlignment w:val="baseline"/>
              <w:rPr>
                <w:rFonts w:hint="default" w:ascii="Times New Roman" w:hAnsi="Times New Roman" w:cs="Times New Roman"/>
                <w:color w:val="auto"/>
                <w:spacing w:val="-2"/>
                <w:lang w:val="en-US" w:eastAsia="zh-CN"/>
              </w:rPr>
            </w:pPr>
            <w:r>
              <w:rPr>
                <w:rFonts w:hint="default" w:ascii="Times New Roman" w:hAnsi="Times New Roman" w:cs="Times New Roman"/>
                <w:color w:val="auto"/>
                <w:spacing w:val="-2"/>
                <w:lang w:val="en-US" w:eastAsia="zh-CN"/>
              </w:rPr>
              <w:t>（6）消防</w:t>
            </w:r>
          </w:p>
          <w:p w14:paraId="68DB89C2">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eastAsia="zh-CN"/>
              </w:rPr>
              <w:t>本</w:t>
            </w:r>
            <w:r>
              <w:rPr>
                <w:rFonts w:hint="default" w:ascii="Times New Roman" w:hAnsi="Times New Roman" w:cs="Times New Roman"/>
                <w:color w:val="auto"/>
                <w:sz w:val="24"/>
                <w:highlight w:val="none"/>
                <w:lang w:val="en-US" w:eastAsia="zh-CN"/>
              </w:rPr>
              <w:t>工程</w:t>
            </w:r>
            <w:r>
              <w:rPr>
                <w:rFonts w:hint="default" w:ascii="Times New Roman" w:hAnsi="Times New Roman" w:eastAsia="宋体" w:cs="Times New Roman"/>
                <w:color w:val="auto"/>
                <w:sz w:val="24"/>
                <w:highlight w:val="none"/>
                <w:lang w:val="zh-CN" w:eastAsia="zh-CN"/>
              </w:rPr>
              <w:t>各电气设备舱在舱内统一配备自动灭火装置，舱外设置磷酸铵盐干粉灭火器，主变周围设施推车式磷酸铵盐干粉灭火器以及砂箱、消防铲和消防桶等。</w:t>
            </w:r>
          </w:p>
          <w:p w14:paraId="36ACE887">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color w:val="0000FF"/>
                <w:sz w:val="24"/>
                <w:highlight w:val="none"/>
                <w:lang w:val="en-US" w:eastAsia="zh-CN"/>
              </w:rPr>
            </w:pPr>
            <w:r>
              <w:rPr>
                <w:rFonts w:hint="default" w:ascii="Times New Roman" w:hAnsi="Times New Roman" w:cs="Times New Roman"/>
                <w:b/>
                <w:bCs w:val="0"/>
                <w:color w:val="auto"/>
                <w:highlight w:val="none"/>
                <w:lang w:val="en-US" w:eastAsia="zh-CN"/>
              </w:rPr>
              <w:t>5、项目占地</w:t>
            </w:r>
          </w:p>
          <w:p w14:paraId="00B257DB">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本项目总用地12510m</w:t>
            </w:r>
            <w:r>
              <w:rPr>
                <w:rFonts w:hint="default"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，含永久用地升压站10597m</w:t>
            </w:r>
            <w:r>
              <w:rPr>
                <w:rFonts w:hint="default"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、进站道路1913m</w:t>
            </w:r>
            <w:r>
              <w:rPr>
                <w:rFonts w:hint="default"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。其中，站址内占地9004.39m</w:t>
            </w:r>
            <w:r>
              <w:rPr>
                <w:rFonts w:hint="default"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。所占土地属性主要为裸岩石砾地。</w:t>
            </w:r>
          </w:p>
          <w:p w14:paraId="53886742">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80" w:firstLineChars="200"/>
              <w:jc w:val="both"/>
              <w:textAlignment w:val="baseline"/>
              <w:rPr>
                <w:rFonts w:hint="default" w:ascii="Times New Roman" w:hAnsi="Times New Roman" w:cs="Times New Roman"/>
                <w:color w:val="FF0000"/>
                <w:spacing w:val="-2"/>
                <w:highlight w:val="none"/>
                <w:lang w:val="en-US" w:eastAsia="zh-CN"/>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升压站工程不单独设置临时占地，临时施工占地均依托风电项目，</w:t>
            </w:r>
            <w:r>
              <w:rPr>
                <w:rFonts w:hint="default" w:ascii="Times New Roman" w:hAnsi="Times New Roman" w:cs="Times New Roman"/>
                <w:bCs/>
                <w:color w:val="000000" w:themeColor="text1"/>
                <w:spacing w:val="10"/>
                <w:sz w:val="24"/>
                <w:szCs w:val="24"/>
                <w:highlight w:val="none"/>
                <w:lang w:val="en-US" w:eastAsia="zh-CN"/>
                <w14:textFill>
                  <w14:solidFill>
                    <w14:schemeClr w14:val="tx1"/>
                  </w14:solidFill>
                </w14:textFill>
              </w:rPr>
              <w:t>依托临时占地面</w:t>
            </w:r>
            <w:r>
              <w:rPr>
                <w:rFonts w:hint="default" w:ascii="Times New Roman" w:hAnsi="Times New Roman" w:cs="Times New Roman"/>
                <w:bCs/>
                <w:color w:val="000000" w:themeColor="text1"/>
                <w:spacing w:val="10"/>
                <w:sz w:val="24"/>
                <w:szCs w:val="24"/>
                <w:highlight w:val="none"/>
                <w:shd w:val="clear"/>
                <w:lang w:val="en-US" w:eastAsia="zh-CN"/>
                <w14:textFill>
                  <w14:solidFill>
                    <w14:schemeClr w14:val="tx1"/>
                  </w14:solidFill>
                </w14:textFill>
              </w:rPr>
              <w:t>积22040m</w:t>
            </w:r>
            <w:r>
              <w:rPr>
                <w:rFonts w:hint="default" w:ascii="Times New Roman" w:hAnsi="Times New Roman" w:cs="Times New Roman"/>
                <w:bCs/>
                <w:color w:val="000000" w:themeColor="text1"/>
                <w:spacing w:val="10"/>
                <w:sz w:val="24"/>
                <w:szCs w:val="24"/>
                <w:highlight w:val="none"/>
                <w:shd w:val="clear"/>
                <w:vertAlign w:val="superscript"/>
                <w:lang w:val="en-US" w:eastAsia="zh-CN"/>
                <w14:textFill>
                  <w14:solidFill>
                    <w14:schemeClr w14:val="tx1"/>
                  </w14:solidFill>
                </w14:textFill>
              </w:rPr>
              <w:t>2</w:t>
            </w:r>
            <w:r>
              <w:rPr>
                <w:rFonts w:hint="default" w:ascii="Times New Roman" w:hAnsi="Times New Roman" w:cs="Times New Roman"/>
                <w:bCs/>
                <w:color w:val="000000" w:themeColor="text1"/>
                <w:spacing w:val="10"/>
                <w:sz w:val="24"/>
                <w:szCs w:val="24"/>
                <w:highlight w:val="none"/>
                <w:shd w:val="clear"/>
                <w:vertAlign w:val="baseline"/>
                <w:lang w:val="en-US" w:eastAsia="zh-CN"/>
                <w14:textFill>
                  <w14:solidFill>
                    <w14:schemeClr w14:val="tx1"/>
                  </w14:solidFill>
                </w14:textFill>
              </w:rPr>
              <w:t>，含施工生产生活区10800</w:t>
            </w:r>
            <w:r>
              <w:rPr>
                <w:rFonts w:hint="default" w:ascii="Times New Roman" w:hAnsi="Times New Roman" w:cs="Times New Roman"/>
                <w:bCs/>
                <w:color w:val="000000" w:themeColor="text1"/>
                <w:spacing w:val="10"/>
                <w:sz w:val="24"/>
                <w:szCs w:val="24"/>
                <w:highlight w:val="none"/>
                <w:shd w:val="clear"/>
                <w:lang w:val="en-US" w:eastAsia="zh-CN"/>
                <w14:textFill>
                  <w14:solidFill>
                    <w14:schemeClr w14:val="tx1"/>
                  </w14:solidFill>
                </w14:textFill>
              </w:rPr>
              <w:t>m</w:t>
            </w:r>
            <w:r>
              <w:rPr>
                <w:rFonts w:hint="default" w:ascii="Times New Roman" w:hAnsi="Times New Roman" w:cs="Times New Roman"/>
                <w:bCs/>
                <w:color w:val="000000" w:themeColor="text1"/>
                <w:spacing w:val="10"/>
                <w:sz w:val="24"/>
                <w:szCs w:val="24"/>
                <w:highlight w:val="none"/>
                <w:shd w:val="clear"/>
                <w:vertAlign w:val="superscript"/>
                <w:lang w:val="en-US" w:eastAsia="zh-CN"/>
                <w14:textFill>
                  <w14:solidFill>
                    <w14:schemeClr w14:val="tx1"/>
                  </w14:solidFill>
                </w14:textFill>
              </w:rPr>
              <w:t>2</w:t>
            </w:r>
            <w:r>
              <w:rPr>
                <w:rFonts w:hint="default" w:ascii="Times New Roman" w:hAnsi="Times New Roman" w:cs="Times New Roman"/>
                <w:bCs/>
                <w:color w:val="000000" w:themeColor="text1"/>
                <w:spacing w:val="10"/>
                <w:sz w:val="24"/>
                <w:szCs w:val="24"/>
                <w:highlight w:val="none"/>
                <w:shd w:val="clear"/>
                <w:vertAlign w:val="baseline"/>
                <w:lang w:val="en-US" w:eastAsia="zh-CN"/>
                <w14:textFill>
                  <w14:solidFill>
                    <w14:schemeClr w14:val="tx1"/>
                  </w14:solidFill>
                </w14:textFill>
              </w:rPr>
              <w:t>、临时道路1240</w:t>
            </w:r>
            <w:r>
              <w:rPr>
                <w:rFonts w:hint="default" w:ascii="Times New Roman" w:hAnsi="Times New Roman" w:cs="Times New Roman"/>
                <w:bCs/>
                <w:color w:val="000000" w:themeColor="text1"/>
                <w:spacing w:val="10"/>
                <w:sz w:val="24"/>
                <w:szCs w:val="24"/>
                <w:highlight w:val="none"/>
                <w:shd w:val="clear"/>
                <w:lang w:val="en-US" w:eastAsia="zh-CN"/>
                <w14:textFill>
                  <w14:solidFill>
                    <w14:schemeClr w14:val="tx1"/>
                  </w14:solidFill>
                </w14:textFill>
              </w:rPr>
              <w:t>m</w:t>
            </w:r>
            <w:r>
              <w:rPr>
                <w:rFonts w:hint="default" w:ascii="Times New Roman" w:hAnsi="Times New Roman" w:cs="Times New Roman"/>
                <w:bCs/>
                <w:color w:val="000000" w:themeColor="text1"/>
                <w:spacing w:val="10"/>
                <w:sz w:val="24"/>
                <w:szCs w:val="24"/>
                <w:highlight w:val="none"/>
                <w:shd w:val="clear"/>
                <w:vertAlign w:val="superscript"/>
                <w:lang w:val="en-US" w:eastAsia="zh-CN"/>
                <w14:textFill>
                  <w14:solidFill>
                    <w14:schemeClr w14:val="tx1"/>
                  </w14:solidFill>
                </w14:textFill>
              </w:rPr>
              <w:t>2</w:t>
            </w:r>
            <w:r>
              <w:rPr>
                <w:rFonts w:hint="default" w:ascii="Times New Roman" w:hAnsi="Times New Roman" w:cs="Times New Roman"/>
                <w:bCs/>
                <w:color w:val="000000" w:themeColor="text1"/>
                <w:spacing w:val="10"/>
                <w:sz w:val="24"/>
                <w:szCs w:val="24"/>
                <w:highlight w:val="none"/>
                <w:shd w:val="clear"/>
                <w:vertAlign w:val="baseline"/>
                <w:lang w:val="en-US" w:eastAsia="zh-CN"/>
                <w14:textFill>
                  <w14:solidFill>
                    <w14:schemeClr w14:val="tx1"/>
                  </w14:solidFill>
                </w14:textFill>
              </w:rPr>
              <w:t>、</w:t>
            </w:r>
            <w:r>
              <w:rPr>
                <w:rFonts w:hint="eastAsia" w:ascii="Times New Roman" w:hAnsi="Times New Roman" w:cs="Times New Roman"/>
                <w:bCs/>
                <w:color w:val="000000" w:themeColor="text1"/>
                <w:spacing w:val="10"/>
                <w:sz w:val="24"/>
                <w:szCs w:val="24"/>
                <w:highlight w:val="none"/>
                <w:shd w:val="clear"/>
                <w:vertAlign w:val="baseline"/>
                <w:lang w:val="en-US" w:eastAsia="zh-CN"/>
                <w14:textFill>
                  <w14:solidFill>
                    <w14:schemeClr w14:val="tx1"/>
                  </w14:solidFill>
                </w14:textFill>
              </w:rPr>
              <w:t>临时堆土场</w:t>
            </w:r>
            <w:r>
              <w:rPr>
                <w:rFonts w:hint="default" w:ascii="Times New Roman" w:hAnsi="Times New Roman" w:cs="Times New Roman"/>
                <w:bCs/>
                <w:color w:val="000000" w:themeColor="text1"/>
                <w:spacing w:val="10"/>
                <w:sz w:val="24"/>
                <w:szCs w:val="24"/>
                <w:highlight w:val="none"/>
                <w:shd w:val="clear"/>
                <w:vertAlign w:val="baseline"/>
                <w:lang w:val="en-US" w:eastAsia="zh-CN"/>
                <w14:textFill>
                  <w14:solidFill>
                    <w14:schemeClr w14:val="tx1"/>
                  </w14:solidFill>
                </w14:textFill>
              </w:rPr>
              <w:t>10000m</w:t>
            </w:r>
            <w:r>
              <w:rPr>
                <w:rFonts w:hint="default" w:ascii="Times New Roman" w:hAnsi="Times New Roman" w:cs="Times New Roman"/>
                <w:bCs/>
                <w:color w:val="000000" w:themeColor="text1"/>
                <w:spacing w:val="10"/>
                <w:sz w:val="24"/>
                <w:szCs w:val="24"/>
                <w:highlight w:val="none"/>
                <w:shd w:val="clear"/>
                <w:vertAlign w:val="superscript"/>
                <w:lang w:val="en-US" w:eastAsia="zh-CN"/>
                <w14:textFill>
                  <w14:solidFill>
                    <w14:schemeClr w14:val="tx1"/>
                  </w14:solidFill>
                </w14:textFill>
              </w:rPr>
              <w:t>2</w:t>
            </w:r>
            <w:r>
              <w:rPr>
                <w:rFonts w:hint="default" w:ascii="Times New Roman" w:hAnsi="Times New Roman" w:cs="Times New Roman"/>
                <w:bCs/>
                <w:color w:val="000000" w:themeColor="text1"/>
                <w:spacing w:val="10"/>
                <w:sz w:val="24"/>
                <w:szCs w:val="24"/>
                <w:highlight w:val="none"/>
                <w:shd w:val="clear"/>
                <w:lang w:val="en-US" w:eastAsia="zh-CN"/>
                <w14:textFill>
                  <w14:solidFill>
                    <w14:schemeClr w14:val="tx1"/>
                  </w14:solidFill>
                </w14:textFill>
              </w:rPr>
              <w:t>。</w:t>
            </w:r>
          </w:p>
          <w:p w14:paraId="54897902">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2" w:firstLineChars="200"/>
              <w:jc w:val="both"/>
              <w:textAlignment w:val="baseline"/>
              <w:rPr>
                <w:rFonts w:hint="default" w:ascii="Times New Roman" w:hAnsi="Times New Roman" w:cs="Times New Roman"/>
                <w:color w:val="000000" w:themeColor="text1"/>
                <w:spacing w:val="-2"/>
                <w:highlight w:val="none"/>
                <w:lang w:val="en-US" w:eastAsia="zh-CN"/>
                <w14:textFill>
                  <w14:solidFill>
                    <w14:schemeClr w14:val="tx1"/>
                  </w14:solidFill>
                </w14:textFill>
              </w:rPr>
            </w:pPr>
            <w:r>
              <w:rPr>
                <w:rFonts w:hint="default" w:ascii="Times New Roman" w:hAnsi="Times New Roman" w:cs="Times New Roman"/>
                <w:color w:val="000000" w:themeColor="text1"/>
                <w:spacing w:val="-2"/>
                <w:highlight w:val="none"/>
                <w:lang w:val="en-US" w:eastAsia="zh-CN"/>
                <w14:textFill>
                  <w14:solidFill>
                    <w14:schemeClr w14:val="tx1"/>
                  </w14:solidFill>
                </w14:textFill>
              </w:rPr>
              <w:t>具体本项目占地情况如下表：</w:t>
            </w:r>
          </w:p>
          <w:p w14:paraId="665E8952">
            <w:pPr>
              <w:pStyle w:val="105"/>
              <w:keepNext w:val="0"/>
              <w:keepLines w:val="0"/>
              <w:suppressLineNumbers w:val="0"/>
              <w:spacing w:before="181" w:beforeAutospacing="0" w:after="0" w:afterAutospacing="0" w:line="215" w:lineRule="auto"/>
              <w:ind w:left="0" w:right="0"/>
              <w:jc w:val="center"/>
              <w:rPr>
                <w:rFonts w:hint="default" w:ascii="Times New Roman" w:hAnsi="Times New Roman" w:eastAsia="宋体" w:cs="Times New Roman"/>
                <w:b/>
                <w:bCs/>
                <w:color w:val="000000" w:themeColor="text1"/>
                <w:spacing w:val="-5"/>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pacing w:val="-5"/>
                <w:sz w:val="21"/>
                <w:szCs w:val="21"/>
                <w:highlight w:val="none"/>
                <w:lang w:val="en-US" w:eastAsia="zh-CN"/>
                <w14:textFill>
                  <w14:solidFill>
                    <w14:schemeClr w14:val="tx1"/>
                  </w14:solidFill>
                </w14:textFill>
              </w:rPr>
              <w:t xml:space="preserve">表2-3   </w:t>
            </w:r>
            <w:r>
              <w:rPr>
                <w:rFonts w:hint="default" w:ascii="Times New Roman" w:hAnsi="Times New Roman" w:eastAsia="宋体" w:cs="Times New Roman"/>
                <w:b/>
                <w:bCs/>
                <w:color w:val="000000" w:themeColor="text1"/>
                <w:spacing w:val="-5"/>
                <w:sz w:val="21"/>
                <w:szCs w:val="21"/>
                <w:highlight w:val="none"/>
                <w:lang w:val="en-US" w:eastAsia="zh-CN"/>
                <w14:textFill>
                  <w14:solidFill>
                    <w14:schemeClr w14:val="tx1"/>
                  </w14:solidFill>
                </w14:textFill>
              </w:rPr>
              <w:t>项目占地情况表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1173"/>
              <w:gridCol w:w="2212"/>
              <w:gridCol w:w="946"/>
              <w:gridCol w:w="1178"/>
              <w:gridCol w:w="2261"/>
            </w:tblGrid>
            <w:tr w14:paraId="1EB0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389" w:type="pct"/>
                  <w:textDirection w:val="tbRlV"/>
                  <w:vAlign w:val="center"/>
                </w:tcPr>
                <w:p w14:paraId="01100953">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aseline"/>
                    <w:rPr>
                      <w:rFonts w:hint="default" w:ascii="Times New Roman" w:hAnsi="Times New Roman" w:cs="Times New Roman"/>
                      <w:b/>
                      <w:bCs/>
                      <w:color w:val="000000" w:themeColor="text1"/>
                      <w:spacing w:val="-2"/>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pacing w:val="-2"/>
                      <w:sz w:val="21"/>
                      <w:szCs w:val="21"/>
                      <w:highlight w:val="none"/>
                      <w:vertAlign w:val="baseline"/>
                      <w:lang w:val="en-US" w:eastAsia="zh-CN"/>
                      <w14:textFill>
                        <w14:solidFill>
                          <w14:schemeClr w14:val="tx1"/>
                        </w14:solidFill>
                      </w14:textFill>
                    </w:rPr>
                    <w:t>序号</w:t>
                  </w:r>
                </w:p>
              </w:tc>
              <w:tc>
                <w:tcPr>
                  <w:tcW w:w="696" w:type="pct"/>
                  <w:vAlign w:val="center"/>
                </w:tcPr>
                <w:p w14:paraId="59B1C0B9">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b/>
                      <w:bCs/>
                      <w:color w:val="000000" w:themeColor="text1"/>
                      <w:spacing w:val="-2"/>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pacing w:val="-11"/>
                      <w:sz w:val="21"/>
                      <w:szCs w:val="21"/>
                      <w:highlight w:val="none"/>
                      <w14:textFill>
                        <w14:solidFill>
                          <w14:schemeClr w14:val="tx1"/>
                        </w14:solidFill>
                      </w14:textFill>
                    </w:rPr>
                    <w:t>占地</w:t>
                  </w:r>
                  <w:r>
                    <w:rPr>
                      <w:rFonts w:hint="default" w:ascii="Times New Roman" w:hAnsi="Times New Roman" w:cs="Times New Roman"/>
                      <w:b/>
                      <w:bCs/>
                      <w:color w:val="000000" w:themeColor="text1"/>
                      <w:spacing w:val="-3"/>
                      <w:sz w:val="21"/>
                      <w:szCs w:val="21"/>
                      <w:highlight w:val="none"/>
                      <w14:textFill>
                        <w14:solidFill>
                          <w14:schemeClr w14:val="tx1"/>
                        </w14:solidFill>
                      </w14:textFill>
                    </w:rPr>
                    <w:t>性质</w:t>
                  </w:r>
                </w:p>
              </w:tc>
              <w:tc>
                <w:tcPr>
                  <w:tcW w:w="1312" w:type="pct"/>
                  <w:vAlign w:val="center"/>
                </w:tcPr>
                <w:p w14:paraId="38F6C105">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b/>
                      <w:bCs/>
                      <w:color w:val="000000" w:themeColor="text1"/>
                      <w:spacing w:val="-16"/>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pacing w:val="-16"/>
                      <w:sz w:val="21"/>
                      <w:szCs w:val="21"/>
                      <w:highlight w:val="none"/>
                      <w14:textFill>
                        <w14:solidFill>
                          <w14:schemeClr w14:val="tx1"/>
                        </w14:solidFill>
                      </w14:textFill>
                    </w:rPr>
                    <w:t>占地项目</w:t>
                  </w:r>
                </w:p>
              </w:tc>
              <w:tc>
                <w:tcPr>
                  <w:tcW w:w="561" w:type="pct"/>
                  <w:vAlign w:val="center"/>
                </w:tcPr>
                <w:p w14:paraId="52FD6F69">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b/>
                      <w:bCs/>
                      <w:color w:val="000000" w:themeColor="text1"/>
                      <w:spacing w:val="-16"/>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pacing w:val="-16"/>
                      <w:sz w:val="21"/>
                      <w:szCs w:val="21"/>
                      <w:highlight w:val="none"/>
                      <w14:textFill>
                        <w14:solidFill>
                          <w14:schemeClr w14:val="tx1"/>
                        </w14:solidFill>
                      </w14:textFill>
                    </w:rPr>
                    <w:t>单位占地面积m</w:t>
                  </w:r>
                  <w:r>
                    <w:rPr>
                      <w:rFonts w:hint="default" w:ascii="Times New Roman" w:hAnsi="Times New Roman" w:cs="Times New Roman"/>
                      <w:b/>
                      <w:bCs/>
                      <w:color w:val="000000" w:themeColor="text1"/>
                      <w:spacing w:val="-16"/>
                      <w:sz w:val="21"/>
                      <w:szCs w:val="21"/>
                      <w:highlight w:val="none"/>
                      <w:vertAlign w:val="superscript"/>
                      <w14:textFill>
                        <w14:solidFill>
                          <w14:schemeClr w14:val="tx1"/>
                        </w14:solidFill>
                      </w14:textFill>
                    </w:rPr>
                    <w:t>2</w:t>
                  </w:r>
                </w:p>
              </w:tc>
              <w:tc>
                <w:tcPr>
                  <w:tcW w:w="699" w:type="pct"/>
                  <w:vAlign w:val="center"/>
                </w:tcPr>
                <w:p w14:paraId="2D80A15C">
                  <w:pPr>
                    <w:pStyle w:val="105"/>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b/>
                      <w:bCs/>
                      <w:color w:val="000000" w:themeColor="text1"/>
                      <w:spacing w:val="-2"/>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pacing w:val="-16"/>
                      <w:sz w:val="21"/>
                      <w:szCs w:val="21"/>
                      <w:highlight w:val="none"/>
                      <w14:textFill>
                        <w14:solidFill>
                          <w14:schemeClr w14:val="tx1"/>
                        </w14:solidFill>
                      </w14:textFill>
                    </w:rPr>
                    <w:t>占地类型</w:t>
                  </w:r>
                </w:p>
              </w:tc>
              <w:tc>
                <w:tcPr>
                  <w:tcW w:w="1341" w:type="pct"/>
                  <w:vAlign w:val="center"/>
                </w:tcPr>
                <w:p w14:paraId="582503AD">
                  <w:pPr>
                    <w:pStyle w:val="105"/>
                    <w:keepNext w:val="0"/>
                    <w:keepLines w:val="0"/>
                    <w:pageBreakBefore w:val="0"/>
                    <w:widowControl w:val="0"/>
                    <w:suppressLineNumbers w:val="0"/>
                    <w:kinsoku w:val="0"/>
                    <w:wordWrap/>
                    <w:overflowPunct/>
                    <w:topLinePunct w:val="0"/>
                    <w:autoSpaceDE w:val="0"/>
                    <w:autoSpaceDN w:val="0"/>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000000" w:themeColor="text1"/>
                      <w:spacing w:val="-16"/>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pacing w:val="-16"/>
                      <w:sz w:val="21"/>
                      <w:szCs w:val="21"/>
                      <w:highlight w:val="none"/>
                      <w:lang w:val="en-US" w:eastAsia="zh-CN"/>
                      <w14:textFill>
                        <w14:solidFill>
                          <w14:schemeClr w14:val="tx1"/>
                        </w14:solidFill>
                      </w14:textFill>
                    </w:rPr>
                    <w:t>备注</w:t>
                  </w:r>
                </w:p>
              </w:tc>
            </w:tr>
            <w:tr w14:paraId="23434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vAlign w:val="center"/>
                </w:tcPr>
                <w:p w14:paraId="0903F42B">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aseline"/>
                    <w:rPr>
                      <w:rFonts w:hint="default" w:ascii="Times New Roman" w:hAnsi="Times New Roman"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1"/>
                      <w:sz w:val="21"/>
                      <w:szCs w:val="21"/>
                      <w:highlight w:val="none"/>
                      <w:lang w:val="en-US" w:eastAsia="zh-CN"/>
                      <w14:textFill>
                        <w14:solidFill>
                          <w14:schemeClr w14:val="tx1"/>
                        </w14:solidFill>
                      </w14:textFill>
                    </w:rPr>
                    <w:t>1</w:t>
                  </w:r>
                </w:p>
              </w:tc>
              <w:tc>
                <w:tcPr>
                  <w:tcW w:w="696" w:type="pct"/>
                  <w:vMerge w:val="restart"/>
                  <w:vAlign w:val="center"/>
                </w:tcPr>
                <w:p w14:paraId="70830668">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000000" w:themeColor="text1"/>
                      <w:spacing w:val="-2"/>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永久</w:t>
                  </w:r>
                  <w:r>
                    <w:rPr>
                      <w:rFonts w:hint="default" w:ascii="Times New Roman" w:hAnsi="Times New Roman" w:cs="Times New Roman"/>
                      <w:color w:val="000000" w:themeColor="text1"/>
                      <w:spacing w:val="-11"/>
                      <w:sz w:val="21"/>
                      <w:szCs w:val="21"/>
                      <w:highlight w:val="none"/>
                      <w14:textFill>
                        <w14:solidFill>
                          <w14:schemeClr w14:val="tx1"/>
                        </w14:solidFill>
                      </w14:textFill>
                    </w:rPr>
                    <w:t>占地</w:t>
                  </w:r>
                </w:p>
              </w:tc>
              <w:tc>
                <w:tcPr>
                  <w:tcW w:w="1312" w:type="pct"/>
                  <w:vAlign w:val="center"/>
                </w:tcPr>
                <w:p w14:paraId="7A008928">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000000" w:themeColor="text1"/>
                      <w:spacing w:val="-16"/>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16"/>
                      <w:sz w:val="21"/>
                      <w:szCs w:val="21"/>
                      <w:highlight w:val="none"/>
                      <w14:textFill>
                        <w14:solidFill>
                          <w14:schemeClr w14:val="tx1"/>
                        </w14:solidFill>
                      </w14:textFill>
                    </w:rPr>
                    <w:t>升压站</w:t>
                  </w:r>
                  <w:r>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t>占地</w:t>
                  </w:r>
                </w:p>
              </w:tc>
              <w:tc>
                <w:tcPr>
                  <w:tcW w:w="561" w:type="pct"/>
                  <w:vAlign w:val="center"/>
                </w:tcPr>
                <w:p w14:paraId="2FF63C6C">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cs="Times New Roman"/>
                      <w:color w:val="000000" w:themeColor="text1"/>
                      <w:spacing w:val="-16"/>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16"/>
                      <w:kern w:val="2"/>
                      <w:sz w:val="21"/>
                      <w:szCs w:val="21"/>
                      <w:highlight w:val="none"/>
                      <w:lang w:val="en-US" w:eastAsia="zh-CN" w:bidi="ar-SA"/>
                      <w14:textFill>
                        <w14:solidFill>
                          <w14:schemeClr w14:val="tx1"/>
                        </w14:solidFill>
                      </w14:textFill>
                    </w:rPr>
                    <w:t>10597</w:t>
                  </w:r>
                </w:p>
              </w:tc>
              <w:tc>
                <w:tcPr>
                  <w:tcW w:w="699" w:type="pct"/>
                  <w:vMerge w:val="restart"/>
                  <w:vAlign w:val="center"/>
                </w:tcPr>
                <w:p w14:paraId="5C251D11">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t>裸岩石砾地</w:t>
                  </w:r>
                </w:p>
              </w:tc>
              <w:tc>
                <w:tcPr>
                  <w:tcW w:w="1341" w:type="pct"/>
                  <w:vMerge w:val="restart"/>
                  <w:vAlign w:val="center"/>
                </w:tcPr>
                <w:p w14:paraId="1C083419">
                  <w:pPr>
                    <w:pStyle w:val="105"/>
                    <w:keepNext w:val="0"/>
                    <w:keepLines w:val="0"/>
                    <w:pageBreakBefore w:val="0"/>
                    <w:widowControl w:val="0"/>
                    <w:suppressLineNumbers w:val="0"/>
                    <w:wordWrap/>
                    <w:overflowPunct/>
                    <w:topLinePunct w:val="0"/>
                    <w:bidi w:val="0"/>
                    <w:spacing w:before="0" w:beforeAutospacing="0" w:after="0" w:afterAutospacing="0" w:line="240" w:lineRule="auto"/>
                    <w:ind w:left="0" w:right="0"/>
                    <w:jc w:val="center"/>
                    <w:rPr>
                      <w:rFonts w:hint="default" w:ascii="Times New Roman" w:hAnsi="Times New Roman" w:eastAsia="宋体" w:cs="Times New Roman"/>
                      <w:color w:val="000000" w:themeColor="text1"/>
                      <w:spacing w:val="-2"/>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vertAlign w:val="baseline"/>
                      <w:lang w:val="en-US" w:eastAsia="zh-CN"/>
                      <w14:textFill>
                        <w14:solidFill>
                          <w14:schemeClr w14:val="tx1"/>
                        </w14:solidFill>
                      </w14:textFill>
                    </w:rPr>
                    <w:t>本项目选址为华润新能源额济纳旗100兆瓦风电项目征地范围内</w:t>
                  </w:r>
                  <w:r>
                    <w:rPr>
                      <w:rFonts w:hint="default" w:ascii="Times New Roman" w:hAnsi="Times New Roman" w:eastAsia="宋体" w:cs="Times New Roman"/>
                      <w:color w:val="000000" w:themeColor="text1"/>
                      <w:spacing w:val="-2"/>
                      <w:sz w:val="21"/>
                      <w:szCs w:val="21"/>
                      <w:highlight w:val="none"/>
                      <w:vertAlign w:val="baseline"/>
                      <w:lang w:val="en-US" w:eastAsia="zh-CN"/>
                      <w14:textFill>
                        <w14:solidFill>
                          <w14:schemeClr w14:val="tx1"/>
                        </w14:solidFill>
                      </w14:textFill>
                    </w:rPr>
                    <w:t>。</w:t>
                  </w:r>
                </w:p>
              </w:tc>
            </w:tr>
            <w:tr w14:paraId="257A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shd w:val="clear" w:color="auto" w:fill="auto"/>
                  <w:vAlign w:val="center"/>
                </w:tcPr>
                <w:p w14:paraId="0E9A5AEA">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t>2</w:t>
                  </w:r>
                </w:p>
              </w:tc>
              <w:tc>
                <w:tcPr>
                  <w:tcW w:w="696" w:type="pct"/>
                  <w:vMerge w:val="continue"/>
                  <w:vAlign w:val="center"/>
                </w:tcPr>
                <w:p w14:paraId="7619525B">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000000" w:themeColor="text1"/>
                      <w:spacing w:val="-2"/>
                      <w:sz w:val="21"/>
                      <w:szCs w:val="21"/>
                      <w:highlight w:val="none"/>
                      <w14:textFill>
                        <w14:solidFill>
                          <w14:schemeClr w14:val="tx1"/>
                        </w14:solidFill>
                      </w14:textFill>
                    </w:rPr>
                  </w:pPr>
                </w:p>
              </w:tc>
              <w:tc>
                <w:tcPr>
                  <w:tcW w:w="1312" w:type="pct"/>
                  <w:shd w:val="clear" w:color="auto" w:fill="auto"/>
                  <w:vAlign w:val="center"/>
                </w:tcPr>
                <w:p w14:paraId="1AF0DD43">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000000" w:themeColor="text1"/>
                      <w:spacing w:val="-2"/>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pacing w:val="-2"/>
                      <w:kern w:val="2"/>
                      <w:sz w:val="21"/>
                      <w:szCs w:val="21"/>
                      <w:highlight w:val="none"/>
                      <w:vertAlign w:val="baseline"/>
                      <w:lang w:val="en-US" w:eastAsia="zh-CN" w:bidi="ar-SA"/>
                      <w14:textFill>
                        <w14:solidFill>
                          <w14:schemeClr w14:val="tx1"/>
                        </w14:solidFill>
                      </w14:textFill>
                    </w:rPr>
                    <w:t>新建进站道路占地</w:t>
                  </w:r>
                </w:p>
              </w:tc>
              <w:tc>
                <w:tcPr>
                  <w:tcW w:w="561" w:type="pct"/>
                  <w:shd w:val="clear" w:color="auto" w:fill="auto"/>
                  <w:vAlign w:val="center"/>
                </w:tcPr>
                <w:p w14:paraId="01E33DA8">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cs="Times New Roman"/>
                      <w:color w:val="000000" w:themeColor="text1"/>
                      <w:spacing w:val="-16"/>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16"/>
                      <w:kern w:val="2"/>
                      <w:sz w:val="21"/>
                      <w:szCs w:val="21"/>
                      <w:highlight w:val="none"/>
                      <w:lang w:val="en-US" w:eastAsia="zh-CN" w:bidi="ar-SA"/>
                      <w14:textFill>
                        <w14:solidFill>
                          <w14:schemeClr w14:val="tx1"/>
                        </w14:solidFill>
                      </w14:textFill>
                    </w:rPr>
                    <w:t>1913</w:t>
                  </w:r>
                </w:p>
              </w:tc>
              <w:tc>
                <w:tcPr>
                  <w:tcW w:w="699" w:type="pct"/>
                  <w:vMerge w:val="continue"/>
                  <w:vAlign w:val="center"/>
                </w:tcPr>
                <w:p w14:paraId="589B14BE">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pPr>
                </w:p>
              </w:tc>
              <w:tc>
                <w:tcPr>
                  <w:tcW w:w="1341" w:type="pct"/>
                  <w:vMerge w:val="continue"/>
                  <w:vAlign w:val="center"/>
                </w:tcPr>
                <w:p w14:paraId="5D5BAF92">
                  <w:pPr>
                    <w:pStyle w:val="105"/>
                    <w:keepNext w:val="0"/>
                    <w:keepLines w:val="0"/>
                    <w:pageBreakBefore w:val="0"/>
                    <w:widowControl w:val="0"/>
                    <w:suppressLineNumbers w:val="0"/>
                    <w:wordWrap/>
                    <w:overflowPunct/>
                    <w:topLinePunct w:val="0"/>
                    <w:bidi w:val="0"/>
                    <w:spacing w:before="0" w:beforeAutospacing="0" w:after="0" w:afterAutospacing="0" w:line="240" w:lineRule="auto"/>
                    <w:ind w:left="0" w:right="0"/>
                    <w:jc w:val="center"/>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pPr>
                </w:p>
              </w:tc>
            </w:tr>
            <w:tr w14:paraId="3F26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85" w:type="pct"/>
                  <w:gridSpan w:val="2"/>
                  <w:shd w:val="clear" w:color="auto" w:fill="auto"/>
                  <w:vAlign w:val="center"/>
                </w:tcPr>
                <w:p w14:paraId="4420E07A">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000000" w:themeColor="text1"/>
                      <w:spacing w:val="-2"/>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合计</w:t>
                  </w:r>
                </w:p>
              </w:tc>
              <w:tc>
                <w:tcPr>
                  <w:tcW w:w="1312" w:type="pct"/>
                  <w:shd w:val="clear" w:color="auto" w:fill="auto"/>
                  <w:vAlign w:val="center"/>
                </w:tcPr>
                <w:p w14:paraId="2B8A8569">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t>--</w:t>
                  </w:r>
                </w:p>
              </w:tc>
              <w:tc>
                <w:tcPr>
                  <w:tcW w:w="561" w:type="pct"/>
                  <w:shd w:val="clear" w:color="auto" w:fill="auto"/>
                  <w:vAlign w:val="center"/>
                </w:tcPr>
                <w:p w14:paraId="7AAB68F3">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cs="Times New Roman"/>
                      <w:color w:val="000000" w:themeColor="text1"/>
                      <w:spacing w:val="-16"/>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16"/>
                      <w:kern w:val="2"/>
                      <w:sz w:val="21"/>
                      <w:szCs w:val="21"/>
                      <w:highlight w:val="none"/>
                      <w:lang w:val="en-US" w:eastAsia="zh-CN" w:bidi="ar-SA"/>
                      <w14:textFill>
                        <w14:solidFill>
                          <w14:schemeClr w14:val="tx1"/>
                        </w14:solidFill>
                      </w14:textFill>
                    </w:rPr>
                    <w:t>12510</w:t>
                  </w:r>
                </w:p>
              </w:tc>
              <w:tc>
                <w:tcPr>
                  <w:tcW w:w="2040" w:type="pct"/>
                  <w:gridSpan w:val="2"/>
                  <w:shd w:val="clear" w:color="auto" w:fill="auto"/>
                  <w:vAlign w:val="center"/>
                </w:tcPr>
                <w:p w14:paraId="15CCD25F">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t>--</w:t>
                  </w:r>
                </w:p>
              </w:tc>
            </w:tr>
            <w:tr w14:paraId="42A6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vAlign w:val="center"/>
                </w:tcPr>
                <w:p w14:paraId="0CA23EB9">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aseline"/>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t>3</w:t>
                  </w:r>
                </w:p>
              </w:tc>
              <w:tc>
                <w:tcPr>
                  <w:tcW w:w="696" w:type="pct"/>
                  <w:vMerge w:val="restart"/>
                  <w:vAlign w:val="center"/>
                </w:tcPr>
                <w:p w14:paraId="4C30EBCC">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t>临时占地</w:t>
                  </w:r>
                </w:p>
              </w:tc>
              <w:tc>
                <w:tcPr>
                  <w:tcW w:w="1312" w:type="pct"/>
                  <w:vAlign w:val="center"/>
                </w:tcPr>
                <w:p w14:paraId="18F98C16">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baseline"/>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t>临时道路</w:t>
                  </w:r>
                </w:p>
              </w:tc>
              <w:tc>
                <w:tcPr>
                  <w:tcW w:w="561" w:type="pct"/>
                  <w:vAlign w:val="center"/>
                </w:tcPr>
                <w:p w14:paraId="70B5BC7A">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cs="Times New Roman"/>
                      <w:color w:val="000000" w:themeColor="text1"/>
                      <w:spacing w:val="-16"/>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16"/>
                      <w:kern w:val="2"/>
                      <w:sz w:val="21"/>
                      <w:szCs w:val="21"/>
                      <w:highlight w:val="none"/>
                      <w:lang w:val="en-US" w:eastAsia="zh-CN" w:bidi="ar-SA"/>
                      <w14:textFill>
                        <w14:solidFill>
                          <w14:schemeClr w14:val="tx1"/>
                        </w14:solidFill>
                      </w14:textFill>
                    </w:rPr>
                    <w:t>1240</w:t>
                  </w:r>
                </w:p>
              </w:tc>
              <w:tc>
                <w:tcPr>
                  <w:tcW w:w="699" w:type="pct"/>
                  <w:vMerge w:val="restart"/>
                  <w:vAlign w:val="center"/>
                </w:tcPr>
                <w:p w14:paraId="69809706">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t>裸岩石砾地</w:t>
                  </w:r>
                </w:p>
              </w:tc>
              <w:tc>
                <w:tcPr>
                  <w:tcW w:w="1341" w:type="pct"/>
                  <w:vMerge w:val="restart"/>
                  <w:vAlign w:val="center"/>
                </w:tcPr>
                <w:p w14:paraId="3799F43F">
                  <w:pPr>
                    <w:pStyle w:val="105"/>
                    <w:keepNext w:val="0"/>
                    <w:keepLines w:val="0"/>
                    <w:pageBreakBefore w:val="0"/>
                    <w:widowControl w:val="0"/>
                    <w:suppressLineNumbers w:val="0"/>
                    <w:wordWrap/>
                    <w:overflowPunct/>
                    <w:topLinePunct w:val="0"/>
                    <w:bidi w:val="0"/>
                    <w:spacing w:before="0" w:beforeAutospacing="0" w:after="0" w:afterAutospacing="0" w:line="240" w:lineRule="auto"/>
                    <w:ind w:left="0" w:right="0"/>
                    <w:jc w:val="center"/>
                    <w:rPr>
                      <w:rFonts w:hint="default" w:ascii="Times New Roman" w:hAnsi="Times New Roman" w:cs="Times New Roman"/>
                      <w:color w:val="000000" w:themeColor="text1"/>
                      <w:spacing w:val="-2"/>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vertAlign w:val="baseline"/>
                      <w:lang w:val="en-US" w:eastAsia="zh-CN"/>
                      <w14:textFill>
                        <w14:solidFill>
                          <w14:schemeClr w14:val="tx1"/>
                        </w14:solidFill>
                      </w14:textFill>
                    </w:rPr>
                    <w:t>依托华润新能源额济纳旗100兆瓦风电项目</w:t>
                  </w:r>
                </w:p>
              </w:tc>
            </w:tr>
            <w:tr w14:paraId="0243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vAlign w:val="center"/>
                </w:tcPr>
                <w:p w14:paraId="33D77694">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aseline"/>
                    <w:rPr>
                      <w:rFonts w:hint="default" w:ascii="Times New Roman" w:hAnsi="Times New Roman"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1"/>
                      <w:sz w:val="21"/>
                      <w:szCs w:val="21"/>
                      <w:highlight w:val="none"/>
                      <w:lang w:val="en-US" w:eastAsia="zh-CN"/>
                      <w14:textFill>
                        <w14:solidFill>
                          <w14:schemeClr w14:val="tx1"/>
                        </w14:solidFill>
                      </w14:textFill>
                    </w:rPr>
                    <w:t>4</w:t>
                  </w:r>
                </w:p>
              </w:tc>
              <w:tc>
                <w:tcPr>
                  <w:tcW w:w="696" w:type="pct"/>
                  <w:vMerge w:val="continue"/>
                  <w:vAlign w:val="center"/>
                </w:tcPr>
                <w:p w14:paraId="69672CAF">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pPr>
                </w:p>
              </w:tc>
              <w:tc>
                <w:tcPr>
                  <w:tcW w:w="1312" w:type="pct"/>
                  <w:vAlign w:val="center"/>
                </w:tcPr>
                <w:p w14:paraId="630920CB">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baseline"/>
                    <w:rPr>
                      <w:rFonts w:hint="default"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t>施工生产生活区</w:t>
                  </w:r>
                </w:p>
              </w:tc>
              <w:tc>
                <w:tcPr>
                  <w:tcW w:w="561" w:type="pct"/>
                  <w:vAlign w:val="center"/>
                </w:tcPr>
                <w:p w14:paraId="37036374">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baseline"/>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t>10800</w:t>
                  </w:r>
                </w:p>
              </w:tc>
              <w:tc>
                <w:tcPr>
                  <w:tcW w:w="699" w:type="pct"/>
                  <w:vMerge w:val="continue"/>
                  <w:vAlign w:val="center"/>
                </w:tcPr>
                <w:p w14:paraId="530C8665">
                  <w:pPr>
                    <w:pStyle w:val="105"/>
                    <w:keepNext w:val="0"/>
                    <w:keepLines w:val="0"/>
                    <w:pageBreakBefore w:val="0"/>
                    <w:widowControl w:val="0"/>
                    <w:suppressLineNumbers w:val="0"/>
                    <w:wordWrap/>
                    <w:overflowPunct/>
                    <w:topLinePunct w:val="0"/>
                    <w:bidi w:val="0"/>
                    <w:spacing w:before="0" w:beforeAutospacing="0" w:after="0" w:afterAutospacing="0" w:line="240" w:lineRule="auto"/>
                    <w:ind w:left="0" w:right="0"/>
                    <w:jc w:val="center"/>
                    <w:rPr>
                      <w:rFonts w:hint="default" w:ascii="Times New Roman" w:hAnsi="Times New Roman" w:cs="Times New Roman"/>
                      <w:color w:val="000000" w:themeColor="text1"/>
                      <w:spacing w:val="-2"/>
                      <w:sz w:val="21"/>
                      <w:szCs w:val="21"/>
                      <w:highlight w:val="none"/>
                      <w:vertAlign w:val="baseline"/>
                      <w:lang w:val="en-US" w:eastAsia="zh-CN"/>
                      <w14:textFill>
                        <w14:solidFill>
                          <w14:schemeClr w14:val="tx1"/>
                        </w14:solidFill>
                      </w14:textFill>
                    </w:rPr>
                  </w:pPr>
                </w:p>
              </w:tc>
              <w:tc>
                <w:tcPr>
                  <w:tcW w:w="1341" w:type="pct"/>
                  <w:vMerge w:val="continue"/>
                  <w:vAlign w:val="center"/>
                </w:tcPr>
                <w:p w14:paraId="63E7592E">
                  <w:pPr>
                    <w:pStyle w:val="105"/>
                    <w:keepNext w:val="0"/>
                    <w:keepLines w:val="0"/>
                    <w:pageBreakBefore w:val="0"/>
                    <w:widowControl w:val="0"/>
                    <w:suppressLineNumbers w:val="0"/>
                    <w:wordWrap/>
                    <w:overflowPunct/>
                    <w:topLinePunct w:val="0"/>
                    <w:bidi w:val="0"/>
                    <w:spacing w:before="0" w:beforeAutospacing="0" w:after="0" w:afterAutospacing="0" w:line="240" w:lineRule="auto"/>
                    <w:ind w:left="0" w:right="0"/>
                    <w:jc w:val="center"/>
                    <w:rPr>
                      <w:rFonts w:hint="default" w:ascii="Times New Roman" w:hAnsi="Times New Roman" w:cs="Times New Roman"/>
                      <w:color w:val="000000" w:themeColor="text1"/>
                      <w:spacing w:val="-2"/>
                      <w:sz w:val="21"/>
                      <w:szCs w:val="21"/>
                      <w:highlight w:val="none"/>
                      <w:vertAlign w:val="baseline"/>
                      <w:lang w:val="en-US" w:eastAsia="zh-CN"/>
                      <w14:textFill>
                        <w14:solidFill>
                          <w14:schemeClr w14:val="tx1"/>
                        </w14:solidFill>
                      </w14:textFill>
                    </w:rPr>
                  </w:pPr>
                </w:p>
              </w:tc>
            </w:tr>
            <w:tr w14:paraId="607A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9" w:type="pct"/>
                  <w:vAlign w:val="center"/>
                </w:tcPr>
                <w:p w14:paraId="20FEAAF5">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aseline"/>
                    <w:rPr>
                      <w:rFonts w:hint="default" w:ascii="Times New Roman" w:hAnsi="Times New Roman"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1"/>
                      <w:sz w:val="21"/>
                      <w:szCs w:val="21"/>
                      <w:highlight w:val="none"/>
                      <w:lang w:val="en-US" w:eastAsia="zh-CN"/>
                      <w14:textFill>
                        <w14:solidFill>
                          <w14:schemeClr w14:val="tx1"/>
                        </w14:solidFill>
                      </w14:textFill>
                    </w:rPr>
                    <w:t>5</w:t>
                  </w:r>
                </w:p>
              </w:tc>
              <w:tc>
                <w:tcPr>
                  <w:tcW w:w="696" w:type="pct"/>
                  <w:vMerge w:val="continue"/>
                  <w:vAlign w:val="center"/>
                </w:tcPr>
                <w:p w14:paraId="497548B6">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pPr>
                </w:p>
              </w:tc>
              <w:tc>
                <w:tcPr>
                  <w:tcW w:w="1312" w:type="pct"/>
                  <w:vAlign w:val="center"/>
                </w:tcPr>
                <w:p w14:paraId="1095F767">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baseline"/>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2"/>
                      <w:sz w:val="21"/>
                      <w:szCs w:val="21"/>
                      <w:highlight w:val="none"/>
                      <w:lang w:val="en-US" w:eastAsia="zh-CN"/>
                      <w14:textFill>
                        <w14:solidFill>
                          <w14:schemeClr w14:val="tx1"/>
                        </w14:solidFill>
                      </w14:textFill>
                    </w:rPr>
                    <w:t>临时堆土场</w:t>
                  </w:r>
                </w:p>
              </w:tc>
              <w:tc>
                <w:tcPr>
                  <w:tcW w:w="561" w:type="pct"/>
                  <w:vAlign w:val="center"/>
                </w:tcPr>
                <w:p w14:paraId="5CBBE4AE">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baseline"/>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16"/>
                      <w:sz w:val="21"/>
                      <w:szCs w:val="21"/>
                      <w:highlight w:val="none"/>
                      <w:lang w:val="en-US" w:eastAsia="zh-CN"/>
                      <w14:textFill>
                        <w14:solidFill>
                          <w14:schemeClr w14:val="tx1"/>
                        </w14:solidFill>
                      </w14:textFill>
                    </w:rPr>
                    <w:t>10000</w:t>
                  </w:r>
                </w:p>
              </w:tc>
              <w:tc>
                <w:tcPr>
                  <w:tcW w:w="699" w:type="pct"/>
                  <w:vMerge w:val="continue"/>
                  <w:vAlign w:val="center"/>
                </w:tcPr>
                <w:p w14:paraId="66784FE5">
                  <w:pPr>
                    <w:pStyle w:val="105"/>
                    <w:keepNext w:val="0"/>
                    <w:keepLines w:val="0"/>
                    <w:pageBreakBefore w:val="0"/>
                    <w:widowControl w:val="0"/>
                    <w:suppressLineNumbers w:val="0"/>
                    <w:wordWrap/>
                    <w:overflowPunct/>
                    <w:topLinePunct w:val="0"/>
                    <w:bidi w:val="0"/>
                    <w:spacing w:before="0" w:beforeAutospacing="0" w:after="0" w:afterAutospacing="0" w:line="240" w:lineRule="auto"/>
                    <w:ind w:left="0" w:right="0"/>
                    <w:jc w:val="center"/>
                    <w:rPr>
                      <w:rFonts w:hint="default" w:ascii="Times New Roman" w:hAnsi="Times New Roman" w:cs="Times New Roman"/>
                      <w:color w:val="000000" w:themeColor="text1"/>
                      <w:spacing w:val="-2"/>
                      <w:sz w:val="21"/>
                      <w:szCs w:val="21"/>
                      <w:highlight w:val="none"/>
                      <w:vertAlign w:val="baseline"/>
                      <w:lang w:val="en-US" w:eastAsia="zh-CN"/>
                      <w14:textFill>
                        <w14:solidFill>
                          <w14:schemeClr w14:val="tx1"/>
                        </w14:solidFill>
                      </w14:textFill>
                    </w:rPr>
                  </w:pPr>
                </w:p>
              </w:tc>
              <w:tc>
                <w:tcPr>
                  <w:tcW w:w="1341" w:type="pct"/>
                  <w:vMerge w:val="continue"/>
                  <w:vAlign w:val="center"/>
                </w:tcPr>
                <w:p w14:paraId="6A9F2C95">
                  <w:pPr>
                    <w:pStyle w:val="105"/>
                    <w:keepNext w:val="0"/>
                    <w:keepLines w:val="0"/>
                    <w:pageBreakBefore w:val="0"/>
                    <w:widowControl w:val="0"/>
                    <w:suppressLineNumbers w:val="0"/>
                    <w:wordWrap/>
                    <w:overflowPunct/>
                    <w:topLinePunct w:val="0"/>
                    <w:bidi w:val="0"/>
                    <w:spacing w:before="0" w:beforeAutospacing="0" w:after="0" w:afterAutospacing="0" w:line="240" w:lineRule="auto"/>
                    <w:ind w:left="0" w:right="0"/>
                    <w:jc w:val="center"/>
                    <w:rPr>
                      <w:rFonts w:hint="default" w:ascii="Times New Roman" w:hAnsi="Times New Roman" w:cs="Times New Roman"/>
                      <w:color w:val="000000" w:themeColor="text1"/>
                      <w:spacing w:val="-2"/>
                      <w:sz w:val="21"/>
                      <w:szCs w:val="21"/>
                      <w:highlight w:val="none"/>
                      <w:vertAlign w:val="baseline"/>
                      <w:lang w:val="en-US" w:eastAsia="zh-CN"/>
                      <w14:textFill>
                        <w14:solidFill>
                          <w14:schemeClr w14:val="tx1"/>
                        </w14:solidFill>
                      </w14:textFill>
                    </w:rPr>
                  </w:pPr>
                </w:p>
              </w:tc>
            </w:tr>
            <w:tr w14:paraId="5855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85" w:type="pct"/>
                  <w:gridSpan w:val="2"/>
                  <w:shd w:val="clear" w:color="auto" w:fill="auto"/>
                  <w:vAlign w:val="center"/>
                </w:tcPr>
                <w:p w14:paraId="61A806AE">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000000" w:themeColor="text1"/>
                      <w:spacing w:val="-2"/>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pacing w:val="-2"/>
                      <w:sz w:val="21"/>
                      <w:szCs w:val="21"/>
                      <w:highlight w:val="none"/>
                      <w14:textFill>
                        <w14:solidFill>
                          <w14:schemeClr w14:val="tx1"/>
                        </w14:solidFill>
                      </w14:textFill>
                    </w:rPr>
                    <w:t>合计</w:t>
                  </w:r>
                </w:p>
              </w:tc>
              <w:tc>
                <w:tcPr>
                  <w:tcW w:w="1312" w:type="pct"/>
                  <w:shd w:val="clear" w:color="auto" w:fill="auto"/>
                  <w:vAlign w:val="center"/>
                </w:tcPr>
                <w:p w14:paraId="16CA24DB">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2"/>
                      <w:sz w:val="21"/>
                      <w:szCs w:val="21"/>
                      <w:highlight w:val="none"/>
                      <w:lang w:val="en-US" w:eastAsia="zh-CN"/>
                      <w14:textFill>
                        <w14:solidFill>
                          <w14:schemeClr w14:val="tx1"/>
                        </w14:solidFill>
                      </w14:textFill>
                    </w:rPr>
                    <w:t>--</w:t>
                  </w:r>
                </w:p>
              </w:tc>
              <w:tc>
                <w:tcPr>
                  <w:tcW w:w="561" w:type="pct"/>
                  <w:shd w:val="clear" w:color="auto" w:fill="auto"/>
                  <w:vAlign w:val="center"/>
                </w:tcPr>
                <w:p w14:paraId="5311129D">
                  <w:pPr>
                    <w:pStyle w:val="105"/>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2"/>
                      <w:kern w:val="2"/>
                      <w:sz w:val="21"/>
                      <w:szCs w:val="21"/>
                      <w:highlight w:val="none"/>
                      <w:lang w:val="en-US" w:eastAsia="zh-CN" w:bidi="ar-SA"/>
                      <w14:textFill>
                        <w14:solidFill>
                          <w14:schemeClr w14:val="tx1"/>
                        </w14:solidFill>
                      </w14:textFill>
                    </w:rPr>
                    <w:t>22040</w:t>
                  </w:r>
                </w:p>
              </w:tc>
              <w:tc>
                <w:tcPr>
                  <w:tcW w:w="2040" w:type="pct"/>
                  <w:gridSpan w:val="2"/>
                  <w:vAlign w:val="center"/>
                </w:tcPr>
                <w:p w14:paraId="12B97728">
                  <w:pPr>
                    <w:pStyle w:val="105"/>
                    <w:keepNext w:val="0"/>
                    <w:keepLines w:val="0"/>
                    <w:pageBreakBefore w:val="0"/>
                    <w:widowControl w:val="0"/>
                    <w:suppressLineNumbers w:val="0"/>
                    <w:wordWrap/>
                    <w:overflowPunct/>
                    <w:topLinePunct w:val="0"/>
                    <w:bidi w:val="0"/>
                    <w:spacing w:before="0" w:beforeAutospacing="0" w:after="0" w:afterAutospacing="0" w:line="240" w:lineRule="auto"/>
                    <w:ind w:left="0" w:right="0"/>
                    <w:jc w:val="center"/>
                    <w:rPr>
                      <w:rFonts w:hint="default" w:ascii="Times New Roman" w:hAnsi="Times New Roman" w:cs="Times New Roman"/>
                      <w:color w:val="000000" w:themeColor="text1"/>
                      <w:spacing w:val="-2"/>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2"/>
                      <w:sz w:val="21"/>
                      <w:szCs w:val="21"/>
                      <w:highlight w:val="none"/>
                      <w:vertAlign w:val="baseline"/>
                      <w:lang w:val="en-US" w:eastAsia="zh-CN"/>
                      <w14:textFill>
                        <w14:solidFill>
                          <w14:schemeClr w14:val="tx1"/>
                        </w14:solidFill>
                      </w14:textFill>
                    </w:rPr>
                    <w:t>--</w:t>
                  </w:r>
                </w:p>
              </w:tc>
            </w:tr>
          </w:tbl>
          <w:p w14:paraId="4A114C2A">
            <w:pPr>
              <w:pStyle w:val="65"/>
              <w:keepNext w:val="0"/>
              <w:keepLines w:val="0"/>
              <w:suppressLineNumbers w:val="0"/>
              <w:spacing w:before="0" w:beforeAutospacing="0" w:after="0" w:afterAutospacing="0"/>
              <w:ind w:left="0" w:right="0" w:firstLine="482"/>
              <w:rPr>
                <w:rFonts w:hint="default" w:ascii="Times New Roman" w:hAnsi="Times New Roman" w:cs="Times New Roman"/>
                <w:b/>
                <w:bCs w:val="0"/>
                <w:color w:val="auto"/>
                <w:highlight w:val="none"/>
                <w:lang w:val="en-US" w:eastAsia="zh-CN"/>
              </w:rPr>
            </w:pPr>
            <w:r>
              <w:rPr>
                <w:rFonts w:hint="eastAsia" w:ascii="Times New Roman" w:cs="Times New Roman"/>
                <w:b/>
                <w:bCs w:val="0"/>
                <w:color w:val="auto"/>
                <w:highlight w:val="none"/>
                <w:lang w:val="en-US" w:eastAsia="zh-CN"/>
              </w:rPr>
              <w:t>本项目临时占地中的临时道路、施工生产生活区、临时堆土场均依托依托华润新能源额济纳旗100兆瓦风电项目，目前该项目已报审当地生态环境管理部门，正处于环评拟审批公示阶段。</w:t>
            </w:r>
          </w:p>
          <w:p w14:paraId="1EE2A78A">
            <w:pPr>
              <w:pStyle w:val="65"/>
              <w:keepNext w:val="0"/>
              <w:keepLines w:val="0"/>
              <w:suppressLineNumbers w:val="0"/>
              <w:spacing w:before="0" w:beforeAutospacing="0" w:after="0" w:afterAutospacing="0"/>
              <w:ind w:left="0" w:right="0" w:firstLine="482"/>
              <w:rPr>
                <w:rFonts w:hint="default" w:ascii="Times New Roman" w:hAnsi="Times New Roman" w:cs="Times New Roman"/>
                <w:b/>
                <w:bCs w:val="0"/>
                <w:color w:val="auto"/>
                <w:highlight w:val="none"/>
                <w:lang w:val="en-US" w:eastAsia="zh-CN"/>
              </w:rPr>
            </w:pPr>
          </w:p>
          <w:p w14:paraId="197C204F">
            <w:pPr>
              <w:pStyle w:val="65"/>
              <w:keepNext w:val="0"/>
              <w:keepLines w:val="0"/>
              <w:suppressLineNumbers w:val="0"/>
              <w:spacing w:before="0" w:beforeAutospacing="0" w:after="0" w:afterAutospacing="0"/>
              <w:ind w:left="0" w:right="0" w:firstLine="482"/>
              <w:rPr>
                <w:rFonts w:hint="default" w:ascii="Times New Roman" w:hAnsi="Times New Roman" w:cs="Times New Roman"/>
                <w:b/>
                <w:bCs w:val="0"/>
                <w:color w:val="auto"/>
                <w:highlight w:val="none"/>
                <w:lang w:val="en-US" w:eastAsia="zh-CN"/>
              </w:rPr>
            </w:pPr>
          </w:p>
          <w:p w14:paraId="476C33E8">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color w:val="0000FF"/>
                <w:sz w:val="24"/>
                <w:highlight w:val="none"/>
                <w:lang w:val="en-US" w:eastAsia="zh-CN"/>
              </w:rPr>
            </w:pPr>
            <w:r>
              <w:rPr>
                <w:rFonts w:hint="default" w:ascii="Times New Roman" w:hAnsi="Times New Roman" w:cs="Times New Roman"/>
                <w:b/>
                <w:bCs w:val="0"/>
                <w:color w:val="auto"/>
                <w:highlight w:val="none"/>
                <w:lang w:val="en-US" w:eastAsia="zh-CN"/>
              </w:rPr>
              <w:t>6、土石方平衡</w:t>
            </w:r>
          </w:p>
          <w:p w14:paraId="6BB8E721">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根据设计，</w:t>
            </w:r>
            <w:r>
              <w:rPr>
                <w:rFonts w:hint="eastAsia" w:cs="Times New Roman"/>
                <w:color w:val="000000" w:themeColor="text1"/>
                <w:sz w:val="24"/>
                <w:highlight w:val="none"/>
                <w:lang w:val="en-US" w:eastAsia="zh-CN"/>
                <w14:textFill>
                  <w14:solidFill>
                    <w14:schemeClr w14:val="tx1"/>
                  </w14:solidFill>
                </w14:textFill>
              </w:rPr>
              <w:t>升压站</w:t>
            </w:r>
            <w:r>
              <w:rPr>
                <w:rFonts w:hint="default" w:ascii="Times New Roman" w:hAnsi="Times New Roman" w:cs="Times New Roman"/>
                <w:color w:val="000000" w:themeColor="text1"/>
                <w:sz w:val="24"/>
                <w:highlight w:val="none"/>
                <w:lang w:val="en-US" w:eastAsia="zh-CN"/>
                <w14:textFill>
                  <w14:solidFill>
                    <w14:schemeClr w14:val="tx1"/>
                  </w14:solidFill>
                </w14:textFill>
              </w:rPr>
              <w:t>站区土石方开挖10019.98万m</w:t>
            </w:r>
            <w:r>
              <w:rPr>
                <w:rFonts w:hint="default" w:ascii="Times New Roman" w:hAnsi="Times New Roman" w:cs="Times New Roman"/>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highlight w:val="none"/>
                <w:lang w:val="en-US" w:eastAsia="zh-CN"/>
                <w14:textFill>
                  <w14:solidFill>
                    <w14:schemeClr w14:val="tx1"/>
                  </w14:solidFill>
                </w14:textFill>
              </w:rPr>
              <w:t>、回填</w:t>
            </w:r>
            <w:r>
              <w:rPr>
                <w:rFonts w:hint="eastAsia" w:ascii="Times New Roman" w:hAnsi="Times New Roman" w:cs="Times New Roman"/>
                <w:color w:val="auto"/>
                <w:szCs w:val="21"/>
                <w:lang w:val="en-US" w:eastAsia="zh-CN"/>
              </w:rPr>
              <w:t>10081.98</w:t>
            </w:r>
            <w:r>
              <w:rPr>
                <w:rFonts w:hint="default" w:ascii="Times New Roman" w:hAnsi="Times New Roman" w:cs="Times New Roman"/>
                <w:color w:val="000000" w:themeColor="text1"/>
                <w:sz w:val="24"/>
                <w:highlight w:val="none"/>
                <w:lang w:val="en-US" w:eastAsia="zh-CN"/>
                <w14:textFill>
                  <w14:solidFill>
                    <w14:schemeClr w14:val="tx1"/>
                  </w14:solidFill>
                </w14:textFill>
              </w:rPr>
              <w:t>万m</w:t>
            </w:r>
            <w:r>
              <w:rPr>
                <w:rFonts w:hint="default" w:ascii="Times New Roman" w:hAnsi="Times New Roman" w:cs="Times New Roman"/>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highlight w:val="none"/>
                <w:lang w:val="en-US" w:eastAsia="zh-CN"/>
                <w14:textFill>
                  <w14:solidFill>
                    <w14:schemeClr w14:val="tx1"/>
                  </w14:solidFill>
                </w14:textFill>
              </w:rPr>
              <w:t>；进站道路土石方开挖775万m</w:t>
            </w:r>
            <w:r>
              <w:rPr>
                <w:rFonts w:hint="default" w:ascii="Times New Roman" w:hAnsi="Times New Roman" w:cs="Times New Roman"/>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highlight w:val="none"/>
                <w:lang w:val="en-US" w:eastAsia="zh-CN"/>
                <w14:textFill>
                  <w14:solidFill>
                    <w14:schemeClr w14:val="tx1"/>
                  </w14:solidFill>
                </w14:textFill>
              </w:rPr>
              <w:t>、回填713万m</w:t>
            </w:r>
            <w:r>
              <w:rPr>
                <w:rFonts w:hint="default" w:ascii="Times New Roman" w:hAnsi="Times New Roman" w:cs="Times New Roman"/>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p>
          <w:p w14:paraId="4B379273">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总挖方10794.98万m</w:t>
            </w:r>
            <w:r>
              <w:rPr>
                <w:rFonts w:hint="eastAsia" w:cs="Times New Roman"/>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highlight w:val="none"/>
                <w:lang w:val="en-US" w:eastAsia="zh-CN"/>
                <w14:textFill>
                  <w14:solidFill>
                    <w14:schemeClr w14:val="tx1"/>
                  </w14:solidFill>
                </w14:textFill>
              </w:rPr>
              <w:t>、总填方10794.98万m</w:t>
            </w:r>
            <w:r>
              <w:rPr>
                <w:rFonts w:hint="eastAsia" w:cs="Times New Roman"/>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不存在</w:t>
            </w:r>
            <w:r>
              <w:rPr>
                <w:rFonts w:hint="default" w:ascii="Times New Roman" w:hAnsi="Times New Roman" w:cs="Times New Roman"/>
                <w:color w:val="000000" w:themeColor="text1"/>
                <w:sz w:val="24"/>
                <w:highlight w:val="none"/>
                <w:lang w:val="en-US" w:eastAsia="zh-CN"/>
                <w14:textFill>
                  <w14:solidFill>
                    <w14:schemeClr w14:val="tx1"/>
                  </w14:solidFill>
                </w14:textFill>
              </w:rPr>
              <w:t>弃方。</w:t>
            </w:r>
          </w:p>
          <w:p w14:paraId="67B4D8DA">
            <w:pPr>
              <w:pStyle w:val="29"/>
              <w:keepNext w:val="0"/>
              <w:keepLines w:val="0"/>
              <w:suppressLineNumbers w:val="0"/>
              <w:spacing w:before="0" w:beforeAutospacing="0" w:afterAutospacing="0"/>
              <w:ind w:left="0" w:leftChars="0" w:right="0" w:firstLine="0" w:firstLineChars="0"/>
              <w:jc w:val="center"/>
              <w:rPr>
                <w:rFonts w:hint="default" w:eastAsia="宋体"/>
                <w:b/>
                <w:bCs/>
                <w:sz w:val="24"/>
                <w:lang w:val="en-US" w:eastAsia="zh-CN"/>
              </w:rPr>
            </w:pPr>
            <w:r>
              <w:rPr>
                <w:rFonts w:hint="default"/>
                <w:b/>
                <w:bCs/>
                <w:sz w:val="24"/>
              </w:rPr>
              <w:t>表2</w:t>
            </w:r>
            <w:r>
              <w:rPr>
                <w:rFonts w:hint="eastAsia"/>
                <w:b/>
                <w:bCs/>
                <w:sz w:val="24"/>
                <w:lang w:val="en-US" w:eastAsia="zh-CN"/>
              </w:rPr>
              <w:t>-4</w:t>
            </w:r>
            <w:r>
              <w:rPr>
                <w:rFonts w:hint="eastAsia"/>
                <w:b/>
                <w:bCs/>
                <w:sz w:val="24"/>
              </w:rPr>
              <w:t>土石方平衡</w:t>
            </w:r>
            <w:r>
              <w:rPr>
                <w:rFonts w:hint="default"/>
                <w:b/>
                <w:bCs/>
                <w:sz w:val="24"/>
              </w:rPr>
              <w:t>表</w:t>
            </w:r>
            <w:r>
              <w:rPr>
                <w:rFonts w:hint="eastAsia"/>
                <w:b/>
                <w:bCs/>
                <w:sz w:val="24"/>
                <w:lang w:val="en-US" w:eastAsia="zh-CN"/>
              </w:rPr>
              <w:t xml:space="preserve"> 单位：万m</w:t>
            </w:r>
            <w:r>
              <w:rPr>
                <w:rFonts w:hint="eastAsia"/>
                <w:b/>
                <w:bCs/>
                <w:sz w:val="24"/>
                <w:vertAlign w:val="superscript"/>
                <w:lang w:val="en-US" w:eastAsia="zh-CN"/>
              </w:rPr>
              <w:t>3</w:t>
            </w:r>
          </w:p>
          <w:tbl>
            <w:tblPr>
              <w:tblStyle w:val="30"/>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989"/>
              <w:gridCol w:w="971"/>
              <w:gridCol w:w="1079"/>
              <w:gridCol w:w="1190"/>
              <w:gridCol w:w="2194"/>
            </w:tblGrid>
            <w:tr w14:paraId="14047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74" w:type="pct"/>
                  <w:vMerge w:val="restart"/>
                  <w:noWrap w:val="0"/>
                  <w:vAlign w:val="center"/>
                </w:tcPr>
                <w:p w14:paraId="3FD5F03D">
                  <w:pPr>
                    <w:pStyle w:val="93"/>
                    <w:keepNext w:val="0"/>
                    <w:keepLines w:val="0"/>
                    <w:suppressLineNumbers w:val="0"/>
                    <w:spacing w:before="0" w:beforeAutospacing="0" w:after="0" w:afterAutospacing="0"/>
                    <w:ind w:left="0" w:right="0"/>
                    <w:jc w:val="center"/>
                    <w:rPr>
                      <w:rFonts w:hint="default" w:ascii="Times New Roman" w:hAnsi="Times New Roman" w:cs="Times New Roman"/>
                      <w:szCs w:val="21"/>
                    </w:rPr>
                  </w:pPr>
                  <w:r>
                    <w:rPr>
                      <w:rFonts w:hint="default" w:ascii="Times New Roman" w:hAnsi="Times New Roman" w:cs="Times New Roman"/>
                      <w:szCs w:val="21"/>
                    </w:rPr>
                    <w:t>工程名称</w:t>
                  </w:r>
                </w:p>
              </w:tc>
              <w:tc>
                <w:tcPr>
                  <w:tcW w:w="1216" w:type="pct"/>
                  <w:gridSpan w:val="2"/>
                  <w:noWrap w:val="0"/>
                  <w:vAlign w:val="center"/>
                </w:tcPr>
                <w:p w14:paraId="155CC32D">
                  <w:pPr>
                    <w:pStyle w:val="93"/>
                    <w:keepNext w:val="0"/>
                    <w:keepLines w:val="0"/>
                    <w:suppressLineNumbers w:val="0"/>
                    <w:spacing w:before="0" w:beforeAutospacing="0" w:after="0" w:afterAutospacing="0"/>
                    <w:ind w:left="0" w:right="0"/>
                    <w:jc w:val="center"/>
                    <w:rPr>
                      <w:rFonts w:hint="default" w:ascii="Times New Roman" w:hAnsi="Times New Roman" w:cs="Times New Roman"/>
                      <w:szCs w:val="21"/>
                    </w:rPr>
                  </w:pPr>
                  <w:r>
                    <w:rPr>
                      <w:rFonts w:hint="default" w:ascii="Times New Roman" w:hAnsi="Times New Roman" w:eastAsia="宋体" w:cs="Times New Roman"/>
                      <w:szCs w:val="21"/>
                    </w:rPr>
                    <w:t>动用土石方工程量</w:t>
                  </w:r>
                </w:p>
              </w:tc>
              <w:tc>
                <w:tcPr>
                  <w:tcW w:w="2008" w:type="pct"/>
                  <w:gridSpan w:val="2"/>
                  <w:noWrap w:val="0"/>
                  <w:vAlign w:val="center"/>
                </w:tcPr>
                <w:p w14:paraId="56AE4FFC">
                  <w:pPr>
                    <w:pStyle w:val="93"/>
                    <w:keepNext w:val="0"/>
                    <w:keepLines w:val="0"/>
                    <w:suppressLineNumbers w:val="0"/>
                    <w:spacing w:before="0" w:beforeAutospacing="0" w:after="0" w:afterAutospacing="0"/>
                    <w:ind w:left="0" w:right="0"/>
                    <w:jc w:val="center"/>
                    <w:rPr>
                      <w:rFonts w:hint="default" w:ascii="Times New Roman" w:hAnsi="Times New Roman" w:eastAsia="宋体" w:cs="Times New Roman"/>
                      <w:szCs w:val="21"/>
                      <w:lang w:val="en-US" w:eastAsia="zh-CN"/>
                    </w:rPr>
                  </w:pPr>
                  <w:r>
                    <w:rPr>
                      <w:rFonts w:hint="default" w:ascii="Times New Roman" w:hAnsi="Times New Roman" w:cs="Times New Roman"/>
                      <w:szCs w:val="21"/>
                    </w:rPr>
                    <w:t>调出</w:t>
                  </w:r>
                </w:p>
              </w:tc>
            </w:tr>
            <w:tr w14:paraId="0F8D7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74" w:type="pct"/>
                  <w:vMerge w:val="continue"/>
                  <w:tcBorders>
                    <w:top w:val="nil"/>
                  </w:tcBorders>
                  <w:noWrap w:val="0"/>
                  <w:vAlign w:val="center"/>
                </w:tcPr>
                <w:p w14:paraId="529DAC4F">
                  <w:pPr>
                    <w:keepNext w:val="0"/>
                    <w:keepLines w:val="0"/>
                    <w:suppressLineNumbers w:val="0"/>
                    <w:spacing w:before="0" w:beforeAutospacing="0" w:after="0" w:afterAutospacing="0"/>
                    <w:ind w:left="0" w:right="0"/>
                    <w:jc w:val="center"/>
                    <w:rPr>
                      <w:rFonts w:hint="default"/>
                      <w:szCs w:val="21"/>
                    </w:rPr>
                  </w:pPr>
                </w:p>
              </w:tc>
              <w:tc>
                <w:tcPr>
                  <w:tcW w:w="576" w:type="pct"/>
                  <w:noWrap w:val="0"/>
                  <w:vAlign w:val="center"/>
                </w:tcPr>
                <w:p w14:paraId="4BE11FD8">
                  <w:pPr>
                    <w:pStyle w:val="93"/>
                    <w:keepNext w:val="0"/>
                    <w:keepLines w:val="0"/>
                    <w:suppressLineNumbers w:val="0"/>
                    <w:spacing w:before="0" w:beforeAutospacing="0" w:after="0" w:afterAutospacing="0"/>
                    <w:ind w:left="0" w:right="0"/>
                    <w:jc w:val="center"/>
                    <w:rPr>
                      <w:rFonts w:hint="default" w:ascii="Times New Roman" w:hAnsi="Times New Roman" w:cs="Times New Roman"/>
                      <w:szCs w:val="21"/>
                    </w:rPr>
                  </w:pPr>
                  <w:r>
                    <w:rPr>
                      <w:rFonts w:hint="default" w:ascii="Times New Roman" w:hAnsi="Times New Roman" w:cs="Times New Roman"/>
                      <w:szCs w:val="21"/>
                    </w:rPr>
                    <w:t>挖方</w:t>
                  </w:r>
                </w:p>
              </w:tc>
              <w:tc>
                <w:tcPr>
                  <w:tcW w:w="639" w:type="pct"/>
                  <w:noWrap w:val="0"/>
                  <w:vAlign w:val="center"/>
                </w:tcPr>
                <w:p w14:paraId="2B3F065C">
                  <w:pPr>
                    <w:pStyle w:val="93"/>
                    <w:keepNext w:val="0"/>
                    <w:keepLines w:val="0"/>
                    <w:suppressLineNumbers w:val="0"/>
                    <w:spacing w:before="0" w:beforeAutospacing="0" w:after="0" w:afterAutospacing="0"/>
                    <w:ind w:left="0" w:right="0"/>
                    <w:jc w:val="center"/>
                    <w:rPr>
                      <w:rFonts w:hint="default" w:ascii="Times New Roman" w:hAnsi="Times New Roman" w:cs="Times New Roman"/>
                      <w:szCs w:val="21"/>
                    </w:rPr>
                  </w:pPr>
                  <w:r>
                    <w:rPr>
                      <w:rFonts w:hint="default" w:ascii="Times New Roman" w:hAnsi="Times New Roman" w:cs="Times New Roman"/>
                      <w:szCs w:val="21"/>
                    </w:rPr>
                    <w:t>填方</w:t>
                  </w:r>
                </w:p>
              </w:tc>
              <w:tc>
                <w:tcPr>
                  <w:tcW w:w="706" w:type="pct"/>
                  <w:noWrap w:val="0"/>
                  <w:vAlign w:val="center"/>
                </w:tcPr>
                <w:p w14:paraId="5E1DB1B4">
                  <w:pPr>
                    <w:pStyle w:val="93"/>
                    <w:keepNext w:val="0"/>
                    <w:keepLines w:val="0"/>
                    <w:suppressLineNumbers w:val="0"/>
                    <w:spacing w:before="0" w:beforeAutospacing="0" w:after="0" w:afterAutospacing="0"/>
                    <w:ind w:left="0" w:right="0"/>
                    <w:jc w:val="center"/>
                    <w:rPr>
                      <w:rFonts w:hint="default" w:ascii="Times New Roman" w:hAnsi="Times New Roman" w:cs="Times New Roman"/>
                      <w:szCs w:val="21"/>
                    </w:rPr>
                  </w:pPr>
                  <w:r>
                    <w:rPr>
                      <w:rFonts w:hint="default" w:ascii="Times New Roman" w:hAnsi="Times New Roman" w:cs="Times New Roman"/>
                      <w:szCs w:val="21"/>
                    </w:rPr>
                    <w:t>数量</w:t>
                  </w:r>
                </w:p>
              </w:tc>
              <w:tc>
                <w:tcPr>
                  <w:tcW w:w="1302" w:type="pct"/>
                  <w:noWrap w:val="0"/>
                  <w:vAlign w:val="center"/>
                </w:tcPr>
                <w:p w14:paraId="5313C5C1">
                  <w:pPr>
                    <w:pStyle w:val="93"/>
                    <w:keepNext w:val="0"/>
                    <w:keepLines w:val="0"/>
                    <w:suppressLineNumbers w:val="0"/>
                    <w:spacing w:before="0" w:beforeAutospacing="0" w:after="0" w:afterAutospacing="0"/>
                    <w:ind w:left="0" w:right="0"/>
                    <w:jc w:val="center"/>
                    <w:rPr>
                      <w:rFonts w:hint="default" w:ascii="Times New Roman" w:hAnsi="Times New Roman" w:cs="Times New Roman"/>
                      <w:szCs w:val="21"/>
                    </w:rPr>
                  </w:pPr>
                  <w:r>
                    <w:rPr>
                      <w:rFonts w:hint="default" w:ascii="Times New Roman" w:hAnsi="Times New Roman" w:cs="Times New Roman"/>
                      <w:szCs w:val="21"/>
                    </w:rPr>
                    <w:t>去向</w:t>
                  </w:r>
                </w:p>
              </w:tc>
            </w:tr>
            <w:tr w14:paraId="77C1A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774" w:type="pct"/>
                  <w:noWrap w:val="0"/>
                  <w:vAlign w:val="center"/>
                </w:tcPr>
                <w:p w14:paraId="2711D953">
                  <w:pPr>
                    <w:pStyle w:val="93"/>
                    <w:keepNext w:val="0"/>
                    <w:keepLines w:val="0"/>
                    <w:suppressLineNumbers w:val="0"/>
                    <w:spacing w:before="0" w:beforeAutospacing="0" w:after="0" w:afterAutospacing="0"/>
                    <w:ind w:left="0" w:right="0"/>
                    <w:jc w:val="center"/>
                    <w:rPr>
                      <w:rFonts w:hint="default" w:ascii="Times New Roman" w:hAnsi="Times New Roman" w:cs="Times New Roman"/>
                      <w:szCs w:val="21"/>
                      <w:lang w:val="en-US"/>
                    </w:rPr>
                  </w:pPr>
                  <w:r>
                    <w:rPr>
                      <w:rFonts w:hint="eastAsia" w:ascii="Times New Roman" w:hAnsi="Times New Roman" w:cs="Times New Roman"/>
                      <w:szCs w:val="21"/>
                      <w:lang w:val="en-US" w:eastAsia="zh-CN"/>
                    </w:rPr>
                    <w:t>进站道路</w:t>
                  </w:r>
                </w:p>
              </w:tc>
              <w:tc>
                <w:tcPr>
                  <w:tcW w:w="576" w:type="pct"/>
                  <w:noWrap w:val="0"/>
                  <w:vAlign w:val="center"/>
                </w:tcPr>
                <w:p w14:paraId="04805EF2">
                  <w:pPr>
                    <w:pStyle w:val="93"/>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775</w:t>
                  </w:r>
                </w:p>
              </w:tc>
              <w:tc>
                <w:tcPr>
                  <w:tcW w:w="639" w:type="pct"/>
                  <w:noWrap w:val="0"/>
                  <w:vAlign w:val="center"/>
                </w:tcPr>
                <w:p w14:paraId="48022C94">
                  <w:pPr>
                    <w:pStyle w:val="93"/>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713</w:t>
                  </w:r>
                </w:p>
              </w:tc>
              <w:tc>
                <w:tcPr>
                  <w:tcW w:w="706" w:type="pct"/>
                  <w:noWrap w:val="0"/>
                  <w:vAlign w:val="center"/>
                </w:tcPr>
                <w:p w14:paraId="3290B2C8">
                  <w:pPr>
                    <w:pStyle w:val="93"/>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62</w:t>
                  </w:r>
                </w:p>
              </w:tc>
              <w:tc>
                <w:tcPr>
                  <w:tcW w:w="1302" w:type="pct"/>
                  <w:noWrap w:val="0"/>
                  <w:vAlign w:val="center"/>
                </w:tcPr>
                <w:p w14:paraId="6C9D5BE1">
                  <w:pPr>
                    <w:pStyle w:val="93"/>
                    <w:keepNext w:val="0"/>
                    <w:keepLines w:val="0"/>
                    <w:suppressLineNumbers w:val="0"/>
                    <w:spacing w:before="0" w:beforeAutospacing="0" w:after="0" w:afterAutospacing="0"/>
                    <w:ind w:left="0" w:right="0"/>
                    <w:jc w:val="center"/>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升压站</w:t>
                  </w:r>
                </w:p>
              </w:tc>
            </w:tr>
            <w:tr w14:paraId="110A1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1774" w:type="pct"/>
                  <w:tcBorders>
                    <w:top w:val="nil"/>
                  </w:tcBorders>
                  <w:noWrap w:val="0"/>
                  <w:vAlign w:val="center"/>
                </w:tcPr>
                <w:p w14:paraId="7782D389">
                  <w:pPr>
                    <w:pStyle w:val="93"/>
                    <w:keepNext w:val="0"/>
                    <w:keepLines w:val="0"/>
                    <w:suppressLineNumbers w:val="0"/>
                    <w:spacing w:before="0" w:beforeAutospacing="0" w:after="0" w:afterAutospacing="0"/>
                    <w:ind w:left="0" w:right="0"/>
                    <w:jc w:val="center"/>
                    <w:rPr>
                      <w:rFonts w:hint="eastAsia" w:ascii="Times New Roman" w:hAnsi="Times New Roman" w:eastAsia="宋体" w:cs="Times New Roman"/>
                      <w:szCs w:val="21"/>
                      <w:lang w:eastAsia="zh-CN"/>
                    </w:rPr>
                  </w:pPr>
                  <w:r>
                    <w:rPr>
                      <w:rFonts w:hint="eastAsia" w:ascii="Times New Roman" w:hAnsi="Times New Roman" w:cs="Times New Roman"/>
                      <w:szCs w:val="21"/>
                      <w:lang w:val="en-US" w:eastAsia="zh-CN"/>
                    </w:rPr>
                    <w:t>升压站</w:t>
                  </w:r>
                </w:p>
              </w:tc>
              <w:tc>
                <w:tcPr>
                  <w:tcW w:w="576" w:type="pct"/>
                  <w:noWrap w:val="0"/>
                  <w:vAlign w:val="center"/>
                </w:tcPr>
                <w:p w14:paraId="2D9C1995">
                  <w:pPr>
                    <w:pStyle w:val="93"/>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10019.98</w:t>
                  </w:r>
                </w:p>
              </w:tc>
              <w:tc>
                <w:tcPr>
                  <w:tcW w:w="639" w:type="pct"/>
                  <w:noWrap w:val="0"/>
                  <w:vAlign w:val="center"/>
                </w:tcPr>
                <w:p w14:paraId="049AAA93">
                  <w:pPr>
                    <w:pStyle w:val="93"/>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10081.98</w:t>
                  </w:r>
                </w:p>
              </w:tc>
              <w:tc>
                <w:tcPr>
                  <w:tcW w:w="706" w:type="pct"/>
                  <w:noWrap w:val="0"/>
                  <w:vAlign w:val="center"/>
                </w:tcPr>
                <w:p w14:paraId="3BED06E7">
                  <w:pPr>
                    <w:pStyle w:val="93"/>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-62</w:t>
                  </w:r>
                </w:p>
              </w:tc>
              <w:tc>
                <w:tcPr>
                  <w:tcW w:w="1302" w:type="pct"/>
                  <w:noWrap w:val="0"/>
                  <w:vAlign w:val="center"/>
                </w:tcPr>
                <w:p w14:paraId="3239B15A">
                  <w:pPr>
                    <w:keepNext w:val="0"/>
                    <w:keepLines w:val="0"/>
                    <w:suppressLineNumbers w:val="0"/>
                    <w:spacing w:before="0" w:beforeAutospacing="0" w:after="0" w:afterAutospacing="0"/>
                    <w:ind w:left="0" w:right="0"/>
                    <w:jc w:val="center"/>
                    <w:rPr>
                      <w:rFonts w:hint="eastAsia" w:ascii="Times New Roman" w:hAnsi="Times New Roman" w:eastAsia="宋体" w:cs="Times New Roman"/>
                      <w:szCs w:val="21"/>
                      <w:lang w:val="en-US" w:eastAsia="zh-CN"/>
                    </w:rPr>
                  </w:pPr>
                  <w:r>
                    <w:rPr>
                      <w:rFonts w:hint="eastAsia" w:ascii="Times New Roman" w:hAnsi="Times New Roman" w:cs="Times New Roman"/>
                      <w:szCs w:val="21"/>
                      <w:highlight w:val="none"/>
                      <w:lang w:val="en-US" w:eastAsia="zh-CN"/>
                    </w:rPr>
                    <w:t>/</w:t>
                  </w:r>
                </w:p>
              </w:tc>
            </w:tr>
            <w:tr w14:paraId="7D27E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74" w:type="pct"/>
                  <w:noWrap w:val="0"/>
                  <w:vAlign w:val="center"/>
                </w:tcPr>
                <w:p w14:paraId="668E6619">
                  <w:pPr>
                    <w:pStyle w:val="93"/>
                    <w:keepNext w:val="0"/>
                    <w:keepLines w:val="0"/>
                    <w:suppressLineNumbers w:val="0"/>
                    <w:spacing w:before="0" w:beforeAutospacing="0" w:after="0" w:afterAutospacing="0"/>
                    <w:ind w:left="0" w:right="0"/>
                    <w:jc w:val="center"/>
                    <w:rPr>
                      <w:rFonts w:hint="default" w:ascii="Times New Roman" w:hAnsi="Times New Roman" w:eastAsia="宋体" w:cs="Times New Roman"/>
                      <w:szCs w:val="21"/>
                      <w:lang w:val="en-US" w:eastAsia="zh-CN"/>
                    </w:rPr>
                  </w:pPr>
                  <w:r>
                    <w:rPr>
                      <w:rFonts w:hint="default" w:ascii="Times New Roman" w:hAnsi="Times New Roman" w:cs="Times New Roman"/>
                      <w:szCs w:val="21"/>
                    </w:rPr>
                    <w:t>合计</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取整数）</w:t>
                  </w:r>
                </w:p>
              </w:tc>
              <w:tc>
                <w:tcPr>
                  <w:tcW w:w="576" w:type="pct"/>
                  <w:noWrap w:val="0"/>
                  <w:vAlign w:val="center"/>
                </w:tcPr>
                <w:p w14:paraId="3BA57165">
                  <w:pPr>
                    <w:pStyle w:val="93"/>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10794.98</w:t>
                  </w:r>
                </w:p>
              </w:tc>
              <w:tc>
                <w:tcPr>
                  <w:tcW w:w="639" w:type="pct"/>
                  <w:noWrap w:val="0"/>
                  <w:vAlign w:val="center"/>
                </w:tcPr>
                <w:p w14:paraId="4028ECE1">
                  <w:pPr>
                    <w:pStyle w:val="93"/>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10794.98</w:t>
                  </w:r>
                </w:p>
              </w:tc>
              <w:tc>
                <w:tcPr>
                  <w:tcW w:w="706" w:type="pct"/>
                  <w:noWrap w:val="0"/>
                  <w:vAlign w:val="center"/>
                </w:tcPr>
                <w:p w14:paraId="6F91B9F1">
                  <w:pPr>
                    <w:pStyle w:val="93"/>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w:t>
                  </w:r>
                </w:p>
              </w:tc>
              <w:tc>
                <w:tcPr>
                  <w:tcW w:w="1302" w:type="pct"/>
                  <w:noWrap w:val="0"/>
                  <w:vAlign w:val="center"/>
                </w:tcPr>
                <w:p w14:paraId="5086D800">
                  <w:pPr>
                    <w:keepNext w:val="0"/>
                    <w:keepLines w:val="0"/>
                    <w:suppressLineNumbers w:val="0"/>
                    <w:spacing w:before="0" w:beforeAutospacing="0" w:after="0" w:afterAutospacing="0"/>
                    <w:ind w:left="0" w:right="0"/>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szCs w:val="21"/>
                      <w:highlight w:val="none"/>
                      <w:lang w:val="en-US" w:eastAsia="zh-CN"/>
                    </w:rPr>
                    <w:t>/</w:t>
                  </w:r>
                </w:p>
              </w:tc>
            </w:tr>
          </w:tbl>
          <w:p w14:paraId="7D36A376">
            <w:pPr>
              <w:pStyle w:val="29"/>
              <w:keepNext w:val="0"/>
              <w:keepLines w:val="0"/>
              <w:suppressLineNumbers w:val="0"/>
              <w:spacing w:before="0" w:beforeAutospacing="0" w:after="0" w:afterAutospacing="0" w:line="360" w:lineRule="auto"/>
              <w:ind w:left="0" w:leftChars="0" w:right="0" w:firstLine="480"/>
              <w:rPr>
                <w:rFonts w:hint="eastAsia"/>
                <w:b/>
                <w:bCs/>
                <w:color w:val="auto"/>
                <w:sz w:val="24"/>
              </w:rPr>
            </w:pPr>
            <w:r>
              <w:rPr>
                <w:rFonts w:hint="eastAsia" w:ascii="Times New Roman" w:hAnsi="Times New Roman" w:eastAsia="宋体" w:cs="Times New Roman"/>
                <w:sz w:val="24"/>
              </w:rPr>
              <w:t>本统计为估算，土石方平衡存在误差。建议建设单位及时在挖方区附近消纳挖方，尽可能将多余土石方用于</w:t>
            </w:r>
            <w:r>
              <w:rPr>
                <w:rFonts w:hint="eastAsia" w:ascii="Times New Roman" w:hAnsi="Times New Roman" w:eastAsia="宋体" w:cs="Times New Roman"/>
                <w:sz w:val="24"/>
                <w:lang w:val="en-US" w:eastAsia="zh-CN"/>
              </w:rPr>
              <w:t>升压站</w:t>
            </w:r>
            <w:r>
              <w:rPr>
                <w:rFonts w:hint="eastAsia" w:ascii="Times New Roman" w:hAnsi="Times New Roman" w:eastAsia="宋体" w:cs="Times New Roman"/>
                <w:sz w:val="24"/>
              </w:rPr>
              <w:t>修建使用，力争做到土石方挖填平衡。同时，各分区相互调配做到挖填平衡，不产生或少产生弃土弃渣，减少开挖土石方量。各区域土石方就近调配，减少调运土石方距离；场地平整回填利用剩余土石方进行，减少了土石方的二次调运。土石方通过填挖平衡，挖方全部利用，无弃方。施工时为防止扬尘，临时堆土场表面采用土工布苫盖。若存在弃方，则应取得当地有关部门同意方可合理处置，严禁随意堆放弃土。</w:t>
            </w:r>
          </w:p>
          <w:p w14:paraId="2732742A">
            <w:pPr>
              <w:pStyle w:val="65"/>
              <w:keepNext w:val="0"/>
              <w:keepLines w:val="0"/>
              <w:suppressLineNumbers w:val="0"/>
              <w:spacing w:before="0" w:beforeAutospacing="0" w:after="0" w:afterAutospacing="0"/>
              <w:ind w:left="0" w:right="0" w:firstLine="482"/>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7、工程进度</w:t>
            </w:r>
          </w:p>
          <w:p w14:paraId="52EAD110">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cs="Times New Roman"/>
                <w:bCs/>
                <w:color w:val="0000FF"/>
                <w:szCs w:val="21"/>
                <w:highlight w:val="none"/>
              </w:rPr>
            </w:pPr>
            <w:r>
              <w:rPr>
                <w:rFonts w:hint="default" w:ascii="Times New Roman" w:hAnsi="Times New Roman" w:cs="Times New Roman"/>
                <w:color w:val="auto"/>
                <w:sz w:val="24"/>
                <w:highlight w:val="none"/>
                <w:lang w:val="en-US" w:eastAsia="zh-CN"/>
              </w:rPr>
              <w:t>本工程计划于2027年1月开工建设，于2027年12月底建成投产，施工总工期12个月。</w:t>
            </w:r>
          </w:p>
        </w:tc>
      </w:tr>
      <w:tr w14:paraId="0175D9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3" w:type="dxa"/>
            <w:noWrap w:val="0"/>
            <w:vAlign w:val="center"/>
          </w:tcPr>
          <w:p w14:paraId="5D644A52">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4"/>
                <w:szCs w:val="24"/>
                <w:highlight w:val="none"/>
                <w:lang w:val="en-US" w:eastAsia="zh-CN"/>
              </w:rPr>
              <w:t>总平面及现场布置</w:t>
            </w:r>
          </w:p>
        </w:tc>
        <w:tc>
          <w:tcPr>
            <w:tcW w:w="8161" w:type="dxa"/>
            <w:noWrap w:val="0"/>
            <w:vAlign w:val="top"/>
          </w:tcPr>
          <w:p w14:paraId="1F05E16D">
            <w:pPr>
              <w:keepNext w:val="0"/>
              <w:keepLines w:val="0"/>
              <w:widowControl/>
              <w:suppressLineNumbers w:val="0"/>
              <w:spacing w:before="0" w:beforeAutospacing="0" w:after="0" w:afterAutospacing="0" w:line="360" w:lineRule="auto"/>
              <w:ind w:left="0" w:right="0"/>
              <w:contextualSpacing/>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升压站平面布置：</w:t>
            </w:r>
          </w:p>
          <w:p w14:paraId="6490EE29">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zh-CN"/>
              </w:rPr>
            </w:pPr>
            <w:r>
              <w:rPr>
                <w:rFonts w:hint="default" w:ascii="Times New Roman" w:hAnsi="Times New Roman" w:cs="Times New Roman"/>
                <w:color w:val="auto"/>
                <w:sz w:val="24"/>
                <w:highlight w:val="none"/>
                <w:lang w:val="en-US" w:eastAsia="zh-CN"/>
              </w:rPr>
              <w:t>站</w:t>
            </w:r>
            <w:r>
              <w:rPr>
                <w:rFonts w:hint="default" w:ascii="Times New Roman" w:hAnsi="Times New Roman" w:eastAsia="宋体" w:cs="Times New Roman"/>
                <w:color w:val="auto"/>
                <w:sz w:val="24"/>
                <w:highlight w:val="none"/>
                <w:lang w:val="zh-CN"/>
              </w:rPr>
              <w:t>内道路采用</w:t>
            </w:r>
            <w:r>
              <w:rPr>
                <w:rFonts w:hint="default" w:ascii="Times New Roman" w:hAnsi="Times New Roman" w:eastAsia="宋体" w:cs="Times New Roman"/>
                <w:color w:val="auto"/>
                <w:sz w:val="24"/>
                <w:highlight w:val="none"/>
                <w:lang w:val="zh-CN" w:eastAsia="zh-CN"/>
              </w:rPr>
              <w:t>20cm厚C30水泥砼面层+20cm级配碎石基层</w:t>
            </w:r>
            <w:r>
              <w:rPr>
                <w:rFonts w:hint="default" w:ascii="Times New Roman" w:hAnsi="Times New Roman" w:cs="Times New Roman"/>
                <w:color w:val="auto"/>
                <w:sz w:val="24"/>
                <w:highlight w:val="none"/>
                <w:lang w:val="en-US" w:eastAsia="zh-CN"/>
              </w:rPr>
              <w:t>路面，站内道路</w:t>
            </w:r>
            <w:r>
              <w:rPr>
                <w:rFonts w:hint="default" w:ascii="Times New Roman" w:hAnsi="Times New Roman" w:eastAsia="宋体" w:cs="Times New Roman"/>
                <w:color w:val="auto"/>
                <w:sz w:val="24"/>
                <w:highlight w:val="none"/>
                <w:lang w:val="zh-CN"/>
              </w:rPr>
              <w:t>采用4.5m宽，转弯半径为12</w:t>
            </w:r>
            <w:r>
              <w:rPr>
                <w:rFonts w:hint="default" w:ascii="Times New Roman" w:hAnsi="Times New Roman" w:cs="Times New Roman"/>
                <w:color w:val="auto"/>
                <w:sz w:val="24"/>
                <w:highlight w:val="none"/>
                <w:lang w:val="en-US" w:eastAsia="zh-CN"/>
              </w:rPr>
              <w:t>.0</w:t>
            </w:r>
            <w:r>
              <w:rPr>
                <w:rFonts w:hint="default" w:ascii="Times New Roman" w:hAnsi="Times New Roman" w:eastAsia="宋体" w:cs="Times New Roman"/>
                <w:color w:val="auto"/>
                <w:sz w:val="24"/>
                <w:highlight w:val="none"/>
                <w:lang w:val="zh-CN"/>
              </w:rPr>
              <w:t>m；</w:t>
            </w:r>
            <w:r>
              <w:rPr>
                <w:rFonts w:hint="default" w:ascii="Times New Roman" w:hAnsi="Times New Roman" w:cs="Times New Roman"/>
                <w:color w:val="auto"/>
                <w:sz w:val="24"/>
                <w:highlight w:val="none"/>
                <w:lang w:val="en-US" w:eastAsia="zh-CN"/>
              </w:rPr>
              <w:t>站外方阵保留3.5m检修道路，满足消防消防车道宽度要求</w:t>
            </w:r>
            <w:r>
              <w:rPr>
                <w:rFonts w:hint="default" w:ascii="Times New Roman" w:hAnsi="Times New Roman" w:eastAsia="宋体" w:cs="Times New Roman"/>
                <w:color w:val="auto"/>
                <w:sz w:val="24"/>
                <w:highlight w:val="none"/>
                <w:lang w:val="zh-CN"/>
              </w:rPr>
              <w:t>。</w:t>
            </w:r>
          </w:p>
          <w:p w14:paraId="249F24B8">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zh-CN"/>
              </w:rPr>
            </w:pPr>
            <w:r>
              <w:rPr>
                <w:rFonts w:hint="default" w:ascii="Times New Roman" w:hAnsi="Times New Roman" w:cs="Times New Roman"/>
                <w:color w:val="auto"/>
                <w:sz w:val="24"/>
                <w:highlight w:val="none"/>
                <w:lang w:val="en-US" w:eastAsia="zh-CN"/>
              </w:rPr>
              <w:t>站</w:t>
            </w:r>
            <w:r>
              <w:rPr>
                <w:rFonts w:hint="default" w:ascii="Times New Roman" w:hAnsi="Times New Roman" w:eastAsia="宋体" w:cs="Times New Roman"/>
                <w:color w:val="auto"/>
                <w:sz w:val="24"/>
                <w:highlight w:val="none"/>
                <w:lang w:val="zh-CN"/>
              </w:rPr>
              <w:t>内电缆沟均采用钢筋混凝土结构，围墙采用</w:t>
            </w:r>
            <w:r>
              <w:rPr>
                <w:rFonts w:hint="default" w:ascii="Times New Roman" w:hAnsi="Times New Roman" w:cs="Times New Roman"/>
                <w:color w:val="auto"/>
                <w:sz w:val="24"/>
                <w:highlight w:val="none"/>
                <w:lang w:val="en-US" w:eastAsia="zh-CN"/>
              </w:rPr>
              <w:t>带壁柱的实心砖砌体结构，2.3m高钢筋混凝土压顶的实体围墙，</w:t>
            </w:r>
            <w:r>
              <w:rPr>
                <w:rFonts w:hint="default" w:ascii="Times New Roman" w:hAnsi="Times New Roman" w:eastAsia="宋体" w:cs="Times New Roman"/>
                <w:color w:val="auto"/>
                <w:sz w:val="24"/>
                <w:highlight w:val="none"/>
                <w:lang w:val="zh-CN"/>
              </w:rPr>
              <w:t>站区大门采用</w:t>
            </w:r>
            <w:r>
              <w:rPr>
                <w:rFonts w:hint="default" w:ascii="Times New Roman" w:hAnsi="Times New Roman" w:cs="Times New Roman"/>
                <w:color w:val="auto"/>
                <w:sz w:val="24"/>
                <w:highlight w:val="none"/>
                <w:lang w:val="en-US" w:eastAsia="zh-CN"/>
              </w:rPr>
              <w:t>平移式电动大门</w:t>
            </w:r>
            <w:r>
              <w:rPr>
                <w:rFonts w:hint="default" w:ascii="Times New Roman" w:hAnsi="Times New Roman" w:eastAsia="宋体" w:cs="Times New Roman"/>
                <w:color w:val="auto"/>
                <w:sz w:val="24"/>
                <w:highlight w:val="none"/>
                <w:lang w:val="zh-CN"/>
              </w:rPr>
              <w:t>，</w:t>
            </w:r>
            <w:r>
              <w:rPr>
                <w:rFonts w:hint="default" w:ascii="Times New Roman" w:hAnsi="Times New Roman" w:cs="Times New Roman"/>
                <w:color w:val="auto"/>
                <w:sz w:val="24"/>
                <w:highlight w:val="none"/>
                <w:lang w:val="en-US" w:eastAsia="zh-CN"/>
              </w:rPr>
              <w:t>门宽6m</w:t>
            </w:r>
            <w:r>
              <w:rPr>
                <w:rFonts w:hint="default" w:ascii="Times New Roman" w:hAnsi="Times New Roman" w:eastAsia="宋体" w:cs="Times New Roman"/>
                <w:color w:val="auto"/>
                <w:sz w:val="24"/>
                <w:highlight w:val="none"/>
                <w:lang w:val="zh-CN"/>
              </w:rPr>
              <w:t>，</w:t>
            </w:r>
            <w:r>
              <w:rPr>
                <w:rFonts w:hint="default" w:ascii="Times New Roman" w:hAnsi="Times New Roman" w:eastAsia="宋体" w:cs="Times New Roman"/>
                <w:color w:val="auto"/>
                <w:sz w:val="24"/>
                <w:highlight w:val="none"/>
                <w:lang w:val="zh-CN" w:eastAsia="zh-CN"/>
              </w:rPr>
              <w:t>升压站</w:t>
            </w:r>
            <w:r>
              <w:rPr>
                <w:rFonts w:hint="default" w:ascii="Times New Roman" w:hAnsi="Times New Roman" w:eastAsia="宋体" w:cs="Times New Roman"/>
                <w:color w:val="auto"/>
                <w:sz w:val="24"/>
                <w:highlight w:val="none"/>
                <w:lang w:val="zh-CN"/>
              </w:rPr>
              <w:t>标识墙</w:t>
            </w:r>
            <w:r>
              <w:rPr>
                <w:rFonts w:hint="default" w:ascii="Times New Roman" w:hAnsi="Times New Roman" w:cs="Times New Roman"/>
                <w:color w:val="auto"/>
                <w:sz w:val="24"/>
                <w:highlight w:val="none"/>
                <w:lang w:val="en-US" w:eastAsia="zh-CN"/>
              </w:rPr>
              <w:t>宽5.8m</w:t>
            </w:r>
            <w:r>
              <w:rPr>
                <w:rFonts w:hint="default" w:ascii="Times New Roman" w:hAnsi="Times New Roman" w:eastAsia="宋体" w:cs="Times New Roman"/>
                <w:color w:val="auto"/>
                <w:sz w:val="24"/>
                <w:highlight w:val="none"/>
                <w:lang w:val="zh-CN"/>
              </w:rPr>
              <w:t>。</w:t>
            </w:r>
          </w:p>
          <w:p w14:paraId="639C690D">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zh-CN"/>
              </w:rPr>
              <w:t>根据工程功能要求，</w:t>
            </w:r>
            <w:r>
              <w:rPr>
                <w:rFonts w:hint="default" w:ascii="Times New Roman" w:hAnsi="Times New Roman" w:cs="Times New Roman"/>
                <w:color w:val="auto"/>
                <w:sz w:val="24"/>
                <w:highlight w:val="none"/>
                <w:lang w:val="en-US" w:eastAsia="zh-CN"/>
              </w:rPr>
              <w:t>220kV配电装置、35kV配电装置、主变、35kV进线、220kV出线均位于站区北侧，辅助房间布置在站区西南侧。事故油池位于站区内东北侧，危废暂存间位于站区西北角，地埋式一体化污水处理装置位于站区内东侧。</w:t>
            </w:r>
          </w:p>
          <w:p w14:paraId="06C2A0BB">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4"/>
                <w:highlight w:val="none"/>
                <w:lang w:val="zh-CN"/>
              </w:rPr>
              <w:t>进站大门设置在</w:t>
            </w:r>
            <w:r>
              <w:rPr>
                <w:rFonts w:hint="default" w:ascii="Times New Roman" w:hAnsi="Times New Roman" w:cs="Times New Roman"/>
                <w:color w:val="auto"/>
                <w:sz w:val="24"/>
                <w:highlight w:val="none"/>
                <w:lang w:val="en-US" w:eastAsia="zh-CN"/>
              </w:rPr>
              <w:t>站区南</w:t>
            </w:r>
            <w:r>
              <w:rPr>
                <w:rFonts w:hint="default" w:ascii="Times New Roman" w:hAnsi="Times New Roman" w:eastAsia="宋体" w:cs="Times New Roman"/>
                <w:color w:val="auto"/>
                <w:sz w:val="24"/>
                <w:highlight w:val="none"/>
                <w:lang w:val="zh-CN"/>
              </w:rPr>
              <w:t>侧，</w:t>
            </w:r>
            <w:r>
              <w:rPr>
                <w:rFonts w:hint="default" w:ascii="Times New Roman" w:hAnsi="Times New Roman" w:cs="Times New Roman"/>
                <w:color w:val="auto"/>
                <w:sz w:val="24"/>
                <w:highlight w:val="none"/>
                <w:lang w:val="en-US" w:eastAsia="zh-CN"/>
              </w:rPr>
              <w:t>35kV电缆进线4回，方向为东西两侧，东侧进线2回，西侧进</w:t>
            </w:r>
            <w:r>
              <w:rPr>
                <w:rFonts w:hint="default" w:ascii="Times New Roman" w:hAnsi="Times New Roman" w:cs="Times New Roman"/>
                <w:color w:val="000000" w:themeColor="text1"/>
                <w:sz w:val="24"/>
                <w:highlight w:val="none"/>
                <w:lang w:val="en-US" w:eastAsia="zh-CN"/>
                <w14:textFill>
                  <w14:solidFill>
                    <w14:schemeClr w14:val="tx1"/>
                  </w14:solidFill>
                </w14:textFill>
              </w:rPr>
              <w:t>线2回，220kV架空出线1回，方向为东侧。升压</w:t>
            </w:r>
            <w:r>
              <w:rPr>
                <w:rFonts w:hint="default" w:ascii="Times New Roman" w:hAnsi="Times New Roman" w:cs="Times New Roman"/>
                <w:color w:val="auto"/>
                <w:sz w:val="24"/>
                <w:highlight w:val="none"/>
                <w:lang w:val="en-US" w:eastAsia="zh-CN"/>
              </w:rPr>
              <w:t>站平面布置图见附图2。</w:t>
            </w:r>
          </w:p>
        </w:tc>
      </w:tr>
      <w:tr w14:paraId="0B4666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7" w:hRule="atLeast"/>
          <w:jc w:val="center"/>
        </w:trPr>
        <w:tc>
          <w:tcPr>
            <w:tcW w:w="823" w:type="dxa"/>
            <w:noWrap w:val="0"/>
            <w:vAlign w:val="center"/>
          </w:tcPr>
          <w:p w14:paraId="4D0DBF0B">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Cs/>
                <w:color w:val="auto"/>
                <w:kern w:val="2"/>
                <w:sz w:val="24"/>
                <w:szCs w:val="24"/>
                <w:highlight w:val="none"/>
                <w:lang w:val="en-US" w:eastAsia="zh-CN"/>
              </w:rPr>
              <w:t>施工方案</w:t>
            </w:r>
          </w:p>
        </w:tc>
        <w:tc>
          <w:tcPr>
            <w:tcW w:w="8161" w:type="dxa"/>
            <w:noWrap w:val="0"/>
            <w:vAlign w:val="center"/>
          </w:tcPr>
          <w:p w14:paraId="4476860C">
            <w:pPr>
              <w:keepNext w:val="0"/>
              <w:keepLines w:val="0"/>
              <w:widowControl/>
              <w:suppressLineNumbers w:val="0"/>
              <w:spacing w:before="0" w:beforeAutospacing="0" w:after="0" w:afterAutospacing="0" w:line="360" w:lineRule="auto"/>
              <w:ind w:left="0" w:right="0" w:firstLine="482" w:firstLineChars="200"/>
              <w:contextualSpacing/>
              <w:rPr>
                <w:rFonts w:hint="default" w:ascii="Times New Roman" w:hAnsi="Times New Roman"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1</w:t>
            </w:r>
            <w:r>
              <w:rPr>
                <w:rFonts w:hint="default" w:ascii="Times New Roman" w:hAnsi="Times New Roman" w:cs="Times New Roman"/>
                <w:b/>
                <w:bCs/>
                <w:color w:val="auto"/>
                <w:sz w:val="24"/>
                <w:highlight w:val="none"/>
                <w:lang w:val="en-US" w:eastAsia="zh-CN"/>
              </w:rPr>
              <w:t>、施工方案</w:t>
            </w:r>
          </w:p>
          <w:p w14:paraId="3E61B0C0">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站场</w:t>
            </w:r>
            <w:r>
              <w:rPr>
                <w:rFonts w:hint="default" w:ascii="Times New Roman" w:hAnsi="Times New Roman" w:eastAsia="宋体" w:cs="Times New Roman"/>
                <w:color w:val="auto"/>
                <w:sz w:val="24"/>
                <w:szCs w:val="24"/>
                <w:highlight w:val="none"/>
              </w:rPr>
              <w:t>施工阶段主要</w:t>
            </w:r>
            <w:r>
              <w:rPr>
                <w:rFonts w:hint="default" w:ascii="Times New Roman" w:hAnsi="Times New Roman" w:eastAsia="宋体" w:cs="Times New Roman"/>
                <w:color w:val="auto"/>
                <w:sz w:val="24"/>
                <w:szCs w:val="24"/>
                <w:highlight w:val="none"/>
                <w:lang w:val="en-US" w:eastAsia="zh-CN"/>
              </w:rPr>
              <w:t>施工工艺</w:t>
            </w:r>
            <w:r>
              <w:rPr>
                <w:rFonts w:hint="default" w:ascii="Times New Roman" w:hAnsi="Times New Roman" w:eastAsia="宋体" w:cs="Times New Roman"/>
                <w:color w:val="auto"/>
                <w:sz w:val="24"/>
                <w:szCs w:val="24"/>
                <w:highlight w:val="none"/>
              </w:rPr>
              <w:t>为场地平整、构筑物施工、</w:t>
            </w:r>
            <w:r>
              <w:rPr>
                <w:rFonts w:hint="default" w:ascii="Times New Roman" w:hAnsi="Times New Roman" w:eastAsia="宋体" w:cs="Times New Roman"/>
                <w:color w:val="auto"/>
                <w:sz w:val="24"/>
                <w:szCs w:val="24"/>
                <w:highlight w:val="none"/>
                <w:lang w:val="en-US" w:eastAsia="zh-CN"/>
              </w:rPr>
              <w:t>设备安装</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电气工程</w:t>
            </w:r>
            <w:r>
              <w:rPr>
                <w:rFonts w:hint="default" w:ascii="Times New Roman" w:hAnsi="Times New Roman" w:eastAsia="宋体" w:cs="Times New Roman"/>
                <w:color w:val="auto"/>
                <w:sz w:val="24"/>
                <w:szCs w:val="24"/>
                <w:highlight w:val="none"/>
              </w:rPr>
              <w:t>施工、站内外道路施工等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基本施工流程如下。</w:t>
            </w:r>
          </w:p>
          <w:p w14:paraId="46A5EA60">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场地平整</w:t>
            </w:r>
          </w:p>
          <w:p w14:paraId="3C6884DF">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土方施工前应做好下列各项工作：障碍物清理；表土的清理；土方量测量及站区内控制放线；在场地平整时，采用推土机、挖掘机、自卸汽车、压路机等机械。土方开挖采用机械开挖与人工清理相结合的方式，开挖基础时预留一定厚度，开挖土方应就近堆放，并进行苫盖或洒水抑尘。土方回填要求分层碾压回填，并分层进行质量检验，在每层的压实系数符合设计要求后，再铺填上一层土。大型设备基础及沟道位置，采用混凝土碾子或重锤夯实。 </w:t>
            </w:r>
          </w:p>
          <w:p w14:paraId="6247CDF9">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构筑物施工</w:t>
            </w:r>
          </w:p>
          <w:p w14:paraId="734D678A">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构筑物大部分采用预制舱结构，各预制舱做钢筋混凝土条形基础。进行基础看完后，铺砂石垫层分层压实，浇筑素混凝土垫层，钢筋绑扎，浇筑混凝土并养护。吊装安装预制舱。</w:t>
            </w:r>
          </w:p>
          <w:p w14:paraId="6B6BCB1E">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lang w:val="en-US" w:eastAsia="zh-CN"/>
              </w:rPr>
              <w:t>（3）设备安装</w:t>
            </w:r>
          </w:p>
          <w:p w14:paraId="0A0758FA">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设备安装工作在建（构）筑物施工完成后进行，主要设备安装包括</w:t>
            </w:r>
            <w:r>
              <w:rPr>
                <w:rFonts w:hint="default" w:ascii="Times New Roman" w:hAnsi="Times New Roman" w:eastAsia="宋体" w:cs="Times New Roman"/>
                <w:color w:val="auto"/>
                <w:sz w:val="24"/>
                <w:szCs w:val="24"/>
                <w:highlight w:val="none"/>
                <w:lang w:val="en-US" w:eastAsia="zh-CN"/>
              </w:rPr>
              <w:t>主变基础及架构、屋外配电装置架构、动态无功补偿装置、独立避雷针等。</w:t>
            </w:r>
            <w:r>
              <w:rPr>
                <w:rFonts w:hint="default" w:ascii="Times New Roman" w:hAnsi="Times New Roman" w:eastAsia="宋体" w:cs="Times New Roman"/>
                <w:color w:val="auto"/>
                <w:sz w:val="24"/>
                <w:szCs w:val="24"/>
                <w:highlight w:val="none"/>
              </w:rPr>
              <w:t>站区内的安装工作视土建施工部分进展情况机动进入，严格按厂家设备安装及施工技术要求进行安装。</w:t>
            </w:r>
          </w:p>
          <w:p w14:paraId="268D941C">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（4）电气工程 </w:t>
            </w:r>
          </w:p>
          <w:p w14:paraId="1F9AE0FE">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站区内的电气设备视土建部分进展情况机动进入，但须以保证设备的安全为前提。</w:t>
            </w:r>
            <w:r>
              <w:rPr>
                <w:rFonts w:hint="default" w:ascii="Times New Roman" w:hAnsi="Times New Roman" w:eastAsia="宋体" w:cs="Times New Roman"/>
                <w:color w:val="auto"/>
                <w:sz w:val="24"/>
                <w:szCs w:val="24"/>
                <w:highlight w:val="none"/>
                <w:lang w:val="en-US" w:eastAsia="zh-CN"/>
              </w:rPr>
              <w:t>电气专业技术人员应到现场配合土建施工，做好预埋件、预留孔洞、过路电缆预埋管、接地网的施工。</w:t>
            </w:r>
          </w:p>
          <w:p w14:paraId="6DCDA372">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（5）道路工程 </w:t>
            </w:r>
          </w:p>
          <w:p w14:paraId="466C30F6">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站内道路施工工序首先进行放线，而后土方开挖及验槽，铺设</w:t>
            </w:r>
            <w:r>
              <w:rPr>
                <w:rFonts w:hint="default" w:ascii="Times New Roman" w:hAnsi="Times New Roman" w:eastAsia="宋体" w:cs="Times New Roman"/>
                <w:color w:val="auto"/>
                <w:sz w:val="24"/>
                <w:szCs w:val="24"/>
                <w:highlight w:val="none"/>
                <w:lang w:val="en-US" w:eastAsia="zh-CN"/>
              </w:rPr>
              <w:t>采用20cm厚C30水泥砼面层+20cm级配碎石基层</w:t>
            </w:r>
            <w:r>
              <w:rPr>
                <w:rFonts w:hint="default" w:ascii="Times New Roman" w:hAnsi="Times New Roman" w:eastAsia="宋体" w:cs="Times New Roman"/>
                <w:color w:val="auto"/>
                <w:sz w:val="24"/>
                <w:szCs w:val="24"/>
                <w:highlight w:val="none"/>
              </w:rPr>
              <w:t xml:space="preserve">。 </w:t>
            </w:r>
          </w:p>
          <w:p w14:paraId="149F17F1">
            <w:pPr>
              <w:keepNext w:val="0"/>
              <w:keepLines w:val="0"/>
              <w:widowControl/>
              <w:suppressLineNumbers w:val="0"/>
              <w:spacing w:before="0" w:beforeAutospacing="0" w:after="0" w:afterAutospacing="0" w:line="360" w:lineRule="auto"/>
              <w:ind w:left="0" w:right="0" w:firstLine="482" w:firstLineChars="200"/>
              <w:contextualSpacing/>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2、施工现场布置</w:t>
            </w:r>
          </w:p>
          <w:p w14:paraId="7A7C3C91">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2" w:firstLineChars="200"/>
              <w:textAlignment w:val="baseline"/>
              <w:rPr>
                <w:rFonts w:hint="default" w:ascii="Times New Roman" w:hAnsi="Times New Roman" w:eastAsia="宋体" w:cs="Times New Roman"/>
                <w:color w:val="auto"/>
                <w:spacing w:val="-2"/>
                <w:lang w:val="en-US" w:eastAsia="zh-CN"/>
              </w:rPr>
            </w:pPr>
            <w:r>
              <w:rPr>
                <w:rFonts w:hint="default" w:ascii="Times New Roman" w:hAnsi="Times New Roman" w:eastAsia="宋体" w:cs="Times New Roman"/>
                <w:color w:val="auto"/>
                <w:spacing w:val="-2"/>
                <w:lang w:val="en-US" w:eastAsia="zh-CN"/>
              </w:rPr>
              <w:t>①本项目不单独设置施工生产生活区。</w:t>
            </w:r>
            <w:r>
              <w:rPr>
                <w:rFonts w:hint="default" w:ascii="Times New Roman" w:hAnsi="Times New Roman" w:cs="Times New Roman"/>
                <w:color w:val="auto"/>
                <w:spacing w:val="-2"/>
                <w:lang w:val="en-US" w:eastAsia="zh-CN"/>
              </w:rPr>
              <w:t>本项目的施工生产生活依托风电项目的施工生产</w:t>
            </w:r>
            <w:r>
              <w:rPr>
                <w:rFonts w:hint="default" w:ascii="Times New Roman" w:hAnsi="Times New Roman" w:eastAsia="宋体" w:cs="Times New Roman"/>
                <w:color w:val="auto"/>
                <w:spacing w:val="-2"/>
                <w:lang w:val="en-US" w:eastAsia="zh-CN"/>
              </w:rPr>
              <w:t>生活区，位</w:t>
            </w:r>
            <w:r>
              <w:rPr>
                <w:rFonts w:hint="default" w:ascii="Times New Roman" w:hAnsi="Times New Roman" w:cs="Times New Roman"/>
                <w:color w:val="auto"/>
                <w:spacing w:val="-2"/>
                <w:lang w:val="en-US" w:eastAsia="zh-CN"/>
              </w:rPr>
              <w:t>于本项目北侧，紧邻站场北场界</w:t>
            </w:r>
            <w:r>
              <w:rPr>
                <w:rFonts w:hint="default" w:ascii="Times New Roman" w:hAnsi="Times New Roman" w:eastAsia="宋体" w:cs="Times New Roman"/>
                <w:color w:val="auto"/>
                <w:spacing w:val="-2"/>
                <w:lang w:val="en-US" w:eastAsia="zh-CN"/>
              </w:rPr>
              <w:t>，施工</w:t>
            </w:r>
            <w:r>
              <w:rPr>
                <w:rFonts w:hint="default" w:ascii="Times New Roman" w:hAnsi="Times New Roman" w:cs="Times New Roman"/>
                <w:color w:val="auto"/>
                <w:spacing w:val="-2"/>
                <w:lang w:val="en-US" w:eastAsia="zh-CN"/>
              </w:rPr>
              <w:t>生产生活区</w:t>
            </w:r>
            <w:r>
              <w:rPr>
                <w:rFonts w:hint="default" w:ascii="Times New Roman" w:hAnsi="Times New Roman" w:eastAsia="宋体" w:cs="Times New Roman"/>
                <w:color w:val="auto"/>
                <w:spacing w:val="-2"/>
                <w:lang w:val="en-US" w:eastAsia="zh-CN"/>
              </w:rPr>
              <w:t>总占地面积</w:t>
            </w:r>
            <w:r>
              <w:rPr>
                <w:rFonts w:hint="default" w:ascii="Times New Roman" w:hAnsi="Times New Roman" w:cs="Times New Roman"/>
                <w:color w:val="auto"/>
                <w:spacing w:val="-2"/>
                <w:lang w:val="en-US" w:eastAsia="zh-CN"/>
              </w:rPr>
              <w:t>1.08</w:t>
            </w:r>
            <w:r>
              <w:rPr>
                <w:rFonts w:hint="default" w:ascii="Times New Roman" w:hAnsi="Times New Roman" w:eastAsia="宋体" w:cs="Times New Roman"/>
                <w:color w:val="auto"/>
                <w:spacing w:val="-2"/>
                <w:lang w:val="en-US" w:eastAsia="zh-CN"/>
              </w:rPr>
              <w:t>hm</w:t>
            </w:r>
            <w:r>
              <w:rPr>
                <w:rFonts w:hint="default" w:ascii="Times New Roman" w:hAnsi="Times New Roman" w:eastAsia="宋体" w:cs="Times New Roman"/>
                <w:color w:val="auto"/>
                <w:spacing w:val="-2"/>
                <w:vertAlign w:val="superscript"/>
                <w:lang w:val="en-US" w:eastAsia="zh-CN"/>
              </w:rPr>
              <w:t>2</w:t>
            </w:r>
            <w:r>
              <w:rPr>
                <w:rFonts w:hint="default" w:ascii="Times New Roman" w:hAnsi="Times New Roman" w:eastAsia="宋体" w:cs="Times New Roman"/>
                <w:color w:val="auto"/>
                <w:spacing w:val="-2"/>
                <w:lang w:val="en-US" w:eastAsia="zh-CN"/>
              </w:rPr>
              <w:t>。本项目与风电场同时施工，故本项目不新增施工生产生活区。</w:t>
            </w:r>
          </w:p>
          <w:p w14:paraId="43D4BA29">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2" w:firstLineChars="200"/>
              <w:textAlignment w:val="baseline"/>
              <w:rPr>
                <w:rFonts w:hint="default" w:ascii="Times New Roman" w:hAnsi="Times New Roman" w:eastAsia="宋体" w:cs="Times New Roman"/>
                <w:color w:val="auto"/>
                <w:spacing w:val="-2"/>
                <w:highlight w:val="none"/>
                <w:lang w:val="en-US" w:eastAsia="zh-CN"/>
              </w:rPr>
            </w:pPr>
            <w:r>
              <w:rPr>
                <w:rFonts w:hint="default" w:ascii="Times New Roman" w:hAnsi="Times New Roman" w:eastAsia="宋体" w:cs="Times New Roman"/>
                <w:color w:val="auto"/>
                <w:spacing w:val="-2"/>
                <w:lang w:val="en-US" w:eastAsia="zh-CN"/>
              </w:rPr>
              <w:t>②施工</w:t>
            </w:r>
            <w:r>
              <w:rPr>
                <w:rFonts w:hint="default" w:ascii="Times New Roman" w:hAnsi="Times New Roman" w:cs="Times New Roman"/>
                <w:color w:val="auto"/>
                <w:spacing w:val="-2"/>
                <w:highlight w:val="none"/>
                <w:lang w:val="en-US" w:eastAsia="zh-CN"/>
              </w:rPr>
              <w:t>生产区主要包括砂石料堆放、钢筋木材加工及堆放、机械维修综合加工、电器设备堆放、仓库、油品库等</w:t>
            </w:r>
            <w:r>
              <w:rPr>
                <w:rFonts w:hint="default" w:ascii="Times New Roman" w:hAnsi="Times New Roman" w:eastAsia="宋体" w:cs="Times New Roman"/>
                <w:color w:val="auto"/>
                <w:spacing w:val="-2"/>
                <w:highlight w:val="none"/>
                <w:lang w:val="en-US" w:eastAsia="zh-CN"/>
              </w:rPr>
              <w:t>，占地面积为</w:t>
            </w:r>
            <w:r>
              <w:rPr>
                <w:rFonts w:hint="default" w:ascii="Times New Roman" w:hAnsi="Times New Roman" w:cs="Times New Roman"/>
                <w:color w:val="auto"/>
                <w:spacing w:val="-2"/>
                <w:highlight w:val="none"/>
                <w:lang w:val="en-US" w:eastAsia="zh-CN"/>
              </w:rPr>
              <w:t>0.81h</w:t>
            </w:r>
            <w:r>
              <w:rPr>
                <w:rFonts w:hint="default" w:ascii="Times New Roman" w:hAnsi="Times New Roman" w:eastAsia="宋体" w:cs="Times New Roman"/>
                <w:color w:val="auto"/>
                <w:spacing w:val="-2"/>
                <w:highlight w:val="none"/>
                <w:lang w:val="en-US" w:eastAsia="zh-CN"/>
              </w:rPr>
              <w:t>m</w:t>
            </w:r>
            <w:r>
              <w:rPr>
                <w:rFonts w:hint="default" w:ascii="Times New Roman" w:hAnsi="Times New Roman" w:eastAsia="宋体" w:cs="Times New Roman"/>
                <w:color w:val="auto"/>
                <w:spacing w:val="-2"/>
                <w:highlight w:val="none"/>
                <w:vertAlign w:val="superscript"/>
                <w:lang w:val="en-US" w:eastAsia="zh-CN"/>
              </w:rPr>
              <w:t>2</w:t>
            </w:r>
            <w:r>
              <w:rPr>
                <w:rFonts w:hint="default" w:ascii="Times New Roman" w:hAnsi="Times New Roman" w:eastAsia="宋体" w:cs="Times New Roman"/>
                <w:color w:val="auto"/>
                <w:spacing w:val="-2"/>
                <w:highlight w:val="none"/>
                <w:lang w:val="en-US" w:eastAsia="zh-CN"/>
              </w:rPr>
              <w:t>。本工程不设混凝土拌合站，混凝土均在当地购买成品。</w:t>
            </w:r>
          </w:p>
          <w:p w14:paraId="5EDF172E">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2" w:firstLineChars="200"/>
              <w:textAlignment w:val="baseline"/>
              <w:rPr>
                <w:rFonts w:hint="default" w:ascii="Times New Roman" w:hAnsi="Times New Roman" w:eastAsia="宋体" w:cs="Times New Roman"/>
                <w:color w:val="auto"/>
                <w:spacing w:val="-2"/>
                <w:lang w:val="en-US" w:eastAsia="zh-CN"/>
              </w:rPr>
            </w:pPr>
            <w:r>
              <w:rPr>
                <w:rFonts w:hint="default" w:ascii="Times New Roman" w:hAnsi="Times New Roman" w:eastAsia="宋体" w:cs="Times New Roman"/>
                <w:color w:val="auto"/>
                <w:spacing w:val="-2"/>
                <w:lang w:val="en-US" w:eastAsia="zh-CN"/>
              </w:rPr>
              <w:t>③本项目材料运输将充分利用现有道路</w:t>
            </w:r>
            <w:r>
              <w:rPr>
                <w:rFonts w:hint="default" w:ascii="Times New Roman" w:hAnsi="Times New Roman" w:cs="Times New Roman"/>
                <w:color w:val="auto"/>
                <w:spacing w:val="-2"/>
                <w:lang w:val="en-US" w:eastAsia="zh-CN"/>
              </w:rPr>
              <w:t>、</w:t>
            </w:r>
            <w:r>
              <w:rPr>
                <w:rFonts w:hint="default" w:ascii="Times New Roman" w:hAnsi="Times New Roman" w:eastAsia="宋体" w:cs="Times New Roman"/>
                <w:color w:val="auto"/>
                <w:spacing w:val="-2"/>
                <w:lang w:val="en-US" w:eastAsia="zh-CN"/>
              </w:rPr>
              <w:t>新建</w:t>
            </w:r>
            <w:r>
              <w:rPr>
                <w:rFonts w:hint="default" w:ascii="Times New Roman" w:hAnsi="Times New Roman" w:cs="Times New Roman"/>
                <w:color w:val="auto"/>
                <w:spacing w:val="-2"/>
                <w:lang w:val="en-US" w:eastAsia="zh-CN"/>
              </w:rPr>
              <w:t>/改扩建</w:t>
            </w:r>
            <w:r>
              <w:rPr>
                <w:rFonts w:hint="default" w:ascii="Times New Roman" w:hAnsi="Times New Roman" w:eastAsia="宋体" w:cs="Times New Roman"/>
                <w:color w:val="auto"/>
                <w:spacing w:val="-2"/>
                <w:lang w:val="en-US" w:eastAsia="zh-CN"/>
              </w:rPr>
              <w:t>进站道路</w:t>
            </w:r>
            <w:r>
              <w:rPr>
                <w:rFonts w:hint="default" w:ascii="Times New Roman" w:hAnsi="Times New Roman" w:cs="Times New Roman"/>
                <w:color w:val="auto"/>
                <w:spacing w:val="-2"/>
                <w:lang w:val="en-US" w:eastAsia="zh-CN"/>
              </w:rPr>
              <w:t>及风电场内临时道路</w:t>
            </w:r>
            <w:r>
              <w:rPr>
                <w:rFonts w:hint="default" w:ascii="Times New Roman" w:hAnsi="Times New Roman" w:eastAsia="宋体" w:cs="Times New Roman"/>
                <w:color w:val="auto"/>
                <w:spacing w:val="-2"/>
                <w:lang w:val="en-US" w:eastAsia="zh-CN"/>
              </w:rPr>
              <w:t>，不设施工道路，不会对地表产生扰动。</w:t>
            </w:r>
          </w:p>
          <w:p w14:paraId="1293603C">
            <w:pPr>
              <w:keepNext w:val="0"/>
              <w:keepLines w:val="0"/>
              <w:widowControl/>
              <w:suppressLineNumbers w:val="0"/>
              <w:spacing w:before="0" w:beforeAutospacing="0" w:after="0" w:afterAutospacing="0" w:line="360" w:lineRule="auto"/>
              <w:ind w:left="0" w:right="0" w:firstLine="482" w:firstLineChars="200"/>
              <w:contextualSpacing/>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3、施工时序</w:t>
            </w:r>
          </w:p>
          <w:p w14:paraId="66FADB43">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施工时序主要为道路施工、地面基础施工、构筑物施工、设备安装、设备调试等。</w:t>
            </w:r>
          </w:p>
          <w:p w14:paraId="0378EBAD">
            <w:pPr>
              <w:keepNext w:val="0"/>
              <w:keepLines w:val="0"/>
              <w:widowControl/>
              <w:suppressLineNumbers w:val="0"/>
              <w:spacing w:before="0" w:beforeAutospacing="0" w:after="0" w:afterAutospacing="0" w:line="360" w:lineRule="auto"/>
              <w:ind w:left="0" w:right="0" w:firstLine="482" w:firstLineChars="200"/>
              <w:contextualSpacing/>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4、施工期产污环节分析</w:t>
            </w:r>
          </w:p>
          <w:p w14:paraId="59CEDFE0">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本项目建设期土建施工、设备安装等过程中若不采取有效的防治措施可能产生施工扬尘、施工噪声、施工废污水以及固体废物等环境影响。</w:t>
            </w:r>
          </w:p>
          <w:p w14:paraId="75808490">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（1）</w:t>
            </w:r>
            <w:r>
              <w:rPr>
                <w:rFonts w:hint="default" w:ascii="Times New Roman" w:hAnsi="Times New Roman" w:eastAsia="宋体" w:cs="Times New Roman"/>
                <w:color w:val="auto"/>
                <w:sz w:val="24"/>
                <w:highlight w:val="none"/>
                <w:lang w:val="en-US" w:eastAsia="zh-CN"/>
              </w:rPr>
              <w:t>施工噪声：施工机械产生，如挖掘机、推土机等。</w:t>
            </w:r>
          </w:p>
          <w:p w14:paraId="0298C68F">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施工扬尘</w:t>
            </w:r>
            <w:r>
              <w:rPr>
                <w:rFonts w:hint="default" w:ascii="Times New Roman" w:hAnsi="Times New Roman" w:cs="Times New Roman"/>
                <w:color w:val="auto"/>
                <w:sz w:val="24"/>
                <w:highlight w:val="none"/>
                <w:lang w:val="en-US" w:eastAsia="zh-CN"/>
              </w:rPr>
              <w:t>及车辆、机械尾气</w:t>
            </w:r>
            <w:r>
              <w:rPr>
                <w:rFonts w:hint="default" w:ascii="Times New Roman" w:hAnsi="Times New Roman" w:eastAsia="宋体" w:cs="Times New Roman"/>
                <w:color w:val="auto"/>
                <w:sz w:val="24"/>
                <w:highlight w:val="none"/>
                <w:lang w:val="en-US" w:eastAsia="zh-CN"/>
              </w:rPr>
              <w:t>：工程土建施工、建筑装修材料装卸及交通运输过程中产生。</w:t>
            </w:r>
          </w:p>
          <w:p w14:paraId="02BC0E72">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施工废水：施工</w:t>
            </w:r>
            <w:r>
              <w:rPr>
                <w:rFonts w:hint="default" w:ascii="Times New Roman" w:hAnsi="Times New Roman" w:cs="Times New Roman"/>
                <w:color w:val="auto"/>
                <w:sz w:val="24"/>
                <w:highlight w:val="none"/>
                <w:lang w:val="en-US" w:eastAsia="zh-CN"/>
              </w:rPr>
              <w:t>冲洗</w:t>
            </w:r>
            <w:r>
              <w:rPr>
                <w:rFonts w:hint="default" w:ascii="Times New Roman" w:hAnsi="Times New Roman" w:eastAsia="宋体" w:cs="Times New Roman"/>
                <w:color w:val="auto"/>
                <w:sz w:val="24"/>
                <w:highlight w:val="none"/>
                <w:lang w:val="en-US" w:eastAsia="zh-CN"/>
              </w:rPr>
              <w:t>废水及施工人员的生活污水。</w:t>
            </w:r>
          </w:p>
          <w:p w14:paraId="56D06A49">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固体废物：施工过程中产生的建筑垃圾及施工人员产生的生活垃圾。</w:t>
            </w:r>
          </w:p>
          <w:p w14:paraId="5593BD73">
            <w:pPr>
              <w:keepNext w:val="0"/>
              <w:keepLines w:val="0"/>
              <w:widowControl/>
              <w:suppressLineNumbers w:val="0"/>
              <w:spacing w:before="0" w:beforeAutospacing="0" w:after="0" w:afterAutospacing="0" w:line="360" w:lineRule="auto"/>
              <w:ind w:left="0" w:right="0" w:firstLine="482" w:firstLineChars="200"/>
              <w:contextualSpacing/>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5、施工期环境保护措施</w:t>
            </w:r>
          </w:p>
          <w:p w14:paraId="412B06FE">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（1）升</w:t>
            </w:r>
            <w:r>
              <w:rPr>
                <w:rFonts w:hint="default" w:ascii="Times New Roman" w:hAnsi="Times New Roman" w:eastAsia="宋体" w:cs="Times New Roman"/>
                <w:color w:val="auto"/>
                <w:sz w:val="24"/>
                <w:highlight w:val="none"/>
                <w:lang w:val="en-US" w:eastAsia="zh-CN"/>
              </w:rPr>
              <w:t>电站的施工会使用一些机械设备，施工时要严格控制施工范围，施工时间。</w:t>
            </w:r>
          </w:p>
          <w:p w14:paraId="3D5E7D97">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（2）升</w:t>
            </w:r>
            <w:r>
              <w:rPr>
                <w:rFonts w:hint="default" w:ascii="Times New Roman" w:hAnsi="Times New Roman" w:eastAsia="宋体" w:cs="Times New Roman"/>
                <w:color w:val="auto"/>
                <w:sz w:val="24"/>
                <w:highlight w:val="none"/>
                <w:lang w:val="en-US" w:eastAsia="zh-CN"/>
              </w:rPr>
              <w:t>电站站区内建构筑物等需使用车辆运输，材料运输搬运和使用过程中要严格控制产生的扬尘造成的污染。</w:t>
            </w:r>
          </w:p>
          <w:p w14:paraId="549F1717">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站区内控制车速，经常清洗车辆，防止车辆带土上路。文明装卸、搬运，场区内干燥路面洒水，包装废弃物回收。</w:t>
            </w:r>
          </w:p>
          <w:p w14:paraId="291F2135">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生产、生活用水的要严格控制跑、冒、滴、漏现象，设置节水标志，对用水设施进行维护及检查。</w:t>
            </w:r>
          </w:p>
          <w:p w14:paraId="212AFE58">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lang w:val="en-US" w:eastAsia="zh-CN"/>
              </w:rPr>
              <w:t>用电采用节能灯具，照明灯及时关闭。设置节电标志，设专人负责。</w:t>
            </w:r>
          </w:p>
          <w:p w14:paraId="75CA6D87">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（6）</w:t>
            </w:r>
            <w:r>
              <w:rPr>
                <w:rFonts w:hint="default" w:ascii="Times New Roman" w:hAnsi="Times New Roman" w:eastAsia="宋体" w:cs="Times New Roman"/>
                <w:color w:val="auto"/>
                <w:sz w:val="24"/>
                <w:highlight w:val="none"/>
                <w:lang w:val="en-US" w:eastAsia="zh-CN"/>
              </w:rPr>
              <w:t>对施工及管理人员进行培训，确定施工方案及施工范围，对施工场地等设置围拦、警示标志，各种施工活动应控制在施工征地范围内，不得随意扩大施工场地范围。</w:t>
            </w:r>
          </w:p>
          <w:p w14:paraId="55B61F87">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（7）</w:t>
            </w:r>
            <w:r>
              <w:rPr>
                <w:rFonts w:hint="default" w:ascii="Times New Roman" w:hAnsi="Times New Roman" w:eastAsia="宋体" w:cs="Times New Roman"/>
                <w:color w:val="auto"/>
                <w:sz w:val="24"/>
                <w:highlight w:val="none"/>
                <w:lang w:val="en-US" w:eastAsia="zh-CN"/>
              </w:rPr>
              <w:t>施工、运输及运营维护车辆严格按照规划的道路运行，禁止车辆随意碾压植被；开挖地表时应对表土单独堆放，妥善管理，利于覆土恢复植被；对施工中破坏的地表植被，应严格按土地复垦有关规定，使之尽快恢复。</w:t>
            </w:r>
          </w:p>
          <w:p w14:paraId="2063322A">
            <w:pPr>
              <w:keepNext w:val="0"/>
              <w:keepLines w:val="0"/>
              <w:widowControl/>
              <w:suppressLineNumbers w:val="0"/>
              <w:spacing w:before="0" w:beforeAutospacing="0" w:after="0" w:afterAutospacing="0" w:line="360" w:lineRule="auto"/>
              <w:ind w:left="0" w:right="0" w:firstLine="482" w:firstLineChars="200"/>
              <w:contextualSpacing/>
              <w:rPr>
                <w:rFonts w:hint="default" w:ascii="Times New Roman" w:hAnsi="Times New Roman" w:eastAsia="宋体" w:cs="Times New Roman"/>
                <w:b/>
                <w:bCs/>
                <w:color w:val="auto"/>
                <w:sz w:val="24"/>
                <w:highlight w:val="none"/>
                <w:lang w:val="zh-CN"/>
              </w:rPr>
            </w:pPr>
            <w:r>
              <w:rPr>
                <w:rFonts w:hint="default" w:ascii="Times New Roman" w:hAnsi="Times New Roman" w:cs="Times New Roman"/>
                <w:b/>
                <w:bCs/>
                <w:color w:val="auto"/>
                <w:sz w:val="24"/>
                <w:highlight w:val="none"/>
                <w:lang w:val="en-US" w:eastAsia="zh-CN"/>
              </w:rPr>
              <w:t>6、</w:t>
            </w:r>
            <w:r>
              <w:rPr>
                <w:rFonts w:hint="default" w:ascii="Times New Roman" w:hAnsi="Times New Roman" w:eastAsia="宋体" w:cs="Times New Roman"/>
                <w:b/>
                <w:bCs/>
                <w:color w:val="auto"/>
                <w:sz w:val="24"/>
                <w:highlight w:val="none"/>
                <w:lang w:val="zh-CN"/>
              </w:rPr>
              <w:t xml:space="preserve">施工期劳动定员 </w:t>
            </w:r>
          </w:p>
          <w:p w14:paraId="62954AFB">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本项目施工期劳动定员20人，高峰期人数预计为20人，其中管理人员3人，施工人员17人。</w:t>
            </w:r>
          </w:p>
        </w:tc>
      </w:tr>
      <w:tr w14:paraId="03E160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26" w:hRule="atLeast"/>
          <w:jc w:val="center"/>
        </w:trPr>
        <w:tc>
          <w:tcPr>
            <w:tcW w:w="823" w:type="dxa"/>
            <w:noWrap w:val="0"/>
            <w:vAlign w:val="center"/>
          </w:tcPr>
          <w:p w14:paraId="5CD8C962">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 w:val="21"/>
                <w:szCs w:val="21"/>
                <w:highlight w:val="none"/>
                <w:lang w:val="en-US" w:eastAsia="zh-CN"/>
              </w:rPr>
            </w:pPr>
            <w:r>
              <w:rPr>
                <w:rFonts w:hint="default" w:ascii="Times New Roman" w:hAnsi="Times New Roman" w:cs="Times New Roman"/>
                <w:bCs/>
                <w:color w:val="auto"/>
                <w:kern w:val="2"/>
                <w:sz w:val="24"/>
                <w:szCs w:val="24"/>
                <w:highlight w:val="none"/>
                <w:lang w:val="en-US" w:eastAsia="zh-CN"/>
              </w:rPr>
              <w:t>其他</w:t>
            </w:r>
          </w:p>
        </w:tc>
        <w:tc>
          <w:tcPr>
            <w:tcW w:w="8161" w:type="dxa"/>
            <w:noWrap w:val="0"/>
            <w:vAlign w:val="center"/>
          </w:tcPr>
          <w:p w14:paraId="0FC16F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cs="Times New Roman"/>
                <w:b w:val="0"/>
                <w:bCs w:val="0"/>
                <w:color w:val="auto"/>
                <w:sz w:val="24"/>
                <w:szCs w:val="24"/>
                <w:highlight w:val="none"/>
                <w:lang w:val="en-US" w:eastAsia="zh-CN"/>
              </w:rPr>
            </w:pPr>
          </w:p>
          <w:p w14:paraId="0D1CCE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无</w:t>
            </w:r>
          </w:p>
          <w:p w14:paraId="317D03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cs="Times New Roman"/>
                <w:b w:val="0"/>
                <w:bCs w:val="0"/>
                <w:color w:val="auto"/>
                <w:sz w:val="24"/>
                <w:szCs w:val="24"/>
                <w:highlight w:val="none"/>
                <w:lang w:val="en-US" w:eastAsia="zh-CN"/>
              </w:rPr>
            </w:pPr>
          </w:p>
        </w:tc>
      </w:tr>
    </w:tbl>
    <w:p w14:paraId="197BD3FE">
      <w:pPr>
        <w:pStyle w:val="26"/>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rPr>
          <w:rFonts w:hint="default" w:ascii="Times New Roman" w:hAnsi="Times New Roman" w:eastAsia="黑体" w:cs="Times New Roman"/>
          <w:snapToGrid w:val="0"/>
          <w:color w:val="0000FF"/>
          <w:sz w:val="36"/>
          <w:szCs w:val="36"/>
          <w:highlight w:val="none"/>
        </w:rPr>
        <w:sectPr>
          <w:footerReference r:id="rId5"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7AAE1D4">
      <w:pPr>
        <w:pStyle w:val="26"/>
        <w:jc w:val="center"/>
        <w:outlineLvl w:val="0"/>
        <w:rPr>
          <w:rFonts w:hint="default" w:ascii="Times New Roman" w:hAnsi="Times New Roman" w:eastAsia="黑体" w:cs="Times New Roman"/>
          <w:snapToGrid w:val="0"/>
          <w:color w:val="auto"/>
          <w:sz w:val="30"/>
          <w:szCs w:val="30"/>
          <w:highlight w:val="none"/>
          <w:lang w:val="en-US" w:eastAsia="zh-CN"/>
        </w:rPr>
      </w:pPr>
      <w:bookmarkStart w:id="6" w:name="_Toc20420"/>
      <w:bookmarkStart w:id="7" w:name="_Toc20585"/>
      <w:bookmarkStart w:id="8" w:name="_Toc8646"/>
      <w:r>
        <w:rPr>
          <w:rFonts w:hint="default" w:ascii="Times New Roman" w:hAnsi="Times New Roman" w:eastAsia="黑体" w:cs="Times New Roman"/>
          <w:snapToGrid w:val="0"/>
          <w:color w:val="auto"/>
          <w:sz w:val="30"/>
          <w:szCs w:val="30"/>
          <w:highlight w:val="none"/>
          <w:lang w:val="en-US" w:eastAsia="zh-CN"/>
        </w:rPr>
        <w:t>三、生态环境现状、保护目标及评价标准</w:t>
      </w:r>
      <w:bookmarkEnd w:id="6"/>
      <w:bookmarkEnd w:id="7"/>
      <w:bookmarkEnd w:id="8"/>
    </w:p>
    <w:tbl>
      <w:tblPr>
        <w:tblStyle w:val="30"/>
        <w:tblW w:w="95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586"/>
      </w:tblGrid>
      <w:tr w14:paraId="57F687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812" w:type="dxa"/>
            <w:noWrap w:val="0"/>
            <w:vAlign w:val="center"/>
          </w:tcPr>
          <w:p w14:paraId="495B00E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lang w:val="en-US" w:eastAsia="zh-CN"/>
              </w:rPr>
              <w:t>生态</w:t>
            </w:r>
          </w:p>
          <w:p w14:paraId="441F51F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环境</w:t>
            </w:r>
          </w:p>
          <w:p w14:paraId="172654A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FF"/>
                <w:kern w:val="0"/>
                <w:szCs w:val="21"/>
                <w:highlight w:val="none"/>
              </w:rPr>
            </w:pPr>
            <w:r>
              <w:rPr>
                <w:rFonts w:hint="default" w:ascii="Times New Roman" w:hAnsi="Times New Roman" w:cs="Times New Roman"/>
                <w:color w:val="auto"/>
                <w:kern w:val="0"/>
                <w:sz w:val="24"/>
                <w:szCs w:val="24"/>
                <w:highlight w:val="none"/>
              </w:rPr>
              <w:t>现状</w:t>
            </w:r>
          </w:p>
        </w:tc>
        <w:tc>
          <w:tcPr>
            <w:tcW w:w="8712" w:type="dxa"/>
            <w:noWrap w:val="0"/>
            <w:vAlign w:val="center"/>
          </w:tcPr>
          <w:p w14:paraId="4216F445">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1、</w:t>
            </w:r>
            <w:r>
              <w:rPr>
                <w:rFonts w:hint="default" w:ascii="Times New Roman" w:hAnsi="Times New Roman" w:cs="Times New Roman"/>
                <w:b/>
                <w:bCs/>
                <w:color w:val="auto"/>
                <w:highlight w:val="none"/>
                <w:lang w:val="en-US" w:eastAsia="zh-CN"/>
              </w:rPr>
              <w:t>生态</w:t>
            </w:r>
            <w:r>
              <w:rPr>
                <w:rFonts w:hint="default" w:ascii="Times New Roman" w:hAnsi="Times New Roman" w:eastAsia="宋体" w:cs="Times New Roman"/>
                <w:b/>
                <w:bCs/>
                <w:color w:val="auto"/>
                <w:highlight w:val="none"/>
                <w:lang w:val="en-US" w:eastAsia="zh-CN"/>
              </w:rPr>
              <w:t>环境</w:t>
            </w:r>
            <w:r>
              <w:rPr>
                <w:rFonts w:hint="default" w:ascii="Times New Roman" w:hAnsi="Times New Roman" w:cs="Times New Roman"/>
                <w:b/>
                <w:bCs/>
                <w:color w:val="auto"/>
                <w:highlight w:val="none"/>
                <w:lang w:val="en-US" w:eastAsia="zh-CN"/>
              </w:rPr>
              <w:t>质量</w:t>
            </w:r>
            <w:r>
              <w:rPr>
                <w:rFonts w:hint="default" w:ascii="Times New Roman" w:hAnsi="Times New Roman" w:eastAsia="宋体" w:cs="Times New Roman"/>
                <w:b/>
                <w:bCs/>
                <w:color w:val="auto"/>
                <w:highlight w:val="none"/>
                <w:lang w:val="en-US" w:eastAsia="zh-CN"/>
              </w:rPr>
              <w:t>现状</w:t>
            </w:r>
          </w:p>
          <w:p w14:paraId="3C8123CF">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1.1 主体功能区规划</w:t>
            </w:r>
            <w:r>
              <w:rPr>
                <w:rFonts w:hint="default" w:ascii="Times New Roman" w:hAnsi="Times New Roman" w:cs="Times New Roman"/>
                <w:b/>
                <w:bCs/>
                <w:color w:val="auto"/>
                <w:highlight w:val="none"/>
                <w:lang w:val="en-US" w:eastAsia="zh-CN"/>
              </w:rPr>
              <w:t>和</w:t>
            </w:r>
            <w:r>
              <w:rPr>
                <w:rFonts w:hint="default" w:ascii="Times New Roman" w:hAnsi="Times New Roman" w:eastAsia="宋体" w:cs="Times New Roman"/>
                <w:b/>
                <w:bCs/>
                <w:color w:val="auto"/>
                <w:highlight w:val="none"/>
                <w:lang w:val="en-US" w:eastAsia="zh-CN"/>
              </w:rPr>
              <w:t>生态功能区划情况</w:t>
            </w:r>
          </w:p>
          <w:p w14:paraId="3694AE22">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color w:val="auto"/>
                <w:kern w:val="0"/>
                <w:sz w:val="24"/>
                <w:szCs w:val="20"/>
                <w:highlight w:val="none"/>
              </w:rPr>
              <w:t>本项目位于内蒙古自治区阿拉善盟额济纳旗温图高勒苏木境内，依据《内蒙古自治区主体功能区规划》，项目占地属于《内蒙古自治区主体功能区规划》中的“限制开发区域（自治区级重点生态功能区）”。本项目在内蒙古自治区主体功能区规</w:t>
            </w:r>
            <w:r>
              <w:rPr>
                <w:rFonts w:hint="default" w:ascii="Times New Roman" w:hAnsi="Times New Roman" w:eastAsia="宋体" w:cs="Times New Roman"/>
                <w:color w:val="000000" w:themeColor="text1"/>
                <w:kern w:val="0"/>
                <w:sz w:val="24"/>
                <w:szCs w:val="20"/>
                <w:highlight w:val="none"/>
                <w14:textFill>
                  <w14:solidFill>
                    <w14:schemeClr w14:val="tx1"/>
                  </w14:solidFill>
                </w14:textFill>
              </w:rPr>
              <w:t>划图中的位置见附图</w:t>
            </w:r>
            <w:r>
              <w:rPr>
                <w:rFonts w:hint="default" w:ascii="Times New Roman" w:hAnsi="Times New Roman" w:cs="Times New Roman"/>
                <w:color w:val="000000" w:themeColor="text1"/>
                <w:kern w:val="0"/>
                <w:sz w:val="24"/>
                <w:szCs w:val="20"/>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kern w:val="0"/>
                <w:sz w:val="24"/>
                <w:szCs w:val="20"/>
                <w:highlight w:val="none"/>
                <w14:textFill>
                  <w14:solidFill>
                    <w14:schemeClr w14:val="tx1"/>
                  </w14:solidFill>
                </w14:textFill>
              </w:rPr>
              <w:t>。</w:t>
            </w:r>
          </w:p>
          <w:p w14:paraId="6DEC0563">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color w:val="auto"/>
                <w:kern w:val="0"/>
                <w:sz w:val="24"/>
                <w:szCs w:val="20"/>
                <w:highlight w:val="none"/>
              </w:rPr>
              <w:t>根据《内蒙古自治区人民政府关于自治区主体功能区规划的实施意见》（内政发【2015】18号），限制开发区域是限制进行大规模高强度工业化城镇化的地区，主体功能是提供农产品和生态产品，保障农产品供给和生态系统稳定性，同时允许适度发展不影响主体功能定位、当地资源环境可承载的产业，允许进行必要的城镇建设。限制开发区域分为两类：一类是农产品主产区，以提高农业综合生产能力作为发展的首要任务，围绕“两区两带”为主体的农业站略布局，坚决守住耕地红线，保护农业空间，确保国家粮食安全；另一类是重点生态功能区，以增强生态产品生产能力作为首要任务，围绕“两屏三区”为主体的生态安全站略布局，严格守住生态红线，保护生态空间，确保国家生态安全。</w:t>
            </w:r>
          </w:p>
          <w:p w14:paraId="23CDE1E8">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val="0"/>
                <w:color w:val="auto"/>
                <w:kern w:val="0"/>
                <w:sz w:val="24"/>
                <w:szCs w:val="24"/>
                <w:highlight w:val="none"/>
                <w:lang w:val="en-US" w:eastAsia="zh-CN"/>
              </w:rPr>
            </w:pPr>
            <w:r>
              <w:rPr>
                <w:rFonts w:hint="default" w:ascii="Times New Roman" w:hAnsi="Times New Roman" w:eastAsia="宋体" w:cs="Times New Roman"/>
                <w:color w:val="auto"/>
                <w:kern w:val="0"/>
                <w:sz w:val="24"/>
                <w:szCs w:val="20"/>
                <w:highlight w:val="none"/>
              </w:rPr>
              <w:t>本项目属于华润新能源额济纳旗100兆瓦风电项目220kV升压站工程 ，属于输变电工程。本项目属于绿色清洁项目，对环境产生的污染较少，不属于大规模、高强度的工业开发和城镇建设项目，同时符合国家现行产业政策。因此，本项目符合内蒙古自治区主体功能区规划要求。</w:t>
            </w:r>
          </w:p>
          <w:p w14:paraId="0BED7A5E">
            <w:pPr>
              <w:pStyle w:val="105"/>
              <w:keepNext w:val="0"/>
              <w:keepLines w:val="0"/>
              <w:suppressLineNumbers w:val="0"/>
              <w:kinsoku/>
              <w:overflowPunct w:val="0"/>
              <w:spacing w:before="0" w:beforeAutospacing="0" w:after="0" w:afterAutospacing="0" w:line="360" w:lineRule="auto"/>
              <w:ind w:left="0" w:right="0" w:firstLine="464" w:firstLineChars="200"/>
              <w:jc w:val="both"/>
              <w:rPr>
                <w:rFonts w:hint="default" w:ascii="Times New Roman" w:hAnsi="Times New Roman" w:eastAsia="Times New Roman" w:cs="Times New Roman"/>
                <w:b/>
                <w:bCs/>
                <w:color w:val="auto"/>
                <w:spacing w:val="-4"/>
                <w:lang w:eastAsia="zh-CN"/>
              </w:rPr>
            </w:pPr>
            <w:r>
              <w:rPr>
                <w:rFonts w:hint="default" w:ascii="Times New Roman" w:hAnsi="Times New Roman" w:eastAsia="Times New Roman" w:cs="Times New Roman"/>
                <w:b/>
                <w:bCs/>
                <w:color w:val="auto"/>
                <w:spacing w:val="-4"/>
                <w:lang w:val="en-US" w:eastAsia="zh-CN"/>
              </w:rPr>
              <w:t>1.</w:t>
            </w:r>
            <w:r>
              <w:rPr>
                <w:rFonts w:hint="eastAsia" w:ascii="Times New Roman" w:hAnsi="Times New Roman" w:eastAsia="Times New Roman" w:cs="Times New Roman"/>
                <w:b/>
                <w:bCs/>
                <w:color w:val="auto"/>
                <w:spacing w:val="-4"/>
                <w:lang w:val="en-US" w:eastAsia="zh-CN"/>
              </w:rPr>
              <w:t>2</w:t>
            </w:r>
            <w:r>
              <w:rPr>
                <w:rFonts w:hint="default" w:ascii="Times New Roman" w:hAnsi="Times New Roman" w:eastAsia="Times New Roman" w:cs="Times New Roman"/>
                <w:b/>
                <w:bCs/>
                <w:color w:val="auto"/>
                <w:spacing w:val="-4"/>
                <w:lang w:eastAsia="zh-CN"/>
              </w:rPr>
              <w:t>生态现状</w:t>
            </w:r>
          </w:p>
          <w:p w14:paraId="689309A7">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bidi="ar"/>
              </w:rPr>
              <w:t>（1）生态环境现状</w:t>
            </w:r>
          </w:p>
          <w:p w14:paraId="78880BDC">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bidi="ar"/>
              </w:rPr>
            </w:pPr>
            <w:r>
              <w:rPr>
                <w:rFonts w:hint="default" w:ascii="Times New Roman" w:hAnsi="Times New Roman" w:eastAsia="宋体" w:cs="Times New Roman"/>
                <w:color w:val="auto"/>
                <w:sz w:val="24"/>
                <w:szCs w:val="24"/>
                <w:lang w:eastAsia="zh-CN" w:bidi="ar"/>
              </w:rPr>
              <w:t>本项目生态环境现状调查与评价采用现场调查与卫星遥感影像解译相结合的方法：首先利用区域卫星影像及相关资料，初步判断项目区周边土地利用状况；随后开展现场考察，明确评价区内土地利用类型等生态环境现状；最后通过软件将卫星影像与地形图校正对准，提取土地利用、植被等相关数据，结合数据及图表完成生态环境现状的定量与定性评价。本次评价采用Landsat 8-9 OLI/TIRS C2 L2</w:t>
            </w:r>
            <w:r>
              <w:rPr>
                <w:rFonts w:hint="default" w:ascii="Times New Roman" w:hAnsi="Times New Roman" w:cs="Times New Roman"/>
                <w:color w:val="auto"/>
                <w:sz w:val="24"/>
                <w:szCs w:val="24"/>
                <w:lang w:val="en-US" w:eastAsia="zh-CN" w:bidi="ar"/>
              </w:rPr>
              <w:t>号</w:t>
            </w:r>
            <w:r>
              <w:rPr>
                <w:rFonts w:hint="default" w:ascii="Times New Roman" w:hAnsi="Times New Roman" w:eastAsia="宋体" w:cs="Times New Roman"/>
                <w:color w:val="auto"/>
                <w:sz w:val="24"/>
                <w:szCs w:val="24"/>
                <w:lang w:eastAsia="zh-CN" w:bidi="ar"/>
              </w:rPr>
              <w:t>陆地资源卫星数据（精度</w:t>
            </w:r>
            <w:r>
              <w:rPr>
                <w:rFonts w:hint="default" w:ascii="Times New Roman" w:hAnsi="Times New Roman" w:cs="Times New Roman"/>
                <w:color w:val="auto"/>
                <w:sz w:val="24"/>
                <w:szCs w:val="24"/>
                <w:lang w:val="en-US" w:eastAsia="zh-CN" w:bidi="ar"/>
              </w:rPr>
              <w:t>30</w:t>
            </w:r>
            <w:r>
              <w:rPr>
                <w:rFonts w:hint="default" w:ascii="Times New Roman" w:hAnsi="Times New Roman" w:eastAsia="宋体" w:cs="Times New Roman"/>
                <w:color w:val="auto"/>
                <w:sz w:val="24"/>
                <w:szCs w:val="24"/>
                <w:lang w:eastAsia="zh-CN" w:bidi="ar"/>
              </w:rPr>
              <w:t>m，融合后分辨率</w:t>
            </w:r>
            <w:r>
              <w:rPr>
                <w:rFonts w:hint="default" w:ascii="Times New Roman" w:hAnsi="Times New Roman" w:cs="Times New Roman"/>
                <w:color w:val="auto"/>
                <w:sz w:val="24"/>
                <w:szCs w:val="24"/>
                <w:lang w:val="en-US" w:eastAsia="zh-CN" w:bidi="ar"/>
              </w:rPr>
              <w:t>30</w:t>
            </w:r>
            <w:r>
              <w:rPr>
                <w:rFonts w:hint="default" w:ascii="Times New Roman" w:hAnsi="Times New Roman" w:eastAsia="宋体" w:cs="Times New Roman"/>
                <w:color w:val="auto"/>
                <w:sz w:val="24"/>
                <w:szCs w:val="24"/>
                <w:lang w:eastAsia="zh-CN" w:bidi="ar"/>
              </w:rPr>
              <w:t>m），借助3S技术对数据进行几何校正、波段融合、增强处理等预处理，依据土地覆盖解译标志进行人机交互目视解译，并结合现场调查修正解译成果，最终提取评价区植被类型、土地利用</w:t>
            </w:r>
            <w:r>
              <w:rPr>
                <w:rFonts w:hint="default" w:ascii="Times New Roman" w:hAnsi="Times New Roman" w:eastAsia="宋体" w:cs="Times New Roman"/>
                <w:color w:val="000000" w:themeColor="text1"/>
                <w:sz w:val="24"/>
                <w:szCs w:val="24"/>
                <w:lang w:eastAsia="zh-CN" w:bidi="ar"/>
                <w14:textFill>
                  <w14:solidFill>
                    <w14:schemeClr w14:val="tx1"/>
                  </w14:solidFill>
                </w14:textFill>
              </w:rPr>
              <w:t>等信息。华</w:t>
            </w:r>
            <w:r>
              <w:rPr>
                <w:rFonts w:hint="default" w:ascii="Times New Roman" w:hAnsi="Times New Roman" w:eastAsia="宋体" w:cs="Times New Roman"/>
                <w:color w:val="auto"/>
                <w:sz w:val="24"/>
                <w:szCs w:val="24"/>
                <w:lang w:eastAsia="zh-CN" w:bidi="ar"/>
              </w:rPr>
              <w:t>润新能源额济纳旗100兆瓦风电项目</w:t>
            </w:r>
            <w:r>
              <w:rPr>
                <w:rFonts w:hint="default" w:ascii="Times New Roman" w:hAnsi="Times New Roman" w:eastAsia="宋体" w:cs="Times New Roman"/>
                <w:color w:val="000000" w:themeColor="text1"/>
                <w:spacing w:val="0"/>
                <w:sz w:val="24"/>
                <w:szCs w:val="24"/>
                <w:highlight w:val="none"/>
                <w:lang w:val="en-US" w:eastAsia="zh-CN" w:bidi="ar"/>
                <w14:textFill>
                  <w14:solidFill>
                    <w14:schemeClr w14:val="tx1"/>
                  </w14:solidFill>
                </w14:textFill>
              </w:rPr>
              <w:t>220kV</w:t>
            </w:r>
            <w:r>
              <w:rPr>
                <w:rFonts w:hint="default" w:ascii="Times New Roman" w:hAnsi="Times New Roman" w:eastAsia="宋体" w:cs="Times New Roman"/>
                <w:color w:val="000000" w:themeColor="text1"/>
                <w:sz w:val="24"/>
                <w:szCs w:val="24"/>
                <w:highlight w:val="none"/>
                <w:lang w:eastAsia="zh-CN" w:bidi="ar"/>
                <w14:textFill>
                  <w14:solidFill>
                    <w14:schemeClr w14:val="tx1"/>
                  </w14:solidFill>
                </w14:textFill>
              </w:rPr>
              <w:t>升压站</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永久占地面积</w:t>
            </w:r>
            <w:r>
              <w:rPr>
                <w:rFonts w:hint="default" w:ascii="Times New Roman" w:hAnsi="Times New Roman" w:cs="Times New Roman"/>
                <w:color w:val="000000" w:themeColor="text1"/>
                <w:sz w:val="24"/>
                <w:szCs w:val="24"/>
                <w:highlight w:val="none"/>
                <w:lang w:val="en-US" w:eastAsia="zh-CN" w:bidi="ar"/>
                <w14:textFill>
                  <w14:solidFill>
                    <w14:schemeClr w14:val="tx1"/>
                  </w14:solidFill>
                </w14:textFill>
              </w:rPr>
              <w:t>合计12510</w:t>
            </w:r>
            <w:r>
              <w:rPr>
                <w:rFonts w:hint="default" w:ascii="Times New Roman" w:hAnsi="Times New Roman" w:eastAsia="宋体" w:cs="Times New Roman"/>
                <w:color w:val="000000" w:themeColor="text1"/>
                <w:sz w:val="24"/>
                <w:szCs w:val="24"/>
                <w:lang w:val="en-US" w:eastAsia="zh-CN" w:bidi="ar"/>
                <w14:textFill>
                  <w14:solidFill>
                    <w14:schemeClr w14:val="tx1"/>
                  </w14:solidFill>
                </w14:textFill>
              </w:rPr>
              <w:t>hm</w:t>
            </w:r>
            <w:r>
              <w:rPr>
                <w:rFonts w:hint="default" w:ascii="Times New Roman" w:hAnsi="Times New Roman" w:eastAsia="宋体" w:cs="Times New Roman"/>
                <w:color w:val="000000" w:themeColor="text1"/>
                <w:sz w:val="24"/>
                <w:szCs w:val="24"/>
                <w:vertAlign w:val="superscript"/>
                <w:lang w:val="en-US" w:eastAsia="zh-CN" w:bidi="ar"/>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含永久用地升压站10597m</w:t>
            </w:r>
            <w:r>
              <w:rPr>
                <w:rFonts w:hint="default"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、进站道路1913m</w:t>
            </w:r>
            <w:r>
              <w:rPr>
                <w:rFonts w:hint="default" w:ascii="Times New Roman" w:hAnsi="Times New Roman" w:cs="Times New Roman"/>
                <w:b w:val="0"/>
                <w:bCs w:val="0"/>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auto"/>
                <w:sz w:val="24"/>
                <w:szCs w:val="24"/>
                <w:highlight w:val="none"/>
                <w:lang w:val="en-US" w:eastAsia="zh-CN" w:bidi="ar"/>
              </w:rPr>
              <w:t>为更好</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的掌握本项目周边生态环境现状，本次生态环境现状调查范围以</w:t>
            </w:r>
            <w:r>
              <w:rPr>
                <w:rFonts w:hint="default" w:ascii="Times New Roman" w:hAnsi="Times New Roman" w:cs="Times New Roman"/>
                <w:color w:val="000000" w:themeColor="text1"/>
                <w:sz w:val="24"/>
                <w:szCs w:val="24"/>
                <w:highlight w:val="none"/>
                <w:lang w:val="en-US" w:eastAsia="zh-CN" w:bidi="ar"/>
                <w14:textFill>
                  <w14:solidFill>
                    <w14:schemeClr w14:val="tx1"/>
                  </w14:solidFill>
                </w14:textFill>
              </w:rPr>
              <w:t>升压站</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项目边界外扩500m，评价区面积为</w:t>
            </w:r>
            <w:r>
              <w:rPr>
                <w:rFonts w:hint="default" w:ascii="Times New Roman" w:hAnsi="Times New Roman" w:cs="Times New Roman"/>
                <w:color w:val="000000" w:themeColor="text1"/>
                <w:sz w:val="24"/>
                <w:szCs w:val="24"/>
                <w:highlight w:val="none"/>
                <w:lang w:val="en-US" w:eastAsia="zh-CN" w:bidi="ar"/>
                <w14:textFill>
                  <w14:solidFill>
                    <w14:schemeClr w14:val="tx1"/>
                  </w14:solidFill>
                </w14:textFill>
              </w:rPr>
              <w:t>121.7</w:t>
            </w:r>
            <w:r>
              <w:rPr>
                <w:rFonts w:hint="default" w:ascii="Times New Roman" w:hAnsi="Times New Roman" w:eastAsia="宋体" w:cs="Times New Roman"/>
                <w:color w:val="000000" w:themeColor="text1"/>
                <w:sz w:val="24"/>
                <w:szCs w:val="24"/>
                <w:lang w:val="en-US" w:eastAsia="zh-CN" w:bidi="ar"/>
                <w14:textFill>
                  <w14:solidFill>
                    <w14:schemeClr w14:val="tx1"/>
                  </w14:solidFill>
                </w14:textFill>
              </w:rPr>
              <w:t>hm</w:t>
            </w:r>
            <w:r>
              <w:rPr>
                <w:rFonts w:hint="default" w:ascii="Times New Roman" w:hAnsi="Times New Roman" w:eastAsia="宋体" w:cs="Times New Roman"/>
                <w:color w:val="000000" w:themeColor="text1"/>
                <w:sz w:val="24"/>
                <w:szCs w:val="24"/>
                <w:vertAlign w:val="superscript"/>
                <w:lang w:val="en-US" w:eastAsia="zh-CN" w:bidi="ar"/>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。本项目</w:t>
            </w:r>
            <w:r>
              <w:rPr>
                <w:rFonts w:hint="default" w:ascii="Times New Roman" w:hAnsi="Times New Roman" w:eastAsia="宋体" w:cs="Times New Roman"/>
                <w:color w:val="auto"/>
                <w:sz w:val="24"/>
                <w:szCs w:val="24"/>
                <w:highlight w:val="none"/>
                <w:lang w:val="en-US" w:eastAsia="zh-CN" w:bidi="ar"/>
              </w:rPr>
              <w:t>生态现状图如下图所示。</w:t>
            </w:r>
          </w:p>
          <w:tbl>
            <w:tblPr>
              <w:tblStyle w:val="31"/>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0"/>
              <w:gridCol w:w="4680"/>
            </w:tblGrid>
            <w:tr w14:paraId="542E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5" w:hRule="atLeast"/>
                <w:jc w:val="center"/>
              </w:trPr>
              <w:tc>
                <w:tcPr>
                  <w:tcW w:w="4201" w:type="dxa"/>
                  <w:noWrap w:val="0"/>
                  <w:vAlign w:val="center"/>
                </w:tcPr>
                <w:p w14:paraId="791BA96C">
                  <w:pPr>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240" w:lineRule="auto"/>
                    <w:ind w:left="0" w:right="0"/>
                    <w:jc w:val="both"/>
                    <w:textAlignment w:val="baseline"/>
                    <w:rPr>
                      <w:rFonts w:hint="default" w:ascii="Times New Roman" w:hAnsi="Times New Roman" w:eastAsia="宋体" w:cs="Times New Roman"/>
                      <w:color w:val="auto"/>
                      <w:sz w:val="24"/>
                      <w:szCs w:val="24"/>
                      <w:vertAlign w:val="baseline"/>
                      <w:lang w:val="en-US" w:eastAsia="zh-CN" w:bidi="ar"/>
                    </w:rPr>
                  </w:pPr>
                  <w:r>
                    <w:rPr>
                      <w:rFonts w:hint="default" w:ascii="Times New Roman" w:hAnsi="Times New Roman" w:eastAsia="宋体" w:cs="Times New Roman"/>
                      <w:color w:val="auto"/>
                      <w:sz w:val="21"/>
                      <w:szCs w:val="21"/>
                      <w:highlight w:val="none"/>
                      <w:lang w:eastAsia="zh-CN"/>
                    </w:rPr>
                    <w:drawing>
                      <wp:inline distT="0" distB="0" distL="114300" distR="114300">
                        <wp:extent cx="2825750" cy="2007235"/>
                        <wp:effectExtent l="0" t="0" r="8890" b="4445"/>
                        <wp:docPr id="67" name="图片 67" descr="61dc38c0-1cd2-4de4-9667-cbe552bb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61dc38c0-1cd2-4de4-9667-cbe552bb6919"/>
                                <pic:cNvPicPr>
                                  <a:picLocks noChangeAspect="1"/>
                                </pic:cNvPicPr>
                              </pic:nvPicPr>
                              <pic:blipFill>
                                <a:blip r:embed="rId23"/>
                                <a:stretch>
                                  <a:fillRect/>
                                </a:stretch>
                              </pic:blipFill>
                              <pic:spPr>
                                <a:xfrm>
                                  <a:off x="0" y="0"/>
                                  <a:ext cx="2825750" cy="2007235"/>
                                </a:xfrm>
                                <a:prstGeom prst="rect">
                                  <a:avLst/>
                                </a:prstGeom>
                              </pic:spPr>
                            </pic:pic>
                          </a:graphicData>
                        </a:graphic>
                      </wp:inline>
                    </w:drawing>
                  </w:r>
                </w:p>
              </w:tc>
              <w:tc>
                <w:tcPr>
                  <w:tcW w:w="4201" w:type="dxa"/>
                  <w:noWrap w:val="0"/>
                  <w:vAlign w:val="center"/>
                </w:tcPr>
                <w:p w14:paraId="780E4E08">
                  <w:pPr>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240" w:lineRule="auto"/>
                    <w:ind w:left="0" w:right="0"/>
                    <w:jc w:val="both"/>
                    <w:textAlignment w:val="baseline"/>
                    <w:rPr>
                      <w:rFonts w:hint="default" w:ascii="Times New Roman" w:hAnsi="Times New Roman" w:eastAsia="宋体" w:cs="Times New Roman"/>
                      <w:color w:val="auto"/>
                      <w:sz w:val="24"/>
                      <w:szCs w:val="24"/>
                      <w:vertAlign w:val="baseline"/>
                      <w:lang w:val="en-US" w:eastAsia="zh-CN" w:bidi="ar"/>
                    </w:rPr>
                  </w:pPr>
                  <w:r>
                    <w:rPr>
                      <w:rFonts w:hint="default" w:ascii="Times New Roman" w:hAnsi="Times New Roman" w:eastAsia="宋体" w:cs="Times New Roman"/>
                      <w:color w:val="0000FF"/>
                      <w:sz w:val="21"/>
                      <w:szCs w:val="21"/>
                      <w:highlight w:val="none"/>
                      <w:lang w:eastAsia="zh-CN"/>
                    </w:rPr>
                    <w:drawing>
                      <wp:inline distT="0" distB="0" distL="114300" distR="114300">
                        <wp:extent cx="2833370" cy="1899285"/>
                        <wp:effectExtent l="0" t="0" r="1270" b="5715"/>
                        <wp:docPr id="65" name="图片 65" descr="f8d74fb4-1322-4253-82f0-d981c861b2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f8d74fb4-1322-4253-82f0-d981c861b2b3"/>
                                <pic:cNvPicPr>
                                  <a:picLocks noChangeAspect="1"/>
                                </pic:cNvPicPr>
                              </pic:nvPicPr>
                              <pic:blipFill>
                                <a:blip r:embed="rId24"/>
                                <a:stretch>
                                  <a:fillRect/>
                                </a:stretch>
                              </pic:blipFill>
                              <pic:spPr>
                                <a:xfrm>
                                  <a:off x="0" y="0"/>
                                  <a:ext cx="2833370" cy="1899285"/>
                                </a:xfrm>
                                <a:prstGeom prst="rect">
                                  <a:avLst/>
                                </a:prstGeom>
                              </pic:spPr>
                            </pic:pic>
                          </a:graphicData>
                        </a:graphic>
                      </wp:inline>
                    </w:drawing>
                  </w:r>
                </w:p>
              </w:tc>
            </w:tr>
            <w:tr w14:paraId="2D22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2" w:type="dxa"/>
                  <w:gridSpan w:val="2"/>
                  <w:noWrap w:val="0"/>
                  <w:vAlign w:val="center"/>
                </w:tcPr>
                <w:p w14:paraId="6E5C9163">
                  <w:pPr>
                    <w:keepNext w:val="0"/>
                    <w:keepLines w:val="0"/>
                    <w:pageBreakBefore w:val="0"/>
                    <w:widowControl/>
                    <w:suppressLineNumbers w:val="0"/>
                    <w:kinsoku/>
                    <w:wordWrap/>
                    <w:overflowPunct w:val="0"/>
                    <w:topLinePunct w:val="0"/>
                    <w:autoSpaceDE w:val="0"/>
                    <w:autoSpaceDN w:val="0"/>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z w:val="24"/>
                      <w:szCs w:val="24"/>
                      <w:vertAlign w:val="baseline"/>
                      <w:lang w:val="en-US" w:eastAsia="zh-CN" w:bidi="ar"/>
                    </w:rPr>
                  </w:pPr>
                  <w:r>
                    <w:rPr>
                      <w:rFonts w:hint="default" w:ascii="Times New Roman" w:hAnsi="Times New Roman" w:eastAsia="宋体" w:cs="Times New Roman"/>
                      <w:b/>
                      <w:bCs/>
                      <w:color w:val="auto"/>
                      <w:sz w:val="21"/>
                      <w:szCs w:val="21"/>
                      <w:vertAlign w:val="baseline"/>
                      <w:lang w:val="en-US" w:eastAsia="zh-CN" w:bidi="ar"/>
                    </w:rPr>
                    <w:t>图3-1本项目生态现状图</w:t>
                  </w:r>
                </w:p>
              </w:tc>
            </w:tr>
          </w:tbl>
          <w:p w14:paraId="33E33C0D">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eastAsia="zh-CN" w:bidi="ar"/>
              </w:rPr>
            </w:pPr>
            <w:r>
              <w:rPr>
                <w:rFonts w:hint="default" w:ascii="Times New Roman" w:hAnsi="Times New Roman" w:eastAsia="宋体" w:cs="Times New Roman"/>
                <w:color w:val="auto"/>
                <w:sz w:val="24"/>
                <w:szCs w:val="24"/>
                <w:lang w:eastAsia="zh-CN" w:bidi="ar"/>
              </w:rPr>
              <w:t>①土地利用类型</w:t>
            </w:r>
          </w:p>
          <w:p w14:paraId="4E37433C">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eastAsia="zh-CN" w:bidi="ar"/>
              </w:rPr>
            </w:pPr>
            <w:r>
              <w:rPr>
                <w:rFonts w:hint="default" w:ascii="Times New Roman" w:hAnsi="Times New Roman" w:eastAsia="宋体" w:cs="Times New Roman"/>
                <w:color w:val="auto"/>
                <w:sz w:val="24"/>
                <w:szCs w:val="24"/>
                <w:lang w:eastAsia="zh-CN" w:bidi="ar"/>
              </w:rPr>
              <w:t>本次土地利用现状依据《国土空间调查、规划、用途管制用地用海分类指南（试行）》（自然资办发〔2023〕134号）要求，在“国土变更调查数据”的基础上，通过3S技术和现场调查综合得出结果见下表。</w:t>
            </w:r>
            <w:r>
              <w:rPr>
                <w:rFonts w:hint="default" w:ascii="Times New Roman" w:hAnsi="Times New Roman" w:eastAsia="宋体" w:cs="Times New Roman"/>
                <w:color w:val="auto"/>
                <w:sz w:val="24"/>
                <w:szCs w:val="24"/>
                <w:lang w:val="en-US" w:eastAsia="zh-CN" w:bidi="ar"/>
              </w:rPr>
              <w:t>本项目</w:t>
            </w:r>
            <w:r>
              <w:rPr>
                <w:rFonts w:hint="default" w:ascii="Times New Roman" w:hAnsi="Times New Roman" w:eastAsia="宋体" w:cs="Times New Roman"/>
                <w:color w:val="auto"/>
                <w:sz w:val="24"/>
                <w:szCs w:val="24"/>
                <w:lang w:eastAsia="zh-CN" w:bidi="ar"/>
              </w:rPr>
              <w:t>评价区土地利用现状</w:t>
            </w:r>
            <w:r>
              <w:rPr>
                <w:rFonts w:hint="default" w:ascii="Times New Roman" w:hAnsi="Times New Roman" w:cs="Times New Roman"/>
                <w:color w:val="auto"/>
                <w:sz w:val="24"/>
                <w:szCs w:val="24"/>
                <w:lang w:val="en-US" w:eastAsia="zh-CN" w:bidi="ar"/>
              </w:rPr>
              <w:t>类型</w:t>
            </w:r>
            <w:r>
              <w:rPr>
                <w:rFonts w:hint="default" w:ascii="Times New Roman" w:hAnsi="Times New Roman" w:eastAsia="宋体" w:cs="Times New Roman"/>
                <w:color w:val="auto"/>
                <w:sz w:val="24"/>
                <w:szCs w:val="24"/>
                <w:lang w:eastAsia="zh-CN" w:bidi="ar"/>
              </w:rPr>
              <w:t>见附图</w:t>
            </w:r>
            <w:r>
              <w:rPr>
                <w:rFonts w:hint="eastAsia" w:cs="Times New Roman"/>
                <w:color w:val="auto"/>
                <w:sz w:val="24"/>
                <w:szCs w:val="24"/>
                <w:lang w:val="en-US" w:eastAsia="zh-CN" w:bidi="ar"/>
              </w:rPr>
              <w:t>9</w:t>
            </w:r>
            <w:r>
              <w:rPr>
                <w:rFonts w:hint="default" w:ascii="Times New Roman" w:hAnsi="Times New Roman" w:eastAsia="宋体" w:cs="Times New Roman"/>
                <w:color w:val="auto"/>
                <w:sz w:val="24"/>
                <w:szCs w:val="24"/>
                <w:lang w:eastAsia="zh-CN" w:bidi="ar"/>
              </w:rPr>
              <w:t>。</w:t>
            </w:r>
          </w:p>
          <w:p w14:paraId="1C954587">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b/>
                <w:bCs/>
                <w:color w:val="auto"/>
                <w:lang w:eastAsia="zh-CN"/>
              </w:rPr>
            </w:pPr>
            <w:r>
              <w:rPr>
                <w:rFonts w:hint="default" w:ascii="Times New Roman" w:hAnsi="Times New Roman" w:eastAsia="宋体" w:cs="Times New Roman"/>
                <w:b/>
                <w:bCs/>
                <w:color w:val="auto"/>
                <w:lang w:eastAsia="zh-CN"/>
              </w:rPr>
              <w:t>表3-</w:t>
            </w:r>
            <w:r>
              <w:rPr>
                <w:rFonts w:hint="default" w:ascii="Times New Roman" w:hAnsi="Times New Roman" w:eastAsia="宋体" w:cs="Times New Roman"/>
                <w:b/>
                <w:bCs/>
                <w:color w:val="auto"/>
                <w:lang w:val="en-US" w:eastAsia="zh-CN"/>
              </w:rPr>
              <w:t>1本</w:t>
            </w:r>
            <w:r>
              <w:rPr>
                <w:rFonts w:hint="default" w:ascii="Times New Roman" w:hAnsi="Times New Roman" w:eastAsia="宋体" w:cs="Times New Roman"/>
                <w:b/>
                <w:bCs/>
                <w:color w:val="auto"/>
                <w:lang w:eastAsia="zh-CN"/>
              </w:rPr>
              <w:t>项目</w:t>
            </w:r>
            <w:r>
              <w:rPr>
                <w:rFonts w:hint="default" w:ascii="Times New Roman" w:hAnsi="Times New Roman" w:eastAsia="宋体" w:cs="Times New Roman"/>
                <w:b/>
                <w:bCs/>
                <w:color w:val="auto"/>
                <w:lang w:val="en-US" w:eastAsia="zh-CN"/>
              </w:rPr>
              <w:t>评价</w:t>
            </w:r>
            <w:r>
              <w:rPr>
                <w:rFonts w:hint="default" w:ascii="Times New Roman" w:hAnsi="Times New Roman" w:eastAsia="宋体" w:cs="Times New Roman"/>
                <w:b/>
                <w:bCs/>
                <w:color w:val="auto"/>
                <w:lang w:eastAsia="zh-CN"/>
              </w:rPr>
              <w:t>区各类土地面积表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83"/>
              <w:gridCol w:w="2511"/>
              <w:gridCol w:w="2236"/>
              <w:gridCol w:w="2236"/>
            </w:tblGrid>
            <w:tr w14:paraId="3693F6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72" w:type="pct"/>
                  <w:noWrap w:val="0"/>
                  <w:vAlign w:val="center"/>
                </w:tcPr>
                <w:p w14:paraId="183ED35C">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bCs/>
                      <w:color w:val="auto"/>
                      <w:lang w:eastAsia="zh-CN" w:bidi="ar"/>
                    </w:rPr>
                  </w:pPr>
                  <w:r>
                    <w:rPr>
                      <w:rFonts w:hint="default" w:ascii="Times New Roman" w:hAnsi="Times New Roman" w:eastAsia="宋体" w:cs="Times New Roman"/>
                      <w:b/>
                      <w:bCs/>
                      <w:color w:val="auto"/>
                      <w:lang w:eastAsia="zh-CN" w:bidi="ar"/>
                    </w:rPr>
                    <w:t>土地利用一级类型</w:t>
                  </w:r>
                </w:p>
              </w:tc>
              <w:tc>
                <w:tcPr>
                  <w:tcW w:w="1340" w:type="pct"/>
                  <w:noWrap w:val="0"/>
                  <w:vAlign w:val="center"/>
                </w:tcPr>
                <w:p w14:paraId="6A1B5B44">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bCs/>
                      <w:color w:val="auto"/>
                      <w:lang w:eastAsia="zh-CN" w:bidi="ar"/>
                    </w:rPr>
                  </w:pPr>
                  <w:r>
                    <w:rPr>
                      <w:rFonts w:hint="default" w:ascii="Times New Roman" w:hAnsi="Times New Roman" w:eastAsia="宋体" w:cs="Times New Roman"/>
                      <w:b/>
                      <w:bCs/>
                      <w:color w:val="auto"/>
                      <w:lang w:eastAsia="zh-CN" w:bidi="ar"/>
                    </w:rPr>
                    <w:t>土地利用二级类型</w:t>
                  </w:r>
                </w:p>
              </w:tc>
              <w:tc>
                <w:tcPr>
                  <w:tcW w:w="1193" w:type="pct"/>
                  <w:noWrap w:val="0"/>
                  <w:vAlign w:val="center"/>
                </w:tcPr>
                <w:p w14:paraId="5D5DB688">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bCs/>
                      <w:color w:val="auto"/>
                      <w:lang w:eastAsia="zh-CN" w:bidi="ar"/>
                    </w:rPr>
                  </w:pPr>
                  <w:r>
                    <w:rPr>
                      <w:rFonts w:hint="default" w:ascii="Times New Roman" w:hAnsi="Times New Roman" w:eastAsia="宋体" w:cs="Times New Roman"/>
                      <w:b/>
                      <w:bCs/>
                      <w:color w:val="auto"/>
                      <w:lang w:eastAsia="zh-CN" w:bidi="ar"/>
                    </w:rPr>
                    <w:t>面积（hm</w:t>
                  </w:r>
                  <w:r>
                    <w:rPr>
                      <w:rFonts w:hint="default" w:ascii="Times New Roman" w:hAnsi="Times New Roman" w:eastAsia="宋体" w:cs="Times New Roman"/>
                      <w:b/>
                      <w:bCs/>
                      <w:color w:val="auto"/>
                      <w:vertAlign w:val="superscript"/>
                      <w:lang w:eastAsia="zh-CN" w:bidi="ar"/>
                    </w:rPr>
                    <w:t>2</w:t>
                  </w:r>
                  <w:r>
                    <w:rPr>
                      <w:rFonts w:hint="default" w:ascii="Times New Roman" w:hAnsi="Times New Roman" w:eastAsia="宋体" w:cs="Times New Roman"/>
                      <w:b/>
                      <w:bCs/>
                      <w:color w:val="auto"/>
                      <w:lang w:eastAsia="zh-CN" w:bidi="ar"/>
                    </w:rPr>
                    <w:t>）</w:t>
                  </w:r>
                </w:p>
              </w:tc>
              <w:tc>
                <w:tcPr>
                  <w:tcW w:w="1193" w:type="pct"/>
                  <w:noWrap w:val="0"/>
                  <w:vAlign w:val="center"/>
                </w:tcPr>
                <w:p w14:paraId="4691B79C">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bCs/>
                      <w:color w:val="auto"/>
                      <w:lang w:eastAsia="zh-CN" w:bidi="ar"/>
                    </w:rPr>
                  </w:pPr>
                  <w:r>
                    <w:rPr>
                      <w:rFonts w:hint="default" w:ascii="Times New Roman" w:hAnsi="Times New Roman" w:eastAsia="宋体" w:cs="Times New Roman"/>
                      <w:b/>
                      <w:bCs/>
                      <w:color w:val="auto"/>
                      <w:lang w:val="en-US" w:eastAsia="zh-CN" w:bidi="ar"/>
                    </w:rPr>
                    <w:t>百分比</w:t>
                  </w:r>
                  <w:r>
                    <w:rPr>
                      <w:rFonts w:hint="default" w:ascii="Times New Roman" w:hAnsi="Times New Roman" w:eastAsia="宋体" w:cs="Times New Roman"/>
                      <w:b/>
                      <w:bCs/>
                      <w:color w:val="auto"/>
                      <w:lang w:eastAsia="zh-CN" w:bidi="ar"/>
                    </w:rPr>
                    <w:t>（%）</w:t>
                  </w:r>
                </w:p>
              </w:tc>
            </w:tr>
            <w:tr w14:paraId="36507F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jc w:val="center"/>
              </w:trPr>
              <w:tc>
                <w:tcPr>
                  <w:tcW w:w="1272" w:type="pct"/>
                  <w:noWrap w:val="0"/>
                  <w:vAlign w:val="center"/>
                </w:tcPr>
                <w:p w14:paraId="1D1087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snapToGrid w:val="0"/>
                      <w:color w:val="auto"/>
                      <w:kern w:val="0"/>
                      <w:sz w:val="22"/>
                      <w:szCs w:val="22"/>
                      <w:u w:val="none"/>
                      <w:lang w:val="en-US" w:eastAsia="zh-CN" w:bidi="ar"/>
                    </w:rPr>
                  </w:pPr>
                  <w:r>
                    <w:rPr>
                      <w:rFonts w:hint="default" w:ascii="Times New Roman" w:hAnsi="Times New Roman" w:eastAsia="宋体" w:cs="Times New Roman"/>
                      <w:i w:val="0"/>
                      <w:iCs w:val="0"/>
                      <w:snapToGrid w:val="0"/>
                      <w:color w:val="auto"/>
                      <w:kern w:val="0"/>
                      <w:sz w:val="22"/>
                      <w:szCs w:val="22"/>
                      <w:u w:val="none"/>
                      <w:lang w:val="en-US" w:eastAsia="zh-CN" w:bidi="ar"/>
                    </w:rPr>
                    <w:t>其他土地</w:t>
                  </w:r>
                </w:p>
              </w:tc>
              <w:tc>
                <w:tcPr>
                  <w:tcW w:w="1340" w:type="pct"/>
                  <w:noWrap w:val="0"/>
                  <w:vAlign w:val="center"/>
                </w:tcPr>
                <w:p w14:paraId="701DE9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snapToGrid w:val="0"/>
                      <w:color w:val="auto"/>
                      <w:kern w:val="0"/>
                      <w:sz w:val="22"/>
                      <w:szCs w:val="22"/>
                      <w:u w:val="none"/>
                      <w:lang w:val="en-US" w:eastAsia="zh-CN" w:bidi="ar"/>
                    </w:rPr>
                  </w:pPr>
                  <w:r>
                    <w:rPr>
                      <w:rFonts w:hint="default" w:ascii="Times New Roman" w:hAnsi="Times New Roman" w:eastAsia="宋体" w:cs="Times New Roman"/>
                      <w:i w:val="0"/>
                      <w:iCs w:val="0"/>
                      <w:snapToGrid w:val="0"/>
                      <w:color w:val="auto"/>
                      <w:kern w:val="0"/>
                      <w:sz w:val="22"/>
                      <w:szCs w:val="22"/>
                      <w:u w:val="none"/>
                      <w:lang w:val="en-US" w:eastAsia="zh-CN" w:bidi="ar"/>
                    </w:rPr>
                    <w:t>裸岩石砾地</w:t>
                  </w:r>
                </w:p>
              </w:tc>
              <w:tc>
                <w:tcPr>
                  <w:tcW w:w="1193" w:type="pct"/>
                  <w:noWrap w:val="0"/>
                  <w:vAlign w:val="center"/>
                </w:tcPr>
                <w:p w14:paraId="62008D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bidi="ar"/>
                    </w:rPr>
                  </w:pPr>
                  <w:r>
                    <w:rPr>
                      <w:rFonts w:hint="default" w:ascii="Times New Roman" w:hAnsi="Times New Roman" w:cs="Times New Roman"/>
                      <w:i w:val="0"/>
                      <w:iCs w:val="0"/>
                      <w:snapToGrid w:val="0"/>
                      <w:color w:val="auto"/>
                      <w:kern w:val="0"/>
                      <w:sz w:val="21"/>
                      <w:szCs w:val="21"/>
                      <w:u w:val="none"/>
                      <w:lang w:val="en-US" w:eastAsia="zh-CN" w:bidi="ar"/>
                    </w:rPr>
                    <w:t>1.251</w:t>
                  </w:r>
                </w:p>
              </w:tc>
              <w:tc>
                <w:tcPr>
                  <w:tcW w:w="1193" w:type="pct"/>
                  <w:noWrap w:val="0"/>
                  <w:vAlign w:val="center"/>
                </w:tcPr>
                <w:p w14:paraId="702AE233">
                  <w:pPr>
                    <w:keepNext w:val="0"/>
                    <w:keepLines w:val="0"/>
                    <w:suppressLineNumbers w:val="0"/>
                    <w:shd w:val="clear" w:color="auto" w:fill="auto"/>
                    <w:spacing w:before="0" w:beforeAutospacing="0" w:after="0" w:afterAutospacing="0"/>
                    <w:ind w:left="0" w:right="0"/>
                    <w:jc w:val="center"/>
                    <w:textAlignment w:val="center"/>
                    <w:rPr>
                      <w:rFonts w:hint="default" w:ascii="Times New Roman" w:hAnsi="Times New Roman" w:eastAsia="宋体" w:cs="Times New Roman"/>
                      <w:color w:val="auto"/>
                      <w:lang w:val="en-US" w:eastAsia="zh-CN" w:bidi="ar"/>
                    </w:rPr>
                  </w:pPr>
                  <w:r>
                    <w:rPr>
                      <w:rFonts w:hint="default" w:ascii="Times New Roman" w:hAnsi="Times New Roman" w:cs="Times New Roman"/>
                      <w:color w:val="auto"/>
                      <w:lang w:val="en-US" w:eastAsia="zh-CN" w:bidi="ar"/>
                    </w:rPr>
                    <w:t>100</w:t>
                  </w:r>
                </w:p>
              </w:tc>
            </w:tr>
          </w:tbl>
          <w:p w14:paraId="72B5A114">
            <w:pPr>
              <w:keepNext w:val="0"/>
              <w:keepLines w:val="0"/>
              <w:suppressLineNumbers w:val="0"/>
              <w:shd w:val="clear" w:color="auto" w:fill="auto"/>
              <w:kinsoku/>
              <w:overflowPunct w:val="0"/>
              <w:spacing w:before="0" w:beforeAutospacing="0" w:after="0" w:afterAutospacing="0" w:line="360" w:lineRule="auto"/>
              <w:ind w:left="0" w:right="0" w:firstLine="484" w:firstLineChars="200"/>
              <w:jc w:val="both"/>
              <w:rPr>
                <w:rFonts w:hint="default" w:ascii="Times New Roman" w:hAnsi="Times New Roman" w:eastAsia="宋体" w:cs="Times New Roman"/>
                <w:color w:val="auto"/>
                <w:sz w:val="24"/>
                <w:szCs w:val="24"/>
                <w:lang w:eastAsia="zh-CN" w:bidi="ar"/>
              </w:rPr>
            </w:pPr>
            <w:r>
              <w:rPr>
                <w:rFonts w:hint="default" w:ascii="Times New Roman" w:hAnsi="Times New Roman" w:cs="Times New Roman"/>
                <w:color w:val="auto"/>
                <w:spacing w:val="1"/>
                <w:sz w:val="24"/>
                <w:szCs w:val="24"/>
                <w:lang w:eastAsia="zh-CN"/>
              </w:rPr>
              <w:t>综上，</w:t>
            </w:r>
            <w:r>
              <w:rPr>
                <w:rFonts w:hint="default" w:ascii="Times New Roman" w:hAnsi="Times New Roman" w:eastAsia="宋体" w:cs="Times New Roman"/>
                <w:color w:val="auto"/>
                <w:spacing w:val="1"/>
                <w:sz w:val="24"/>
                <w:szCs w:val="24"/>
                <w:lang w:eastAsia="zh-CN"/>
              </w:rPr>
              <w:t>本项目位于阿拉善盟额济纳旗境内，整体地势西南高、东北低，呈扇状展开，四周偏高、中部低平的格局，为干旱荒漠。评价范围内土地利用类型</w:t>
            </w:r>
            <w:r>
              <w:rPr>
                <w:rFonts w:hint="default" w:ascii="Times New Roman" w:hAnsi="Times New Roman" w:cs="Times New Roman"/>
                <w:color w:val="auto"/>
                <w:spacing w:val="1"/>
                <w:sz w:val="24"/>
                <w:szCs w:val="24"/>
                <w:lang w:val="en-US" w:eastAsia="zh-CN"/>
              </w:rPr>
              <w:t>全部为</w:t>
            </w:r>
            <w:r>
              <w:rPr>
                <w:rFonts w:hint="default" w:ascii="Times New Roman" w:hAnsi="Times New Roman" w:eastAsia="宋体" w:cs="Times New Roman"/>
                <w:color w:val="auto"/>
                <w:spacing w:val="1"/>
                <w:sz w:val="24"/>
                <w:szCs w:val="24"/>
                <w:lang w:val="en-US" w:eastAsia="zh-CN"/>
              </w:rPr>
              <w:t>裸岩石砾</w:t>
            </w:r>
            <w:r>
              <w:rPr>
                <w:rFonts w:hint="default" w:ascii="Times New Roman" w:hAnsi="Times New Roman" w:eastAsia="宋体" w:cs="Times New Roman"/>
                <w:color w:val="auto"/>
                <w:spacing w:val="1"/>
                <w:sz w:val="24"/>
                <w:szCs w:val="24"/>
                <w:lang w:eastAsia="zh-CN"/>
              </w:rPr>
              <w:t>地</w:t>
            </w:r>
            <w:r>
              <w:rPr>
                <w:rFonts w:hint="default" w:ascii="Times New Roman" w:hAnsi="Times New Roman" w:cs="Times New Roman"/>
                <w:color w:val="auto"/>
                <w:spacing w:val="1"/>
                <w:sz w:val="24"/>
                <w:szCs w:val="24"/>
                <w:lang w:eastAsia="zh-CN"/>
              </w:rPr>
              <w:t>为主，占评价区面积的</w:t>
            </w:r>
            <w:r>
              <w:rPr>
                <w:rFonts w:hint="default" w:ascii="Times New Roman" w:hAnsi="Times New Roman" w:cs="Times New Roman"/>
                <w:color w:val="auto"/>
                <w:spacing w:val="1"/>
                <w:sz w:val="24"/>
                <w:szCs w:val="24"/>
                <w:lang w:val="en-US" w:eastAsia="zh-CN"/>
              </w:rPr>
              <w:t>100</w:t>
            </w:r>
            <w:r>
              <w:rPr>
                <w:rFonts w:hint="default"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lang w:eastAsia="zh-CN"/>
              </w:rPr>
              <w:t>。</w:t>
            </w:r>
          </w:p>
          <w:p w14:paraId="082A8C12">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eastAsia="zh-CN" w:bidi="ar"/>
              </w:rPr>
            </w:pPr>
            <w:r>
              <w:rPr>
                <w:rFonts w:hint="default" w:ascii="Times New Roman" w:hAnsi="Times New Roman" w:eastAsia="宋体" w:cs="Times New Roman"/>
                <w:color w:val="auto"/>
                <w:sz w:val="24"/>
                <w:szCs w:val="24"/>
                <w:lang w:eastAsia="zh-CN" w:bidi="ar"/>
              </w:rPr>
              <w:t>②植被生态类型</w:t>
            </w:r>
          </w:p>
          <w:p w14:paraId="62BD904F">
            <w:pPr>
              <w:pStyle w:val="29"/>
              <w:keepNext w:val="0"/>
              <w:keepLines w:val="0"/>
              <w:suppressLineNumbers w:val="0"/>
              <w:spacing w:before="0" w:beforeAutospacing="0" w:after="0" w:afterAutospacing="0" w:line="360" w:lineRule="auto"/>
              <w:ind w:left="0" w:leftChars="0" w:right="0" w:firstLine="480"/>
              <w:rPr>
                <w:rFonts w:hint="eastAsia" w:ascii="Times New Roman" w:hAnsi="Times New Roman" w:cs="Times New Roman"/>
                <w:color w:val="auto"/>
                <w:kern w:val="0"/>
                <w:sz w:val="24"/>
              </w:rPr>
            </w:pPr>
            <w:r>
              <w:rPr>
                <w:rFonts w:hint="eastAsia" w:ascii="Times New Roman" w:hAnsi="Times New Roman" w:cs="Times New Roman"/>
                <w:color w:val="auto"/>
                <w:kern w:val="0"/>
                <w:sz w:val="24"/>
              </w:rPr>
              <w:t>根据现场实地勘察可知，评价区植被类型主要为红砂群落，占评价区面积的100%。</w:t>
            </w:r>
          </w:p>
          <w:p w14:paraId="49A6FCCE">
            <w:pPr>
              <w:pStyle w:val="29"/>
              <w:keepNext w:val="0"/>
              <w:keepLines w:val="0"/>
              <w:suppressLineNumbers w:val="0"/>
              <w:spacing w:before="0" w:beforeAutospacing="0" w:after="0" w:afterAutospacing="0" w:line="360" w:lineRule="auto"/>
              <w:ind w:left="0" w:leftChars="0" w:right="0" w:firstLine="0" w:firstLineChars="0"/>
              <w:jc w:val="center"/>
              <w:rPr>
                <w:rFonts w:hint="eastAsia" w:ascii="Times New Roman" w:hAnsi="Times New Roman" w:eastAsia="宋体" w:cs="Times New Roman"/>
                <w:b/>
                <w:kern w:val="2"/>
                <w:sz w:val="24"/>
                <w:szCs w:val="24"/>
                <w:highlight w:val="none"/>
                <w:lang w:val="en-US" w:eastAsia="zh-CN" w:bidi="ar-SA"/>
              </w:rPr>
            </w:pPr>
            <w:r>
              <w:rPr>
                <w:rFonts w:hint="eastAsia" w:ascii="Times New Roman" w:hAnsi="Times New Roman" w:eastAsia="宋体" w:cs="Times New Roman"/>
                <w:b/>
                <w:kern w:val="2"/>
                <w:sz w:val="24"/>
                <w:szCs w:val="24"/>
                <w:highlight w:val="none"/>
                <w:lang w:val="en-US" w:eastAsia="zh-CN" w:bidi="ar-SA"/>
              </w:rPr>
              <w:t>表3-2评价区植被类型统计表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8"/>
              <w:gridCol w:w="2338"/>
              <w:gridCol w:w="2340"/>
              <w:gridCol w:w="2340"/>
            </w:tblGrid>
            <w:tr w14:paraId="7547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top"/>
                </w:tcPr>
                <w:p w14:paraId="656296C1">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bCs/>
                      <w:color w:val="auto"/>
                      <w:lang w:val="en-US" w:eastAsia="zh-CN" w:bidi="ar"/>
                    </w:rPr>
                  </w:pPr>
                  <w:r>
                    <w:rPr>
                      <w:rFonts w:hint="eastAsia" w:ascii="Times New Roman" w:hAnsi="Times New Roman" w:eastAsia="宋体" w:cs="Times New Roman"/>
                      <w:b/>
                      <w:bCs/>
                      <w:color w:val="auto"/>
                      <w:lang w:val="en-US" w:eastAsia="zh-CN" w:bidi="ar"/>
                    </w:rPr>
                    <w:t>植被类型</w:t>
                  </w:r>
                </w:p>
              </w:tc>
              <w:tc>
                <w:tcPr>
                  <w:tcW w:w="1249" w:type="pct"/>
                  <w:noWrap w:val="0"/>
                  <w:vAlign w:val="top"/>
                </w:tcPr>
                <w:p w14:paraId="0F21AFC3">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bCs/>
                      <w:color w:val="auto"/>
                      <w:lang w:val="en-US" w:eastAsia="zh-CN" w:bidi="ar"/>
                    </w:rPr>
                  </w:pPr>
                  <w:r>
                    <w:rPr>
                      <w:rFonts w:hint="eastAsia" w:ascii="Times New Roman" w:hAnsi="Times New Roman" w:eastAsia="宋体" w:cs="Times New Roman"/>
                      <w:b/>
                      <w:bCs/>
                      <w:color w:val="auto"/>
                      <w:lang w:val="en-US" w:eastAsia="zh-CN" w:bidi="ar"/>
                    </w:rPr>
                    <w:t>斑块数</w:t>
                  </w:r>
                </w:p>
              </w:tc>
              <w:tc>
                <w:tcPr>
                  <w:tcW w:w="1250" w:type="pct"/>
                  <w:noWrap w:val="0"/>
                  <w:vAlign w:val="top"/>
                </w:tcPr>
                <w:p w14:paraId="7723BCF0">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bCs/>
                      <w:color w:val="auto"/>
                      <w:vertAlign w:val="baseline"/>
                      <w:lang w:val="en-US" w:eastAsia="zh-CN" w:bidi="ar"/>
                    </w:rPr>
                  </w:pPr>
                  <w:r>
                    <w:rPr>
                      <w:rFonts w:hint="eastAsia" w:ascii="Times New Roman" w:hAnsi="Times New Roman" w:eastAsia="宋体" w:cs="Times New Roman"/>
                      <w:b/>
                      <w:bCs/>
                      <w:color w:val="auto"/>
                      <w:lang w:val="en-US" w:eastAsia="zh-CN" w:bidi="ar"/>
                    </w:rPr>
                    <w:t>面积（hm</w:t>
                  </w:r>
                  <w:r>
                    <w:rPr>
                      <w:rFonts w:hint="eastAsia" w:ascii="Times New Roman" w:hAnsi="Times New Roman" w:eastAsia="宋体" w:cs="Times New Roman"/>
                      <w:b/>
                      <w:bCs/>
                      <w:color w:val="auto"/>
                      <w:vertAlign w:val="superscript"/>
                      <w:lang w:val="en-US" w:eastAsia="zh-CN" w:bidi="ar"/>
                    </w:rPr>
                    <w:t>2</w:t>
                  </w:r>
                  <w:r>
                    <w:rPr>
                      <w:rFonts w:hint="eastAsia" w:ascii="Times New Roman" w:hAnsi="Times New Roman" w:eastAsia="宋体" w:cs="Times New Roman"/>
                      <w:b/>
                      <w:bCs/>
                      <w:color w:val="auto"/>
                      <w:vertAlign w:val="baseline"/>
                      <w:lang w:val="en-US" w:eastAsia="zh-CN" w:bidi="ar"/>
                    </w:rPr>
                    <w:t>）</w:t>
                  </w:r>
                </w:p>
              </w:tc>
              <w:tc>
                <w:tcPr>
                  <w:tcW w:w="1250" w:type="pct"/>
                  <w:noWrap w:val="0"/>
                  <w:vAlign w:val="top"/>
                </w:tcPr>
                <w:p w14:paraId="0FBCC6AC">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bCs/>
                      <w:color w:val="auto"/>
                      <w:lang w:val="en-US" w:eastAsia="zh-CN" w:bidi="ar"/>
                    </w:rPr>
                  </w:pPr>
                  <w:r>
                    <w:rPr>
                      <w:rFonts w:hint="eastAsia" w:ascii="Times New Roman" w:hAnsi="Times New Roman" w:eastAsia="宋体" w:cs="Times New Roman"/>
                      <w:b/>
                      <w:bCs/>
                      <w:color w:val="auto"/>
                      <w:lang w:val="en-US" w:eastAsia="zh-CN" w:bidi="ar"/>
                    </w:rPr>
                    <w:t>占评价区面积（%）</w:t>
                  </w:r>
                </w:p>
              </w:tc>
            </w:tr>
            <w:tr w14:paraId="1834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9" w:type="pct"/>
                  <w:noWrap w:val="0"/>
                  <w:vAlign w:val="top"/>
                </w:tcPr>
                <w:p w14:paraId="65A06131">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val="0"/>
                      <w:bCs w:val="0"/>
                      <w:color w:val="auto"/>
                      <w:lang w:val="en-US" w:eastAsia="zh-CN" w:bidi="ar"/>
                    </w:rPr>
                  </w:pPr>
                  <w:r>
                    <w:rPr>
                      <w:rFonts w:hint="eastAsia" w:ascii="Times New Roman" w:hAnsi="Times New Roman" w:eastAsia="宋体" w:cs="Times New Roman"/>
                      <w:b w:val="0"/>
                      <w:bCs w:val="0"/>
                      <w:color w:val="auto"/>
                      <w:lang w:val="en-US" w:eastAsia="zh-CN" w:bidi="ar"/>
                    </w:rPr>
                    <w:t>红砂群落</w:t>
                  </w:r>
                </w:p>
              </w:tc>
              <w:tc>
                <w:tcPr>
                  <w:tcW w:w="1249" w:type="pct"/>
                  <w:noWrap w:val="0"/>
                  <w:vAlign w:val="top"/>
                </w:tcPr>
                <w:p w14:paraId="71034CA0">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val="0"/>
                      <w:bCs w:val="0"/>
                      <w:color w:val="auto"/>
                      <w:lang w:val="en-US" w:eastAsia="zh-CN" w:bidi="ar"/>
                    </w:rPr>
                  </w:pPr>
                  <w:r>
                    <w:rPr>
                      <w:rFonts w:hint="eastAsia" w:ascii="Times New Roman" w:hAnsi="Times New Roman" w:eastAsia="宋体" w:cs="Times New Roman"/>
                      <w:b w:val="0"/>
                      <w:bCs w:val="0"/>
                      <w:color w:val="auto"/>
                      <w:lang w:val="en-US" w:eastAsia="zh-CN" w:bidi="ar"/>
                    </w:rPr>
                    <w:t>1</w:t>
                  </w:r>
                </w:p>
              </w:tc>
              <w:tc>
                <w:tcPr>
                  <w:tcW w:w="1250" w:type="pct"/>
                  <w:noWrap w:val="0"/>
                  <w:vAlign w:val="top"/>
                </w:tcPr>
                <w:p w14:paraId="11AE5622">
                  <w:pPr>
                    <w:keepNext w:val="0"/>
                    <w:keepLines w:val="0"/>
                    <w:suppressLineNumbers w:val="0"/>
                    <w:shd w:val="clear" w:color="auto" w:fill="auto"/>
                    <w:kinsoku/>
                    <w:overflowPunct w:val="0"/>
                    <w:spacing w:before="0" w:beforeAutospacing="0" w:after="0" w:afterAutospacing="0"/>
                    <w:ind w:left="0" w:right="0"/>
                    <w:jc w:val="center"/>
                    <w:textAlignment w:val="center"/>
                    <w:rPr>
                      <w:rFonts w:hint="eastAsia" w:ascii="Times New Roman" w:hAnsi="Times New Roman" w:eastAsia="宋体" w:cs="Times New Roman"/>
                      <w:b w:val="0"/>
                      <w:bCs w:val="0"/>
                      <w:color w:val="auto"/>
                      <w:lang w:val="en-US" w:eastAsia="zh-CN" w:bidi="ar"/>
                    </w:rPr>
                  </w:pPr>
                  <w:r>
                    <w:rPr>
                      <w:rFonts w:hint="eastAsia" w:ascii="Times New Roman" w:hAnsi="Times New Roman" w:eastAsia="宋体" w:cs="Times New Roman"/>
                      <w:b w:val="0"/>
                      <w:bCs w:val="0"/>
                      <w:color w:val="auto"/>
                      <w:lang w:val="en-US" w:eastAsia="zh-CN" w:bidi="ar"/>
                    </w:rPr>
                    <w:t>33.2637</w:t>
                  </w:r>
                </w:p>
              </w:tc>
              <w:tc>
                <w:tcPr>
                  <w:tcW w:w="1250" w:type="pct"/>
                  <w:noWrap w:val="0"/>
                  <w:vAlign w:val="top"/>
                </w:tcPr>
                <w:p w14:paraId="18023212">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val="0"/>
                      <w:bCs w:val="0"/>
                      <w:color w:val="auto"/>
                      <w:lang w:val="en-US" w:eastAsia="zh-CN" w:bidi="ar"/>
                    </w:rPr>
                  </w:pPr>
                  <w:r>
                    <w:rPr>
                      <w:rFonts w:hint="eastAsia" w:ascii="Times New Roman" w:hAnsi="Times New Roman" w:eastAsia="宋体" w:cs="Times New Roman"/>
                      <w:b w:val="0"/>
                      <w:bCs w:val="0"/>
                      <w:color w:val="auto"/>
                      <w:lang w:val="en-US" w:eastAsia="zh-CN" w:bidi="ar"/>
                    </w:rPr>
                    <w:t>100</w:t>
                  </w:r>
                </w:p>
              </w:tc>
            </w:tr>
          </w:tbl>
          <w:p w14:paraId="1148A2B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kern w:val="2"/>
                <w:sz w:val="24"/>
                <w:szCs w:val="24"/>
                <w:highlight w:val="none"/>
                <w:lang w:val="en-US" w:eastAsia="zh-CN" w:bidi="ar-SA"/>
              </w:rPr>
            </w:pPr>
            <w:r>
              <w:rPr>
                <w:rFonts w:hint="eastAsia" w:ascii="Times New Roman" w:hAnsi="Times New Roman" w:eastAsia="宋体" w:cs="Times New Roman"/>
                <w:b/>
                <w:kern w:val="2"/>
                <w:sz w:val="24"/>
                <w:szCs w:val="24"/>
                <w:highlight w:val="none"/>
                <w:lang w:val="en-US" w:eastAsia="zh-CN" w:bidi="ar-SA"/>
              </w:rPr>
              <w:t>表</w:t>
            </w:r>
            <w:r>
              <w:rPr>
                <w:rFonts w:hint="default" w:ascii="Times New Roman" w:hAnsi="Times New Roman" w:eastAsia="宋体" w:cs="Times New Roman"/>
                <w:b/>
                <w:kern w:val="2"/>
                <w:sz w:val="24"/>
                <w:szCs w:val="24"/>
                <w:highlight w:val="none"/>
                <w:lang w:val="en-US" w:eastAsia="zh-CN" w:bidi="ar-SA"/>
              </w:rPr>
              <w:t>3-</w:t>
            </w:r>
            <w:r>
              <w:rPr>
                <w:rFonts w:hint="eastAsia" w:ascii="Times New Roman" w:hAnsi="Times New Roman" w:eastAsia="宋体" w:cs="Times New Roman"/>
                <w:b/>
                <w:kern w:val="2"/>
                <w:sz w:val="24"/>
                <w:szCs w:val="24"/>
                <w:highlight w:val="none"/>
                <w:lang w:val="en-US" w:eastAsia="zh-CN" w:bidi="ar-SA"/>
              </w:rPr>
              <w:t>3</w:t>
            </w:r>
            <w:r>
              <w:rPr>
                <w:rFonts w:hint="default" w:ascii="Times New Roman" w:hAnsi="Times New Roman" w:eastAsia="宋体" w:cs="Times New Roman"/>
                <w:b/>
                <w:kern w:val="2"/>
                <w:sz w:val="24"/>
                <w:szCs w:val="24"/>
                <w:highlight w:val="none"/>
                <w:lang w:val="en-US" w:eastAsia="zh-CN" w:bidi="ar-SA"/>
              </w:rPr>
              <w:t xml:space="preserve"> </w:t>
            </w:r>
            <w:r>
              <w:rPr>
                <w:rFonts w:hint="eastAsia" w:ascii="Times New Roman" w:hAnsi="Times New Roman" w:eastAsia="宋体" w:cs="Times New Roman"/>
                <w:b/>
                <w:kern w:val="2"/>
                <w:sz w:val="24"/>
                <w:szCs w:val="24"/>
                <w:highlight w:val="none"/>
                <w:lang w:val="en-US" w:eastAsia="zh-CN" w:bidi="ar-SA"/>
              </w:rPr>
              <w:t>项目区域常见植被名录</w:t>
            </w:r>
          </w:p>
          <w:tbl>
            <w:tblPr>
              <w:tblStyle w:val="3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0"/>
              <w:gridCol w:w="2930"/>
              <w:gridCol w:w="3498"/>
            </w:tblGrid>
            <w:tr w14:paraId="7A78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5" w:type="pct"/>
                  <w:noWrap w:val="0"/>
                  <w:vAlign w:val="top"/>
                </w:tcPr>
                <w:p w14:paraId="1A214170">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bCs/>
                      <w:color w:val="auto"/>
                      <w:lang w:val="en-US" w:eastAsia="zh-CN" w:bidi="ar"/>
                    </w:rPr>
                  </w:pPr>
                  <w:r>
                    <w:rPr>
                      <w:rFonts w:hint="eastAsia" w:ascii="Times New Roman" w:hAnsi="Times New Roman" w:eastAsia="宋体" w:cs="Times New Roman"/>
                      <w:b/>
                      <w:bCs/>
                      <w:color w:val="auto"/>
                      <w:lang w:val="en-US" w:eastAsia="zh-CN" w:bidi="ar"/>
                    </w:rPr>
                    <w:t>序号</w:t>
                  </w:r>
                </w:p>
              </w:tc>
              <w:tc>
                <w:tcPr>
                  <w:tcW w:w="1565" w:type="pct"/>
                  <w:noWrap w:val="0"/>
                  <w:vAlign w:val="top"/>
                </w:tcPr>
                <w:p w14:paraId="43BB5735">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bCs/>
                      <w:color w:val="auto"/>
                      <w:lang w:val="en-US" w:eastAsia="zh-CN" w:bidi="ar"/>
                    </w:rPr>
                  </w:pPr>
                  <w:r>
                    <w:rPr>
                      <w:rFonts w:hint="eastAsia" w:ascii="Times New Roman" w:hAnsi="Times New Roman" w:eastAsia="宋体" w:cs="Times New Roman"/>
                      <w:b/>
                      <w:bCs/>
                      <w:color w:val="auto"/>
                      <w:lang w:val="en-US" w:eastAsia="zh-CN" w:bidi="ar"/>
                    </w:rPr>
                    <w:t>中文学名</w:t>
                  </w:r>
                </w:p>
              </w:tc>
              <w:tc>
                <w:tcPr>
                  <w:tcW w:w="1868" w:type="pct"/>
                  <w:noWrap w:val="0"/>
                  <w:vAlign w:val="top"/>
                </w:tcPr>
                <w:p w14:paraId="771659A7">
                  <w:pPr>
                    <w:keepNext w:val="0"/>
                    <w:keepLines w:val="0"/>
                    <w:suppressLineNumbers w:val="0"/>
                    <w:shd w:val="clear" w:color="auto" w:fill="auto"/>
                    <w:kinsoku/>
                    <w:overflowPunct w:val="0"/>
                    <w:spacing w:before="0" w:beforeAutospacing="0" w:after="0" w:afterAutospacing="0"/>
                    <w:ind w:left="0" w:right="0"/>
                    <w:jc w:val="center"/>
                    <w:textAlignment w:val="center"/>
                    <w:rPr>
                      <w:rFonts w:hint="eastAsia" w:ascii="Times New Roman" w:hAnsi="Times New Roman" w:eastAsia="宋体" w:cs="Times New Roman"/>
                      <w:b/>
                      <w:bCs/>
                      <w:color w:val="auto"/>
                      <w:lang w:val="en-US" w:eastAsia="zh-CN" w:bidi="ar"/>
                    </w:rPr>
                  </w:pPr>
                  <w:r>
                    <w:rPr>
                      <w:rFonts w:hint="eastAsia" w:ascii="Times New Roman" w:hAnsi="Times New Roman" w:eastAsia="宋体" w:cs="Times New Roman"/>
                      <w:b/>
                      <w:bCs/>
                      <w:color w:val="auto"/>
                      <w:lang w:val="en-US" w:eastAsia="zh-CN" w:bidi="ar"/>
                    </w:rPr>
                    <w:t>拉丁名</w:t>
                  </w:r>
                </w:p>
              </w:tc>
            </w:tr>
            <w:tr w14:paraId="2606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5" w:type="pct"/>
                  <w:noWrap w:val="0"/>
                  <w:vAlign w:val="top"/>
                </w:tcPr>
                <w:p w14:paraId="7E9070BE">
                  <w:pPr>
                    <w:keepNext w:val="0"/>
                    <w:keepLines w:val="0"/>
                    <w:suppressLineNumbers w:val="0"/>
                    <w:shd w:val="clear" w:color="auto" w:fill="auto"/>
                    <w:kinsoku/>
                    <w:overflowPunct w:val="0"/>
                    <w:spacing w:before="0" w:beforeAutospacing="0" w:after="0" w:afterAutospacing="0"/>
                    <w:ind w:left="0" w:right="0"/>
                    <w:jc w:val="center"/>
                    <w:textAlignment w:val="center"/>
                    <w:rPr>
                      <w:rFonts w:hint="eastAsia" w:ascii="Times New Roman" w:hAnsi="Times New Roman" w:eastAsia="宋体" w:cs="Times New Roman"/>
                      <w:b w:val="0"/>
                      <w:bCs w:val="0"/>
                      <w:color w:val="auto"/>
                      <w:lang w:val="en-US" w:eastAsia="zh-CN" w:bidi="ar"/>
                    </w:rPr>
                  </w:pPr>
                  <w:r>
                    <w:rPr>
                      <w:rFonts w:hint="eastAsia" w:ascii="Times New Roman" w:hAnsi="Times New Roman" w:eastAsia="宋体" w:cs="Times New Roman"/>
                      <w:b w:val="0"/>
                      <w:bCs w:val="0"/>
                      <w:color w:val="auto"/>
                      <w:lang w:val="en-US" w:eastAsia="zh-CN" w:bidi="ar"/>
                    </w:rPr>
                    <w:t>1</w:t>
                  </w:r>
                </w:p>
              </w:tc>
              <w:tc>
                <w:tcPr>
                  <w:tcW w:w="1565" w:type="pct"/>
                  <w:noWrap w:val="0"/>
                  <w:vAlign w:val="top"/>
                </w:tcPr>
                <w:p w14:paraId="534ECFA4">
                  <w:pPr>
                    <w:keepNext w:val="0"/>
                    <w:keepLines w:val="0"/>
                    <w:suppressLineNumbers w:val="0"/>
                    <w:shd w:val="clear" w:color="auto" w:fill="auto"/>
                    <w:kinsoku/>
                    <w:overflowPunct w:val="0"/>
                    <w:spacing w:before="0" w:beforeAutospacing="0" w:after="0" w:afterAutospacing="0"/>
                    <w:ind w:left="0" w:right="0"/>
                    <w:jc w:val="center"/>
                    <w:textAlignment w:val="center"/>
                    <w:rPr>
                      <w:rFonts w:hint="default" w:ascii="Times New Roman" w:hAnsi="Times New Roman" w:eastAsia="宋体" w:cs="Times New Roman"/>
                      <w:b w:val="0"/>
                      <w:bCs w:val="0"/>
                      <w:color w:val="auto"/>
                      <w:lang w:val="en-US" w:eastAsia="zh-CN" w:bidi="ar"/>
                    </w:rPr>
                  </w:pPr>
                  <w:r>
                    <w:rPr>
                      <w:rFonts w:hint="eastAsia" w:ascii="Times New Roman" w:hAnsi="Times New Roman" w:eastAsia="宋体" w:cs="Times New Roman"/>
                      <w:b w:val="0"/>
                      <w:bCs w:val="0"/>
                      <w:color w:val="auto"/>
                      <w:lang w:val="en-US" w:eastAsia="zh-CN" w:bidi="ar"/>
                    </w:rPr>
                    <w:t>红砂</w:t>
                  </w:r>
                </w:p>
              </w:tc>
              <w:tc>
                <w:tcPr>
                  <w:tcW w:w="1868" w:type="pct"/>
                  <w:noWrap w:val="0"/>
                  <w:vAlign w:val="top"/>
                </w:tcPr>
                <w:p w14:paraId="66D6CC86">
                  <w:pPr>
                    <w:keepNext w:val="0"/>
                    <w:keepLines w:val="0"/>
                    <w:suppressLineNumbers w:val="0"/>
                    <w:shd w:val="clear" w:color="auto" w:fill="auto"/>
                    <w:kinsoku/>
                    <w:overflowPunct w:val="0"/>
                    <w:spacing w:before="0" w:beforeAutospacing="0" w:after="0" w:afterAutospacing="0"/>
                    <w:ind w:left="0" w:right="0"/>
                    <w:jc w:val="center"/>
                    <w:textAlignment w:val="center"/>
                    <w:rPr>
                      <w:rFonts w:hint="eastAsia" w:ascii="Times New Roman" w:hAnsi="Times New Roman" w:eastAsia="宋体" w:cs="Times New Roman"/>
                      <w:b w:val="0"/>
                      <w:bCs w:val="0"/>
                      <w:color w:val="auto"/>
                      <w:lang w:val="en-US" w:eastAsia="zh-CN" w:bidi="ar"/>
                    </w:rPr>
                  </w:pPr>
                  <w:r>
                    <w:rPr>
                      <w:rFonts w:hint="eastAsia" w:ascii="Times New Roman" w:hAnsi="Times New Roman" w:eastAsia="宋体" w:cs="Times New Roman"/>
                      <w:b w:val="0"/>
                      <w:bCs w:val="0"/>
                      <w:color w:val="auto"/>
                      <w:lang w:val="en-US" w:eastAsia="zh-CN" w:bidi="ar"/>
                    </w:rPr>
                    <w:t>Reaumuriasongarica(Pall.)Maxim.</w:t>
                  </w:r>
                </w:p>
              </w:tc>
            </w:tr>
          </w:tbl>
          <w:p w14:paraId="0EE87B6C">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lang w:eastAsia="zh-CN"/>
              </w:rPr>
            </w:pPr>
            <w:r>
              <w:rPr>
                <w:rFonts w:hint="default" w:ascii="Times New Roman" w:hAnsi="Times New Roman" w:eastAsia="宋体" w:cs="Times New Roman"/>
                <w:color w:val="auto"/>
                <w:sz w:val="24"/>
                <w:szCs w:val="24"/>
                <w:lang w:eastAsia="zh-CN" w:bidi="ar"/>
              </w:rPr>
              <w:t>③动物类型现状</w:t>
            </w:r>
          </w:p>
          <w:p w14:paraId="5A7BE969">
            <w:pPr>
              <w:pStyle w:val="29"/>
              <w:keepNext w:val="0"/>
              <w:keepLines w:val="0"/>
              <w:suppressLineNumbers w:val="0"/>
              <w:spacing w:before="0" w:beforeAutospacing="0" w:after="0" w:afterAutospacing="0" w:line="360" w:lineRule="auto"/>
              <w:ind w:left="0" w:leftChars="0" w:right="0" w:firstLine="480"/>
              <w:rPr>
                <w:rFonts w:hint="eastAsia"/>
                <w:color w:val="auto"/>
                <w:kern w:val="0"/>
                <w:sz w:val="24"/>
              </w:rPr>
            </w:pPr>
            <w:r>
              <w:rPr>
                <w:rFonts w:hint="eastAsia"/>
                <w:color w:val="auto"/>
                <w:kern w:val="0"/>
                <w:sz w:val="24"/>
              </w:rPr>
              <w:t>本项目区受人类活动影响较小，未见大型野生动物。小型野生动物仅限于小型哺乳动物、啮齿类、爬行类动物和昆虫，如兔、鼠、刺猬、沙蜥等，鸟类主要有石鸡和喜鹊。建设项目区域未发现国家重点保护野生动物物种，评价区常见野生动物名录见表3-</w:t>
            </w:r>
            <w:r>
              <w:rPr>
                <w:rFonts w:hint="eastAsia"/>
                <w:color w:val="auto"/>
                <w:kern w:val="0"/>
                <w:sz w:val="24"/>
                <w:lang w:val="en-US" w:eastAsia="zh-CN"/>
              </w:rPr>
              <w:t>4</w:t>
            </w:r>
            <w:r>
              <w:rPr>
                <w:rFonts w:hint="eastAsia"/>
                <w:color w:val="auto"/>
                <w:kern w:val="0"/>
                <w:sz w:val="24"/>
              </w:rPr>
              <w:t>。</w:t>
            </w:r>
          </w:p>
          <w:p w14:paraId="397AC43D">
            <w:pPr>
              <w:pStyle w:val="105"/>
              <w:keepNext w:val="0"/>
              <w:keepLines w:val="0"/>
              <w:suppressLineNumbers w:val="0"/>
              <w:shd w:val="clear" w:color="auto" w:fill="auto"/>
              <w:kinsoku/>
              <w:spacing w:before="0" w:beforeAutospacing="0" w:after="0" w:afterAutospacing="0"/>
              <w:ind w:left="105" w:leftChars="50" w:right="105" w:rightChars="50" w:firstLine="414" w:firstLineChars="200"/>
              <w:jc w:val="center"/>
              <w:rPr>
                <w:rFonts w:hint="default" w:ascii="Times New Roman" w:hAnsi="Times New Roman" w:cs="Times New Roman"/>
                <w:b/>
                <w:bCs/>
                <w:color w:val="auto"/>
                <w:spacing w:val="-2"/>
                <w:sz w:val="21"/>
                <w:szCs w:val="21"/>
                <w:lang w:eastAsia="zh-CN"/>
              </w:rPr>
            </w:pPr>
            <w:r>
              <w:rPr>
                <w:rFonts w:hint="default" w:ascii="Times New Roman" w:hAnsi="Times New Roman" w:cs="Times New Roman"/>
                <w:b/>
                <w:bCs/>
                <w:color w:val="auto"/>
                <w:spacing w:val="-2"/>
                <w:sz w:val="21"/>
                <w:szCs w:val="21"/>
                <w:lang w:eastAsia="zh-CN"/>
              </w:rPr>
              <w:t>表3-</w:t>
            </w:r>
            <w:r>
              <w:rPr>
                <w:rFonts w:hint="eastAsia" w:ascii="Times New Roman" w:hAnsi="Times New Roman" w:cs="Times New Roman"/>
                <w:b/>
                <w:bCs/>
                <w:color w:val="auto"/>
                <w:spacing w:val="-2"/>
                <w:sz w:val="21"/>
                <w:szCs w:val="21"/>
                <w:lang w:val="en-US" w:eastAsia="zh-CN"/>
              </w:rPr>
              <w:t>4</w:t>
            </w:r>
            <w:r>
              <w:rPr>
                <w:rFonts w:hint="default" w:ascii="Times New Roman" w:hAnsi="Times New Roman" w:cs="Times New Roman"/>
                <w:b/>
                <w:bCs/>
                <w:color w:val="auto"/>
                <w:spacing w:val="-2"/>
                <w:sz w:val="21"/>
                <w:szCs w:val="21"/>
                <w:lang w:eastAsia="zh-CN"/>
              </w:rPr>
              <w:t>评价区常见动物名录</w:t>
            </w:r>
          </w:p>
          <w:tbl>
            <w:tblPr>
              <w:tblStyle w:val="30"/>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42"/>
              <w:gridCol w:w="1763"/>
              <w:gridCol w:w="3402"/>
              <w:gridCol w:w="3069"/>
            </w:tblGrid>
            <w:tr w14:paraId="778F98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5E028477">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b/>
                      <w:bCs/>
                      <w:color w:val="auto"/>
                      <w:spacing w:val="-2"/>
                      <w:sz w:val="21"/>
                      <w:szCs w:val="21"/>
                      <w:lang w:eastAsia="zh-CN"/>
                    </w:rPr>
                  </w:pPr>
                  <w:r>
                    <w:rPr>
                      <w:rFonts w:hint="default" w:ascii="Times New Roman" w:hAnsi="Times New Roman" w:cs="Times New Roman"/>
                      <w:b/>
                      <w:bCs/>
                      <w:color w:val="auto"/>
                      <w:spacing w:val="-2"/>
                      <w:sz w:val="21"/>
                      <w:szCs w:val="21"/>
                      <w:lang w:eastAsia="zh-CN"/>
                    </w:rPr>
                    <w:t>序号</w:t>
                  </w:r>
                </w:p>
              </w:tc>
              <w:tc>
                <w:tcPr>
                  <w:tcW w:w="1477" w:type="dxa"/>
                  <w:noWrap w:val="0"/>
                  <w:vAlign w:val="center"/>
                </w:tcPr>
                <w:p w14:paraId="4AB9DB10">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b/>
                      <w:bCs/>
                      <w:color w:val="auto"/>
                      <w:spacing w:val="-2"/>
                      <w:sz w:val="21"/>
                      <w:szCs w:val="21"/>
                      <w:lang w:eastAsia="zh-CN"/>
                    </w:rPr>
                  </w:pPr>
                  <w:r>
                    <w:rPr>
                      <w:rFonts w:hint="default" w:ascii="Times New Roman" w:hAnsi="Times New Roman" w:cs="Times New Roman"/>
                      <w:b/>
                      <w:bCs/>
                      <w:color w:val="auto"/>
                      <w:spacing w:val="-2"/>
                      <w:sz w:val="21"/>
                      <w:szCs w:val="21"/>
                      <w:lang w:eastAsia="zh-CN"/>
                    </w:rPr>
                    <w:t>学名</w:t>
                  </w:r>
                </w:p>
              </w:tc>
              <w:tc>
                <w:tcPr>
                  <w:tcW w:w="2850" w:type="dxa"/>
                  <w:noWrap w:val="0"/>
                  <w:vAlign w:val="center"/>
                </w:tcPr>
                <w:p w14:paraId="17A35B71">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b/>
                      <w:bCs/>
                      <w:color w:val="auto"/>
                      <w:spacing w:val="-2"/>
                      <w:sz w:val="21"/>
                      <w:szCs w:val="21"/>
                      <w:lang w:eastAsia="zh-CN"/>
                    </w:rPr>
                  </w:pPr>
                  <w:r>
                    <w:rPr>
                      <w:rFonts w:hint="default" w:ascii="Times New Roman" w:hAnsi="Times New Roman" w:cs="Times New Roman"/>
                      <w:b/>
                      <w:bCs/>
                      <w:color w:val="auto"/>
                      <w:spacing w:val="-2"/>
                      <w:sz w:val="21"/>
                      <w:szCs w:val="21"/>
                      <w:lang w:eastAsia="zh-CN"/>
                    </w:rPr>
                    <w:t>拉丁名</w:t>
                  </w:r>
                </w:p>
              </w:tc>
              <w:tc>
                <w:tcPr>
                  <w:tcW w:w="2570" w:type="dxa"/>
                  <w:noWrap w:val="0"/>
                  <w:vAlign w:val="center"/>
                </w:tcPr>
                <w:p w14:paraId="7BAB9BEB">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b/>
                      <w:bCs/>
                      <w:color w:val="auto"/>
                      <w:spacing w:val="-2"/>
                      <w:sz w:val="21"/>
                      <w:szCs w:val="21"/>
                      <w:lang w:eastAsia="zh-CN"/>
                    </w:rPr>
                  </w:pPr>
                  <w:r>
                    <w:rPr>
                      <w:rFonts w:hint="default" w:ascii="Times New Roman" w:hAnsi="Times New Roman" w:cs="Times New Roman"/>
                      <w:b/>
                      <w:bCs/>
                      <w:color w:val="auto"/>
                      <w:spacing w:val="-2"/>
                      <w:sz w:val="21"/>
                      <w:szCs w:val="21"/>
                      <w:lang w:eastAsia="zh-CN"/>
                    </w:rPr>
                    <w:t>保护等级</w:t>
                  </w:r>
                </w:p>
              </w:tc>
            </w:tr>
            <w:tr w14:paraId="52D2C2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70" w:type="dxa"/>
                  <w:gridSpan w:val="4"/>
                  <w:noWrap w:val="0"/>
                  <w:vAlign w:val="center"/>
                </w:tcPr>
                <w:p w14:paraId="1BAA73FE">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一、鸟纲</w:t>
                  </w:r>
                </w:p>
              </w:tc>
            </w:tr>
            <w:tr w14:paraId="1B920C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582F8498">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1</w:t>
                  </w:r>
                </w:p>
              </w:tc>
              <w:tc>
                <w:tcPr>
                  <w:tcW w:w="1477" w:type="dxa"/>
                  <w:noWrap w:val="0"/>
                  <w:vAlign w:val="center"/>
                </w:tcPr>
                <w:p w14:paraId="13EC6F5B">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喜鹊</w:t>
                  </w:r>
                </w:p>
              </w:tc>
              <w:tc>
                <w:tcPr>
                  <w:tcW w:w="2850" w:type="dxa"/>
                  <w:noWrap w:val="0"/>
                  <w:vAlign w:val="center"/>
                </w:tcPr>
                <w:p w14:paraId="38310AB6">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i/>
                      <w:iCs/>
                      <w:color w:val="auto"/>
                      <w:spacing w:val="-2"/>
                      <w:lang w:eastAsia="zh-CN"/>
                    </w:rPr>
                  </w:pPr>
                  <w:r>
                    <w:rPr>
                      <w:rFonts w:hint="default" w:ascii="Times New Roman" w:hAnsi="Times New Roman" w:eastAsia="宋体" w:cs="Times New Roman"/>
                      <w:i/>
                      <w:iCs/>
                      <w:color w:val="auto"/>
                      <w:lang w:eastAsia="zh-CN" w:bidi="ar"/>
                    </w:rPr>
                    <w:t>Pica pica</w:t>
                  </w:r>
                </w:p>
              </w:tc>
              <w:tc>
                <w:tcPr>
                  <w:tcW w:w="2570" w:type="dxa"/>
                  <w:noWrap w:val="0"/>
                  <w:vAlign w:val="center"/>
                </w:tcPr>
                <w:p w14:paraId="22A29DBE">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i/>
                      <w:iCs/>
                      <w:color w:val="auto"/>
                      <w:sz w:val="21"/>
                      <w:szCs w:val="21"/>
                      <w:lang w:eastAsia="zh-CN" w:bidi="ar"/>
                    </w:rPr>
                  </w:pPr>
                  <w:r>
                    <w:rPr>
                      <w:rFonts w:hint="default" w:ascii="Times New Roman" w:hAnsi="Times New Roman" w:cs="Times New Roman"/>
                      <w:color w:val="auto"/>
                      <w:spacing w:val="-2"/>
                      <w:sz w:val="21"/>
                      <w:szCs w:val="21"/>
                      <w:lang w:eastAsia="zh-CN"/>
                    </w:rPr>
                    <w:t>无</w:t>
                  </w:r>
                </w:p>
              </w:tc>
            </w:tr>
            <w:tr w14:paraId="022B6F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085BB352">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2</w:t>
                  </w:r>
                </w:p>
              </w:tc>
              <w:tc>
                <w:tcPr>
                  <w:tcW w:w="1477" w:type="dxa"/>
                  <w:noWrap w:val="0"/>
                  <w:vAlign w:val="center"/>
                </w:tcPr>
                <w:p w14:paraId="4E9669E2">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黑顶麻雀</w:t>
                  </w:r>
                </w:p>
              </w:tc>
              <w:tc>
                <w:tcPr>
                  <w:tcW w:w="2850" w:type="dxa"/>
                  <w:noWrap w:val="0"/>
                  <w:vAlign w:val="center"/>
                </w:tcPr>
                <w:p w14:paraId="3A2D132C">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i/>
                      <w:iCs/>
                      <w:color w:val="auto"/>
                      <w:spacing w:val="-2"/>
                      <w:lang w:eastAsia="zh-CN"/>
                    </w:rPr>
                  </w:pPr>
                  <w:r>
                    <w:rPr>
                      <w:rFonts w:hint="default" w:ascii="Times New Roman" w:hAnsi="Times New Roman" w:eastAsia="宋体" w:cs="Times New Roman"/>
                      <w:i/>
                      <w:iCs/>
                      <w:color w:val="auto"/>
                      <w:spacing w:val="-2"/>
                      <w:lang w:eastAsia="zh-CN"/>
                    </w:rPr>
                    <w:t>Passer ammodendn</w:t>
                  </w:r>
                </w:p>
              </w:tc>
              <w:tc>
                <w:tcPr>
                  <w:tcW w:w="2570" w:type="dxa"/>
                  <w:noWrap w:val="0"/>
                  <w:vAlign w:val="center"/>
                </w:tcPr>
                <w:p w14:paraId="7DF1EA9B">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i/>
                      <w:iCs/>
                      <w:color w:val="auto"/>
                      <w:lang w:eastAsia="zh-CN" w:bidi="ar"/>
                    </w:rPr>
                  </w:pPr>
                  <w:r>
                    <w:rPr>
                      <w:rFonts w:hint="default" w:ascii="Times New Roman" w:hAnsi="Times New Roman" w:eastAsia="宋体" w:cs="Times New Roman"/>
                      <w:color w:val="auto"/>
                      <w:spacing w:val="-2"/>
                      <w:lang w:eastAsia="zh-CN"/>
                    </w:rPr>
                    <w:t>无</w:t>
                  </w:r>
                </w:p>
              </w:tc>
            </w:tr>
            <w:tr w14:paraId="1EB9EA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611DDA7F">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eastAsia" w:ascii="Times New Roman" w:hAnsi="Times New Roman" w:cs="Times New Roman"/>
                      <w:color w:val="auto"/>
                      <w:spacing w:val="-2"/>
                      <w:sz w:val="21"/>
                      <w:szCs w:val="21"/>
                      <w:lang w:val="en-US" w:eastAsia="zh-CN"/>
                    </w:rPr>
                    <w:t>3</w:t>
                  </w:r>
                </w:p>
              </w:tc>
              <w:tc>
                <w:tcPr>
                  <w:tcW w:w="1477" w:type="dxa"/>
                  <w:noWrap w:val="0"/>
                  <w:vAlign w:val="center"/>
                </w:tcPr>
                <w:p w14:paraId="504FC7DC">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石鸡</w:t>
                  </w:r>
                </w:p>
              </w:tc>
              <w:tc>
                <w:tcPr>
                  <w:tcW w:w="2850" w:type="dxa"/>
                  <w:noWrap w:val="0"/>
                  <w:vAlign w:val="center"/>
                </w:tcPr>
                <w:p w14:paraId="704E3E9F">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i/>
                      <w:iCs/>
                      <w:color w:val="auto"/>
                      <w:spacing w:val="-2"/>
                      <w:lang w:eastAsia="zh-CN"/>
                    </w:rPr>
                  </w:pPr>
                  <w:r>
                    <w:rPr>
                      <w:rFonts w:hint="default" w:ascii="Times New Roman" w:hAnsi="Times New Roman" w:eastAsia="宋体" w:cs="Times New Roman"/>
                      <w:i/>
                      <w:iCs/>
                      <w:color w:val="auto"/>
                      <w:lang w:eastAsia="zh-CN" w:bidi="ar"/>
                    </w:rPr>
                    <w:t>Alectoris chukar</w:t>
                  </w:r>
                </w:p>
              </w:tc>
              <w:tc>
                <w:tcPr>
                  <w:tcW w:w="2570" w:type="dxa"/>
                  <w:noWrap w:val="0"/>
                  <w:vAlign w:val="center"/>
                </w:tcPr>
                <w:p w14:paraId="158CED26">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i/>
                      <w:iCs/>
                      <w:color w:val="auto"/>
                      <w:lang w:eastAsia="zh-CN" w:bidi="ar"/>
                    </w:rPr>
                  </w:pPr>
                  <w:r>
                    <w:rPr>
                      <w:rFonts w:hint="default" w:ascii="Times New Roman" w:hAnsi="Times New Roman" w:eastAsia="宋体" w:cs="Times New Roman"/>
                      <w:color w:val="auto"/>
                      <w:spacing w:val="-2"/>
                      <w:lang w:eastAsia="zh-CN"/>
                    </w:rPr>
                    <w:t>无</w:t>
                  </w:r>
                </w:p>
              </w:tc>
            </w:tr>
            <w:tr w14:paraId="630258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70" w:type="dxa"/>
                  <w:gridSpan w:val="4"/>
                  <w:noWrap w:val="0"/>
                  <w:vAlign w:val="center"/>
                </w:tcPr>
                <w:p w14:paraId="02EF1B51">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二、哺乳纲</w:t>
                  </w:r>
                </w:p>
              </w:tc>
            </w:tr>
            <w:tr w14:paraId="2D2101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31FC9938">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1</w:t>
                  </w:r>
                </w:p>
              </w:tc>
              <w:tc>
                <w:tcPr>
                  <w:tcW w:w="1477" w:type="dxa"/>
                  <w:noWrap w:val="0"/>
                  <w:vAlign w:val="center"/>
                </w:tcPr>
                <w:p w14:paraId="772D1B12">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草兔</w:t>
                  </w:r>
                </w:p>
              </w:tc>
              <w:tc>
                <w:tcPr>
                  <w:tcW w:w="2850" w:type="dxa"/>
                  <w:noWrap w:val="0"/>
                  <w:vAlign w:val="center"/>
                </w:tcPr>
                <w:p w14:paraId="30C0E7AC">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spacing w:val="-2"/>
                      <w:lang w:eastAsia="zh-CN"/>
                    </w:rPr>
                  </w:pPr>
                  <w:r>
                    <w:rPr>
                      <w:rFonts w:hint="default" w:ascii="Times New Roman" w:hAnsi="Times New Roman" w:eastAsia="宋体" w:cs="Times New Roman"/>
                      <w:i/>
                      <w:iCs/>
                      <w:color w:val="auto"/>
                      <w:lang w:eastAsia="zh-CN" w:bidi="ar"/>
                    </w:rPr>
                    <w:t>Lepus capensis</w:t>
                  </w:r>
                </w:p>
              </w:tc>
              <w:tc>
                <w:tcPr>
                  <w:tcW w:w="2570" w:type="dxa"/>
                  <w:noWrap w:val="0"/>
                  <w:vAlign w:val="center"/>
                </w:tcPr>
                <w:p w14:paraId="1DAFA2B0">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i/>
                      <w:iCs/>
                      <w:color w:val="auto"/>
                      <w:lang w:eastAsia="zh-CN" w:bidi="ar"/>
                    </w:rPr>
                  </w:pPr>
                  <w:r>
                    <w:rPr>
                      <w:rFonts w:hint="default" w:ascii="Times New Roman" w:hAnsi="Times New Roman" w:eastAsia="宋体" w:cs="Times New Roman"/>
                      <w:color w:val="auto"/>
                      <w:spacing w:val="-2"/>
                      <w:lang w:eastAsia="zh-CN"/>
                    </w:rPr>
                    <w:t>无</w:t>
                  </w:r>
                </w:p>
              </w:tc>
            </w:tr>
            <w:tr w14:paraId="2627D6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774A074E">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2</w:t>
                  </w:r>
                </w:p>
              </w:tc>
              <w:tc>
                <w:tcPr>
                  <w:tcW w:w="1477" w:type="dxa"/>
                  <w:noWrap w:val="0"/>
                  <w:vAlign w:val="center"/>
                </w:tcPr>
                <w:p w14:paraId="5038EBDC">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蒙古兔</w:t>
                  </w:r>
                </w:p>
              </w:tc>
              <w:tc>
                <w:tcPr>
                  <w:tcW w:w="2850" w:type="dxa"/>
                  <w:noWrap w:val="0"/>
                  <w:vAlign w:val="center"/>
                </w:tcPr>
                <w:p w14:paraId="605FF3F2">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spacing w:val="-2"/>
                      <w:lang w:eastAsia="zh-CN"/>
                    </w:rPr>
                  </w:pPr>
                  <w:r>
                    <w:rPr>
                      <w:rFonts w:hint="default" w:ascii="Times New Roman" w:hAnsi="Times New Roman" w:eastAsia="宋体" w:cs="Times New Roman"/>
                      <w:i/>
                      <w:iCs/>
                      <w:color w:val="auto"/>
                      <w:lang w:eastAsia="zh-CN" w:bidi="ar"/>
                    </w:rPr>
                    <w:t>Lepus tolai</w:t>
                  </w:r>
                </w:p>
              </w:tc>
              <w:tc>
                <w:tcPr>
                  <w:tcW w:w="2570" w:type="dxa"/>
                  <w:noWrap w:val="0"/>
                  <w:vAlign w:val="center"/>
                </w:tcPr>
                <w:p w14:paraId="4A022EC4">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i/>
                      <w:iCs/>
                      <w:color w:val="auto"/>
                      <w:lang w:eastAsia="zh-CN" w:bidi="ar"/>
                    </w:rPr>
                  </w:pPr>
                  <w:r>
                    <w:rPr>
                      <w:rFonts w:hint="default" w:ascii="Times New Roman" w:hAnsi="Times New Roman" w:eastAsia="宋体" w:cs="Times New Roman"/>
                      <w:color w:val="auto"/>
                      <w:spacing w:val="-2"/>
                      <w:lang w:eastAsia="zh-CN"/>
                    </w:rPr>
                    <w:t>无</w:t>
                  </w:r>
                </w:p>
              </w:tc>
            </w:tr>
            <w:tr w14:paraId="6C382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4B4BF35E">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eastAsia" w:ascii="Times New Roman" w:hAnsi="Times New Roman" w:cs="Times New Roman"/>
                      <w:color w:val="auto"/>
                      <w:spacing w:val="-2"/>
                      <w:sz w:val="21"/>
                      <w:szCs w:val="21"/>
                      <w:lang w:val="en-US" w:eastAsia="zh-CN"/>
                    </w:rPr>
                    <w:t>3</w:t>
                  </w:r>
                </w:p>
              </w:tc>
              <w:tc>
                <w:tcPr>
                  <w:tcW w:w="1477" w:type="dxa"/>
                  <w:noWrap w:val="0"/>
                  <w:vAlign w:val="center"/>
                </w:tcPr>
                <w:p w14:paraId="5997959F">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跳鼠</w:t>
                  </w:r>
                </w:p>
              </w:tc>
              <w:tc>
                <w:tcPr>
                  <w:tcW w:w="2850" w:type="dxa"/>
                  <w:noWrap w:val="0"/>
                  <w:vAlign w:val="center"/>
                </w:tcPr>
                <w:p w14:paraId="69450B56">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spacing w:val="-2"/>
                      <w:lang w:eastAsia="zh-CN"/>
                    </w:rPr>
                  </w:pPr>
                  <w:r>
                    <w:rPr>
                      <w:rFonts w:hint="default" w:ascii="Times New Roman" w:hAnsi="Times New Roman" w:eastAsia="宋体" w:cs="Times New Roman"/>
                      <w:i/>
                      <w:iCs/>
                      <w:color w:val="auto"/>
                      <w:lang w:eastAsia="zh-CN" w:bidi="ar"/>
                    </w:rPr>
                    <w:t>Rattus norvegicus</w:t>
                  </w:r>
                </w:p>
              </w:tc>
              <w:tc>
                <w:tcPr>
                  <w:tcW w:w="2570" w:type="dxa"/>
                  <w:noWrap w:val="0"/>
                  <w:vAlign w:val="center"/>
                </w:tcPr>
                <w:p w14:paraId="633F07A9">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i/>
                      <w:iCs/>
                      <w:color w:val="auto"/>
                      <w:lang w:eastAsia="zh-CN" w:bidi="ar"/>
                    </w:rPr>
                  </w:pPr>
                  <w:r>
                    <w:rPr>
                      <w:rFonts w:hint="default" w:ascii="Times New Roman" w:hAnsi="Times New Roman" w:eastAsia="宋体" w:cs="Times New Roman"/>
                      <w:color w:val="auto"/>
                      <w:spacing w:val="-2"/>
                      <w:lang w:eastAsia="zh-CN"/>
                    </w:rPr>
                    <w:t>无</w:t>
                  </w:r>
                </w:p>
              </w:tc>
            </w:tr>
            <w:tr w14:paraId="275C18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2A382993">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eastAsia" w:ascii="Times New Roman" w:hAnsi="Times New Roman" w:cs="Times New Roman"/>
                      <w:color w:val="auto"/>
                      <w:spacing w:val="-2"/>
                      <w:sz w:val="21"/>
                      <w:szCs w:val="21"/>
                      <w:lang w:val="en-US" w:eastAsia="zh-CN"/>
                    </w:rPr>
                    <w:t>4</w:t>
                  </w:r>
                </w:p>
              </w:tc>
              <w:tc>
                <w:tcPr>
                  <w:tcW w:w="1477" w:type="dxa"/>
                  <w:noWrap w:val="0"/>
                  <w:vAlign w:val="center"/>
                </w:tcPr>
                <w:p w14:paraId="0BBF1105">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黄鼠</w:t>
                  </w:r>
                </w:p>
              </w:tc>
              <w:tc>
                <w:tcPr>
                  <w:tcW w:w="2850" w:type="dxa"/>
                  <w:noWrap w:val="0"/>
                  <w:vAlign w:val="center"/>
                </w:tcPr>
                <w:p w14:paraId="46D180D7">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spacing w:val="-2"/>
                      <w:lang w:eastAsia="zh-CN"/>
                    </w:rPr>
                  </w:pPr>
                  <w:r>
                    <w:rPr>
                      <w:rFonts w:hint="default" w:ascii="Times New Roman" w:hAnsi="Times New Roman" w:eastAsia="宋体" w:cs="Times New Roman"/>
                      <w:i/>
                      <w:iCs/>
                      <w:color w:val="auto"/>
                      <w:lang w:eastAsia="zh-CN" w:bidi="ar"/>
                    </w:rPr>
                    <w:t>Spermophilus dauricus</w:t>
                  </w:r>
                </w:p>
              </w:tc>
              <w:tc>
                <w:tcPr>
                  <w:tcW w:w="2570" w:type="dxa"/>
                  <w:noWrap w:val="0"/>
                  <w:vAlign w:val="center"/>
                </w:tcPr>
                <w:p w14:paraId="6D6B0DEA">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i/>
                      <w:iCs/>
                      <w:color w:val="auto"/>
                      <w:lang w:eastAsia="zh-CN" w:bidi="ar"/>
                    </w:rPr>
                  </w:pPr>
                  <w:r>
                    <w:rPr>
                      <w:rFonts w:hint="default" w:ascii="Times New Roman" w:hAnsi="Times New Roman" w:eastAsia="宋体" w:cs="Times New Roman"/>
                      <w:color w:val="auto"/>
                      <w:spacing w:val="-2"/>
                      <w:lang w:eastAsia="zh-CN"/>
                    </w:rPr>
                    <w:t>无</w:t>
                  </w:r>
                </w:p>
              </w:tc>
            </w:tr>
            <w:tr w14:paraId="6144B3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70" w:type="dxa"/>
                  <w:gridSpan w:val="4"/>
                  <w:noWrap w:val="0"/>
                  <w:vAlign w:val="center"/>
                </w:tcPr>
                <w:p w14:paraId="19DE6869">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三、爬行纲</w:t>
                  </w:r>
                </w:p>
              </w:tc>
            </w:tr>
            <w:tr w14:paraId="2E433C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7D1C3606">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1</w:t>
                  </w:r>
                </w:p>
              </w:tc>
              <w:tc>
                <w:tcPr>
                  <w:tcW w:w="1477" w:type="dxa"/>
                  <w:noWrap w:val="0"/>
                  <w:vAlign w:val="center"/>
                </w:tcPr>
                <w:p w14:paraId="6E0D6A54">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荒漠沙蜥</w:t>
                  </w:r>
                </w:p>
              </w:tc>
              <w:tc>
                <w:tcPr>
                  <w:tcW w:w="2850" w:type="dxa"/>
                  <w:noWrap w:val="0"/>
                  <w:vAlign w:val="center"/>
                </w:tcPr>
                <w:p w14:paraId="76BF7137">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spacing w:val="-2"/>
                      <w:lang w:eastAsia="zh-CN"/>
                    </w:rPr>
                  </w:pPr>
                  <w:r>
                    <w:rPr>
                      <w:rFonts w:hint="default" w:ascii="Times New Roman" w:hAnsi="Times New Roman" w:eastAsia="宋体" w:cs="Times New Roman"/>
                      <w:i/>
                      <w:iCs/>
                      <w:color w:val="auto"/>
                      <w:lang w:eastAsia="zh-CN" w:bidi="ar"/>
                    </w:rPr>
                    <w:t>Phrynocephalus przewalskii</w:t>
                  </w:r>
                </w:p>
              </w:tc>
              <w:tc>
                <w:tcPr>
                  <w:tcW w:w="2570" w:type="dxa"/>
                  <w:noWrap w:val="0"/>
                  <w:vAlign w:val="center"/>
                </w:tcPr>
                <w:p w14:paraId="38513F40">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i/>
                      <w:iCs/>
                      <w:color w:val="auto"/>
                      <w:lang w:eastAsia="zh-CN" w:bidi="ar"/>
                    </w:rPr>
                  </w:pPr>
                  <w:r>
                    <w:rPr>
                      <w:rFonts w:hint="default" w:ascii="Times New Roman" w:hAnsi="Times New Roman" w:eastAsia="宋体" w:cs="Times New Roman"/>
                      <w:color w:val="auto"/>
                      <w:spacing w:val="-2"/>
                      <w:lang w:eastAsia="zh-CN"/>
                    </w:rPr>
                    <w:t>无</w:t>
                  </w:r>
                </w:p>
              </w:tc>
            </w:tr>
            <w:tr w14:paraId="3934CF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2FA8E551">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val="en-US" w:eastAsia="zh-CN"/>
                    </w:rPr>
                  </w:pPr>
                  <w:r>
                    <w:rPr>
                      <w:rFonts w:hint="eastAsia" w:ascii="Times New Roman" w:hAnsi="Times New Roman" w:cs="Times New Roman"/>
                      <w:color w:val="auto"/>
                      <w:spacing w:val="-2"/>
                      <w:sz w:val="21"/>
                      <w:szCs w:val="21"/>
                      <w:lang w:val="en-US" w:eastAsia="zh-CN"/>
                    </w:rPr>
                    <w:t>2</w:t>
                  </w:r>
                </w:p>
              </w:tc>
              <w:tc>
                <w:tcPr>
                  <w:tcW w:w="1477" w:type="dxa"/>
                  <w:noWrap w:val="0"/>
                  <w:vAlign w:val="center"/>
                </w:tcPr>
                <w:p w14:paraId="7AD74D87">
                  <w:pPr>
                    <w:pStyle w:val="105"/>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cs="Times New Roman"/>
                      <w:color w:val="auto"/>
                      <w:spacing w:val="-2"/>
                      <w:sz w:val="21"/>
                      <w:szCs w:val="21"/>
                      <w:lang w:eastAsia="zh-CN"/>
                    </w:rPr>
                  </w:pPr>
                  <w:r>
                    <w:rPr>
                      <w:rFonts w:hint="default" w:ascii="Times New Roman" w:hAnsi="Times New Roman" w:cs="Times New Roman"/>
                      <w:color w:val="auto"/>
                      <w:spacing w:val="-2"/>
                      <w:sz w:val="21"/>
                      <w:szCs w:val="21"/>
                      <w:lang w:eastAsia="zh-CN"/>
                    </w:rPr>
                    <w:t>麻蜥</w:t>
                  </w:r>
                </w:p>
              </w:tc>
              <w:tc>
                <w:tcPr>
                  <w:tcW w:w="2850" w:type="dxa"/>
                  <w:noWrap w:val="0"/>
                  <w:vAlign w:val="center"/>
                </w:tcPr>
                <w:p w14:paraId="2DC1D6B5">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i/>
                      <w:iCs/>
                      <w:color w:val="auto"/>
                      <w:lang w:eastAsia="zh-CN" w:bidi="ar"/>
                    </w:rPr>
                  </w:pPr>
                  <w:r>
                    <w:rPr>
                      <w:rFonts w:hint="default" w:ascii="Times New Roman" w:hAnsi="Times New Roman" w:eastAsia="宋体" w:cs="Times New Roman"/>
                      <w:i/>
                      <w:iCs/>
                      <w:color w:val="auto"/>
                      <w:lang w:eastAsia="zh-CN" w:bidi="ar"/>
                    </w:rPr>
                    <w:t>Eremias argus</w:t>
                  </w:r>
                </w:p>
              </w:tc>
              <w:tc>
                <w:tcPr>
                  <w:tcW w:w="2570" w:type="dxa"/>
                  <w:noWrap w:val="0"/>
                  <w:vAlign w:val="center"/>
                </w:tcPr>
                <w:p w14:paraId="4BD8EA3D">
                  <w:pPr>
                    <w:keepNext w:val="0"/>
                    <w:keepLines w:val="0"/>
                    <w:suppressLineNumbers w:val="0"/>
                    <w:shd w:val="clear" w:color="auto" w:fill="auto"/>
                    <w:kinsoku/>
                    <w:overflowPunct w:val="0"/>
                    <w:spacing w:before="0" w:beforeAutospacing="0" w:after="0" w:afterAutospacing="0"/>
                    <w:ind w:left="0" w:right="0"/>
                    <w:jc w:val="center"/>
                    <w:rPr>
                      <w:rFonts w:hint="default" w:ascii="Times New Roman" w:hAnsi="Times New Roman" w:eastAsia="宋体" w:cs="Times New Roman"/>
                      <w:color w:val="auto"/>
                      <w:spacing w:val="-2"/>
                      <w:lang w:eastAsia="zh-CN"/>
                    </w:rPr>
                  </w:pPr>
                </w:p>
              </w:tc>
            </w:tr>
          </w:tbl>
          <w:p w14:paraId="7041739C">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2、区域空气环境质量现状</w:t>
            </w:r>
          </w:p>
          <w:p w14:paraId="0DA371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olor w:val="auto"/>
              </w:rPr>
            </w:pPr>
            <w:r>
              <w:rPr>
                <w:rFonts w:hint="default"/>
                <w:color w:val="auto"/>
                <w:kern w:val="0"/>
                <w:sz w:val="24"/>
                <w:highlight w:val="none"/>
              </w:rPr>
              <w:t>根据内蒙古自治区生态环境厅</w:t>
            </w:r>
            <w:r>
              <w:rPr>
                <w:rFonts w:hint="eastAsia"/>
                <w:color w:val="auto"/>
                <w:kern w:val="0"/>
                <w:sz w:val="24"/>
                <w:highlight w:val="none"/>
                <w:lang w:val="en-US" w:eastAsia="zh-CN"/>
              </w:rPr>
              <w:t>2026年6月4日</w:t>
            </w:r>
            <w:r>
              <w:rPr>
                <w:rFonts w:hint="default"/>
                <w:color w:val="auto"/>
                <w:kern w:val="0"/>
                <w:sz w:val="24"/>
                <w:highlight w:val="none"/>
              </w:rPr>
              <w:t>发布的《202</w:t>
            </w:r>
            <w:r>
              <w:rPr>
                <w:rFonts w:hint="eastAsia"/>
                <w:color w:val="auto"/>
                <w:kern w:val="0"/>
                <w:sz w:val="24"/>
                <w:highlight w:val="none"/>
                <w:lang w:val="en-US" w:eastAsia="zh-CN"/>
              </w:rPr>
              <w:t>5</w:t>
            </w:r>
            <w:r>
              <w:rPr>
                <w:rFonts w:hint="default"/>
                <w:color w:val="auto"/>
                <w:kern w:val="0"/>
                <w:sz w:val="24"/>
                <w:highlight w:val="none"/>
              </w:rPr>
              <w:t>年内蒙古自治区生态环境状况公报》</w:t>
            </w:r>
            <w:r>
              <w:rPr>
                <w:rFonts w:hint="eastAsia"/>
                <w:color w:val="auto"/>
                <w:kern w:val="0"/>
                <w:sz w:val="24"/>
                <w:highlight w:val="none"/>
                <w:lang w:val="en-US" w:eastAsia="zh-CN"/>
              </w:rPr>
              <w:t>中的结论</w:t>
            </w:r>
            <w:r>
              <w:rPr>
                <w:rFonts w:hint="eastAsia"/>
                <w:color w:val="auto"/>
                <w:kern w:val="0"/>
                <w:sz w:val="24"/>
                <w:highlight w:val="none"/>
              </w:rPr>
              <w:t>，202</w:t>
            </w:r>
            <w:r>
              <w:rPr>
                <w:rFonts w:hint="eastAsia"/>
                <w:color w:val="auto"/>
                <w:kern w:val="0"/>
                <w:sz w:val="24"/>
                <w:highlight w:val="none"/>
                <w:lang w:val="en-US" w:eastAsia="zh-CN"/>
              </w:rPr>
              <w:t>5</w:t>
            </w:r>
            <w:r>
              <w:rPr>
                <w:rFonts w:hint="eastAsia"/>
                <w:color w:val="auto"/>
                <w:kern w:val="0"/>
                <w:sz w:val="24"/>
                <w:highlight w:val="none"/>
              </w:rPr>
              <w:t>年</w:t>
            </w:r>
            <w:r>
              <w:rPr>
                <w:rFonts w:hint="eastAsia"/>
                <w:color w:val="auto"/>
                <w:kern w:val="0"/>
                <w:sz w:val="24"/>
                <w:highlight w:val="none"/>
                <w:lang w:eastAsia="zh-CN"/>
              </w:rPr>
              <w:t>，</w:t>
            </w:r>
            <w:r>
              <w:rPr>
                <w:rFonts w:hint="eastAsia"/>
                <w:color w:val="auto"/>
                <w:kern w:val="0"/>
                <w:sz w:val="24"/>
                <w:highlight w:val="none"/>
              </w:rPr>
              <w:t>全区城市环境空气各项污染物年均浓度均达标。</w:t>
            </w:r>
            <w:r>
              <w:rPr>
                <w:rFonts w:hint="default"/>
                <w:color w:val="auto"/>
                <w:kern w:val="0"/>
                <w:sz w:val="24"/>
                <w:highlight w:val="none"/>
              </w:rPr>
              <w:t>本项目位于</w:t>
            </w:r>
            <w:r>
              <w:rPr>
                <w:rFonts w:hint="default" w:ascii="Times New Roman" w:hAnsi="Times New Roman" w:eastAsia="宋体" w:cs="Times New Roman"/>
                <w:color w:val="auto"/>
                <w:kern w:val="0"/>
                <w:sz w:val="24"/>
                <w:szCs w:val="20"/>
                <w:highlight w:val="none"/>
              </w:rPr>
              <w:t>内蒙古自治区阿拉善盟额济纳旗温图高勒苏木境内</w:t>
            </w:r>
            <w:r>
              <w:rPr>
                <w:rFonts w:hint="default"/>
                <w:color w:val="auto"/>
                <w:kern w:val="0"/>
                <w:sz w:val="24"/>
                <w:highlight w:val="none"/>
              </w:rPr>
              <w:t>，</w:t>
            </w:r>
            <w:r>
              <w:rPr>
                <w:rFonts w:hint="eastAsia"/>
                <w:snapToGrid w:val="0"/>
                <w:color w:val="auto"/>
                <w:kern w:val="0"/>
                <w:sz w:val="24"/>
                <w:highlight w:val="none"/>
              </w:rPr>
              <w:t>项目所在区域为达标区</w:t>
            </w:r>
            <w:r>
              <w:rPr>
                <w:rFonts w:hint="default"/>
                <w:snapToGrid w:val="0"/>
                <w:color w:val="auto"/>
                <w:kern w:val="0"/>
                <w:sz w:val="24"/>
              </w:rPr>
              <w:t>。</w:t>
            </w:r>
          </w:p>
          <w:p w14:paraId="149D3773">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val="0"/>
                <w:color w:val="auto"/>
                <w:sz w:val="24"/>
                <w:szCs w:val="24"/>
                <w:highlight w:val="none"/>
                <w:u w:val="none" w:color="auto"/>
                <w:lang w:val="en-US" w:eastAsia="zh-CN"/>
              </w:rPr>
            </w:pPr>
            <w:r>
              <w:rPr>
                <w:rFonts w:hint="default" w:ascii="Times New Roman" w:hAnsi="Times New Roman" w:cs="Times New Roman"/>
                <w:b/>
                <w:bCs w:val="0"/>
                <w:color w:val="auto"/>
                <w:sz w:val="24"/>
                <w:szCs w:val="24"/>
                <w:highlight w:val="none"/>
                <w:u w:val="none" w:color="auto"/>
                <w:lang w:val="en-US" w:eastAsia="zh-CN"/>
              </w:rPr>
              <w:t>3、声环境质量现状</w:t>
            </w:r>
          </w:p>
          <w:p w14:paraId="61F73BB4">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eastAsia="zh"/>
              </w:rPr>
            </w:pPr>
            <w:r>
              <w:rPr>
                <w:rFonts w:hint="default" w:ascii="Times New Roman" w:hAnsi="Times New Roman" w:eastAsia="宋体" w:cs="Times New Roman"/>
                <w:color w:val="auto"/>
                <w:kern w:val="0"/>
                <w:sz w:val="24"/>
                <w:szCs w:val="20"/>
                <w:highlight w:val="none"/>
                <w:lang w:eastAsia="zh"/>
              </w:rPr>
              <w:t>为了解本工程</w:t>
            </w:r>
            <w:r>
              <w:rPr>
                <w:rFonts w:hint="default" w:ascii="Times New Roman" w:hAnsi="Times New Roman" w:eastAsia="宋体" w:cs="Times New Roman"/>
                <w:color w:val="auto"/>
                <w:kern w:val="0"/>
                <w:sz w:val="24"/>
                <w:szCs w:val="20"/>
                <w:highlight w:val="none"/>
                <w:lang w:val="en-US" w:eastAsia="zh-CN"/>
              </w:rPr>
              <w:t>周边</w:t>
            </w:r>
            <w:r>
              <w:rPr>
                <w:rFonts w:hint="default" w:ascii="Times New Roman" w:hAnsi="Times New Roman" w:eastAsia="宋体" w:cs="Times New Roman"/>
                <w:color w:val="auto"/>
                <w:kern w:val="0"/>
                <w:sz w:val="24"/>
                <w:szCs w:val="20"/>
                <w:highlight w:val="none"/>
                <w:lang w:eastAsia="zh"/>
              </w:rPr>
              <w:t>声环境现状，我公司委托</w:t>
            </w:r>
            <w:r>
              <w:rPr>
                <w:rFonts w:hint="default" w:ascii="Times New Roman" w:hAnsi="Times New Roman" w:eastAsia="宋体" w:cs="Times New Roman"/>
                <w:color w:val="auto"/>
                <w:kern w:val="0"/>
                <w:sz w:val="24"/>
                <w:szCs w:val="20"/>
                <w:highlight w:val="none"/>
                <w:lang w:val="en-US" w:eastAsia="zh-CN"/>
              </w:rPr>
              <w:t>内蒙古衡准检测有限公司于</w:t>
            </w:r>
            <w:r>
              <w:rPr>
                <w:rFonts w:hint="default" w:ascii="Times New Roman" w:hAnsi="Times New Roman" w:eastAsia="宋体" w:cs="Times New Roman"/>
                <w:color w:val="auto"/>
                <w:kern w:val="0"/>
                <w:sz w:val="24"/>
                <w:szCs w:val="20"/>
                <w:highlight w:val="none"/>
                <w:lang w:eastAsia="zh"/>
              </w:rPr>
              <w:t>202</w:t>
            </w:r>
            <w:r>
              <w:rPr>
                <w:rFonts w:hint="default" w:ascii="Times New Roman" w:hAnsi="Times New Roman" w:cs="Times New Roman"/>
                <w:color w:val="auto"/>
                <w:kern w:val="0"/>
                <w:sz w:val="24"/>
                <w:szCs w:val="20"/>
                <w:highlight w:val="none"/>
                <w:lang w:val="en-US" w:eastAsia="zh-CN"/>
              </w:rPr>
              <w:t>6</w:t>
            </w:r>
            <w:r>
              <w:rPr>
                <w:rFonts w:hint="default" w:ascii="Times New Roman" w:hAnsi="Times New Roman" w:eastAsia="宋体" w:cs="Times New Roman"/>
                <w:color w:val="auto"/>
                <w:kern w:val="0"/>
                <w:sz w:val="24"/>
                <w:szCs w:val="20"/>
                <w:highlight w:val="none"/>
                <w:lang w:eastAsia="zh"/>
              </w:rPr>
              <w:t>年</w:t>
            </w:r>
            <w:r>
              <w:rPr>
                <w:rFonts w:hint="default" w:ascii="Times New Roman" w:hAnsi="Times New Roman" w:cs="Times New Roman"/>
                <w:color w:val="auto"/>
                <w:kern w:val="0"/>
                <w:sz w:val="24"/>
                <w:szCs w:val="20"/>
                <w:highlight w:val="none"/>
                <w:lang w:val="en-US" w:eastAsia="zh-CN"/>
              </w:rPr>
              <w:t>7</w:t>
            </w:r>
            <w:r>
              <w:rPr>
                <w:rFonts w:hint="default" w:ascii="Times New Roman" w:hAnsi="Times New Roman" w:eastAsia="宋体" w:cs="Times New Roman"/>
                <w:color w:val="auto"/>
                <w:kern w:val="0"/>
                <w:sz w:val="24"/>
                <w:szCs w:val="20"/>
                <w:highlight w:val="none"/>
                <w:lang w:eastAsia="zh"/>
              </w:rPr>
              <w:t>月</w:t>
            </w:r>
            <w:r>
              <w:rPr>
                <w:rFonts w:hint="eastAsia" w:cs="Times New Roman"/>
                <w:color w:val="auto"/>
                <w:kern w:val="0"/>
                <w:sz w:val="24"/>
                <w:szCs w:val="20"/>
                <w:highlight w:val="none"/>
                <w:lang w:val="en-US" w:eastAsia="zh-CN"/>
              </w:rPr>
              <w:t>6日-2026年7月7日</w:t>
            </w:r>
            <w:r>
              <w:rPr>
                <w:rFonts w:hint="eastAsia" w:ascii="Times New Roman" w:hAnsi="Times New Roman" w:cs="Times New Roman"/>
                <w:color w:val="auto"/>
                <w:kern w:val="0"/>
                <w:sz w:val="24"/>
                <w:szCs w:val="20"/>
                <w:highlight w:val="none"/>
                <w:lang w:val="en-US" w:eastAsia="zh-CN"/>
              </w:rPr>
              <w:t>日</w:t>
            </w:r>
            <w:r>
              <w:rPr>
                <w:rFonts w:hint="default" w:ascii="Times New Roman" w:hAnsi="Times New Roman" w:eastAsia="宋体" w:cs="Times New Roman"/>
                <w:color w:val="auto"/>
                <w:kern w:val="0"/>
                <w:sz w:val="24"/>
                <w:szCs w:val="20"/>
                <w:highlight w:val="none"/>
                <w:lang w:eastAsia="zh"/>
              </w:rPr>
              <w:t>对</w:t>
            </w:r>
            <w:r>
              <w:rPr>
                <w:rFonts w:hint="default" w:ascii="Times New Roman" w:hAnsi="Times New Roman" w:cs="Times New Roman"/>
                <w:color w:val="auto"/>
                <w:kern w:val="0"/>
                <w:sz w:val="24"/>
                <w:szCs w:val="20"/>
                <w:highlight w:val="none"/>
                <w:lang w:val="en-US" w:eastAsia="zh-CN"/>
              </w:rPr>
              <w:t>项目周边声环境</w:t>
            </w:r>
            <w:r>
              <w:rPr>
                <w:rFonts w:hint="default" w:ascii="Times New Roman" w:hAnsi="Times New Roman" w:eastAsia="宋体" w:cs="Times New Roman"/>
                <w:color w:val="auto"/>
                <w:kern w:val="0"/>
                <w:sz w:val="24"/>
                <w:szCs w:val="20"/>
                <w:highlight w:val="none"/>
                <w:lang w:eastAsia="zh"/>
              </w:rPr>
              <w:t>进行了现状监测。</w:t>
            </w:r>
          </w:p>
          <w:p w14:paraId="7675E98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eastAsia="zh"/>
              </w:rPr>
            </w:pPr>
            <w:r>
              <w:rPr>
                <w:rFonts w:hint="default" w:ascii="Times New Roman" w:hAnsi="Times New Roman" w:eastAsia="宋体" w:cs="Times New Roman"/>
                <w:color w:val="auto"/>
                <w:kern w:val="0"/>
                <w:sz w:val="24"/>
                <w:szCs w:val="20"/>
                <w:highlight w:val="none"/>
                <w:lang w:eastAsia="zh"/>
              </w:rPr>
              <w:t>（1）监测项目</w:t>
            </w:r>
          </w:p>
          <w:p w14:paraId="1A448E02">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eastAsia="zh"/>
              </w:rPr>
            </w:pPr>
            <w:r>
              <w:rPr>
                <w:rFonts w:hint="default" w:ascii="Times New Roman" w:hAnsi="Times New Roman" w:eastAsia="宋体" w:cs="Times New Roman"/>
                <w:color w:val="auto"/>
                <w:kern w:val="0"/>
                <w:sz w:val="24"/>
                <w:szCs w:val="20"/>
                <w:highlight w:val="none"/>
                <w:lang w:eastAsia="zh"/>
              </w:rPr>
              <w:t>等效连续A 声级（Leq），单位dB（A）。</w:t>
            </w:r>
          </w:p>
          <w:p w14:paraId="3F6CB922">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eastAsia="zh"/>
              </w:rPr>
            </w:pPr>
            <w:r>
              <w:rPr>
                <w:rFonts w:hint="default" w:ascii="Times New Roman" w:hAnsi="Times New Roman" w:eastAsia="宋体" w:cs="Times New Roman"/>
                <w:color w:val="auto"/>
                <w:kern w:val="0"/>
                <w:sz w:val="24"/>
                <w:szCs w:val="20"/>
                <w:highlight w:val="none"/>
                <w:lang w:eastAsia="zh"/>
              </w:rPr>
              <w:t>（2）监测方法</w:t>
            </w:r>
          </w:p>
          <w:p w14:paraId="3781A6C6">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eastAsia="zh"/>
              </w:rPr>
            </w:pPr>
            <w:r>
              <w:rPr>
                <w:rFonts w:hint="default" w:ascii="Times New Roman" w:hAnsi="Times New Roman" w:eastAsia="宋体" w:cs="Times New Roman"/>
                <w:color w:val="auto"/>
                <w:kern w:val="0"/>
                <w:sz w:val="24"/>
                <w:szCs w:val="20"/>
                <w:highlight w:val="none"/>
                <w:lang w:eastAsia="zh"/>
              </w:rPr>
              <w:t>《声环境质量标准》（GB3096-2008）。</w:t>
            </w:r>
          </w:p>
          <w:p w14:paraId="018BDF9D">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eastAsia="zh"/>
              </w:rPr>
            </w:pPr>
            <w:r>
              <w:rPr>
                <w:rFonts w:hint="default" w:ascii="Times New Roman" w:hAnsi="Times New Roman" w:eastAsia="宋体" w:cs="Times New Roman"/>
                <w:color w:val="auto"/>
                <w:kern w:val="0"/>
                <w:sz w:val="24"/>
                <w:szCs w:val="20"/>
                <w:highlight w:val="none"/>
                <w:lang w:eastAsia="zh"/>
              </w:rPr>
              <w:t>（</w:t>
            </w:r>
            <w:r>
              <w:rPr>
                <w:rFonts w:hint="default" w:ascii="Times New Roman" w:hAnsi="Times New Roman" w:eastAsia="宋体" w:cs="Times New Roman"/>
                <w:color w:val="auto"/>
                <w:kern w:val="0"/>
                <w:sz w:val="24"/>
                <w:szCs w:val="20"/>
                <w:highlight w:val="none"/>
                <w:lang w:val="en-US" w:eastAsia="zh-CN"/>
              </w:rPr>
              <w:t>3</w:t>
            </w:r>
            <w:r>
              <w:rPr>
                <w:rFonts w:hint="default" w:ascii="Times New Roman" w:hAnsi="Times New Roman" w:eastAsia="宋体" w:cs="Times New Roman"/>
                <w:color w:val="auto"/>
                <w:kern w:val="0"/>
                <w:sz w:val="24"/>
                <w:szCs w:val="20"/>
                <w:highlight w:val="none"/>
                <w:lang w:eastAsia="zh"/>
              </w:rPr>
              <w:t>）监测布点</w:t>
            </w:r>
          </w:p>
          <w:p w14:paraId="22CD7B64">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eastAsia="zh"/>
              </w:rPr>
            </w:pPr>
            <w:r>
              <w:rPr>
                <w:rFonts w:hint="default" w:ascii="Times New Roman" w:hAnsi="Times New Roman" w:eastAsia="宋体" w:cs="Times New Roman"/>
                <w:color w:val="auto"/>
                <w:kern w:val="0"/>
                <w:sz w:val="24"/>
                <w:szCs w:val="20"/>
                <w:highlight w:val="none"/>
                <w:lang w:eastAsia="zh"/>
              </w:rPr>
              <w:t>在</w:t>
            </w:r>
            <w:r>
              <w:rPr>
                <w:rFonts w:hint="default" w:ascii="Times New Roman" w:hAnsi="Times New Roman" w:cs="Times New Roman"/>
                <w:color w:val="auto"/>
                <w:kern w:val="0"/>
                <w:sz w:val="24"/>
                <w:szCs w:val="20"/>
                <w:highlight w:val="none"/>
                <w:lang w:val="en-US" w:eastAsia="zh-CN"/>
              </w:rPr>
              <w:t>升压站</w:t>
            </w:r>
            <w:r>
              <w:rPr>
                <w:rFonts w:hint="default" w:ascii="Times New Roman" w:hAnsi="Times New Roman" w:eastAsia="宋体" w:cs="Times New Roman"/>
                <w:color w:val="auto"/>
                <w:kern w:val="0"/>
                <w:sz w:val="24"/>
                <w:szCs w:val="20"/>
                <w:highlight w:val="none"/>
                <w:lang w:val="en-US" w:eastAsia="zh-CN"/>
              </w:rPr>
              <w:t>厂界四周</w:t>
            </w:r>
            <w:r>
              <w:rPr>
                <w:rFonts w:hint="default" w:ascii="Times New Roman" w:hAnsi="Times New Roman" w:eastAsia="宋体" w:cs="Times New Roman"/>
                <w:color w:val="auto"/>
                <w:kern w:val="0"/>
                <w:sz w:val="24"/>
                <w:szCs w:val="20"/>
                <w:highlight w:val="none"/>
                <w:lang w:eastAsia="zh"/>
              </w:rPr>
              <w:t>布设</w:t>
            </w:r>
            <w:r>
              <w:rPr>
                <w:rFonts w:hint="default" w:ascii="Times New Roman" w:hAnsi="Times New Roman" w:eastAsia="宋体" w:cs="Times New Roman"/>
                <w:color w:val="auto"/>
                <w:kern w:val="0"/>
                <w:sz w:val="24"/>
                <w:szCs w:val="20"/>
                <w:highlight w:val="none"/>
                <w:lang w:val="en-US" w:eastAsia="zh-CN"/>
              </w:rPr>
              <w:t>4</w:t>
            </w:r>
            <w:r>
              <w:rPr>
                <w:rFonts w:hint="default" w:ascii="Times New Roman" w:hAnsi="Times New Roman" w:eastAsia="宋体" w:cs="Times New Roman"/>
                <w:color w:val="auto"/>
                <w:kern w:val="0"/>
                <w:sz w:val="24"/>
                <w:szCs w:val="20"/>
                <w:highlight w:val="none"/>
                <w:lang w:eastAsia="zh"/>
              </w:rPr>
              <w:t>个</w:t>
            </w:r>
            <w:r>
              <w:rPr>
                <w:rFonts w:hint="default" w:ascii="Times New Roman" w:hAnsi="Times New Roman" w:cs="Times New Roman"/>
                <w:color w:val="auto"/>
                <w:kern w:val="0"/>
                <w:sz w:val="24"/>
                <w:szCs w:val="20"/>
                <w:highlight w:val="none"/>
                <w:lang w:val="en-US" w:eastAsia="zh-CN"/>
              </w:rPr>
              <w:t>声</w:t>
            </w:r>
            <w:r>
              <w:rPr>
                <w:rFonts w:hint="default" w:ascii="Times New Roman" w:hAnsi="Times New Roman" w:eastAsia="宋体" w:cs="Times New Roman"/>
                <w:color w:val="auto"/>
                <w:kern w:val="0"/>
                <w:sz w:val="24"/>
                <w:szCs w:val="20"/>
                <w:highlight w:val="none"/>
                <w:lang w:eastAsia="zh"/>
              </w:rPr>
              <w:t>环境质量现状监测点，监测点位布置见附图</w:t>
            </w:r>
            <w:r>
              <w:rPr>
                <w:rFonts w:hint="eastAsia" w:cs="Times New Roman"/>
                <w:color w:val="auto"/>
                <w:kern w:val="0"/>
                <w:sz w:val="24"/>
                <w:szCs w:val="20"/>
                <w:highlight w:val="none"/>
                <w:lang w:val="en-US" w:eastAsia="zh-CN"/>
              </w:rPr>
              <w:t>11</w:t>
            </w:r>
            <w:r>
              <w:rPr>
                <w:rFonts w:hint="default" w:ascii="Times New Roman" w:hAnsi="Times New Roman" w:eastAsia="宋体" w:cs="Times New Roman"/>
                <w:color w:val="auto"/>
                <w:kern w:val="0"/>
                <w:sz w:val="24"/>
                <w:szCs w:val="20"/>
                <w:highlight w:val="none"/>
                <w:lang w:eastAsia="zh"/>
              </w:rPr>
              <w:t>所示。</w:t>
            </w:r>
          </w:p>
          <w:p w14:paraId="444EEB3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eastAsia="zh-CN"/>
              </w:rPr>
              <w:t>（</w:t>
            </w:r>
            <w:r>
              <w:rPr>
                <w:rFonts w:hint="default" w:ascii="Times New Roman" w:hAnsi="Times New Roman" w:cs="Times New Roman"/>
                <w:color w:val="auto"/>
                <w:kern w:val="0"/>
                <w:sz w:val="24"/>
                <w:szCs w:val="20"/>
                <w:highlight w:val="none"/>
                <w:lang w:val="en-US" w:eastAsia="zh-CN"/>
              </w:rPr>
              <w:t>4）设备信息</w:t>
            </w:r>
          </w:p>
          <w:p w14:paraId="705ACC15">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设备名称：多功能声级计（</w:t>
            </w:r>
            <w:r>
              <w:rPr>
                <w:rFonts w:hint="default" w:ascii="Times New Roman" w:hAnsi="Times New Roman" w:cs="Times New Roman"/>
                <w:color w:val="auto"/>
                <w:szCs w:val="21"/>
                <w:lang w:val="en-US" w:eastAsia="zh-CN"/>
              </w:rPr>
              <w:t>AWA5688</w:t>
            </w:r>
            <w:r>
              <w:rPr>
                <w:rFonts w:hint="default" w:ascii="Times New Roman" w:hAnsi="Times New Roman" w:eastAsia="宋体" w:cs="Times New Roman"/>
                <w:color w:val="auto"/>
                <w:kern w:val="0"/>
                <w:sz w:val="24"/>
                <w:szCs w:val="20"/>
                <w:highlight w:val="none"/>
                <w:lang w:val="en-US" w:eastAsia="zh-CN"/>
              </w:rPr>
              <w:t>)</w:t>
            </w:r>
          </w:p>
          <w:p w14:paraId="4C29E6FF">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编号：</w:t>
            </w:r>
            <w:r>
              <w:rPr>
                <w:rFonts w:hint="default" w:ascii="Times New Roman" w:hAnsi="Times New Roman" w:cs="Times New Roman"/>
                <w:color w:val="auto"/>
                <w:szCs w:val="21"/>
                <w:lang w:val="en-US" w:eastAsia="zh-CN"/>
              </w:rPr>
              <w:t>YQ-023</w:t>
            </w:r>
            <w:r>
              <w:rPr>
                <w:rFonts w:hint="default" w:ascii="Times New Roman" w:hAnsi="Times New Roman" w:eastAsia="宋体" w:cs="Times New Roman"/>
                <w:color w:val="auto"/>
                <w:kern w:val="0"/>
                <w:sz w:val="24"/>
                <w:szCs w:val="20"/>
                <w:highlight w:val="none"/>
                <w:lang w:val="en-US" w:eastAsia="zh-CN"/>
              </w:rPr>
              <w:t xml:space="preserve">  出厂编号：00301784  </w:t>
            </w:r>
          </w:p>
          <w:p w14:paraId="6B44DD7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测量范围：2</w:t>
            </w:r>
            <w:r>
              <w:rPr>
                <w:rFonts w:hint="default" w:ascii="Times New Roman" w:hAnsi="Times New Roman" w:cs="Times New Roman"/>
                <w:color w:val="auto"/>
                <w:kern w:val="0"/>
                <w:sz w:val="24"/>
                <w:szCs w:val="20"/>
                <w:highlight w:val="none"/>
                <w:lang w:val="en-US" w:eastAsia="zh-CN"/>
              </w:rPr>
              <w:t>8</w:t>
            </w:r>
            <w:r>
              <w:rPr>
                <w:rFonts w:hint="default" w:ascii="Times New Roman" w:hAnsi="Times New Roman" w:eastAsia="宋体" w:cs="Times New Roman"/>
                <w:color w:val="auto"/>
                <w:kern w:val="0"/>
                <w:sz w:val="24"/>
                <w:szCs w:val="20"/>
                <w:highlight w:val="none"/>
                <w:lang w:val="en-US" w:eastAsia="zh-CN"/>
              </w:rPr>
              <w:t>dB（A）-1</w:t>
            </w:r>
            <w:r>
              <w:rPr>
                <w:rFonts w:hint="default" w:ascii="Times New Roman" w:hAnsi="Times New Roman" w:cs="Times New Roman"/>
                <w:color w:val="auto"/>
                <w:kern w:val="0"/>
                <w:sz w:val="24"/>
                <w:szCs w:val="20"/>
                <w:highlight w:val="none"/>
                <w:lang w:val="en-US" w:eastAsia="zh-CN"/>
              </w:rPr>
              <w:t>33</w:t>
            </w:r>
            <w:r>
              <w:rPr>
                <w:rFonts w:hint="default" w:ascii="Times New Roman" w:hAnsi="Times New Roman" w:eastAsia="宋体" w:cs="Times New Roman"/>
                <w:color w:val="auto"/>
                <w:kern w:val="0"/>
                <w:sz w:val="24"/>
                <w:szCs w:val="20"/>
                <w:highlight w:val="none"/>
                <w:lang w:val="en-US" w:eastAsia="zh-CN"/>
              </w:rPr>
              <w:t>dB（A）</w:t>
            </w:r>
          </w:p>
          <w:p w14:paraId="3BE880C6">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检定单位：包头市检验检测中心</w:t>
            </w:r>
          </w:p>
          <w:p w14:paraId="33D61FAD">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检定证书编号：</w:t>
            </w:r>
            <w:r>
              <w:rPr>
                <w:rFonts w:hint="default" w:ascii="Times New Roman" w:hAnsi="Times New Roman" w:cs="Times New Roman"/>
                <w:color w:val="auto"/>
                <w:kern w:val="0"/>
                <w:sz w:val="24"/>
                <w:szCs w:val="20"/>
                <w:highlight w:val="none"/>
                <w:lang w:val="en-US" w:eastAsia="zh-CN"/>
              </w:rPr>
              <w:t>汽专字第2026S0058号</w:t>
            </w:r>
          </w:p>
          <w:p w14:paraId="7A0BCDF9">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检定有效期：202</w:t>
            </w:r>
            <w:r>
              <w:rPr>
                <w:rFonts w:hint="default" w:ascii="Times New Roman" w:hAnsi="Times New Roman" w:cs="Times New Roman"/>
                <w:color w:val="auto"/>
                <w:kern w:val="0"/>
                <w:sz w:val="24"/>
                <w:szCs w:val="20"/>
                <w:highlight w:val="none"/>
                <w:lang w:val="en-US" w:eastAsia="zh-CN"/>
              </w:rPr>
              <w:t>6.3</w:t>
            </w:r>
            <w:r>
              <w:rPr>
                <w:rFonts w:hint="default" w:ascii="Times New Roman" w:hAnsi="Times New Roman" w:eastAsia="宋体" w:cs="Times New Roman"/>
                <w:color w:val="auto"/>
                <w:kern w:val="0"/>
                <w:sz w:val="24"/>
                <w:szCs w:val="20"/>
                <w:highlight w:val="none"/>
                <w:lang w:val="en-US" w:eastAsia="zh-CN"/>
              </w:rPr>
              <w:t>.</w:t>
            </w:r>
            <w:r>
              <w:rPr>
                <w:rFonts w:hint="default" w:ascii="Times New Roman" w:hAnsi="Times New Roman" w:cs="Times New Roman"/>
                <w:color w:val="auto"/>
                <w:kern w:val="0"/>
                <w:sz w:val="24"/>
                <w:szCs w:val="20"/>
                <w:highlight w:val="none"/>
                <w:lang w:val="en-US" w:eastAsia="zh-CN"/>
              </w:rPr>
              <w:t>24</w:t>
            </w:r>
            <w:r>
              <w:rPr>
                <w:rFonts w:hint="default" w:ascii="Times New Roman" w:hAnsi="Times New Roman" w:eastAsia="宋体" w:cs="Times New Roman"/>
                <w:color w:val="auto"/>
                <w:kern w:val="0"/>
                <w:sz w:val="24"/>
                <w:szCs w:val="20"/>
                <w:highlight w:val="none"/>
                <w:lang w:val="en-US" w:eastAsia="zh-CN"/>
              </w:rPr>
              <w:t>至202</w:t>
            </w:r>
            <w:r>
              <w:rPr>
                <w:rFonts w:hint="default" w:ascii="Times New Roman" w:hAnsi="Times New Roman" w:cs="Times New Roman"/>
                <w:color w:val="auto"/>
                <w:kern w:val="0"/>
                <w:sz w:val="24"/>
                <w:szCs w:val="20"/>
                <w:highlight w:val="none"/>
                <w:lang w:val="en-US" w:eastAsia="zh-CN"/>
              </w:rPr>
              <w:t>7.3.23</w:t>
            </w:r>
          </w:p>
          <w:p w14:paraId="73ACC86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设备名称：声级校准器(</w:t>
            </w:r>
            <w:r>
              <w:rPr>
                <w:rFonts w:hint="default" w:ascii="Times New Roman" w:hAnsi="Times New Roman" w:cs="Times New Roman"/>
                <w:color w:val="auto"/>
                <w:szCs w:val="21"/>
                <w:lang w:val="en-US" w:eastAsia="zh-CN"/>
              </w:rPr>
              <w:t>AWA6022A</w:t>
            </w:r>
            <w:r>
              <w:rPr>
                <w:rFonts w:hint="default" w:ascii="Times New Roman" w:hAnsi="Times New Roman" w:eastAsia="宋体" w:cs="Times New Roman"/>
                <w:color w:val="auto"/>
                <w:kern w:val="0"/>
                <w:sz w:val="24"/>
                <w:szCs w:val="20"/>
                <w:highlight w:val="none"/>
                <w:lang w:val="en-US" w:eastAsia="zh-CN"/>
              </w:rPr>
              <w:t>)</w:t>
            </w:r>
          </w:p>
          <w:p w14:paraId="1A136A78">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编号：</w:t>
            </w:r>
            <w:r>
              <w:rPr>
                <w:rFonts w:hint="default" w:ascii="Times New Roman" w:hAnsi="Times New Roman" w:cs="Times New Roman"/>
                <w:color w:val="auto"/>
                <w:szCs w:val="21"/>
              </w:rPr>
              <w:t>YQ-087</w:t>
            </w:r>
            <w:r>
              <w:rPr>
                <w:rFonts w:hint="default" w:ascii="Times New Roman" w:hAnsi="Times New Roman" w:eastAsia="宋体" w:cs="Times New Roman"/>
                <w:color w:val="auto"/>
                <w:kern w:val="0"/>
                <w:sz w:val="24"/>
                <w:szCs w:val="20"/>
                <w:highlight w:val="none"/>
                <w:lang w:val="en-US" w:eastAsia="zh-CN"/>
              </w:rPr>
              <w:t xml:space="preserve">  出厂编号：2012179</w:t>
            </w:r>
          </w:p>
          <w:p w14:paraId="366AD4E0">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检定单位：云南方圆计量校准检测服务有限公司</w:t>
            </w:r>
          </w:p>
          <w:p w14:paraId="729D8D7D">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检定证书编号：FYM212026040120</w:t>
            </w:r>
          </w:p>
          <w:p w14:paraId="1C4CA802">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
              </w:rPr>
            </w:pPr>
            <w:r>
              <w:rPr>
                <w:rFonts w:hint="default" w:ascii="Times New Roman" w:hAnsi="Times New Roman" w:eastAsia="宋体" w:cs="Times New Roman"/>
                <w:color w:val="auto"/>
                <w:kern w:val="0"/>
                <w:sz w:val="24"/>
                <w:szCs w:val="20"/>
                <w:highlight w:val="none"/>
                <w:lang w:val="en-US" w:eastAsia="zh-CN"/>
              </w:rPr>
              <w:t>检定有效期：202</w:t>
            </w:r>
            <w:r>
              <w:rPr>
                <w:rFonts w:hint="default" w:ascii="Times New Roman" w:hAnsi="Times New Roman" w:cs="Times New Roman"/>
                <w:color w:val="auto"/>
                <w:kern w:val="0"/>
                <w:sz w:val="24"/>
                <w:szCs w:val="20"/>
                <w:highlight w:val="none"/>
                <w:lang w:val="en-US" w:eastAsia="zh-CN"/>
              </w:rPr>
              <w:t>6</w:t>
            </w:r>
            <w:r>
              <w:rPr>
                <w:rFonts w:hint="default" w:ascii="Times New Roman" w:hAnsi="Times New Roman" w:eastAsia="宋体" w:cs="Times New Roman"/>
                <w:color w:val="auto"/>
                <w:kern w:val="0"/>
                <w:sz w:val="24"/>
                <w:szCs w:val="20"/>
                <w:highlight w:val="none"/>
                <w:lang w:val="en-US" w:eastAsia="zh-CN"/>
              </w:rPr>
              <w:t>.</w:t>
            </w:r>
            <w:r>
              <w:rPr>
                <w:rFonts w:hint="default" w:ascii="Times New Roman" w:hAnsi="Times New Roman" w:cs="Times New Roman"/>
                <w:color w:val="auto"/>
                <w:kern w:val="0"/>
                <w:sz w:val="24"/>
                <w:szCs w:val="20"/>
                <w:highlight w:val="none"/>
                <w:lang w:val="en-US" w:eastAsia="zh-CN"/>
              </w:rPr>
              <w:t>4</w:t>
            </w:r>
            <w:r>
              <w:rPr>
                <w:rFonts w:hint="default" w:ascii="Times New Roman" w:hAnsi="Times New Roman" w:eastAsia="宋体" w:cs="Times New Roman"/>
                <w:color w:val="auto"/>
                <w:kern w:val="0"/>
                <w:sz w:val="24"/>
                <w:szCs w:val="20"/>
                <w:highlight w:val="none"/>
                <w:lang w:val="en-US" w:eastAsia="zh-CN"/>
              </w:rPr>
              <w:t>.</w:t>
            </w:r>
            <w:r>
              <w:rPr>
                <w:rFonts w:hint="default" w:ascii="Times New Roman" w:hAnsi="Times New Roman" w:cs="Times New Roman"/>
                <w:color w:val="auto"/>
                <w:kern w:val="0"/>
                <w:sz w:val="24"/>
                <w:szCs w:val="20"/>
                <w:highlight w:val="none"/>
                <w:lang w:val="en-US" w:eastAsia="zh-CN"/>
              </w:rPr>
              <w:t>10</w:t>
            </w:r>
            <w:r>
              <w:rPr>
                <w:rFonts w:hint="default" w:ascii="Times New Roman" w:hAnsi="Times New Roman" w:eastAsia="宋体" w:cs="Times New Roman"/>
                <w:color w:val="auto"/>
                <w:kern w:val="0"/>
                <w:sz w:val="24"/>
                <w:szCs w:val="20"/>
                <w:highlight w:val="none"/>
                <w:lang w:val="en-US" w:eastAsia="zh-CN"/>
              </w:rPr>
              <w:t>至202</w:t>
            </w:r>
            <w:r>
              <w:rPr>
                <w:rFonts w:hint="default" w:ascii="Times New Roman" w:hAnsi="Times New Roman" w:cs="Times New Roman"/>
                <w:color w:val="auto"/>
                <w:kern w:val="0"/>
                <w:sz w:val="24"/>
                <w:szCs w:val="20"/>
                <w:highlight w:val="none"/>
                <w:lang w:val="en-US" w:eastAsia="zh-CN"/>
              </w:rPr>
              <w:t>7</w:t>
            </w:r>
            <w:r>
              <w:rPr>
                <w:rFonts w:hint="default" w:ascii="Times New Roman" w:hAnsi="Times New Roman" w:eastAsia="宋体" w:cs="Times New Roman"/>
                <w:color w:val="auto"/>
                <w:kern w:val="0"/>
                <w:sz w:val="24"/>
                <w:szCs w:val="20"/>
                <w:highlight w:val="none"/>
                <w:lang w:val="en-US" w:eastAsia="zh-CN"/>
              </w:rPr>
              <w:t>.</w:t>
            </w:r>
            <w:r>
              <w:rPr>
                <w:rFonts w:hint="default" w:ascii="Times New Roman" w:hAnsi="Times New Roman" w:cs="Times New Roman"/>
                <w:color w:val="auto"/>
                <w:kern w:val="0"/>
                <w:sz w:val="24"/>
                <w:szCs w:val="20"/>
                <w:highlight w:val="none"/>
                <w:lang w:val="en-US" w:eastAsia="zh-CN"/>
              </w:rPr>
              <w:t>4</w:t>
            </w:r>
            <w:r>
              <w:rPr>
                <w:rFonts w:hint="default" w:ascii="Times New Roman" w:hAnsi="Times New Roman" w:eastAsia="宋体" w:cs="Times New Roman"/>
                <w:color w:val="auto"/>
                <w:kern w:val="0"/>
                <w:sz w:val="24"/>
                <w:szCs w:val="20"/>
                <w:highlight w:val="none"/>
                <w:lang w:val="en-US" w:eastAsia="zh-CN"/>
              </w:rPr>
              <w:t>.</w:t>
            </w:r>
            <w:r>
              <w:rPr>
                <w:rFonts w:hint="default" w:ascii="Times New Roman" w:hAnsi="Times New Roman" w:cs="Times New Roman"/>
                <w:color w:val="auto"/>
                <w:kern w:val="0"/>
                <w:sz w:val="24"/>
                <w:szCs w:val="20"/>
                <w:highlight w:val="none"/>
                <w:lang w:val="en-US" w:eastAsia="zh-CN"/>
              </w:rPr>
              <w:t>9</w:t>
            </w:r>
          </w:p>
          <w:p w14:paraId="1DF1C44D">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color w:val="auto"/>
                <w:kern w:val="0"/>
                <w:sz w:val="24"/>
                <w:szCs w:val="20"/>
                <w:highlight w:val="none"/>
              </w:rPr>
              <w:t>（</w:t>
            </w:r>
            <w:r>
              <w:rPr>
                <w:rFonts w:hint="default" w:ascii="Times New Roman" w:hAnsi="Times New Roman" w:cs="Times New Roman"/>
                <w:color w:val="auto"/>
                <w:kern w:val="0"/>
                <w:sz w:val="24"/>
                <w:szCs w:val="20"/>
                <w:highlight w:val="none"/>
                <w:lang w:val="en-US" w:eastAsia="zh-CN"/>
              </w:rPr>
              <w:t>5</w:t>
            </w:r>
            <w:r>
              <w:rPr>
                <w:rFonts w:hint="default" w:ascii="Times New Roman" w:hAnsi="Times New Roman" w:eastAsia="宋体" w:cs="Times New Roman"/>
                <w:color w:val="auto"/>
                <w:kern w:val="0"/>
                <w:sz w:val="24"/>
                <w:szCs w:val="20"/>
                <w:highlight w:val="none"/>
              </w:rPr>
              <w:t>）监测时间、气象条件</w:t>
            </w:r>
          </w:p>
          <w:p w14:paraId="5A5BC771">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eastAsia="zh"/>
              </w:rPr>
              <w:t>监测时间：202</w:t>
            </w:r>
            <w:r>
              <w:rPr>
                <w:rFonts w:hint="default" w:ascii="Times New Roman" w:hAnsi="Times New Roman" w:cs="Times New Roman"/>
                <w:color w:val="auto"/>
                <w:kern w:val="0"/>
                <w:sz w:val="24"/>
                <w:szCs w:val="20"/>
                <w:highlight w:val="none"/>
                <w:lang w:val="en-US" w:eastAsia="zh-CN"/>
              </w:rPr>
              <w:t>6</w:t>
            </w:r>
            <w:r>
              <w:rPr>
                <w:rFonts w:hint="default" w:ascii="Times New Roman" w:hAnsi="Times New Roman" w:eastAsia="宋体" w:cs="Times New Roman"/>
                <w:color w:val="auto"/>
                <w:kern w:val="0"/>
                <w:sz w:val="24"/>
                <w:szCs w:val="20"/>
                <w:highlight w:val="none"/>
                <w:lang w:eastAsia="zh"/>
              </w:rPr>
              <w:t>年</w:t>
            </w:r>
            <w:r>
              <w:rPr>
                <w:rFonts w:hint="default" w:ascii="Times New Roman" w:hAnsi="Times New Roman" w:cs="Times New Roman"/>
                <w:color w:val="auto"/>
                <w:kern w:val="0"/>
                <w:sz w:val="24"/>
                <w:szCs w:val="20"/>
                <w:highlight w:val="none"/>
                <w:lang w:val="en-US" w:eastAsia="zh-CN"/>
              </w:rPr>
              <w:t>7</w:t>
            </w:r>
            <w:r>
              <w:rPr>
                <w:rFonts w:hint="default" w:ascii="Times New Roman" w:hAnsi="Times New Roman" w:eastAsia="宋体" w:cs="Times New Roman"/>
                <w:color w:val="auto"/>
                <w:kern w:val="0"/>
                <w:sz w:val="24"/>
                <w:szCs w:val="20"/>
                <w:highlight w:val="none"/>
                <w:lang w:eastAsia="zh"/>
              </w:rPr>
              <w:t>月</w:t>
            </w:r>
            <w:r>
              <w:rPr>
                <w:rFonts w:hint="eastAsia" w:ascii="Times New Roman" w:hAnsi="Times New Roman" w:cs="Times New Roman"/>
                <w:color w:val="auto"/>
                <w:kern w:val="0"/>
                <w:sz w:val="24"/>
                <w:szCs w:val="20"/>
                <w:highlight w:val="none"/>
                <w:lang w:val="en-US" w:eastAsia="zh-CN"/>
              </w:rPr>
              <w:t>6</w:t>
            </w:r>
            <w:r>
              <w:rPr>
                <w:rFonts w:hint="default" w:ascii="Times New Roman" w:hAnsi="Times New Roman" w:eastAsia="宋体" w:cs="Times New Roman"/>
                <w:color w:val="auto"/>
                <w:kern w:val="0"/>
                <w:sz w:val="24"/>
                <w:szCs w:val="20"/>
                <w:highlight w:val="none"/>
                <w:lang w:eastAsia="zh"/>
              </w:rPr>
              <w:t>日</w:t>
            </w:r>
            <w:r>
              <w:rPr>
                <w:rFonts w:hint="eastAsia" w:ascii="Times New Roman" w:hAnsi="Times New Roman" w:eastAsia="宋体" w:cs="Times New Roman"/>
                <w:color w:val="auto"/>
                <w:kern w:val="0"/>
                <w:sz w:val="24"/>
                <w:szCs w:val="20"/>
                <w:highlight w:val="none"/>
                <w:lang w:val="en-US" w:eastAsia="zh-CN"/>
              </w:rPr>
              <w:t>至2026年7月7日</w:t>
            </w:r>
            <w:r>
              <w:rPr>
                <w:rFonts w:hint="default" w:ascii="Times New Roman" w:hAnsi="Times New Roman" w:eastAsia="宋体" w:cs="Times New Roman"/>
                <w:color w:val="auto"/>
                <w:kern w:val="0"/>
                <w:sz w:val="24"/>
                <w:szCs w:val="20"/>
                <w:highlight w:val="none"/>
                <w:lang w:eastAsia="zh"/>
              </w:rPr>
              <w:t>；</w:t>
            </w:r>
            <w:r>
              <w:rPr>
                <w:rFonts w:hint="default" w:ascii="Times New Roman" w:hAnsi="Times New Roman" w:cs="Times New Roman"/>
                <w:color w:val="auto"/>
                <w:kern w:val="0"/>
                <w:sz w:val="24"/>
                <w:szCs w:val="20"/>
                <w:highlight w:val="none"/>
                <w:lang w:val="en-US" w:eastAsia="zh-CN"/>
              </w:rPr>
              <w:t>现场检测环境条件见下表。</w:t>
            </w:r>
          </w:p>
          <w:p w14:paraId="75944E8D">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表3-</w:t>
            </w:r>
            <w:r>
              <w:rPr>
                <w:rFonts w:hint="default" w:ascii="Times New Roman" w:hAnsi="Times New Roman" w:cs="Times New Roman"/>
                <w:b/>
                <w:bCs w:val="0"/>
                <w:color w:val="auto"/>
                <w:kern w:val="0"/>
                <w:sz w:val="21"/>
                <w:szCs w:val="21"/>
                <w:highlight w:val="none"/>
                <w:lang w:val="en-US" w:eastAsia="zh-CN"/>
              </w:rPr>
              <w:t>3</w:t>
            </w:r>
            <w:r>
              <w:rPr>
                <w:rFonts w:hint="default" w:ascii="Times New Roman" w:hAnsi="Times New Roman" w:eastAsia="宋体" w:cs="Times New Roman"/>
                <w:b/>
                <w:bCs w:val="0"/>
                <w:color w:val="auto"/>
                <w:kern w:val="0"/>
                <w:sz w:val="21"/>
                <w:szCs w:val="21"/>
                <w:highlight w:val="none"/>
                <w:lang w:val="en-US" w:eastAsia="zh-CN"/>
              </w:rPr>
              <w:t xml:space="preserve">  现场检测环境条件一览表</w:t>
            </w:r>
          </w:p>
          <w:tbl>
            <w:tblPr>
              <w:tblStyle w:val="3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0"/>
              <w:gridCol w:w="1259"/>
              <w:gridCol w:w="1175"/>
              <w:gridCol w:w="1980"/>
              <w:gridCol w:w="2173"/>
              <w:gridCol w:w="2206"/>
            </w:tblGrid>
            <w:tr w14:paraId="705C1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99" w:type="pct"/>
                  <w:vMerge w:val="restart"/>
                  <w:vAlign w:val="center"/>
                </w:tcPr>
                <w:p w14:paraId="688E234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序号</w:t>
                  </w:r>
                </w:p>
              </w:tc>
              <w:tc>
                <w:tcPr>
                  <w:tcW w:w="673" w:type="pct"/>
                  <w:vMerge w:val="restart"/>
                  <w:vAlign w:val="center"/>
                </w:tcPr>
                <w:p w14:paraId="65D0820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项目名称</w:t>
                  </w:r>
                </w:p>
              </w:tc>
              <w:tc>
                <w:tcPr>
                  <w:tcW w:w="628" w:type="pct"/>
                  <w:vMerge w:val="restart"/>
                  <w:vAlign w:val="center"/>
                </w:tcPr>
                <w:p w14:paraId="0BC0171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检测对象名称</w:t>
                  </w:r>
                </w:p>
              </w:tc>
              <w:tc>
                <w:tcPr>
                  <w:tcW w:w="1058" w:type="pct"/>
                  <w:vMerge w:val="restart"/>
                  <w:vAlign w:val="center"/>
                </w:tcPr>
                <w:p w14:paraId="32F2485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检测时间</w:t>
                  </w:r>
                </w:p>
              </w:tc>
              <w:tc>
                <w:tcPr>
                  <w:tcW w:w="2340" w:type="pct"/>
                  <w:gridSpan w:val="2"/>
                  <w:vAlign w:val="center"/>
                </w:tcPr>
                <w:p w14:paraId="3B4EF33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天气条件</w:t>
                  </w:r>
                </w:p>
              </w:tc>
            </w:tr>
            <w:tr w14:paraId="4BE8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99" w:type="pct"/>
                  <w:vMerge w:val="continue"/>
                  <w:vAlign w:val="center"/>
                </w:tcPr>
                <w:p w14:paraId="11DFFFF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p>
              </w:tc>
              <w:tc>
                <w:tcPr>
                  <w:tcW w:w="673" w:type="pct"/>
                  <w:vMerge w:val="continue"/>
                  <w:vAlign w:val="center"/>
                </w:tcPr>
                <w:p w14:paraId="641A417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p>
              </w:tc>
              <w:tc>
                <w:tcPr>
                  <w:tcW w:w="628" w:type="pct"/>
                  <w:vMerge w:val="continue"/>
                  <w:vAlign w:val="center"/>
                </w:tcPr>
                <w:p w14:paraId="3201F079">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p>
              </w:tc>
              <w:tc>
                <w:tcPr>
                  <w:tcW w:w="1058" w:type="pct"/>
                  <w:vMerge w:val="continue"/>
                  <w:vAlign w:val="center"/>
                </w:tcPr>
                <w:p w14:paraId="18FC613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p>
              </w:tc>
              <w:tc>
                <w:tcPr>
                  <w:tcW w:w="1161" w:type="pct"/>
                  <w:vAlign w:val="center"/>
                </w:tcPr>
                <w:p w14:paraId="029ED06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昼间</w:t>
                  </w:r>
                </w:p>
              </w:tc>
              <w:tc>
                <w:tcPr>
                  <w:tcW w:w="1178" w:type="pct"/>
                  <w:vAlign w:val="center"/>
                </w:tcPr>
                <w:p w14:paraId="427CE1D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夜间</w:t>
                  </w:r>
                </w:p>
              </w:tc>
            </w:tr>
            <w:tr w14:paraId="6B680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299" w:type="pct"/>
                  <w:vMerge w:val="restart"/>
                  <w:vAlign w:val="center"/>
                </w:tcPr>
                <w:p w14:paraId="3D8A4C2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1</w:t>
                  </w:r>
                </w:p>
              </w:tc>
              <w:tc>
                <w:tcPr>
                  <w:tcW w:w="673" w:type="pct"/>
                  <w:vMerge w:val="restart"/>
                  <w:vAlign w:val="center"/>
                </w:tcPr>
                <w:p w14:paraId="158CB95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华润新能源额济纳旗100兆瓦风电项目220kV升</w:t>
                  </w:r>
                </w:p>
                <w:p w14:paraId="5074208F">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压站工程</w:t>
                  </w:r>
                </w:p>
              </w:tc>
              <w:tc>
                <w:tcPr>
                  <w:tcW w:w="628" w:type="pct"/>
                  <w:vMerge w:val="restart"/>
                  <w:vAlign w:val="center"/>
                </w:tcPr>
                <w:p w14:paraId="1062105E">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升压站</w:t>
                  </w:r>
                  <w:r>
                    <w:rPr>
                      <w:rFonts w:hint="default" w:ascii="Times New Roman" w:hAnsi="Times New Roman" w:eastAsia="宋体" w:cs="Times New Roman"/>
                      <w:color w:val="auto"/>
                      <w:sz w:val="21"/>
                      <w:highlight w:val="none"/>
                      <w:lang w:val="en-US" w:eastAsia="zh-CN"/>
                    </w:rPr>
                    <w:t>检测点</w:t>
                  </w:r>
                </w:p>
              </w:tc>
              <w:tc>
                <w:tcPr>
                  <w:tcW w:w="1058" w:type="pct"/>
                  <w:vAlign w:val="center"/>
                </w:tcPr>
                <w:p w14:paraId="34081611">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2026.7.6</w:t>
                  </w:r>
                  <w:r>
                    <w:rPr>
                      <w:rFonts w:hint="default" w:ascii="Times New Roman" w:hAnsi="Times New Roman" w:eastAsia="宋体" w:cs="Times New Roman"/>
                      <w:color w:val="auto"/>
                      <w:sz w:val="21"/>
                      <w:highlight w:val="none"/>
                      <w:lang w:val="en-US" w:eastAsia="zh-CN"/>
                    </w:rPr>
                    <w:t>昼间：</w:t>
                  </w:r>
                </w:p>
                <w:p w14:paraId="4C8550C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8:44-10:57</w:t>
                  </w:r>
                </w:p>
                <w:p w14:paraId="76F0230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2026.7.6</w:t>
                  </w:r>
                  <w:r>
                    <w:rPr>
                      <w:rFonts w:hint="default" w:ascii="Times New Roman" w:hAnsi="Times New Roman" w:eastAsia="宋体" w:cs="Times New Roman"/>
                      <w:color w:val="auto"/>
                      <w:sz w:val="21"/>
                      <w:highlight w:val="none"/>
                      <w:lang w:val="en-US" w:eastAsia="zh-CN"/>
                    </w:rPr>
                    <w:t>夜间：</w:t>
                  </w:r>
                </w:p>
                <w:p w14:paraId="020FB996">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22：0</w:t>
                  </w:r>
                  <w:r>
                    <w:rPr>
                      <w:rFonts w:hint="default" w:ascii="Times New Roman" w:hAnsi="Times New Roman" w:cs="Times New Roman"/>
                      <w:color w:val="auto"/>
                      <w:sz w:val="21"/>
                      <w:highlight w:val="none"/>
                      <w:lang w:val="en-US" w:eastAsia="zh-CN"/>
                    </w:rPr>
                    <w:t>4</w:t>
                  </w:r>
                  <w:r>
                    <w:rPr>
                      <w:rFonts w:hint="default" w:ascii="Times New Roman" w:hAnsi="Times New Roman" w:eastAsia="宋体" w:cs="Times New Roman"/>
                      <w:color w:val="auto"/>
                      <w:sz w:val="21"/>
                      <w:highlight w:val="none"/>
                      <w:lang w:val="en-US" w:eastAsia="zh-CN"/>
                    </w:rPr>
                    <w:t>-</w:t>
                  </w:r>
                  <w:r>
                    <w:rPr>
                      <w:rFonts w:hint="default" w:ascii="Times New Roman" w:hAnsi="Times New Roman" w:cs="Times New Roman"/>
                      <w:color w:val="auto"/>
                      <w:sz w:val="21"/>
                      <w:highlight w:val="none"/>
                      <w:lang w:val="en-US" w:eastAsia="zh-CN"/>
                    </w:rPr>
                    <w:t>00:05</w:t>
                  </w:r>
                </w:p>
              </w:tc>
              <w:tc>
                <w:tcPr>
                  <w:tcW w:w="1161" w:type="pct"/>
                  <w:vAlign w:val="center"/>
                </w:tcPr>
                <w:p w14:paraId="413421A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天气：晴~晴</w:t>
                  </w:r>
                </w:p>
                <w:p w14:paraId="42CFFCA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风速：</w:t>
                  </w:r>
                  <w:r>
                    <w:rPr>
                      <w:rFonts w:hint="default" w:ascii="Times New Roman" w:hAnsi="Times New Roman" w:cs="Times New Roman"/>
                      <w:color w:val="auto"/>
                      <w:sz w:val="21"/>
                      <w:highlight w:val="none"/>
                      <w:lang w:val="en-US" w:eastAsia="zh-CN"/>
                    </w:rPr>
                    <w:t>2.7</w:t>
                  </w:r>
                  <w:r>
                    <w:rPr>
                      <w:rFonts w:hint="default" w:ascii="Times New Roman" w:hAnsi="Times New Roman" w:eastAsia="宋体" w:cs="Times New Roman"/>
                      <w:color w:val="auto"/>
                      <w:sz w:val="21"/>
                      <w:highlight w:val="none"/>
                      <w:lang w:val="en-US" w:eastAsia="zh-CN"/>
                    </w:rPr>
                    <w:t>（m/s）</w:t>
                  </w:r>
                </w:p>
                <w:p w14:paraId="491FB812">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风向：</w:t>
                  </w:r>
                  <w:r>
                    <w:rPr>
                      <w:rFonts w:hint="default" w:ascii="Times New Roman" w:hAnsi="Times New Roman" w:cs="Times New Roman"/>
                      <w:color w:val="auto"/>
                      <w:sz w:val="21"/>
                      <w:highlight w:val="none"/>
                      <w:lang w:val="en-US" w:eastAsia="zh-CN"/>
                    </w:rPr>
                    <w:t>西北</w:t>
                  </w:r>
                </w:p>
                <w:p w14:paraId="54B94CC7">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p>
              </w:tc>
              <w:tc>
                <w:tcPr>
                  <w:tcW w:w="1178" w:type="pct"/>
                  <w:vAlign w:val="center"/>
                </w:tcPr>
                <w:p w14:paraId="463990A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天气：晴~晴</w:t>
                  </w:r>
                </w:p>
                <w:p w14:paraId="4826EBB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风速：</w:t>
                  </w:r>
                  <w:r>
                    <w:rPr>
                      <w:rFonts w:hint="default" w:ascii="Times New Roman" w:hAnsi="Times New Roman" w:cs="Times New Roman"/>
                      <w:color w:val="auto"/>
                      <w:sz w:val="21"/>
                      <w:highlight w:val="none"/>
                      <w:lang w:val="en-US" w:eastAsia="zh-CN"/>
                    </w:rPr>
                    <w:t>2.4</w:t>
                  </w:r>
                  <w:r>
                    <w:rPr>
                      <w:rFonts w:hint="default" w:ascii="Times New Roman" w:hAnsi="Times New Roman" w:eastAsia="宋体" w:cs="Times New Roman"/>
                      <w:color w:val="auto"/>
                      <w:sz w:val="21"/>
                      <w:highlight w:val="none"/>
                      <w:lang w:val="en-US" w:eastAsia="zh-CN"/>
                    </w:rPr>
                    <w:t>（m/s）</w:t>
                  </w:r>
                </w:p>
                <w:p w14:paraId="7C160601">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风向：</w:t>
                  </w:r>
                  <w:r>
                    <w:rPr>
                      <w:rFonts w:hint="default" w:ascii="Times New Roman" w:hAnsi="Times New Roman" w:cs="Times New Roman"/>
                      <w:color w:val="auto"/>
                      <w:sz w:val="21"/>
                      <w:highlight w:val="none"/>
                      <w:lang w:val="en-US" w:eastAsia="zh-CN"/>
                    </w:rPr>
                    <w:t>西</w:t>
                  </w:r>
                  <w:r>
                    <w:rPr>
                      <w:rFonts w:hint="default" w:ascii="Times New Roman" w:hAnsi="Times New Roman" w:eastAsia="宋体" w:cs="Times New Roman"/>
                      <w:color w:val="auto"/>
                      <w:sz w:val="21"/>
                      <w:highlight w:val="none"/>
                      <w:lang w:val="en-US" w:eastAsia="zh-CN"/>
                    </w:rPr>
                    <w:t>北</w:t>
                  </w:r>
                </w:p>
                <w:p w14:paraId="274C9C7F">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p>
              </w:tc>
            </w:tr>
            <w:tr w14:paraId="2D15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299" w:type="pct"/>
                  <w:vMerge w:val="continue"/>
                  <w:vAlign w:val="center"/>
                </w:tcPr>
                <w:p w14:paraId="0230C0D1">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p>
              </w:tc>
              <w:tc>
                <w:tcPr>
                  <w:tcW w:w="673" w:type="pct"/>
                  <w:vMerge w:val="continue"/>
                  <w:vAlign w:val="center"/>
                </w:tcPr>
                <w:p w14:paraId="7AC3EEDE">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p>
              </w:tc>
              <w:tc>
                <w:tcPr>
                  <w:tcW w:w="628" w:type="pct"/>
                  <w:vMerge w:val="continue"/>
                  <w:vAlign w:val="center"/>
                </w:tcPr>
                <w:p w14:paraId="08218AF1">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highlight w:val="none"/>
                      <w:lang w:val="en-US" w:eastAsia="zh-CN"/>
                    </w:rPr>
                  </w:pPr>
                </w:p>
              </w:tc>
              <w:tc>
                <w:tcPr>
                  <w:tcW w:w="1058" w:type="pct"/>
                  <w:shd w:val="clear" w:color="auto" w:fill="auto"/>
                  <w:vAlign w:val="center"/>
                </w:tcPr>
                <w:p w14:paraId="02ECCEA6">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2026.7.</w:t>
                  </w:r>
                  <w:r>
                    <w:rPr>
                      <w:rFonts w:hint="eastAsia" w:ascii="Times New Roman" w:hAnsi="Times New Roman" w:cs="Times New Roman"/>
                      <w:color w:val="auto"/>
                      <w:sz w:val="21"/>
                      <w:highlight w:val="none"/>
                      <w:lang w:val="en-US" w:eastAsia="zh-CN"/>
                    </w:rPr>
                    <w:t>7</w:t>
                  </w:r>
                  <w:r>
                    <w:rPr>
                      <w:rFonts w:hint="default" w:ascii="Times New Roman" w:hAnsi="Times New Roman" w:eastAsia="宋体" w:cs="Times New Roman"/>
                      <w:color w:val="auto"/>
                      <w:sz w:val="21"/>
                      <w:highlight w:val="none"/>
                      <w:lang w:val="en-US" w:eastAsia="zh-CN"/>
                    </w:rPr>
                    <w:t>昼间：</w:t>
                  </w:r>
                </w:p>
                <w:p w14:paraId="5A69CD6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highlight w:val="none"/>
                      <w:lang w:val="en-US" w:eastAsia="zh-CN"/>
                    </w:rPr>
                  </w:pPr>
                  <w:r>
                    <w:rPr>
                      <w:rFonts w:hint="eastAsia" w:ascii="Times New Roman" w:cs="Times New Roman"/>
                      <w:color w:val="auto"/>
                      <w:sz w:val="21"/>
                      <w:highlight w:val="none"/>
                      <w:lang w:val="en-US" w:eastAsia="zh-CN"/>
                    </w:rPr>
                    <w:t>10</w:t>
                  </w:r>
                  <w:r>
                    <w:rPr>
                      <w:rFonts w:hint="default" w:ascii="Times New Roman" w:hAnsi="Times New Roman" w:cs="Times New Roman"/>
                      <w:color w:val="auto"/>
                      <w:sz w:val="21"/>
                      <w:highlight w:val="none"/>
                      <w:lang w:val="en-US" w:eastAsia="zh-CN"/>
                    </w:rPr>
                    <w:t>:</w:t>
                  </w:r>
                  <w:r>
                    <w:rPr>
                      <w:rFonts w:hint="eastAsia" w:ascii="Times New Roman" w:cs="Times New Roman"/>
                      <w:color w:val="auto"/>
                      <w:sz w:val="21"/>
                      <w:highlight w:val="none"/>
                      <w:lang w:val="en-US" w:eastAsia="zh-CN"/>
                    </w:rPr>
                    <w:t>07</w:t>
                  </w:r>
                  <w:r>
                    <w:rPr>
                      <w:rFonts w:hint="default" w:ascii="Times New Roman" w:hAnsi="Times New Roman" w:cs="Times New Roman"/>
                      <w:color w:val="auto"/>
                      <w:sz w:val="21"/>
                      <w:highlight w:val="none"/>
                      <w:lang w:val="en-US" w:eastAsia="zh-CN"/>
                    </w:rPr>
                    <w:t>-1</w:t>
                  </w:r>
                  <w:r>
                    <w:rPr>
                      <w:rFonts w:hint="eastAsia" w:ascii="Times New Roman" w:cs="Times New Roman"/>
                      <w:color w:val="auto"/>
                      <w:sz w:val="21"/>
                      <w:highlight w:val="none"/>
                      <w:lang w:val="en-US" w:eastAsia="zh-CN"/>
                    </w:rPr>
                    <w:t>1</w:t>
                  </w:r>
                  <w:r>
                    <w:rPr>
                      <w:rFonts w:hint="default" w:ascii="Times New Roman" w:hAnsi="Times New Roman" w:cs="Times New Roman"/>
                      <w:color w:val="auto"/>
                      <w:sz w:val="21"/>
                      <w:highlight w:val="none"/>
                      <w:lang w:val="en-US" w:eastAsia="zh-CN"/>
                    </w:rPr>
                    <w:t>:</w:t>
                  </w:r>
                  <w:r>
                    <w:rPr>
                      <w:rFonts w:hint="eastAsia" w:ascii="Times New Roman" w:cs="Times New Roman"/>
                      <w:color w:val="auto"/>
                      <w:sz w:val="21"/>
                      <w:highlight w:val="none"/>
                      <w:lang w:val="en-US" w:eastAsia="zh-CN"/>
                    </w:rPr>
                    <w:t>10</w:t>
                  </w:r>
                </w:p>
                <w:p w14:paraId="1A0B787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2026.7.</w:t>
                  </w:r>
                  <w:r>
                    <w:rPr>
                      <w:rFonts w:hint="eastAsia" w:ascii="Times New Roman" w:cs="Times New Roman"/>
                      <w:color w:val="auto"/>
                      <w:sz w:val="21"/>
                      <w:highlight w:val="none"/>
                      <w:lang w:val="en-US" w:eastAsia="zh-CN"/>
                    </w:rPr>
                    <w:t>7</w:t>
                  </w:r>
                  <w:r>
                    <w:rPr>
                      <w:rFonts w:hint="default" w:ascii="Times New Roman" w:hAnsi="Times New Roman" w:eastAsia="宋体" w:cs="Times New Roman"/>
                      <w:color w:val="auto"/>
                      <w:sz w:val="21"/>
                      <w:highlight w:val="none"/>
                      <w:lang w:val="en-US" w:eastAsia="zh-CN"/>
                    </w:rPr>
                    <w:t>夜间：</w:t>
                  </w:r>
                </w:p>
                <w:p w14:paraId="23C65C97">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cs="Times New Roman"/>
                      <w:color w:val="auto"/>
                      <w:sz w:val="21"/>
                      <w:highlight w:val="none"/>
                      <w:lang w:val="en-US" w:eastAsia="zh-CN"/>
                    </w:rPr>
                    <w:t>23</w:t>
                  </w:r>
                  <w:r>
                    <w:rPr>
                      <w:rFonts w:hint="default" w:ascii="Times New Roman" w:hAnsi="Times New Roman" w:eastAsia="宋体" w:cs="Times New Roman"/>
                      <w:color w:val="auto"/>
                      <w:sz w:val="21"/>
                      <w:highlight w:val="none"/>
                      <w:lang w:val="en-US" w:eastAsia="zh-CN"/>
                    </w:rPr>
                    <w:t>：</w:t>
                  </w:r>
                  <w:r>
                    <w:rPr>
                      <w:rFonts w:hint="eastAsia" w:ascii="Times New Roman" w:cs="Times New Roman"/>
                      <w:color w:val="auto"/>
                      <w:sz w:val="21"/>
                      <w:highlight w:val="none"/>
                      <w:lang w:val="en-US" w:eastAsia="zh-CN"/>
                    </w:rPr>
                    <w:t>35</w:t>
                  </w:r>
                  <w:r>
                    <w:rPr>
                      <w:rFonts w:hint="default" w:ascii="Times New Roman" w:hAnsi="Times New Roman" w:eastAsia="宋体" w:cs="Times New Roman"/>
                      <w:color w:val="auto"/>
                      <w:sz w:val="21"/>
                      <w:highlight w:val="none"/>
                      <w:lang w:val="en-US" w:eastAsia="zh-CN"/>
                    </w:rPr>
                    <w:t>-</w:t>
                  </w:r>
                  <w:r>
                    <w:rPr>
                      <w:rFonts w:hint="default" w:ascii="Times New Roman" w:hAnsi="Times New Roman" w:cs="Times New Roman"/>
                      <w:color w:val="auto"/>
                      <w:sz w:val="21"/>
                      <w:highlight w:val="none"/>
                      <w:lang w:val="en-US" w:eastAsia="zh-CN"/>
                    </w:rPr>
                    <w:t>00:</w:t>
                  </w:r>
                  <w:r>
                    <w:rPr>
                      <w:rFonts w:hint="eastAsia" w:ascii="Times New Roman" w:cs="Times New Roman"/>
                      <w:color w:val="auto"/>
                      <w:sz w:val="21"/>
                      <w:highlight w:val="none"/>
                      <w:lang w:val="en-US" w:eastAsia="zh-CN"/>
                    </w:rPr>
                    <w:t>32</w:t>
                  </w:r>
                </w:p>
              </w:tc>
              <w:tc>
                <w:tcPr>
                  <w:tcW w:w="1161" w:type="pct"/>
                  <w:shd w:val="clear" w:color="auto" w:fill="auto"/>
                  <w:vAlign w:val="center"/>
                </w:tcPr>
                <w:p w14:paraId="73896588">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天气：晴~晴</w:t>
                  </w:r>
                </w:p>
                <w:p w14:paraId="53D3109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风速：</w:t>
                  </w:r>
                  <w:r>
                    <w:rPr>
                      <w:rFonts w:hint="default" w:ascii="Times New Roman" w:hAnsi="Times New Roman" w:cs="Times New Roman"/>
                      <w:color w:val="auto"/>
                      <w:sz w:val="21"/>
                      <w:highlight w:val="none"/>
                      <w:lang w:val="en-US" w:eastAsia="zh-CN"/>
                    </w:rPr>
                    <w:t>2.</w:t>
                  </w:r>
                  <w:r>
                    <w:rPr>
                      <w:rFonts w:hint="eastAsia" w:ascii="Times New Roman" w:cs="Times New Roman"/>
                      <w:color w:val="auto"/>
                      <w:sz w:val="21"/>
                      <w:highlight w:val="none"/>
                      <w:lang w:val="en-US" w:eastAsia="zh-CN"/>
                    </w:rPr>
                    <w:t>5</w:t>
                  </w:r>
                  <w:r>
                    <w:rPr>
                      <w:rFonts w:hint="default" w:ascii="Times New Roman" w:hAnsi="Times New Roman" w:eastAsia="宋体" w:cs="Times New Roman"/>
                      <w:color w:val="auto"/>
                      <w:sz w:val="21"/>
                      <w:highlight w:val="none"/>
                      <w:lang w:val="en-US" w:eastAsia="zh-CN"/>
                    </w:rPr>
                    <w:t>（m/s）</w:t>
                  </w:r>
                </w:p>
                <w:p w14:paraId="48A03A0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风向：</w:t>
                  </w:r>
                  <w:r>
                    <w:rPr>
                      <w:rFonts w:hint="default" w:ascii="Times New Roman" w:hAnsi="Times New Roman" w:cs="Times New Roman"/>
                      <w:color w:val="auto"/>
                      <w:sz w:val="21"/>
                      <w:highlight w:val="none"/>
                      <w:lang w:val="en-US" w:eastAsia="zh-CN"/>
                    </w:rPr>
                    <w:t>西北</w:t>
                  </w:r>
                </w:p>
                <w:p w14:paraId="316836AC">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p>
              </w:tc>
              <w:tc>
                <w:tcPr>
                  <w:tcW w:w="1178" w:type="pct"/>
                  <w:shd w:val="clear" w:color="auto" w:fill="auto"/>
                  <w:vAlign w:val="center"/>
                </w:tcPr>
                <w:p w14:paraId="185BCA9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天气：晴~晴</w:t>
                  </w:r>
                </w:p>
                <w:p w14:paraId="4EBEAF4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风速：</w:t>
                  </w:r>
                  <w:r>
                    <w:rPr>
                      <w:rFonts w:hint="default" w:ascii="Times New Roman" w:hAnsi="Times New Roman" w:cs="Times New Roman"/>
                      <w:color w:val="auto"/>
                      <w:sz w:val="21"/>
                      <w:highlight w:val="none"/>
                      <w:lang w:val="en-US" w:eastAsia="zh-CN"/>
                    </w:rPr>
                    <w:t>2.</w:t>
                  </w:r>
                  <w:r>
                    <w:rPr>
                      <w:rFonts w:hint="eastAsia" w:ascii="Times New Roman" w:cs="Times New Roman"/>
                      <w:color w:val="auto"/>
                      <w:sz w:val="21"/>
                      <w:highlight w:val="none"/>
                      <w:lang w:val="en-US" w:eastAsia="zh-CN"/>
                    </w:rPr>
                    <w:t>6</w:t>
                  </w:r>
                  <w:r>
                    <w:rPr>
                      <w:rFonts w:hint="default" w:ascii="Times New Roman" w:hAnsi="Times New Roman" w:eastAsia="宋体" w:cs="Times New Roman"/>
                      <w:color w:val="auto"/>
                      <w:sz w:val="21"/>
                      <w:highlight w:val="none"/>
                      <w:lang w:val="en-US" w:eastAsia="zh-CN"/>
                    </w:rPr>
                    <w:t>（m/s）</w:t>
                  </w:r>
                </w:p>
                <w:p w14:paraId="6C947E0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风向：</w:t>
                  </w:r>
                  <w:r>
                    <w:rPr>
                      <w:rFonts w:hint="default" w:ascii="Times New Roman" w:hAnsi="Times New Roman" w:cs="Times New Roman"/>
                      <w:color w:val="auto"/>
                      <w:sz w:val="21"/>
                      <w:highlight w:val="none"/>
                      <w:lang w:val="en-US" w:eastAsia="zh-CN"/>
                    </w:rPr>
                    <w:t>西</w:t>
                  </w:r>
                  <w:r>
                    <w:rPr>
                      <w:rFonts w:hint="default" w:ascii="Times New Roman" w:hAnsi="Times New Roman" w:eastAsia="宋体" w:cs="Times New Roman"/>
                      <w:color w:val="auto"/>
                      <w:sz w:val="21"/>
                      <w:highlight w:val="none"/>
                      <w:lang w:val="en-US" w:eastAsia="zh-CN"/>
                    </w:rPr>
                    <w:t>北</w:t>
                  </w:r>
                </w:p>
                <w:p w14:paraId="4465F3EE">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auto"/>
                      <w:kern w:val="2"/>
                      <w:sz w:val="21"/>
                      <w:szCs w:val="21"/>
                      <w:highlight w:val="none"/>
                      <w:lang w:val="en-US" w:eastAsia="zh-CN" w:bidi="ar-SA"/>
                    </w:rPr>
                  </w:pPr>
                </w:p>
              </w:tc>
            </w:tr>
          </w:tbl>
          <w:p w14:paraId="06B6434A">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color w:val="auto"/>
                <w:kern w:val="0"/>
                <w:sz w:val="24"/>
                <w:szCs w:val="20"/>
                <w:highlight w:val="none"/>
              </w:rPr>
              <w:t>（</w:t>
            </w:r>
            <w:r>
              <w:rPr>
                <w:rFonts w:hint="default" w:ascii="Times New Roman" w:hAnsi="Times New Roman" w:cs="Times New Roman"/>
                <w:color w:val="auto"/>
                <w:kern w:val="0"/>
                <w:sz w:val="24"/>
                <w:szCs w:val="20"/>
                <w:highlight w:val="none"/>
                <w:lang w:val="en-US" w:eastAsia="zh-CN"/>
              </w:rPr>
              <w:t>6</w:t>
            </w:r>
            <w:r>
              <w:rPr>
                <w:rFonts w:hint="default" w:ascii="Times New Roman" w:hAnsi="Times New Roman" w:eastAsia="宋体" w:cs="Times New Roman"/>
                <w:color w:val="auto"/>
                <w:kern w:val="0"/>
                <w:sz w:val="24"/>
                <w:szCs w:val="20"/>
                <w:highlight w:val="none"/>
              </w:rPr>
              <w:t>）监测结果及评价</w:t>
            </w:r>
          </w:p>
          <w:p w14:paraId="1280C8ED">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color w:val="auto"/>
                <w:kern w:val="0"/>
                <w:sz w:val="24"/>
                <w:szCs w:val="20"/>
                <w:highlight w:val="none"/>
              </w:rPr>
              <w:t>本工程</w:t>
            </w:r>
            <w:r>
              <w:rPr>
                <w:rFonts w:hint="default" w:ascii="Times New Roman" w:hAnsi="Times New Roman" w:cs="Times New Roman"/>
                <w:color w:val="auto"/>
                <w:kern w:val="0"/>
                <w:sz w:val="24"/>
                <w:szCs w:val="20"/>
                <w:highlight w:val="none"/>
                <w:lang w:val="en-US" w:eastAsia="zh-CN"/>
              </w:rPr>
              <w:t>声环境</w:t>
            </w:r>
            <w:r>
              <w:rPr>
                <w:rFonts w:hint="default" w:ascii="Times New Roman" w:hAnsi="Times New Roman" w:eastAsia="宋体" w:cs="Times New Roman"/>
                <w:color w:val="auto"/>
                <w:kern w:val="0"/>
                <w:sz w:val="24"/>
                <w:szCs w:val="20"/>
                <w:highlight w:val="none"/>
              </w:rPr>
              <w:t>现状监测结果</w:t>
            </w:r>
            <w:r>
              <w:rPr>
                <w:rFonts w:hint="eastAsia" w:ascii="Times New Roman" w:hAnsi="Times New Roman" w:cs="Times New Roman"/>
                <w:color w:val="auto"/>
                <w:kern w:val="0"/>
                <w:sz w:val="24"/>
                <w:szCs w:val="20"/>
                <w:highlight w:val="none"/>
                <w:lang w:val="en-US" w:eastAsia="zh-CN"/>
              </w:rPr>
              <w:t>最大值</w:t>
            </w:r>
            <w:r>
              <w:rPr>
                <w:rFonts w:hint="default" w:ascii="Times New Roman" w:hAnsi="Times New Roman" w:eastAsia="宋体" w:cs="Times New Roman"/>
                <w:color w:val="auto"/>
                <w:kern w:val="0"/>
                <w:sz w:val="24"/>
                <w:szCs w:val="20"/>
                <w:highlight w:val="none"/>
              </w:rPr>
              <w:t>见表</w:t>
            </w:r>
            <w:r>
              <w:rPr>
                <w:rFonts w:hint="default" w:ascii="Times New Roman" w:hAnsi="Times New Roman" w:cs="Times New Roman"/>
                <w:color w:val="auto"/>
                <w:kern w:val="0"/>
                <w:sz w:val="24"/>
                <w:szCs w:val="20"/>
                <w:highlight w:val="none"/>
                <w:lang w:val="en-US" w:eastAsia="zh-CN"/>
              </w:rPr>
              <w:t>3-4</w:t>
            </w:r>
            <w:r>
              <w:rPr>
                <w:rFonts w:hint="default" w:ascii="Times New Roman" w:hAnsi="Times New Roman" w:eastAsia="宋体" w:cs="Times New Roman"/>
                <w:color w:val="auto"/>
                <w:kern w:val="0"/>
                <w:sz w:val="24"/>
                <w:szCs w:val="20"/>
                <w:highlight w:val="none"/>
              </w:rPr>
              <w:t>所示。</w:t>
            </w:r>
          </w:p>
          <w:p w14:paraId="66EC85CA">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表3-</w:t>
            </w:r>
            <w:r>
              <w:rPr>
                <w:rFonts w:hint="default" w:ascii="Times New Roman" w:hAnsi="Times New Roman" w:cs="Times New Roman"/>
                <w:b/>
                <w:bCs w:val="0"/>
                <w:color w:val="auto"/>
                <w:kern w:val="0"/>
                <w:sz w:val="21"/>
                <w:szCs w:val="21"/>
                <w:highlight w:val="none"/>
                <w:lang w:val="en-US" w:eastAsia="zh-CN"/>
              </w:rPr>
              <w:t>4</w:t>
            </w:r>
            <w:r>
              <w:rPr>
                <w:rFonts w:hint="default" w:ascii="Times New Roman" w:hAnsi="Times New Roman" w:eastAsia="宋体" w:cs="Times New Roman"/>
                <w:b/>
                <w:bCs w:val="0"/>
                <w:color w:val="auto"/>
                <w:kern w:val="0"/>
                <w:sz w:val="21"/>
                <w:szCs w:val="21"/>
                <w:highlight w:val="none"/>
                <w:lang w:val="en-US" w:eastAsia="zh-CN"/>
              </w:rPr>
              <w:t xml:space="preserve">   声环境测量结果一览表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3664"/>
              <w:gridCol w:w="2241"/>
              <w:gridCol w:w="2507"/>
            </w:tblGrid>
            <w:tr w14:paraId="3C2C8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000" w:type="pct"/>
                  <w:gridSpan w:val="4"/>
                  <w:vAlign w:val="center"/>
                </w:tcPr>
                <w:p w14:paraId="3B3BA2A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检测对象名称：升压站检测点</w:t>
                  </w:r>
                </w:p>
              </w:tc>
            </w:tr>
            <w:tr w14:paraId="5A55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7" w:type="pct"/>
                  <w:vMerge w:val="restart"/>
                  <w:vAlign w:val="center"/>
                </w:tcPr>
                <w:p w14:paraId="314A663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编号</w:t>
                  </w:r>
                </w:p>
              </w:tc>
              <w:tc>
                <w:tcPr>
                  <w:tcW w:w="1957" w:type="pct"/>
                  <w:vMerge w:val="restart"/>
                  <w:vAlign w:val="center"/>
                </w:tcPr>
                <w:p w14:paraId="11382A76">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检测点位置</w:t>
                  </w:r>
                </w:p>
              </w:tc>
              <w:tc>
                <w:tcPr>
                  <w:tcW w:w="2535" w:type="pct"/>
                  <w:gridSpan w:val="2"/>
                  <w:vAlign w:val="center"/>
                </w:tcPr>
                <w:p w14:paraId="6B036CC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单位dB(A)</w:t>
                  </w:r>
                </w:p>
              </w:tc>
            </w:tr>
            <w:tr w14:paraId="6193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7" w:type="pct"/>
                  <w:vMerge w:val="continue"/>
                  <w:vAlign w:val="center"/>
                </w:tcPr>
                <w:p w14:paraId="59F31D9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p>
              </w:tc>
              <w:tc>
                <w:tcPr>
                  <w:tcW w:w="1957" w:type="pct"/>
                  <w:vMerge w:val="continue"/>
                  <w:vAlign w:val="center"/>
                </w:tcPr>
                <w:p w14:paraId="0DC23838">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p>
              </w:tc>
              <w:tc>
                <w:tcPr>
                  <w:tcW w:w="1197" w:type="pct"/>
                  <w:vAlign w:val="center"/>
                </w:tcPr>
                <w:p w14:paraId="4C2AAD4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昼间Leq</w:t>
                  </w:r>
                </w:p>
              </w:tc>
              <w:tc>
                <w:tcPr>
                  <w:tcW w:w="1338" w:type="pct"/>
                  <w:vAlign w:val="center"/>
                </w:tcPr>
                <w:p w14:paraId="7453D1D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夜间Leq</w:t>
                  </w:r>
                </w:p>
              </w:tc>
            </w:tr>
            <w:tr w14:paraId="1613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07" w:type="pct"/>
                  <w:vAlign w:val="center"/>
                </w:tcPr>
                <w:p w14:paraId="4C67C3C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ZS-0</w:t>
                  </w:r>
                  <w:r>
                    <w:rPr>
                      <w:rFonts w:hint="eastAsia" w:ascii="Times New Roman" w:hAnsi="Times New Roman" w:cs="Times New Roman" w:eastAsiaTheme="minorEastAsia"/>
                      <w:color w:val="auto"/>
                      <w:sz w:val="21"/>
                      <w:szCs w:val="21"/>
                      <w:highlight w:val="none"/>
                      <w:lang w:val="en-US" w:eastAsia="zh-CN"/>
                    </w:rPr>
                    <w:t>5</w:t>
                  </w:r>
                </w:p>
              </w:tc>
              <w:tc>
                <w:tcPr>
                  <w:tcW w:w="1957" w:type="pct"/>
                  <w:vAlign w:val="center"/>
                </w:tcPr>
                <w:p w14:paraId="5AFEB8DD">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升压站东侧</w:t>
                  </w:r>
                </w:p>
              </w:tc>
              <w:tc>
                <w:tcPr>
                  <w:tcW w:w="1197" w:type="pct"/>
                  <w:vAlign w:val="center"/>
                </w:tcPr>
                <w:p w14:paraId="18393CE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sz w:val="21"/>
                      <w:szCs w:val="21"/>
                      <w:highlight w:val="none"/>
                      <w:lang w:val="en-US" w:eastAsia="zh-CN"/>
                    </w:rPr>
                  </w:pPr>
                  <w:r>
                    <w:rPr>
                      <w:rFonts w:hint="eastAsia"/>
                      <w:color w:val="auto"/>
                      <w:szCs w:val="21"/>
                      <w:lang w:val="en-US" w:eastAsia="zh-CN"/>
                    </w:rPr>
                    <w:t>50</w:t>
                  </w:r>
                </w:p>
              </w:tc>
              <w:tc>
                <w:tcPr>
                  <w:tcW w:w="1338" w:type="pct"/>
                  <w:vAlign w:val="center"/>
                </w:tcPr>
                <w:p w14:paraId="39B70AF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40</w:t>
                  </w:r>
                </w:p>
              </w:tc>
            </w:tr>
            <w:tr w14:paraId="63E9C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07" w:type="pct"/>
                  <w:vAlign w:val="center"/>
                </w:tcPr>
                <w:p w14:paraId="3C8BF28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ZS-0</w:t>
                  </w:r>
                  <w:r>
                    <w:rPr>
                      <w:rFonts w:hint="eastAsia" w:ascii="Times New Roman" w:hAnsi="Times New Roman" w:cs="Times New Roman" w:eastAsiaTheme="minorEastAsia"/>
                      <w:color w:val="auto"/>
                      <w:sz w:val="21"/>
                      <w:szCs w:val="21"/>
                      <w:highlight w:val="none"/>
                      <w:lang w:val="en-US" w:eastAsia="zh-CN"/>
                    </w:rPr>
                    <w:t>6</w:t>
                  </w:r>
                </w:p>
              </w:tc>
              <w:tc>
                <w:tcPr>
                  <w:tcW w:w="1957" w:type="pct"/>
                  <w:vAlign w:val="center"/>
                </w:tcPr>
                <w:p w14:paraId="754163A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升压站南侧</w:t>
                  </w:r>
                </w:p>
              </w:tc>
              <w:tc>
                <w:tcPr>
                  <w:tcW w:w="1197" w:type="pct"/>
                  <w:vAlign w:val="center"/>
                </w:tcPr>
                <w:p w14:paraId="10FD7B18">
                  <w:pPr>
                    <w:keepNext w:val="0"/>
                    <w:keepLines w:val="0"/>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sz w:val="21"/>
                      <w:szCs w:val="21"/>
                      <w:highlight w:val="none"/>
                      <w:lang w:val="en-US" w:eastAsia="zh-CN"/>
                    </w:rPr>
                  </w:pPr>
                  <w:r>
                    <w:rPr>
                      <w:rFonts w:hint="eastAsia"/>
                      <w:color w:val="auto"/>
                      <w:szCs w:val="21"/>
                      <w:lang w:val="en-US" w:eastAsia="zh-CN"/>
                    </w:rPr>
                    <w:t>51</w:t>
                  </w:r>
                </w:p>
              </w:tc>
              <w:tc>
                <w:tcPr>
                  <w:tcW w:w="1338" w:type="pct"/>
                  <w:vAlign w:val="center"/>
                </w:tcPr>
                <w:p w14:paraId="27776EB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40</w:t>
                  </w:r>
                </w:p>
              </w:tc>
            </w:tr>
            <w:tr w14:paraId="4ECC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07" w:type="pct"/>
                  <w:vAlign w:val="center"/>
                </w:tcPr>
                <w:p w14:paraId="661E054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ZS-0</w:t>
                  </w:r>
                  <w:r>
                    <w:rPr>
                      <w:rFonts w:hint="eastAsia" w:ascii="Times New Roman" w:hAnsi="Times New Roman" w:cs="Times New Roman" w:eastAsiaTheme="minorEastAsia"/>
                      <w:color w:val="auto"/>
                      <w:sz w:val="21"/>
                      <w:szCs w:val="21"/>
                      <w:highlight w:val="none"/>
                      <w:lang w:val="en-US" w:eastAsia="zh-CN"/>
                    </w:rPr>
                    <w:t>7</w:t>
                  </w:r>
                </w:p>
              </w:tc>
              <w:tc>
                <w:tcPr>
                  <w:tcW w:w="1957" w:type="pct"/>
                  <w:vAlign w:val="center"/>
                </w:tcPr>
                <w:p w14:paraId="392EFB8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升压站西侧</w:t>
                  </w:r>
                </w:p>
              </w:tc>
              <w:tc>
                <w:tcPr>
                  <w:tcW w:w="1197" w:type="pct"/>
                  <w:vAlign w:val="center"/>
                </w:tcPr>
                <w:p w14:paraId="1D48211C">
                  <w:pPr>
                    <w:keepNext w:val="0"/>
                    <w:keepLines w:val="0"/>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sz w:val="21"/>
                      <w:szCs w:val="21"/>
                      <w:highlight w:val="none"/>
                      <w:lang w:val="en-US" w:eastAsia="zh-CN"/>
                    </w:rPr>
                  </w:pPr>
                  <w:r>
                    <w:rPr>
                      <w:rFonts w:hint="eastAsia"/>
                      <w:color w:val="auto"/>
                      <w:szCs w:val="21"/>
                      <w:lang w:val="en-US" w:eastAsia="zh-CN"/>
                    </w:rPr>
                    <w:t>51</w:t>
                  </w:r>
                </w:p>
              </w:tc>
              <w:tc>
                <w:tcPr>
                  <w:tcW w:w="1338" w:type="pct"/>
                  <w:vAlign w:val="center"/>
                </w:tcPr>
                <w:p w14:paraId="1DDCD21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41</w:t>
                  </w:r>
                </w:p>
              </w:tc>
            </w:tr>
            <w:tr w14:paraId="68BA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07" w:type="pct"/>
                  <w:vAlign w:val="center"/>
                </w:tcPr>
                <w:p w14:paraId="019F351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ZS-0</w:t>
                  </w:r>
                  <w:r>
                    <w:rPr>
                      <w:rFonts w:hint="eastAsia" w:ascii="Times New Roman" w:hAnsi="Times New Roman" w:cs="Times New Roman" w:eastAsiaTheme="minorEastAsia"/>
                      <w:color w:val="auto"/>
                      <w:sz w:val="21"/>
                      <w:szCs w:val="21"/>
                      <w:highlight w:val="none"/>
                      <w:lang w:val="en-US" w:eastAsia="zh-CN"/>
                    </w:rPr>
                    <w:t>8</w:t>
                  </w:r>
                </w:p>
              </w:tc>
              <w:tc>
                <w:tcPr>
                  <w:tcW w:w="1957" w:type="pct"/>
                  <w:vAlign w:val="center"/>
                </w:tcPr>
                <w:p w14:paraId="2A34C5F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升压站北侧</w:t>
                  </w:r>
                </w:p>
              </w:tc>
              <w:tc>
                <w:tcPr>
                  <w:tcW w:w="1197" w:type="pct"/>
                  <w:vAlign w:val="center"/>
                </w:tcPr>
                <w:p w14:paraId="4BD2B40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eastAsiaTheme="minorEastAsia"/>
                      <w:color w:val="auto"/>
                      <w:sz w:val="21"/>
                      <w:szCs w:val="21"/>
                      <w:highlight w:val="none"/>
                      <w:lang w:val="en-US" w:eastAsia="zh-CN"/>
                    </w:rPr>
                  </w:pPr>
                  <w:r>
                    <w:rPr>
                      <w:rFonts w:hint="eastAsia"/>
                      <w:color w:val="auto"/>
                      <w:szCs w:val="21"/>
                      <w:lang w:val="en-US" w:eastAsia="zh-CN"/>
                    </w:rPr>
                    <w:t>51</w:t>
                  </w:r>
                </w:p>
              </w:tc>
              <w:tc>
                <w:tcPr>
                  <w:tcW w:w="1338" w:type="pct"/>
                  <w:vAlign w:val="center"/>
                </w:tcPr>
                <w:p w14:paraId="76567C3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41</w:t>
                  </w:r>
                </w:p>
              </w:tc>
            </w:tr>
            <w:tr w14:paraId="1010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4"/>
                  <w:vAlign w:val="center"/>
                </w:tcPr>
                <w:p w14:paraId="28D4C32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稳态噪声□ 非稳态噪声☑</w:t>
                  </w:r>
                </w:p>
              </w:tc>
            </w:tr>
            <w:tr w14:paraId="4DBF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000" w:type="pct"/>
                  <w:gridSpan w:val="4"/>
                  <w:vAlign w:val="center"/>
                </w:tcPr>
                <w:p w14:paraId="5BC17924">
                  <w:pPr>
                    <w:pStyle w:val="65"/>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检测要求：1、稳态噪声：测量1min的等效声级Leq；2、非稳态噪声：测量整个正常工作时间（或代表性时段）的等效声级Leq；3、传声器高度：1.2m以上。</w:t>
                  </w:r>
                </w:p>
              </w:tc>
            </w:tr>
          </w:tbl>
          <w:p w14:paraId="3E99F7BF">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rPr>
              <w:t>从表</w:t>
            </w:r>
            <w:r>
              <w:rPr>
                <w:rFonts w:hint="default" w:ascii="Times New Roman" w:hAnsi="Times New Roman" w:cs="Times New Roman"/>
                <w:color w:val="auto"/>
                <w:kern w:val="0"/>
                <w:sz w:val="24"/>
                <w:szCs w:val="20"/>
                <w:highlight w:val="none"/>
                <w:lang w:val="en-US" w:eastAsia="zh-CN"/>
              </w:rPr>
              <w:t>3-6</w:t>
            </w:r>
            <w:r>
              <w:rPr>
                <w:rFonts w:hint="default" w:ascii="Times New Roman" w:hAnsi="Times New Roman" w:eastAsia="宋体" w:cs="Times New Roman"/>
                <w:color w:val="auto"/>
                <w:kern w:val="0"/>
                <w:sz w:val="24"/>
                <w:szCs w:val="20"/>
                <w:highlight w:val="none"/>
              </w:rPr>
              <w:t>可看出，</w:t>
            </w:r>
            <w:r>
              <w:rPr>
                <w:rFonts w:hint="eastAsia" w:cs="Times New Roman"/>
                <w:color w:val="auto"/>
                <w:kern w:val="0"/>
                <w:sz w:val="24"/>
                <w:szCs w:val="20"/>
                <w:highlight w:val="none"/>
                <w:lang w:val="en-US" w:eastAsia="zh-CN"/>
              </w:rPr>
              <w:t>升压</w:t>
            </w:r>
            <w:r>
              <w:rPr>
                <w:rFonts w:hint="default" w:ascii="Times New Roman" w:hAnsi="Times New Roman" w:cs="Times New Roman"/>
                <w:color w:val="auto"/>
                <w:kern w:val="0"/>
                <w:sz w:val="24"/>
                <w:szCs w:val="20"/>
                <w:highlight w:val="none"/>
                <w:lang w:val="en-US" w:eastAsia="zh-CN"/>
              </w:rPr>
              <w:t>站周边声环境现状监测值昼间为（</w:t>
            </w:r>
            <w:r>
              <w:rPr>
                <w:rFonts w:hint="eastAsia" w:ascii="Times New Roman" w:hAnsi="Times New Roman" w:cs="Times New Roman"/>
                <w:color w:val="auto"/>
                <w:kern w:val="0"/>
                <w:sz w:val="24"/>
                <w:szCs w:val="20"/>
                <w:highlight w:val="none"/>
                <w:lang w:val="en-US" w:eastAsia="zh-CN"/>
              </w:rPr>
              <w:t>50</w:t>
            </w:r>
            <w:r>
              <w:rPr>
                <w:rFonts w:hint="default" w:ascii="Times New Roman" w:hAnsi="Times New Roman" w:cs="Times New Roman"/>
                <w:color w:val="auto"/>
                <w:kern w:val="0"/>
                <w:sz w:val="24"/>
                <w:szCs w:val="20"/>
                <w:highlight w:val="none"/>
                <w:lang w:val="en-US" w:eastAsia="zh-CN"/>
              </w:rPr>
              <w:t>~</w:t>
            </w:r>
            <w:r>
              <w:rPr>
                <w:rFonts w:hint="eastAsia" w:ascii="Times New Roman" w:hAnsi="Times New Roman" w:cs="Times New Roman"/>
                <w:color w:val="auto"/>
                <w:kern w:val="0"/>
                <w:sz w:val="24"/>
                <w:szCs w:val="20"/>
                <w:highlight w:val="none"/>
                <w:lang w:val="en-US" w:eastAsia="zh-CN"/>
              </w:rPr>
              <w:t>51</w:t>
            </w:r>
            <w:r>
              <w:rPr>
                <w:rFonts w:hint="default" w:ascii="Times New Roman" w:hAnsi="Times New Roman" w:cs="Times New Roman"/>
                <w:color w:val="auto"/>
                <w:kern w:val="0"/>
                <w:sz w:val="24"/>
                <w:szCs w:val="20"/>
                <w:highlight w:val="none"/>
                <w:lang w:val="en-US" w:eastAsia="zh-CN"/>
              </w:rPr>
              <w:t>）dB（A），夜间为（</w:t>
            </w:r>
            <w:r>
              <w:rPr>
                <w:rFonts w:hint="eastAsia" w:ascii="Times New Roman" w:hAnsi="Times New Roman" w:cs="Times New Roman"/>
                <w:color w:val="auto"/>
                <w:kern w:val="0"/>
                <w:sz w:val="24"/>
                <w:szCs w:val="20"/>
                <w:highlight w:val="none"/>
                <w:lang w:val="en-US" w:eastAsia="zh-CN"/>
              </w:rPr>
              <w:t>40</w:t>
            </w:r>
            <w:r>
              <w:rPr>
                <w:rFonts w:hint="default" w:ascii="Times New Roman" w:hAnsi="Times New Roman" w:cs="Times New Roman"/>
                <w:color w:val="auto"/>
                <w:kern w:val="0"/>
                <w:sz w:val="24"/>
                <w:szCs w:val="20"/>
                <w:highlight w:val="none"/>
                <w:lang w:val="en-US" w:eastAsia="zh-CN"/>
              </w:rPr>
              <w:t>~</w:t>
            </w:r>
            <w:r>
              <w:rPr>
                <w:rFonts w:hint="eastAsia" w:ascii="Times New Roman" w:hAnsi="Times New Roman" w:cs="Times New Roman"/>
                <w:color w:val="auto"/>
                <w:kern w:val="0"/>
                <w:sz w:val="24"/>
                <w:szCs w:val="20"/>
                <w:highlight w:val="none"/>
                <w:lang w:val="en-US" w:eastAsia="zh-CN"/>
              </w:rPr>
              <w:t>41</w:t>
            </w:r>
            <w:r>
              <w:rPr>
                <w:rFonts w:hint="default" w:ascii="Times New Roman" w:hAnsi="Times New Roman" w:cs="Times New Roman"/>
                <w:color w:val="auto"/>
                <w:kern w:val="0"/>
                <w:sz w:val="24"/>
                <w:szCs w:val="20"/>
                <w:highlight w:val="none"/>
                <w:lang w:val="en-US" w:eastAsia="zh-CN"/>
              </w:rPr>
              <w:t>）dB（A），昼夜均满足《声环境质量标准》（GB3096-2008）2类要求。</w:t>
            </w:r>
          </w:p>
          <w:p w14:paraId="2D845FE4">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t>项目区域昼夜监测平均风速水平相近，但昼间噪声监测结果高于夜间。该现象主要受近地面大气湍流特性控制：昼间太阳辐射加热戈壁地表，近地面大气湍流活动强烈，同等平均风速条件下，气流瞬时脉动、涡旋扰动更强，风沙与砾石地表摩擦产生的背景噪声更高；夜间地表辐射降温，近地面大气层结趋于稳定，湍流活动显著减弱，气流流动相对平顺，本底噪声降低。</w:t>
            </w:r>
          </w:p>
        </w:tc>
      </w:tr>
      <w:tr w14:paraId="799918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12" w:type="dxa"/>
            <w:noWrap w:val="0"/>
            <w:vAlign w:val="center"/>
          </w:tcPr>
          <w:p w14:paraId="75A54BA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与项目有关的原有环境污染和生态破坏问题</w:t>
            </w:r>
          </w:p>
        </w:tc>
        <w:tc>
          <w:tcPr>
            <w:tcW w:w="8712" w:type="dxa"/>
            <w:noWrap w:val="0"/>
            <w:vAlign w:val="center"/>
          </w:tcPr>
          <w:p w14:paraId="30245165">
            <w:pPr>
              <w:pStyle w:val="65"/>
              <w:keepNext w:val="0"/>
              <w:keepLines w:val="0"/>
              <w:suppressLineNumbers w:val="0"/>
              <w:spacing w:before="0" w:beforeAutospacing="0" w:after="0" w:afterAutospacing="0"/>
              <w:ind w:left="0" w:right="0" w:firstLine="48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本工程实施后对环境的影响主要为电磁环境影响及声环境影响。</w:t>
            </w:r>
            <w:r>
              <w:rPr>
                <w:rFonts w:hint="default" w:ascii="Times New Roman" w:hAnsi="Times New Roman" w:cs="Times New Roman"/>
                <w:color w:val="auto"/>
                <w:highlight w:val="none"/>
                <w:lang w:val="en-US" w:eastAsia="zh-CN"/>
              </w:rPr>
              <w:t>本项目为新建工程</w:t>
            </w:r>
            <w:r>
              <w:rPr>
                <w:rFonts w:hint="default" w:ascii="Times New Roman" w:hAnsi="Times New Roman" w:cs="Times New Roman"/>
                <w:color w:val="auto"/>
                <w:highlight w:val="none"/>
                <w:lang w:eastAsia="zh-CN"/>
              </w:rPr>
              <w:t>，不存在原有环境问题。华润新能源额济纳旗100兆瓦风电项目</w:t>
            </w:r>
            <w:r>
              <w:rPr>
                <w:rFonts w:hint="eastAsia" w:ascii="Times New Roman" w:cs="Times New Roman"/>
                <w:color w:val="auto"/>
                <w:highlight w:val="none"/>
                <w:lang w:val="en-US" w:eastAsia="zh-CN"/>
              </w:rPr>
              <w:t>目前正在报审中。</w:t>
            </w:r>
          </w:p>
        </w:tc>
      </w:tr>
      <w:tr w14:paraId="50332E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812" w:type="dxa"/>
            <w:noWrap w:val="0"/>
            <w:vAlign w:val="center"/>
          </w:tcPr>
          <w:p w14:paraId="77CB4DC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lang w:val="en-US" w:eastAsia="zh-CN"/>
              </w:rPr>
              <w:t>生态</w:t>
            </w:r>
            <w:r>
              <w:rPr>
                <w:rFonts w:hint="default" w:ascii="Times New Roman" w:hAnsi="Times New Roman" w:cs="Times New Roman"/>
                <w:color w:val="auto"/>
                <w:kern w:val="0"/>
                <w:sz w:val="24"/>
                <w:szCs w:val="24"/>
                <w:highlight w:val="none"/>
              </w:rPr>
              <w:t>环境</w:t>
            </w:r>
          </w:p>
          <w:p w14:paraId="29DE2BD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保护</w:t>
            </w:r>
          </w:p>
          <w:p w14:paraId="73D151F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FF"/>
                <w:kern w:val="0"/>
                <w:sz w:val="24"/>
                <w:szCs w:val="24"/>
                <w:highlight w:val="none"/>
              </w:rPr>
            </w:pPr>
            <w:r>
              <w:rPr>
                <w:rFonts w:hint="default" w:ascii="Times New Roman" w:hAnsi="Times New Roman" w:cs="Times New Roman"/>
                <w:color w:val="auto"/>
                <w:kern w:val="0"/>
                <w:sz w:val="24"/>
                <w:szCs w:val="24"/>
                <w:highlight w:val="none"/>
              </w:rPr>
              <w:t>目标</w:t>
            </w:r>
          </w:p>
        </w:tc>
        <w:tc>
          <w:tcPr>
            <w:tcW w:w="8712" w:type="dxa"/>
            <w:noWrap w:val="0"/>
            <w:vAlign w:val="center"/>
          </w:tcPr>
          <w:p w14:paraId="4400293E">
            <w:pPr>
              <w:pStyle w:val="65"/>
              <w:keepNext w:val="0"/>
              <w:keepLines w:val="0"/>
              <w:suppressLineNumbers w:val="0"/>
              <w:spacing w:before="0" w:beforeAutospacing="0" w:after="0" w:afterAutospacing="0"/>
              <w:ind w:left="0" w:right="0" w:firstLine="482"/>
              <w:rPr>
                <w:rFonts w:hint="default" w:ascii="Times New Roman" w:hAnsi="Times New Roman" w:cs="Times New Roman"/>
                <w:b/>
                <w:bCs w:val="0"/>
                <w:color w:val="auto"/>
                <w:highlight w:val="none"/>
                <w:lang w:val="en-US" w:eastAsia="zh-CN"/>
              </w:rPr>
            </w:pPr>
            <w:r>
              <w:rPr>
                <w:rFonts w:hint="default" w:ascii="Times New Roman" w:hAnsi="Times New Roman" w:cs="Times New Roman"/>
                <w:b/>
                <w:bCs w:val="0"/>
                <w:color w:val="auto"/>
                <w:highlight w:val="none"/>
                <w:lang w:val="en-US" w:eastAsia="zh-CN"/>
              </w:rPr>
              <w:t>1、评价方法和评价因子</w:t>
            </w:r>
          </w:p>
          <w:p w14:paraId="1D1C1DC6">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（1）评价方法</w:t>
            </w:r>
          </w:p>
          <w:p w14:paraId="06BA0AB8">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电磁环境：本次评价对升压站电磁环境影响评价采用现状监测及类比监测的方式进行预测评价。</w:t>
            </w:r>
          </w:p>
          <w:p w14:paraId="1263293F">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声环境：本次评价对升压站噪声采用现状监测及预测的方式进行预测评价。</w:t>
            </w:r>
          </w:p>
          <w:p w14:paraId="5F90362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生态环境：本次评价对升压站周边的生态环境充分利用已有资料进行说明，生态环境影响采用定性</w:t>
            </w:r>
            <w:r>
              <w:rPr>
                <w:rFonts w:hint="eastAsia" w:ascii="Times New Roman" w:cs="Times New Roman"/>
                <w:color w:val="auto"/>
                <w:highlight w:val="none"/>
                <w:lang w:val="en-US" w:eastAsia="zh-CN"/>
              </w:rPr>
              <w:t>、定量</w:t>
            </w:r>
            <w:r>
              <w:rPr>
                <w:rFonts w:hint="default" w:ascii="Times New Roman" w:hAnsi="Times New Roman" w:eastAsia="宋体" w:cs="Times New Roman"/>
                <w:color w:val="auto"/>
                <w:highlight w:val="none"/>
                <w:lang w:val="en-US" w:eastAsia="zh-CN"/>
              </w:rPr>
              <w:t>分析。</w:t>
            </w:r>
          </w:p>
          <w:p w14:paraId="452FCD84">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（2）评价因子</w:t>
            </w:r>
          </w:p>
          <w:p w14:paraId="4E9E41F6">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评价因子如下：</w:t>
            </w:r>
          </w:p>
          <w:p w14:paraId="2893C1F6">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b/>
                <w:color w:val="000000"/>
                <w:sz w:val="21"/>
                <w:szCs w:val="21"/>
                <w:highlight w:val="none"/>
              </w:rPr>
            </w:pPr>
          </w:p>
          <w:p w14:paraId="62780C9C">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b/>
                <w:color w:val="000000"/>
                <w:sz w:val="21"/>
                <w:szCs w:val="21"/>
                <w:highlight w:val="none"/>
              </w:rPr>
            </w:pPr>
            <w:r>
              <w:rPr>
                <w:rFonts w:hint="default" w:ascii="Times New Roman" w:hAnsi="Times New Roman" w:cs="Times New Roman"/>
                <w:b/>
                <w:color w:val="000000"/>
                <w:sz w:val="21"/>
                <w:szCs w:val="21"/>
                <w:highlight w:val="none"/>
              </w:rPr>
              <w:t>表</w:t>
            </w:r>
            <w:r>
              <w:rPr>
                <w:rFonts w:hint="default" w:ascii="Times New Roman" w:hAnsi="Times New Roman" w:cs="Times New Roman"/>
                <w:b/>
                <w:color w:val="000000"/>
                <w:sz w:val="21"/>
                <w:szCs w:val="21"/>
                <w:highlight w:val="none"/>
                <w:lang w:val="en-US" w:eastAsia="zh-CN"/>
              </w:rPr>
              <w:t>3</w:t>
            </w:r>
            <w:r>
              <w:rPr>
                <w:rFonts w:hint="default" w:ascii="Times New Roman" w:hAnsi="Times New Roman" w:cs="Times New Roman"/>
                <w:b/>
                <w:color w:val="000000"/>
                <w:sz w:val="21"/>
                <w:szCs w:val="21"/>
                <w:highlight w:val="none"/>
              </w:rPr>
              <w:t>-</w:t>
            </w:r>
            <w:r>
              <w:rPr>
                <w:rFonts w:hint="default" w:ascii="Times New Roman" w:hAnsi="Times New Roman" w:cs="Times New Roman"/>
                <w:b/>
                <w:color w:val="000000"/>
                <w:sz w:val="21"/>
                <w:szCs w:val="21"/>
                <w:highlight w:val="none"/>
                <w:lang w:val="en-US" w:eastAsia="zh-CN"/>
              </w:rPr>
              <w:t>5</w:t>
            </w:r>
            <w:r>
              <w:rPr>
                <w:rFonts w:hint="default" w:ascii="Times New Roman" w:hAnsi="Times New Roman" w:cs="Times New Roman"/>
                <w:b/>
                <w:color w:val="000000"/>
                <w:sz w:val="21"/>
                <w:szCs w:val="21"/>
                <w:highlight w:val="none"/>
              </w:rPr>
              <w:t xml:space="preserve">  输变电工程主要环境影响评价因子汇总表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1019"/>
              <w:gridCol w:w="2601"/>
              <w:gridCol w:w="1078"/>
              <w:gridCol w:w="2706"/>
              <w:gridCol w:w="1078"/>
            </w:tblGrid>
            <w:tr w14:paraId="1BAB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noWrap w:val="0"/>
                  <w:vAlign w:val="center"/>
                </w:tcPr>
                <w:p w14:paraId="3930BD90">
                  <w:pPr>
                    <w:keepNext w:val="0"/>
                    <w:keepLines w:val="0"/>
                    <w:suppressLineNumbers w:val="0"/>
                    <w:autoSpaceDE w:val="0"/>
                    <w:autoSpaceDN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评价</w:t>
                  </w:r>
                </w:p>
                <w:p w14:paraId="6E5CAD8F">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kern w:val="0"/>
                      <w:sz w:val="21"/>
                      <w:szCs w:val="21"/>
                      <w:highlight w:val="none"/>
                    </w:rPr>
                    <w:t>阶段</w:t>
                  </w:r>
                </w:p>
              </w:tc>
              <w:tc>
                <w:tcPr>
                  <w:tcW w:w="924" w:type="dxa"/>
                  <w:noWrap w:val="0"/>
                  <w:vAlign w:val="center"/>
                </w:tcPr>
                <w:p w14:paraId="3A54D277">
                  <w:pPr>
                    <w:keepNext w:val="0"/>
                    <w:keepLines w:val="0"/>
                    <w:suppressLineNumbers w:val="0"/>
                    <w:autoSpaceDE w:val="0"/>
                    <w:autoSpaceDN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评价</w:t>
                  </w:r>
                </w:p>
                <w:p w14:paraId="11192E79">
                  <w:pPr>
                    <w:keepNext w:val="0"/>
                    <w:keepLines w:val="0"/>
                    <w:suppressLineNumbers w:val="0"/>
                    <w:autoSpaceDE w:val="0"/>
                    <w:autoSpaceDN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项目</w:t>
                  </w:r>
                </w:p>
              </w:tc>
              <w:tc>
                <w:tcPr>
                  <w:tcW w:w="2358" w:type="dxa"/>
                  <w:noWrap w:val="0"/>
                  <w:vAlign w:val="center"/>
                </w:tcPr>
                <w:p w14:paraId="2F39087D">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kern w:val="0"/>
                      <w:sz w:val="21"/>
                      <w:szCs w:val="21"/>
                      <w:highlight w:val="none"/>
                    </w:rPr>
                    <w:t>现状评价因子</w:t>
                  </w:r>
                </w:p>
              </w:tc>
              <w:tc>
                <w:tcPr>
                  <w:tcW w:w="977" w:type="dxa"/>
                  <w:noWrap w:val="0"/>
                  <w:vAlign w:val="center"/>
                </w:tcPr>
                <w:p w14:paraId="3E43C394">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sz w:val="21"/>
                      <w:szCs w:val="21"/>
                      <w:highlight w:val="none"/>
                    </w:rPr>
                    <w:t>单位</w:t>
                  </w:r>
                </w:p>
              </w:tc>
              <w:tc>
                <w:tcPr>
                  <w:tcW w:w="2453" w:type="dxa"/>
                  <w:noWrap w:val="0"/>
                  <w:vAlign w:val="center"/>
                </w:tcPr>
                <w:p w14:paraId="009B34AB">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kern w:val="0"/>
                      <w:sz w:val="21"/>
                      <w:szCs w:val="21"/>
                      <w:highlight w:val="none"/>
                    </w:rPr>
                    <w:t>预测评价因子</w:t>
                  </w:r>
                </w:p>
              </w:tc>
              <w:tc>
                <w:tcPr>
                  <w:tcW w:w="977" w:type="dxa"/>
                  <w:noWrap w:val="0"/>
                  <w:vAlign w:val="center"/>
                </w:tcPr>
                <w:p w14:paraId="44FDD578">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sz w:val="21"/>
                      <w:szCs w:val="21"/>
                      <w:highlight w:val="none"/>
                    </w:rPr>
                    <w:t>单位</w:t>
                  </w:r>
                </w:p>
              </w:tc>
            </w:tr>
            <w:tr w14:paraId="5E4E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Merge w:val="restart"/>
                  <w:noWrap w:val="0"/>
                  <w:vAlign w:val="center"/>
                </w:tcPr>
                <w:p w14:paraId="33A94CDA">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sz w:val="21"/>
                      <w:szCs w:val="21"/>
                      <w:highlight w:val="none"/>
                    </w:rPr>
                    <w:t>施工期</w:t>
                  </w:r>
                </w:p>
              </w:tc>
              <w:tc>
                <w:tcPr>
                  <w:tcW w:w="924" w:type="dxa"/>
                  <w:noWrap w:val="0"/>
                  <w:vAlign w:val="center"/>
                </w:tcPr>
                <w:p w14:paraId="7FE9127B">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sz w:val="21"/>
                      <w:szCs w:val="21"/>
                      <w:highlight w:val="none"/>
                    </w:rPr>
                    <w:t>声环境</w:t>
                  </w:r>
                </w:p>
              </w:tc>
              <w:tc>
                <w:tcPr>
                  <w:tcW w:w="2358" w:type="dxa"/>
                  <w:noWrap w:val="0"/>
                  <w:vAlign w:val="center"/>
                </w:tcPr>
                <w:p w14:paraId="4E990B1A">
                  <w:pPr>
                    <w:keepNext w:val="0"/>
                    <w:keepLines w:val="0"/>
                    <w:suppressLineNumbers w:val="0"/>
                    <w:autoSpaceDE w:val="0"/>
                    <w:autoSpaceDN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昼间、夜间等效声级，Leq</w:t>
                  </w:r>
                </w:p>
              </w:tc>
              <w:tc>
                <w:tcPr>
                  <w:tcW w:w="977" w:type="dxa"/>
                  <w:noWrap w:val="0"/>
                  <w:vAlign w:val="center"/>
                </w:tcPr>
                <w:p w14:paraId="3FAE99ED">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kern w:val="0"/>
                      <w:sz w:val="21"/>
                      <w:szCs w:val="21"/>
                      <w:highlight w:val="none"/>
                    </w:rPr>
                    <w:t>dB（A）</w:t>
                  </w:r>
                </w:p>
              </w:tc>
              <w:tc>
                <w:tcPr>
                  <w:tcW w:w="2453" w:type="dxa"/>
                  <w:noWrap w:val="0"/>
                  <w:vAlign w:val="center"/>
                </w:tcPr>
                <w:p w14:paraId="2AEA1574">
                  <w:pPr>
                    <w:keepNext w:val="0"/>
                    <w:keepLines w:val="0"/>
                    <w:suppressLineNumbers w:val="0"/>
                    <w:autoSpaceDE w:val="0"/>
                    <w:autoSpaceDN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昼间、夜间等效声级，Leq</w:t>
                  </w:r>
                </w:p>
              </w:tc>
              <w:tc>
                <w:tcPr>
                  <w:tcW w:w="977" w:type="dxa"/>
                  <w:noWrap w:val="0"/>
                  <w:vAlign w:val="center"/>
                </w:tcPr>
                <w:p w14:paraId="0BDDE8AF">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kern w:val="0"/>
                      <w:sz w:val="21"/>
                      <w:szCs w:val="21"/>
                      <w:highlight w:val="none"/>
                    </w:rPr>
                    <w:t>dB（A）</w:t>
                  </w:r>
                </w:p>
              </w:tc>
            </w:tr>
            <w:tr w14:paraId="133D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Merge w:val="continue"/>
                  <w:noWrap w:val="0"/>
                  <w:vAlign w:val="center"/>
                </w:tcPr>
                <w:p w14:paraId="7FEB70E1">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p>
              </w:tc>
              <w:tc>
                <w:tcPr>
                  <w:tcW w:w="924" w:type="dxa"/>
                  <w:noWrap w:val="0"/>
                  <w:vAlign w:val="center"/>
                </w:tcPr>
                <w:p w14:paraId="0EFD0748">
                  <w:pPr>
                    <w:keepNext w:val="0"/>
                    <w:keepLines w:val="0"/>
                    <w:suppressLineNumbers w:val="0"/>
                    <w:autoSpaceDE w:val="0"/>
                    <w:autoSpaceDN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生态</w:t>
                  </w:r>
                </w:p>
                <w:p w14:paraId="0CE197DD">
                  <w:pPr>
                    <w:keepNext w:val="0"/>
                    <w:keepLines w:val="0"/>
                    <w:suppressLineNumbers w:val="0"/>
                    <w:autoSpaceDE w:val="0"/>
                    <w:autoSpaceDN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环境</w:t>
                  </w:r>
                </w:p>
              </w:tc>
              <w:tc>
                <w:tcPr>
                  <w:tcW w:w="2358" w:type="dxa"/>
                  <w:noWrap w:val="0"/>
                  <w:vAlign w:val="center"/>
                </w:tcPr>
                <w:p w14:paraId="3FA6FBA3">
                  <w:pPr>
                    <w:keepNext w:val="0"/>
                    <w:keepLines w:val="0"/>
                    <w:suppressLineNumbers w:val="0"/>
                    <w:autoSpaceDE w:val="0"/>
                    <w:autoSpaceDN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kern w:val="0"/>
                      <w:sz w:val="21"/>
                      <w:szCs w:val="21"/>
                      <w:highlight w:val="none"/>
                    </w:rPr>
                    <w:t>生态系统及其生物因子、非生物因子</w:t>
                  </w:r>
                </w:p>
              </w:tc>
              <w:tc>
                <w:tcPr>
                  <w:tcW w:w="977" w:type="dxa"/>
                  <w:noWrap w:val="0"/>
                  <w:vAlign w:val="center"/>
                </w:tcPr>
                <w:p w14:paraId="1D8A8700">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sz w:val="21"/>
                      <w:szCs w:val="21"/>
                      <w:highlight w:val="none"/>
                    </w:rPr>
                    <w:t>-</w:t>
                  </w:r>
                </w:p>
              </w:tc>
              <w:tc>
                <w:tcPr>
                  <w:tcW w:w="2453" w:type="dxa"/>
                  <w:noWrap w:val="0"/>
                  <w:vAlign w:val="center"/>
                </w:tcPr>
                <w:p w14:paraId="2F60A463">
                  <w:pPr>
                    <w:keepNext w:val="0"/>
                    <w:keepLines w:val="0"/>
                    <w:suppressLineNumbers w:val="0"/>
                    <w:autoSpaceDE w:val="0"/>
                    <w:autoSpaceDN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kern w:val="0"/>
                      <w:sz w:val="21"/>
                      <w:szCs w:val="21"/>
                      <w:highlight w:val="none"/>
                    </w:rPr>
                    <w:t>生态系统及其生物因子、非生物因子</w:t>
                  </w:r>
                </w:p>
              </w:tc>
              <w:tc>
                <w:tcPr>
                  <w:tcW w:w="977" w:type="dxa"/>
                  <w:noWrap w:val="0"/>
                  <w:vAlign w:val="center"/>
                </w:tcPr>
                <w:p w14:paraId="44A5A635">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sz w:val="21"/>
                      <w:szCs w:val="21"/>
                      <w:highlight w:val="none"/>
                    </w:rPr>
                    <w:t>-</w:t>
                  </w:r>
                </w:p>
              </w:tc>
            </w:tr>
            <w:tr w14:paraId="70D6E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Merge w:val="restart"/>
                  <w:noWrap w:val="0"/>
                  <w:vAlign w:val="center"/>
                </w:tcPr>
                <w:p w14:paraId="3D26F5F7">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eastAsia="宋体" w:cs="Times New Roman"/>
                      <w:color w:val="000000"/>
                      <w:sz w:val="21"/>
                      <w:szCs w:val="21"/>
                      <w:highlight w:val="none"/>
                      <w:lang w:eastAsia="zh-CN"/>
                    </w:rPr>
                  </w:pPr>
                  <w:r>
                    <w:rPr>
                      <w:rFonts w:hint="default" w:ascii="Times New Roman" w:hAnsi="Times New Roman" w:cs="Times New Roman"/>
                      <w:color w:val="000000"/>
                      <w:kern w:val="0"/>
                      <w:sz w:val="21"/>
                      <w:szCs w:val="21"/>
                      <w:highlight w:val="none"/>
                      <w:lang w:eastAsia="zh-CN"/>
                    </w:rPr>
                    <w:t>运营期</w:t>
                  </w:r>
                </w:p>
              </w:tc>
              <w:tc>
                <w:tcPr>
                  <w:tcW w:w="924" w:type="dxa"/>
                  <w:vMerge w:val="restart"/>
                  <w:noWrap w:val="0"/>
                  <w:vAlign w:val="center"/>
                </w:tcPr>
                <w:p w14:paraId="672C1386">
                  <w:pPr>
                    <w:keepNext w:val="0"/>
                    <w:keepLines w:val="0"/>
                    <w:suppressLineNumbers w:val="0"/>
                    <w:autoSpaceDE w:val="0"/>
                    <w:autoSpaceDN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电磁</w:t>
                  </w:r>
                </w:p>
                <w:p w14:paraId="1756EA8A">
                  <w:pPr>
                    <w:keepNext w:val="0"/>
                    <w:keepLines w:val="0"/>
                    <w:suppressLineNumbers w:val="0"/>
                    <w:autoSpaceDE w:val="0"/>
                    <w:autoSpaceDN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环境</w:t>
                  </w:r>
                </w:p>
              </w:tc>
              <w:tc>
                <w:tcPr>
                  <w:tcW w:w="2358" w:type="dxa"/>
                  <w:noWrap w:val="0"/>
                  <w:vAlign w:val="center"/>
                </w:tcPr>
                <w:p w14:paraId="6F5B0AB8">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工频电场</w:t>
                  </w:r>
                </w:p>
              </w:tc>
              <w:tc>
                <w:tcPr>
                  <w:tcW w:w="977" w:type="dxa"/>
                  <w:noWrap w:val="0"/>
                  <w:vAlign w:val="center"/>
                </w:tcPr>
                <w:p w14:paraId="2D431968">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kV/m</w:t>
                  </w:r>
                </w:p>
              </w:tc>
              <w:tc>
                <w:tcPr>
                  <w:tcW w:w="2453" w:type="dxa"/>
                  <w:noWrap w:val="0"/>
                  <w:vAlign w:val="center"/>
                </w:tcPr>
                <w:p w14:paraId="3678EC19">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工频电场</w:t>
                  </w:r>
                </w:p>
              </w:tc>
              <w:tc>
                <w:tcPr>
                  <w:tcW w:w="977" w:type="dxa"/>
                  <w:noWrap w:val="0"/>
                  <w:vAlign w:val="center"/>
                </w:tcPr>
                <w:p w14:paraId="59C96FD6">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kV/m</w:t>
                  </w:r>
                </w:p>
              </w:tc>
            </w:tr>
            <w:tr w14:paraId="207A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Merge w:val="continue"/>
                  <w:noWrap w:val="0"/>
                  <w:vAlign w:val="center"/>
                </w:tcPr>
                <w:p w14:paraId="05B833F6">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p>
              </w:tc>
              <w:tc>
                <w:tcPr>
                  <w:tcW w:w="924" w:type="dxa"/>
                  <w:vMerge w:val="continue"/>
                  <w:noWrap w:val="0"/>
                  <w:vAlign w:val="center"/>
                </w:tcPr>
                <w:p w14:paraId="4B708A40">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p>
              </w:tc>
              <w:tc>
                <w:tcPr>
                  <w:tcW w:w="2358" w:type="dxa"/>
                  <w:noWrap w:val="0"/>
                  <w:vAlign w:val="center"/>
                </w:tcPr>
                <w:p w14:paraId="6D3EF626">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工频磁感应强度</w:t>
                  </w:r>
                </w:p>
              </w:tc>
              <w:tc>
                <w:tcPr>
                  <w:tcW w:w="977" w:type="dxa"/>
                  <w:noWrap w:val="0"/>
                  <w:vAlign w:val="center"/>
                </w:tcPr>
                <w:p w14:paraId="389E5C00">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eastAsia="CourierNewPSMT" w:cs="Times New Roman"/>
                      <w:color w:val="000000"/>
                      <w:kern w:val="0"/>
                      <w:sz w:val="21"/>
                      <w:szCs w:val="21"/>
                      <w:highlight w:val="none"/>
                    </w:rPr>
                    <w:t>μ</w:t>
                  </w:r>
                  <w:r>
                    <w:rPr>
                      <w:rFonts w:hint="default" w:ascii="Times New Roman" w:hAnsi="Times New Roman" w:cs="Times New Roman"/>
                      <w:color w:val="000000"/>
                      <w:kern w:val="0"/>
                      <w:sz w:val="21"/>
                      <w:szCs w:val="21"/>
                      <w:highlight w:val="none"/>
                    </w:rPr>
                    <w:t>T</w:t>
                  </w:r>
                </w:p>
              </w:tc>
              <w:tc>
                <w:tcPr>
                  <w:tcW w:w="2453" w:type="dxa"/>
                  <w:noWrap w:val="0"/>
                  <w:vAlign w:val="center"/>
                </w:tcPr>
                <w:p w14:paraId="2E1B5AA2">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工频磁感应强度</w:t>
                  </w:r>
                </w:p>
              </w:tc>
              <w:tc>
                <w:tcPr>
                  <w:tcW w:w="977" w:type="dxa"/>
                  <w:noWrap w:val="0"/>
                  <w:vAlign w:val="center"/>
                </w:tcPr>
                <w:p w14:paraId="2C96FB2F">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r>
                    <w:rPr>
                      <w:rFonts w:hint="default" w:ascii="Times New Roman" w:hAnsi="Times New Roman" w:eastAsia="CourierNewPSMT" w:cs="Times New Roman"/>
                      <w:color w:val="000000"/>
                      <w:kern w:val="0"/>
                      <w:sz w:val="21"/>
                      <w:szCs w:val="21"/>
                      <w:highlight w:val="none"/>
                    </w:rPr>
                    <w:t>μ</w:t>
                  </w:r>
                  <w:r>
                    <w:rPr>
                      <w:rFonts w:hint="default" w:ascii="Times New Roman" w:hAnsi="Times New Roman" w:cs="Times New Roman"/>
                      <w:color w:val="000000"/>
                      <w:kern w:val="0"/>
                      <w:sz w:val="21"/>
                      <w:szCs w:val="21"/>
                      <w:highlight w:val="none"/>
                    </w:rPr>
                    <w:t>T</w:t>
                  </w:r>
                </w:p>
              </w:tc>
            </w:tr>
            <w:tr w14:paraId="18BE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Merge w:val="continue"/>
                  <w:noWrap w:val="0"/>
                  <w:vAlign w:val="center"/>
                </w:tcPr>
                <w:p w14:paraId="48AF8317">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p>
              </w:tc>
              <w:tc>
                <w:tcPr>
                  <w:tcW w:w="924" w:type="dxa"/>
                  <w:noWrap w:val="0"/>
                  <w:vAlign w:val="center"/>
                </w:tcPr>
                <w:p w14:paraId="715B8407">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声环境</w:t>
                  </w:r>
                </w:p>
              </w:tc>
              <w:tc>
                <w:tcPr>
                  <w:tcW w:w="2358" w:type="dxa"/>
                  <w:noWrap w:val="0"/>
                  <w:vAlign w:val="center"/>
                </w:tcPr>
                <w:p w14:paraId="2AB2D869">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昼间、夜间等效声级，Leq</w:t>
                  </w:r>
                </w:p>
              </w:tc>
              <w:tc>
                <w:tcPr>
                  <w:tcW w:w="977" w:type="dxa"/>
                  <w:noWrap w:val="0"/>
                  <w:vAlign w:val="center"/>
                </w:tcPr>
                <w:p w14:paraId="5DF54D99">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dB（A）</w:t>
                  </w:r>
                </w:p>
              </w:tc>
              <w:tc>
                <w:tcPr>
                  <w:tcW w:w="2453" w:type="dxa"/>
                  <w:noWrap w:val="0"/>
                  <w:vAlign w:val="center"/>
                </w:tcPr>
                <w:p w14:paraId="3B1565C8">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昼间、夜间等效声级，Leq</w:t>
                  </w:r>
                </w:p>
              </w:tc>
              <w:tc>
                <w:tcPr>
                  <w:tcW w:w="977" w:type="dxa"/>
                  <w:noWrap w:val="0"/>
                  <w:vAlign w:val="center"/>
                </w:tcPr>
                <w:p w14:paraId="3AF14F56">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cs="Times New Roman"/>
                      <w:color w:val="000000"/>
                      <w:kern w:val="0"/>
                      <w:sz w:val="21"/>
                      <w:szCs w:val="21"/>
                      <w:highlight w:val="none"/>
                    </w:rPr>
                  </w:pPr>
                  <w:r>
                    <w:rPr>
                      <w:rFonts w:hint="default" w:ascii="Times New Roman" w:hAnsi="Times New Roman" w:cs="Times New Roman"/>
                      <w:color w:val="000000"/>
                      <w:kern w:val="0"/>
                      <w:sz w:val="21"/>
                      <w:szCs w:val="21"/>
                      <w:highlight w:val="none"/>
                    </w:rPr>
                    <w:t>dB（A）</w:t>
                  </w:r>
                </w:p>
              </w:tc>
            </w:tr>
            <w:tr w14:paraId="28D40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Merge w:val="continue"/>
                  <w:noWrap w:val="0"/>
                  <w:vAlign w:val="center"/>
                </w:tcPr>
                <w:p w14:paraId="3684E183">
                  <w:pPr>
                    <w:keepNext w:val="0"/>
                    <w:keepLines w:val="0"/>
                    <w:suppressLineNumbers w:val="0"/>
                    <w:tabs>
                      <w:tab w:val="left" w:pos="426"/>
                      <w:tab w:val="left" w:pos="2100"/>
                    </w:tabs>
                    <w:snapToGrid w:val="0"/>
                    <w:spacing w:before="0" w:beforeAutospacing="0" w:after="0" w:afterAutospacing="0"/>
                    <w:ind w:left="0" w:right="0" w:firstLine="0" w:firstLineChars="0"/>
                    <w:jc w:val="center"/>
                    <w:rPr>
                      <w:rFonts w:hint="default" w:ascii="Times New Roman" w:hAnsi="Times New Roman" w:cs="Times New Roman"/>
                      <w:color w:val="000000"/>
                      <w:sz w:val="21"/>
                      <w:szCs w:val="21"/>
                      <w:highlight w:val="none"/>
                    </w:rPr>
                  </w:pPr>
                </w:p>
              </w:tc>
              <w:tc>
                <w:tcPr>
                  <w:tcW w:w="924" w:type="dxa"/>
                  <w:noWrap w:val="0"/>
                  <w:vAlign w:val="center"/>
                </w:tcPr>
                <w:p w14:paraId="594DBE1F">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eastAsia="宋体" w:cs="Times New Roman"/>
                      <w:color w:val="000000"/>
                      <w:kern w:val="0"/>
                      <w:sz w:val="21"/>
                      <w:szCs w:val="21"/>
                      <w:highlight w:val="none"/>
                      <w:lang w:val="en-US" w:eastAsia="zh-CN"/>
                    </w:rPr>
                  </w:pPr>
                  <w:r>
                    <w:rPr>
                      <w:rFonts w:hint="default" w:ascii="Times New Roman" w:hAnsi="Times New Roman" w:cs="Times New Roman"/>
                      <w:color w:val="000000"/>
                      <w:kern w:val="0"/>
                      <w:sz w:val="21"/>
                      <w:szCs w:val="21"/>
                      <w:highlight w:val="none"/>
                      <w:lang w:val="en-US" w:eastAsia="zh-CN"/>
                    </w:rPr>
                    <w:t>地表水环境</w:t>
                  </w:r>
                </w:p>
              </w:tc>
              <w:tc>
                <w:tcPr>
                  <w:tcW w:w="2358" w:type="dxa"/>
                  <w:noWrap w:val="0"/>
                  <w:vAlign w:val="center"/>
                </w:tcPr>
                <w:p w14:paraId="71972E2D">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eastAsia="宋体" w:cs="Times New Roman"/>
                      <w:color w:val="000000"/>
                      <w:kern w:val="0"/>
                      <w:sz w:val="21"/>
                      <w:szCs w:val="21"/>
                      <w:highlight w:val="none"/>
                      <w:lang w:val="en-US" w:eastAsia="zh-CN"/>
                    </w:rPr>
                  </w:pPr>
                  <w:r>
                    <w:rPr>
                      <w:rFonts w:hint="default" w:ascii="Times New Roman" w:hAnsi="Times New Roman" w:cs="Times New Roman"/>
                      <w:color w:val="000000"/>
                      <w:kern w:val="0"/>
                      <w:sz w:val="21"/>
                      <w:szCs w:val="21"/>
                      <w:highlight w:val="none"/>
                      <w:lang w:val="en-US" w:eastAsia="zh-CN"/>
                    </w:rPr>
                    <w:t>/</w:t>
                  </w:r>
                </w:p>
              </w:tc>
              <w:tc>
                <w:tcPr>
                  <w:tcW w:w="977" w:type="dxa"/>
                  <w:noWrap w:val="0"/>
                  <w:vAlign w:val="center"/>
                </w:tcPr>
                <w:p w14:paraId="1338986D">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eastAsia="宋体" w:cs="Times New Roman"/>
                      <w:color w:val="000000"/>
                      <w:kern w:val="0"/>
                      <w:sz w:val="21"/>
                      <w:szCs w:val="21"/>
                      <w:highlight w:val="none"/>
                      <w:lang w:val="en-US" w:eastAsia="zh-CN"/>
                    </w:rPr>
                  </w:pPr>
                  <w:r>
                    <w:rPr>
                      <w:rFonts w:hint="default" w:ascii="Times New Roman" w:hAnsi="Times New Roman" w:cs="Times New Roman"/>
                      <w:color w:val="000000"/>
                      <w:kern w:val="0"/>
                      <w:sz w:val="21"/>
                      <w:szCs w:val="21"/>
                      <w:highlight w:val="none"/>
                      <w:lang w:val="en-US" w:eastAsia="zh-CN"/>
                    </w:rPr>
                    <w:t>/</w:t>
                  </w:r>
                </w:p>
              </w:tc>
              <w:tc>
                <w:tcPr>
                  <w:tcW w:w="2453" w:type="dxa"/>
                  <w:noWrap w:val="0"/>
                  <w:vAlign w:val="center"/>
                </w:tcPr>
                <w:p w14:paraId="3553A1E9">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eastAsia="宋体" w:cs="Times New Roman"/>
                      <w:color w:val="000000"/>
                      <w:kern w:val="0"/>
                      <w:sz w:val="21"/>
                      <w:szCs w:val="21"/>
                      <w:highlight w:val="none"/>
                      <w:vertAlign w:val="baseline"/>
                      <w:lang w:val="en-US" w:eastAsia="zh-CN"/>
                    </w:rPr>
                  </w:pPr>
                  <w:r>
                    <w:rPr>
                      <w:rFonts w:hint="default" w:ascii="Times New Roman" w:hAnsi="Times New Roman" w:cs="Times New Roman"/>
                      <w:color w:val="000000"/>
                      <w:kern w:val="0"/>
                      <w:sz w:val="21"/>
                      <w:szCs w:val="21"/>
                      <w:highlight w:val="none"/>
                      <w:lang w:val="en-US" w:eastAsia="zh-CN"/>
                    </w:rPr>
                    <w:t>BOD</w:t>
                  </w:r>
                  <w:r>
                    <w:rPr>
                      <w:rFonts w:hint="default" w:ascii="Times New Roman" w:hAnsi="Times New Roman" w:cs="Times New Roman"/>
                      <w:color w:val="000000"/>
                      <w:kern w:val="0"/>
                      <w:sz w:val="21"/>
                      <w:szCs w:val="21"/>
                      <w:highlight w:val="none"/>
                      <w:vertAlign w:val="subscript"/>
                      <w:lang w:val="en-US" w:eastAsia="zh-CN"/>
                    </w:rPr>
                    <w:t>5</w:t>
                  </w:r>
                  <w:r>
                    <w:rPr>
                      <w:rFonts w:hint="default" w:ascii="Times New Roman" w:hAnsi="Times New Roman" w:cs="Times New Roman"/>
                      <w:color w:val="000000"/>
                      <w:kern w:val="0"/>
                      <w:sz w:val="21"/>
                      <w:szCs w:val="21"/>
                      <w:highlight w:val="none"/>
                      <w:vertAlign w:val="baseline"/>
                      <w:lang w:val="en-US" w:eastAsia="zh-CN"/>
                    </w:rPr>
                    <w:t>、氨氮、阴离子表面活性剂、色度等</w:t>
                  </w:r>
                </w:p>
              </w:tc>
              <w:tc>
                <w:tcPr>
                  <w:tcW w:w="977" w:type="dxa"/>
                  <w:noWrap w:val="0"/>
                  <w:vAlign w:val="center"/>
                </w:tcPr>
                <w:p w14:paraId="74A05146">
                  <w:pPr>
                    <w:keepNext w:val="0"/>
                    <w:keepLines w:val="0"/>
                    <w:suppressLineNumbers w:val="0"/>
                    <w:autoSpaceDE w:val="0"/>
                    <w:autoSpaceDN w:val="0"/>
                    <w:adjustRightInd w:val="0"/>
                    <w:spacing w:before="0" w:beforeAutospacing="0" w:after="0" w:afterAutospacing="0"/>
                    <w:ind w:left="0" w:right="0" w:firstLine="0" w:firstLineChars="0"/>
                    <w:jc w:val="center"/>
                    <w:rPr>
                      <w:rFonts w:hint="default" w:ascii="Times New Roman" w:hAnsi="Times New Roman" w:eastAsia="宋体" w:cs="Times New Roman"/>
                      <w:color w:val="000000"/>
                      <w:kern w:val="0"/>
                      <w:sz w:val="21"/>
                      <w:szCs w:val="21"/>
                      <w:highlight w:val="none"/>
                      <w:lang w:val="en-US" w:eastAsia="zh-CN"/>
                    </w:rPr>
                  </w:pPr>
                  <w:r>
                    <w:rPr>
                      <w:rFonts w:hint="default" w:ascii="Times New Roman" w:hAnsi="Times New Roman" w:cs="Times New Roman"/>
                      <w:color w:val="000000"/>
                      <w:kern w:val="0"/>
                      <w:sz w:val="21"/>
                      <w:szCs w:val="21"/>
                      <w:highlight w:val="none"/>
                      <w:lang w:val="en-US" w:eastAsia="zh-CN"/>
                    </w:rPr>
                    <w:t>mg/L</w:t>
                  </w:r>
                </w:p>
              </w:tc>
            </w:tr>
          </w:tbl>
          <w:p w14:paraId="70289357">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val="0"/>
                <w:color w:val="auto"/>
                <w:highlight w:val="none"/>
                <w:lang w:eastAsia="zh-CN"/>
              </w:rPr>
            </w:pPr>
            <w:r>
              <w:rPr>
                <w:rFonts w:hint="default" w:ascii="Times New Roman" w:hAnsi="Times New Roman" w:cs="Times New Roman"/>
                <w:b/>
                <w:bCs w:val="0"/>
                <w:color w:val="auto"/>
                <w:highlight w:val="none"/>
                <w:lang w:val="en-US" w:eastAsia="zh-CN"/>
              </w:rPr>
              <w:t>2</w:t>
            </w:r>
            <w:r>
              <w:rPr>
                <w:rFonts w:hint="default" w:ascii="Times New Roman" w:hAnsi="Times New Roman" w:cs="Times New Roman"/>
                <w:b/>
                <w:bCs w:val="0"/>
                <w:color w:val="auto"/>
                <w:highlight w:val="none"/>
              </w:rPr>
              <w:t>、</w:t>
            </w:r>
            <w:r>
              <w:rPr>
                <w:rFonts w:hint="default" w:ascii="Times New Roman" w:hAnsi="Times New Roman" w:cs="Times New Roman"/>
                <w:b/>
                <w:bCs w:val="0"/>
                <w:color w:val="auto"/>
                <w:highlight w:val="none"/>
                <w:lang w:val="en-US" w:eastAsia="zh-CN"/>
              </w:rPr>
              <w:t>评价工作等级</w:t>
            </w:r>
          </w:p>
          <w:p w14:paraId="7C1E7304">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依据《建设项目环境影响评价技术导则 总纲》（HJ2.1-2016）、《环境影响评价技术导则 输变电》（HJ24-2020）、《环境影响评价技术导则 声环境》（HJ2.4-2021）和《环境影响评价技术导则 生态影响》（HJ19-2022）等确定本次评价工作的等级。</w:t>
            </w:r>
          </w:p>
          <w:p w14:paraId="49692E99">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（1）电磁环境</w:t>
            </w:r>
          </w:p>
          <w:p w14:paraId="19EA084D">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依据《环境影响评价技术导则 输变电》（HJ24-2020）中有关规定，电磁环境影响评价工作等级的划分见下表。</w:t>
            </w:r>
          </w:p>
          <w:p w14:paraId="2D09C0AC">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cs="Times New Roman"/>
                <w:b/>
                <w:bCs w:val="0"/>
                <w:color w:val="auto"/>
                <w:kern w:val="0"/>
                <w:sz w:val="21"/>
                <w:szCs w:val="21"/>
                <w:highlight w:val="none"/>
                <w:lang w:eastAsia="zh-CN"/>
              </w:rPr>
            </w:pPr>
            <w:r>
              <w:rPr>
                <w:rFonts w:hint="default" w:ascii="Times New Roman" w:hAnsi="Times New Roman" w:cs="Times New Roman"/>
                <w:b/>
                <w:bCs w:val="0"/>
                <w:color w:val="auto"/>
                <w:kern w:val="0"/>
                <w:sz w:val="21"/>
                <w:szCs w:val="21"/>
                <w:highlight w:val="none"/>
              </w:rPr>
              <w:t>表3-</w:t>
            </w:r>
            <w:r>
              <w:rPr>
                <w:rFonts w:hint="default" w:ascii="Times New Roman" w:hAnsi="Times New Roman" w:cs="Times New Roman"/>
                <w:b/>
                <w:bCs w:val="0"/>
                <w:color w:val="auto"/>
                <w:kern w:val="0"/>
                <w:sz w:val="21"/>
                <w:szCs w:val="21"/>
                <w:highlight w:val="none"/>
                <w:lang w:val="en-US" w:eastAsia="zh-CN"/>
              </w:rPr>
              <w:t xml:space="preserve">6  </w:t>
            </w:r>
            <w:r>
              <w:rPr>
                <w:rFonts w:hint="default" w:ascii="Times New Roman" w:hAnsi="Times New Roman" w:cs="Times New Roman"/>
                <w:b/>
                <w:bCs w:val="0"/>
                <w:color w:val="auto"/>
                <w:kern w:val="0"/>
                <w:sz w:val="21"/>
                <w:szCs w:val="21"/>
                <w:highlight w:val="none"/>
              </w:rPr>
              <w:t>输变电工程电磁环境影响评价工作等级</w:t>
            </w:r>
          </w:p>
          <w:tbl>
            <w:tblPr>
              <w:tblStyle w:val="30"/>
              <w:tblW w:w="49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7"/>
              <w:gridCol w:w="1508"/>
              <w:gridCol w:w="4214"/>
              <w:gridCol w:w="1894"/>
            </w:tblGrid>
            <w:tr w14:paraId="0D47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1" w:type="pct"/>
                  <w:noWrap w:val="0"/>
                  <w:vAlign w:val="center"/>
                </w:tcPr>
                <w:p w14:paraId="767C79A6">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eastAsia="zh-CN"/>
                    </w:rPr>
                  </w:pPr>
                  <w:r>
                    <w:rPr>
                      <w:rFonts w:hint="default" w:ascii="Times New Roman" w:hAnsi="Times New Roman" w:cs="Times New Roman"/>
                      <w:color w:val="auto"/>
                      <w:kern w:val="0"/>
                      <w:sz w:val="21"/>
                      <w:highlight w:val="none"/>
                      <w:lang w:val="en-US" w:eastAsia="zh-CN"/>
                    </w:rPr>
                    <w:t>电压等级</w:t>
                  </w:r>
                </w:p>
              </w:tc>
              <w:tc>
                <w:tcPr>
                  <w:tcW w:w="809" w:type="pct"/>
                  <w:noWrap w:val="0"/>
                  <w:vAlign w:val="center"/>
                </w:tcPr>
                <w:p w14:paraId="21903A2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工程</w:t>
                  </w:r>
                </w:p>
              </w:tc>
              <w:tc>
                <w:tcPr>
                  <w:tcW w:w="2261" w:type="pct"/>
                  <w:noWrap w:val="0"/>
                  <w:vAlign w:val="center"/>
                </w:tcPr>
                <w:p w14:paraId="0482F0C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条件</w:t>
                  </w:r>
                </w:p>
              </w:tc>
              <w:tc>
                <w:tcPr>
                  <w:tcW w:w="1016" w:type="pct"/>
                  <w:noWrap w:val="0"/>
                  <w:vAlign w:val="center"/>
                </w:tcPr>
                <w:p w14:paraId="672E56B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eastAsia="zh-CN"/>
                    </w:rPr>
                  </w:pPr>
                  <w:r>
                    <w:rPr>
                      <w:rFonts w:hint="default" w:ascii="Times New Roman" w:hAnsi="Times New Roman" w:cs="Times New Roman"/>
                      <w:color w:val="auto"/>
                      <w:kern w:val="0"/>
                      <w:sz w:val="21"/>
                      <w:highlight w:val="none"/>
                      <w:lang w:val="en-US" w:eastAsia="zh-CN"/>
                    </w:rPr>
                    <w:t>评价工作等级</w:t>
                  </w:r>
                </w:p>
              </w:tc>
            </w:tr>
            <w:tr w14:paraId="5322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1" w:type="pct"/>
                  <w:vMerge w:val="restart"/>
                  <w:noWrap w:val="0"/>
                  <w:vAlign w:val="center"/>
                </w:tcPr>
                <w:p w14:paraId="7383821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220~330kV</w:t>
                  </w:r>
                </w:p>
              </w:tc>
              <w:tc>
                <w:tcPr>
                  <w:tcW w:w="809" w:type="pct"/>
                  <w:vMerge w:val="restart"/>
                  <w:noWrap w:val="0"/>
                  <w:vAlign w:val="center"/>
                </w:tcPr>
                <w:p w14:paraId="12741298">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变电站</w:t>
                  </w:r>
                </w:p>
              </w:tc>
              <w:tc>
                <w:tcPr>
                  <w:tcW w:w="2261" w:type="pct"/>
                  <w:noWrap w:val="0"/>
                  <w:vAlign w:val="center"/>
                </w:tcPr>
                <w:p w14:paraId="188BC541">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户内式、地下式</w:t>
                  </w:r>
                </w:p>
              </w:tc>
              <w:tc>
                <w:tcPr>
                  <w:tcW w:w="1016" w:type="pct"/>
                  <w:noWrap w:val="0"/>
                  <w:vAlign w:val="center"/>
                </w:tcPr>
                <w:p w14:paraId="0B2D4A82">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三级</w:t>
                  </w:r>
                </w:p>
              </w:tc>
            </w:tr>
            <w:tr w14:paraId="3A71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1" w:type="pct"/>
                  <w:vMerge w:val="continue"/>
                  <w:noWrap w:val="0"/>
                  <w:vAlign w:val="center"/>
                </w:tcPr>
                <w:p w14:paraId="5106B5C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p>
              </w:tc>
              <w:tc>
                <w:tcPr>
                  <w:tcW w:w="809" w:type="pct"/>
                  <w:vMerge w:val="continue"/>
                  <w:noWrap w:val="0"/>
                  <w:vAlign w:val="center"/>
                </w:tcPr>
                <w:p w14:paraId="429AE888">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p>
              </w:tc>
              <w:tc>
                <w:tcPr>
                  <w:tcW w:w="2261" w:type="pct"/>
                  <w:noWrap w:val="0"/>
                  <w:vAlign w:val="center"/>
                </w:tcPr>
                <w:p w14:paraId="4A10358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户外式</w:t>
                  </w:r>
                </w:p>
              </w:tc>
              <w:tc>
                <w:tcPr>
                  <w:tcW w:w="1016" w:type="pct"/>
                  <w:noWrap w:val="0"/>
                  <w:vAlign w:val="center"/>
                </w:tcPr>
                <w:p w14:paraId="5AEBC6AC">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二级</w:t>
                  </w:r>
                </w:p>
              </w:tc>
            </w:tr>
          </w:tbl>
          <w:p w14:paraId="50D1538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0000FF"/>
                <w:highlight w:val="none"/>
                <w:lang w:val="en-US" w:eastAsia="zh-CN"/>
              </w:rPr>
            </w:pPr>
            <w:r>
              <w:rPr>
                <w:rFonts w:hint="default" w:ascii="Times New Roman" w:hAnsi="Times New Roman" w:cs="Times New Roman"/>
                <w:color w:val="auto"/>
                <w:highlight w:val="none"/>
                <w:lang w:val="en-US" w:eastAsia="zh-CN"/>
              </w:rPr>
              <w:t>根据表3-7分析，本工程220kV升压站为户外式，评价工作等级确定为二级</w:t>
            </w:r>
            <w:r>
              <w:rPr>
                <w:rFonts w:hint="default" w:ascii="Times New Roman" w:hAnsi="Times New Roman" w:cs="Times New Roman"/>
                <w:color w:val="0000FF"/>
                <w:highlight w:val="none"/>
                <w:lang w:val="en-US" w:eastAsia="zh-CN"/>
              </w:rPr>
              <w:t>。</w:t>
            </w:r>
          </w:p>
          <w:p w14:paraId="49C6332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（2）声环境</w:t>
            </w:r>
          </w:p>
          <w:p w14:paraId="31F5F51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所处声环境功能区为2类功能区，根据《环境影响评价技术导则声环境》（HJ2.4-2021）规定，“建设项目所处的声环境功能区为GB3096规定的1类、2类地区，或建设项目建设前后评价范围内声环境保护目标噪声级增量达3dB(A)~5dB(A)，或受噪声影响人口数量增加较多时，按二级评价。”</w:t>
            </w:r>
          </w:p>
          <w:p w14:paraId="10132ED4">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本项目所处区域为2类功能区，噪声评价范围内无敏感目标分布，无受噪声影响人口数量增加，因此，声环境影响评价等级确定为二级</w:t>
            </w:r>
            <w:r>
              <w:rPr>
                <w:rFonts w:hint="default" w:ascii="Times New Roman" w:hAnsi="Times New Roman" w:cs="Times New Roman"/>
                <w:color w:val="auto"/>
                <w:highlight w:val="none"/>
                <w:lang w:val="en-US" w:eastAsia="zh-CN"/>
              </w:rPr>
              <w:t>。</w:t>
            </w:r>
          </w:p>
          <w:p w14:paraId="4D5D778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（3）地表水环境</w:t>
            </w:r>
          </w:p>
          <w:p w14:paraId="3A5DCA03">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根据《环境影响评价技术导则 地表水环境》（HJ2.3-2018），</w:t>
            </w:r>
            <w:r>
              <w:rPr>
                <w:rFonts w:hint="default" w:ascii="Times New Roman" w:hAnsi="Times New Roman" w:eastAsia="宋体" w:cs="Times New Roman"/>
                <w:b w:val="0"/>
                <w:bCs/>
                <w:color w:val="auto"/>
                <w:kern w:val="0"/>
                <w:sz w:val="24"/>
                <w:szCs w:val="24"/>
                <w:highlight w:val="none"/>
                <w:lang w:val="en-US" w:eastAsia="zh-CN" w:bidi="ar-SA"/>
              </w:rPr>
              <w:t>本</w:t>
            </w:r>
            <w:r>
              <w:rPr>
                <w:rFonts w:hint="default" w:ascii="Times New Roman" w:hAnsi="Times New Roman" w:eastAsia="宋体" w:cs="Times New Roman"/>
                <w:color w:val="auto"/>
                <w:highlight w:val="none"/>
                <w:lang w:val="en-US" w:eastAsia="zh-CN"/>
              </w:rPr>
              <w:t>项目运营期生活污水</w:t>
            </w:r>
            <w:r>
              <w:rPr>
                <w:rFonts w:hint="default" w:ascii="Times New Roman" w:hAnsi="Times New Roman" w:cs="Times New Roman"/>
                <w:color w:val="auto"/>
                <w:highlight w:val="none"/>
                <w:lang w:val="en-US" w:eastAsia="zh-CN"/>
              </w:rPr>
              <w:t>经</w:t>
            </w:r>
            <w:r>
              <w:rPr>
                <w:rFonts w:hint="default" w:ascii="Times New Roman" w:hAnsi="Times New Roman" w:eastAsia="宋体" w:cs="Times New Roman"/>
                <w:color w:val="auto"/>
                <w:highlight w:val="none"/>
                <w:lang w:val="en-US" w:eastAsia="zh-CN"/>
              </w:rPr>
              <w:t>处理后回用于升压站</w:t>
            </w:r>
            <w:r>
              <w:rPr>
                <w:rFonts w:hint="eastAsia" w:ascii="Times New Roman" w:cs="Times New Roman"/>
                <w:color w:val="auto"/>
                <w:highlight w:val="none"/>
                <w:lang w:val="en-US" w:eastAsia="zh-CN"/>
              </w:rPr>
              <w:t>洒水抑尘</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属于不排放到往外环境</w:t>
            </w:r>
            <w:r>
              <w:rPr>
                <w:rFonts w:hint="default" w:ascii="Times New Roman" w:hAnsi="Times New Roman" w:eastAsia="宋体" w:cs="Times New Roman"/>
                <w:color w:val="auto"/>
                <w:highlight w:val="none"/>
                <w:lang w:val="en-US" w:eastAsia="zh-CN"/>
              </w:rPr>
              <w:t>，地表水环境影响评</w:t>
            </w:r>
            <w:r>
              <w:rPr>
                <w:rFonts w:hint="default" w:ascii="Times New Roman" w:hAnsi="Times New Roman" w:cs="Times New Roman"/>
                <w:color w:val="auto"/>
                <w:highlight w:val="none"/>
                <w:lang w:val="en-US" w:eastAsia="zh-CN"/>
              </w:rPr>
              <w:t>价工作等级确定为三级B。</w:t>
            </w:r>
          </w:p>
          <w:p w14:paraId="5D48215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2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1"/>
                <w:szCs w:val="24"/>
                <w:highlight w:val="none"/>
              </w:rPr>
              <w:t>（</w:t>
            </w:r>
            <w:r>
              <w:rPr>
                <w:rFonts w:hint="default" w:ascii="Times New Roman" w:hAnsi="Times New Roman" w:cs="Times New Roman"/>
                <w:color w:val="auto"/>
                <w:highlight w:val="none"/>
                <w:lang w:val="en-US" w:eastAsia="zh-CN"/>
              </w:rPr>
              <w:t>4）生态环境</w:t>
            </w:r>
          </w:p>
          <w:p w14:paraId="48AC2951">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根据《环境影响评价技术导则 生态影响》（HJ19-2022），本工程不涉及国家公园、自然保护区、世界自然遗产、重要生境；不涉及自然公园、生态保护红线；本项目地表水环境影响按三级B评价，不属于水文要素影响型且地表水评价等级不低于二级的建设项目；地下水、土壤方面属于Ⅳ类工程，无需展开相关评价；本工程占地规模小于20k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w:t>
            </w:r>
          </w:p>
          <w:p w14:paraId="6CF51626">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因此，根据《环境影响评价技术导则 生态影响》（HJ19-2022）中的相关规定，生态环境影响评价工作等级确定为三级。</w:t>
            </w:r>
          </w:p>
          <w:p w14:paraId="2E82E250">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2" w:firstLineChars="200"/>
              <w:textAlignment w:val="auto"/>
              <w:rPr>
                <w:rFonts w:hint="default" w:ascii="Times New Roman" w:hAnsi="Times New Roman" w:cs="Times New Roman"/>
                <w:b/>
                <w:bCs w:val="0"/>
                <w:color w:val="auto"/>
                <w:szCs w:val="24"/>
                <w:highlight w:val="none"/>
              </w:rPr>
            </w:pPr>
            <w:r>
              <w:rPr>
                <w:rFonts w:hint="default" w:ascii="Times New Roman" w:hAnsi="Times New Roman" w:cs="Times New Roman"/>
                <w:b/>
                <w:bCs w:val="0"/>
                <w:color w:val="auto"/>
                <w:szCs w:val="24"/>
                <w:highlight w:val="none"/>
                <w:lang w:val="en-US" w:eastAsia="zh-CN"/>
              </w:rPr>
              <w:t>3</w:t>
            </w:r>
            <w:r>
              <w:rPr>
                <w:rFonts w:hint="default" w:ascii="Times New Roman" w:hAnsi="Times New Roman" w:cs="Times New Roman"/>
                <w:b/>
                <w:bCs w:val="0"/>
                <w:color w:val="auto"/>
                <w:szCs w:val="24"/>
                <w:highlight w:val="none"/>
              </w:rPr>
              <w:t>、</w:t>
            </w:r>
            <w:r>
              <w:rPr>
                <w:rFonts w:hint="default" w:ascii="Times New Roman" w:hAnsi="Times New Roman" w:cs="Times New Roman"/>
                <w:b/>
                <w:bCs w:val="0"/>
                <w:color w:val="auto"/>
                <w:szCs w:val="24"/>
                <w:highlight w:val="none"/>
                <w:lang w:val="en-US" w:eastAsia="zh-CN"/>
              </w:rPr>
              <w:t>评价范围</w:t>
            </w:r>
          </w:p>
          <w:p w14:paraId="0BA56198">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根据《环境影响评价技术导则 输变电》（HJ24-2020）相关规定，确定本工程评价范围如下：</w:t>
            </w:r>
          </w:p>
          <w:p w14:paraId="1995D30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（1）电磁环境影响评价范围</w:t>
            </w:r>
          </w:p>
          <w:p w14:paraId="2608206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szCs w:val="24"/>
                <w:highlight w:val="none"/>
              </w:rPr>
              <w:t>220kV</w:t>
            </w:r>
            <w:r>
              <w:rPr>
                <w:rFonts w:hint="default" w:ascii="Times New Roman" w:hAnsi="Times New Roman" w:eastAsia="宋体" w:cs="Times New Roman"/>
                <w:color w:val="auto"/>
                <w:sz w:val="24"/>
                <w:szCs w:val="24"/>
                <w:highlight w:val="none"/>
                <w:lang w:val="en-US" w:eastAsia="zh-CN"/>
              </w:rPr>
              <w:t>升压站</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highlight w:val="none"/>
                <w:lang w:val="en-US" w:eastAsia="zh-CN"/>
              </w:rPr>
              <w:t>站界外40m区域。</w:t>
            </w:r>
          </w:p>
          <w:p w14:paraId="0694316F">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（2）声环境影响评价范围</w:t>
            </w:r>
          </w:p>
          <w:p w14:paraId="7E8FEA9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220kV</w:t>
            </w:r>
            <w:r>
              <w:rPr>
                <w:rFonts w:hint="default" w:ascii="Times New Roman" w:hAnsi="Times New Roman" w:eastAsia="宋体" w:cs="Times New Roman"/>
                <w:color w:val="auto"/>
                <w:sz w:val="24"/>
                <w:szCs w:val="24"/>
                <w:highlight w:val="none"/>
                <w:lang w:val="en-US" w:eastAsia="zh-CN"/>
              </w:rPr>
              <w:t>升压站</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highlight w:val="none"/>
                <w:lang w:val="en-US" w:eastAsia="zh-CN"/>
              </w:rPr>
              <w:t>站界外200m区域；</w:t>
            </w:r>
          </w:p>
          <w:p w14:paraId="302E8BD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（3）生态环境影响评价范围</w:t>
            </w:r>
          </w:p>
          <w:p w14:paraId="072A155C">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szCs w:val="24"/>
                <w:highlight w:val="none"/>
              </w:rPr>
              <w:t>220kV</w:t>
            </w:r>
            <w:r>
              <w:rPr>
                <w:rFonts w:hint="default" w:ascii="Times New Roman" w:hAnsi="Times New Roman" w:eastAsia="宋体" w:cs="Times New Roman"/>
                <w:color w:val="auto"/>
                <w:sz w:val="24"/>
                <w:szCs w:val="24"/>
                <w:highlight w:val="none"/>
                <w:lang w:val="en-US" w:eastAsia="zh-CN"/>
              </w:rPr>
              <w:t>升压站</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highlight w:val="none"/>
                <w:lang w:val="en-US" w:eastAsia="zh-CN"/>
              </w:rPr>
              <w:t>站界外附近500m区域范围；</w:t>
            </w:r>
          </w:p>
          <w:p w14:paraId="049E94A2">
            <w:pPr>
              <w:pStyle w:val="65"/>
              <w:keepNext w:val="0"/>
              <w:keepLines w:val="0"/>
              <w:suppressLineNumbers w:val="0"/>
              <w:spacing w:before="0" w:beforeAutospacing="0" w:after="0" w:afterAutospacing="0"/>
              <w:ind w:left="0" w:right="0" w:firstLine="482"/>
              <w:rPr>
                <w:rFonts w:hint="default" w:ascii="Times New Roman" w:hAnsi="Times New Roman" w:cs="Times New Roman"/>
                <w:b/>
                <w:bCs w:val="0"/>
                <w:color w:val="auto"/>
                <w:szCs w:val="24"/>
                <w:highlight w:val="none"/>
              </w:rPr>
            </w:pPr>
            <w:r>
              <w:rPr>
                <w:rFonts w:hint="default" w:ascii="Times New Roman" w:hAnsi="Times New Roman" w:cs="Times New Roman"/>
                <w:b/>
                <w:bCs w:val="0"/>
                <w:color w:val="auto"/>
                <w:szCs w:val="24"/>
                <w:highlight w:val="none"/>
                <w:lang w:val="en-US" w:eastAsia="zh-CN"/>
              </w:rPr>
              <w:t>4</w:t>
            </w:r>
            <w:r>
              <w:rPr>
                <w:rFonts w:hint="default" w:ascii="Times New Roman" w:hAnsi="Times New Roman" w:cs="Times New Roman"/>
                <w:b/>
                <w:bCs w:val="0"/>
                <w:color w:val="auto"/>
                <w:szCs w:val="24"/>
                <w:highlight w:val="none"/>
              </w:rPr>
              <w:t>、</w:t>
            </w:r>
            <w:r>
              <w:rPr>
                <w:rFonts w:hint="default" w:ascii="Times New Roman" w:hAnsi="Times New Roman" w:cs="Times New Roman"/>
                <w:b/>
                <w:bCs w:val="0"/>
                <w:color w:val="auto"/>
                <w:szCs w:val="24"/>
                <w:highlight w:val="none"/>
                <w:lang w:val="en-US" w:eastAsia="zh-CN"/>
              </w:rPr>
              <w:t>生态</w:t>
            </w:r>
            <w:r>
              <w:rPr>
                <w:rFonts w:hint="default" w:ascii="Times New Roman" w:hAnsi="Times New Roman" w:cs="Times New Roman"/>
                <w:b/>
                <w:bCs w:val="0"/>
                <w:color w:val="auto"/>
                <w:szCs w:val="24"/>
                <w:highlight w:val="none"/>
              </w:rPr>
              <w:t>环境保护目标</w:t>
            </w:r>
          </w:p>
          <w:p w14:paraId="58D3748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0"/>
                <w:sz w:val="24"/>
                <w:szCs w:val="24"/>
                <w:highlight w:val="none"/>
                <w:lang w:val="en-US" w:eastAsia="zh-CN" w:bidi="ar-SA"/>
              </w:rPr>
            </w:pPr>
            <w:r>
              <w:rPr>
                <w:rFonts w:hint="default" w:ascii="Times New Roman" w:hAnsi="Times New Roman" w:eastAsia="宋体" w:cs="Times New Roman"/>
                <w:bCs/>
                <w:color w:val="auto"/>
                <w:kern w:val="0"/>
                <w:sz w:val="24"/>
                <w:szCs w:val="24"/>
                <w:highlight w:val="none"/>
                <w:lang w:val="en-US" w:eastAsia="zh-CN" w:bidi="ar-SA"/>
              </w:rPr>
              <w:t>（1）电磁环境</w:t>
            </w:r>
            <w:r>
              <w:rPr>
                <w:rFonts w:hint="default" w:ascii="Times New Roman" w:hAnsi="Times New Roman" w:cs="Times New Roman"/>
                <w:bCs/>
                <w:color w:val="auto"/>
                <w:kern w:val="0"/>
                <w:sz w:val="24"/>
                <w:szCs w:val="24"/>
                <w:highlight w:val="none"/>
                <w:lang w:val="en-US" w:eastAsia="zh-CN" w:bidi="ar-SA"/>
              </w:rPr>
              <w:t>敏感</w:t>
            </w:r>
            <w:r>
              <w:rPr>
                <w:rFonts w:hint="default" w:ascii="Times New Roman" w:hAnsi="Times New Roman" w:eastAsia="宋体" w:cs="Times New Roman"/>
                <w:bCs/>
                <w:color w:val="auto"/>
                <w:kern w:val="0"/>
                <w:sz w:val="24"/>
                <w:szCs w:val="24"/>
                <w:highlight w:val="none"/>
                <w:lang w:val="en-US" w:eastAsia="zh-CN" w:bidi="ar-SA"/>
              </w:rPr>
              <w:t>目标、声环境</w:t>
            </w:r>
            <w:r>
              <w:rPr>
                <w:rFonts w:hint="default" w:ascii="Times New Roman" w:hAnsi="Times New Roman" w:cs="Times New Roman"/>
                <w:bCs/>
                <w:color w:val="auto"/>
                <w:kern w:val="0"/>
                <w:sz w:val="24"/>
                <w:szCs w:val="24"/>
                <w:highlight w:val="none"/>
                <w:lang w:val="en-US" w:eastAsia="zh-CN" w:bidi="ar-SA"/>
              </w:rPr>
              <w:t>敏感</w:t>
            </w:r>
            <w:r>
              <w:rPr>
                <w:rFonts w:hint="default" w:ascii="Times New Roman" w:hAnsi="Times New Roman" w:eastAsia="宋体" w:cs="Times New Roman"/>
                <w:bCs/>
                <w:color w:val="auto"/>
                <w:kern w:val="0"/>
                <w:sz w:val="24"/>
                <w:szCs w:val="24"/>
                <w:highlight w:val="none"/>
                <w:lang w:val="en-US" w:eastAsia="zh-CN" w:bidi="ar-SA"/>
              </w:rPr>
              <w:t>目标</w:t>
            </w:r>
          </w:p>
          <w:p w14:paraId="437C44F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0"/>
                <w:sz w:val="24"/>
                <w:szCs w:val="24"/>
                <w:highlight w:val="none"/>
                <w:lang w:val="en-US" w:eastAsia="zh-CN" w:bidi="ar-SA"/>
              </w:rPr>
            </w:pPr>
            <w:r>
              <w:rPr>
                <w:rFonts w:hint="default" w:ascii="Times New Roman" w:hAnsi="Times New Roman" w:cs="Times New Roman"/>
                <w:bCs/>
                <w:color w:val="auto"/>
                <w:kern w:val="0"/>
                <w:sz w:val="24"/>
                <w:szCs w:val="24"/>
                <w:highlight w:val="none"/>
                <w:lang w:val="en-US" w:eastAsia="zh-CN" w:bidi="ar-SA"/>
              </w:rPr>
              <w:t>根据调查，</w:t>
            </w:r>
            <w:r>
              <w:rPr>
                <w:rFonts w:hint="default" w:ascii="Times New Roman" w:hAnsi="Times New Roman" w:eastAsia="宋体" w:cs="Times New Roman"/>
                <w:bCs/>
                <w:color w:val="auto"/>
                <w:kern w:val="0"/>
                <w:sz w:val="24"/>
                <w:szCs w:val="24"/>
                <w:highlight w:val="none"/>
                <w:lang w:val="en-US" w:eastAsia="zh-CN" w:bidi="ar-SA"/>
              </w:rPr>
              <w:t>本工程220kV升压站评价范围内无电磁环境保护目标、声环境保护目标</w:t>
            </w:r>
            <w:r>
              <w:rPr>
                <w:rFonts w:hint="default" w:ascii="Times New Roman" w:hAnsi="Times New Roman" w:eastAsia="宋体" w:cs="Times New Roman"/>
                <w:color w:val="auto"/>
                <w:sz w:val="24"/>
                <w:szCs w:val="24"/>
                <w:highlight w:val="none"/>
              </w:rPr>
              <w:t>。</w:t>
            </w:r>
          </w:p>
          <w:p w14:paraId="109E3F1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0"/>
                <w:sz w:val="24"/>
                <w:szCs w:val="24"/>
                <w:highlight w:val="none"/>
                <w:lang w:val="en-US" w:eastAsia="zh-CN" w:bidi="ar-SA"/>
              </w:rPr>
            </w:pPr>
            <w:r>
              <w:rPr>
                <w:rFonts w:hint="default" w:ascii="Times New Roman" w:hAnsi="Times New Roman" w:eastAsia="宋体" w:cs="Times New Roman"/>
                <w:bCs/>
                <w:color w:val="auto"/>
                <w:kern w:val="0"/>
                <w:sz w:val="24"/>
                <w:szCs w:val="24"/>
                <w:highlight w:val="none"/>
                <w:lang w:val="en-US" w:eastAsia="zh-CN" w:bidi="ar-SA"/>
              </w:rPr>
              <w:t>（2）生态环境</w:t>
            </w:r>
            <w:r>
              <w:rPr>
                <w:rFonts w:hint="default" w:ascii="Times New Roman" w:hAnsi="Times New Roman" w:cs="Times New Roman"/>
                <w:bCs/>
                <w:color w:val="auto"/>
                <w:kern w:val="0"/>
                <w:sz w:val="24"/>
                <w:szCs w:val="24"/>
                <w:highlight w:val="none"/>
                <w:lang w:val="en-US" w:eastAsia="zh-CN" w:bidi="ar-SA"/>
              </w:rPr>
              <w:t>敏感</w:t>
            </w:r>
            <w:r>
              <w:rPr>
                <w:rFonts w:hint="default" w:ascii="Times New Roman" w:hAnsi="Times New Roman" w:eastAsia="宋体" w:cs="Times New Roman"/>
                <w:bCs/>
                <w:color w:val="auto"/>
                <w:kern w:val="0"/>
                <w:sz w:val="24"/>
                <w:szCs w:val="24"/>
                <w:highlight w:val="none"/>
                <w:lang w:val="en-US" w:eastAsia="zh-CN" w:bidi="ar-SA"/>
              </w:rPr>
              <w:t>目标</w:t>
            </w:r>
            <w:r>
              <w:rPr>
                <w:rFonts w:hint="default" w:ascii="Times New Roman" w:hAnsi="Times New Roman" w:cs="Times New Roman"/>
                <w:bCs/>
                <w:color w:val="auto"/>
                <w:kern w:val="0"/>
                <w:sz w:val="24"/>
                <w:szCs w:val="24"/>
                <w:highlight w:val="none"/>
                <w:lang w:val="en-US" w:eastAsia="zh-CN" w:bidi="ar-SA"/>
              </w:rPr>
              <w:t>及敏感区</w:t>
            </w:r>
          </w:p>
          <w:p w14:paraId="7C72D52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0000FF"/>
                <w:sz w:val="24"/>
                <w:szCs w:val="24"/>
                <w:highlight w:val="none"/>
                <w:lang w:val="en-US" w:eastAsia="zh-CN"/>
              </w:rPr>
            </w:pPr>
            <w:r>
              <w:rPr>
                <w:rFonts w:hint="default" w:ascii="Times New Roman" w:hAnsi="Times New Roman" w:cs="Times New Roman"/>
                <w:bCs/>
                <w:color w:val="auto"/>
                <w:kern w:val="0"/>
                <w:sz w:val="24"/>
                <w:szCs w:val="24"/>
                <w:highlight w:val="none"/>
                <w:lang w:val="en-US" w:eastAsia="zh" w:bidi="ar-SA"/>
              </w:rPr>
              <w:t>本项目</w:t>
            </w:r>
            <w:r>
              <w:rPr>
                <w:rFonts w:hint="eastAsia" w:cs="Times New Roman"/>
                <w:bCs/>
                <w:color w:val="auto"/>
                <w:kern w:val="0"/>
                <w:sz w:val="24"/>
                <w:szCs w:val="24"/>
                <w:highlight w:val="none"/>
                <w:lang w:val="en-US" w:eastAsia="zh-CN" w:bidi="ar-SA"/>
              </w:rPr>
              <w:t>选址及</w:t>
            </w:r>
            <w:r>
              <w:rPr>
                <w:rFonts w:hint="default" w:ascii="Times New Roman" w:hAnsi="Times New Roman" w:cs="Times New Roman"/>
                <w:bCs/>
                <w:color w:val="auto"/>
                <w:kern w:val="0"/>
                <w:sz w:val="24"/>
                <w:szCs w:val="24"/>
                <w:highlight w:val="none"/>
                <w:lang w:val="en-US" w:eastAsia="zh" w:bidi="ar-SA"/>
              </w:rPr>
              <w:t>评价范围内不涉及国家公园、自然保护区、世界自然遗产、生态保护红线</w:t>
            </w:r>
            <w:r>
              <w:rPr>
                <w:rFonts w:hint="default" w:ascii="Times New Roman" w:hAnsi="Times New Roman" w:cs="Times New Roman"/>
                <w:bCs/>
                <w:color w:val="auto"/>
                <w:kern w:val="0"/>
                <w:sz w:val="24"/>
                <w:szCs w:val="24"/>
                <w:highlight w:val="none"/>
                <w:lang w:val="en-US" w:eastAsia="zh-CN" w:bidi="ar-SA"/>
              </w:rPr>
              <w:t>；</w:t>
            </w:r>
            <w:r>
              <w:rPr>
                <w:rFonts w:hint="default" w:ascii="Times New Roman" w:hAnsi="Times New Roman" w:cs="Times New Roman"/>
                <w:bCs/>
                <w:color w:val="auto"/>
                <w:kern w:val="0"/>
                <w:sz w:val="24"/>
                <w:szCs w:val="24"/>
                <w:highlight w:val="none"/>
                <w:lang w:val="en-US" w:eastAsia="zh" w:bidi="ar-SA"/>
              </w:rPr>
              <w:t>不涉及重要物种的天然集中分布区、栖息地，不涉及重要水生生物的产卵场、索饵场、越冬场和洄游通道，迁徙鸟类的重要繁殖地、停歇地、越冬地以及野生动物迁徙通道等《环境影响评价技术导则</w:t>
            </w:r>
            <w:r>
              <w:rPr>
                <w:rFonts w:hint="default" w:ascii="Times New Roman" w:hAnsi="Times New Roman" w:cs="Times New Roman"/>
                <w:bCs/>
                <w:color w:val="auto"/>
                <w:kern w:val="0"/>
                <w:sz w:val="24"/>
                <w:szCs w:val="24"/>
                <w:highlight w:val="none"/>
                <w:lang w:val="en-US" w:eastAsia="zh-CN" w:bidi="ar-SA"/>
              </w:rPr>
              <w:t xml:space="preserve"> </w:t>
            </w:r>
            <w:r>
              <w:rPr>
                <w:rFonts w:hint="default" w:ascii="Times New Roman" w:hAnsi="Times New Roman" w:cs="Times New Roman"/>
                <w:bCs/>
                <w:color w:val="auto"/>
                <w:kern w:val="0"/>
                <w:sz w:val="24"/>
                <w:szCs w:val="24"/>
                <w:highlight w:val="none"/>
                <w:lang w:val="en-US" w:eastAsia="zh" w:bidi="ar-SA"/>
              </w:rPr>
              <w:t>生态影响》</w:t>
            </w:r>
            <w:r>
              <w:rPr>
                <w:rFonts w:hint="default" w:ascii="Times New Roman" w:hAnsi="Times New Roman" w:cs="Times New Roman"/>
                <w:bCs/>
                <w:color w:val="auto"/>
                <w:kern w:val="0"/>
                <w:sz w:val="24"/>
                <w:szCs w:val="24"/>
                <w:highlight w:val="none"/>
                <w:lang w:val="en-US" w:eastAsia="zh-CN" w:bidi="ar-SA"/>
              </w:rPr>
              <w:t>（</w:t>
            </w:r>
            <w:r>
              <w:rPr>
                <w:rFonts w:hint="default" w:ascii="Times New Roman" w:hAnsi="Times New Roman" w:cs="Times New Roman"/>
                <w:bCs/>
                <w:color w:val="auto"/>
                <w:kern w:val="0"/>
                <w:sz w:val="24"/>
                <w:szCs w:val="24"/>
                <w:highlight w:val="none"/>
                <w:lang w:val="en-US" w:eastAsia="zh" w:bidi="ar-SA"/>
              </w:rPr>
              <w:t>HJ19-2022</w:t>
            </w:r>
            <w:r>
              <w:rPr>
                <w:rFonts w:hint="default" w:ascii="Times New Roman" w:hAnsi="Times New Roman" w:cs="Times New Roman"/>
                <w:bCs/>
                <w:color w:val="auto"/>
                <w:kern w:val="0"/>
                <w:sz w:val="24"/>
                <w:szCs w:val="24"/>
                <w:highlight w:val="none"/>
                <w:lang w:val="en-US" w:eastAsia="zh-CN" w:bidi="ar-SA"/>
              </w:rPr>
              <w:t>）</w:t>
            </w:r>
            <w:r>
              <w:rPr>
                <w:rFonts w:hint="default" w:ascii="Times New Roman" w:hAnsi="Times New Roman" w:cs="Times New Roman"/>
                <w:bCs/>
                <w:color w:val="auto"/>
                <w:kern w:val="0"/>
                <w:sz w:val="24"/>
                <w:szCs w:val="24"/>
                <w:highlight w:val="none"/>
                <w:lang w:val="en-US" w:eastAsia="zh" w:bidi="ar-SA"/>
              </w:rPr>
              <w:t>中的生态敏感区。</w:t>
            </w:r>
            <w:r>
              <w:rPr>
                <w:rFonts w:hint="default" w:ascii="Times New Roman" w:hAnsi="Times New Roman" w:cs="Times New Roman"/>
                <w:bCs/>
                <w:color w:val="auto"/>
                <w:kern w:val="0"/>
                <w:sz w:val="24"/>
                <w:szCs w:val="24"/>
                <w:highlight w:val="none"/>
                <w:lang w:val="en-US" w:eastAsia="zh-CN" w:bidi="ar-SA"/>
              </w:rPr>
              <w:t>也不涉及</w:t>
            </w:r>
            <w:r>
              <w:rPr>
                <w:rFonts w:hint="default" w:ascii="Times New Roman" w:hAnsi="Times New Roman" w:cs="Times New Roman"/>
                <w:color w:val="auto"/>
                <w:sz w:val="24"/>
                <w:szCs w:val="24"/>
                <w:highlight w:val="none"/>
                <w:lang w:val="en-US" w:eastAsia="zh-CN"/>
              </w:rPr>
              <w:t>国家、自治区重点保护的野生动植物。</w:t>
            </w:r>
          </w:p>
        </w:tc>
      </w:tr>
      <w:tr w14:paraId="13FC51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812" w:type="dxa"/>
            <w:noWrap w:val="0"/>
            <w:tcMar>
              <w:left w:w="28" w:type="dxa"/>
              <w:right w:w="28" w:type="dxa"/>
            </w:tcMar>
            <w:vAlign w:val="center"/>
          </w:tcPr>
          <w:p w14:paraId="0C7CE8F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评价</w:t>
            </w:r>
          </w:p>
          <w:p w14:paraId="613E035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FF"/>
                <w:kern w:val="0"/>
                <w:sz w:val="24"/>
                <w:szCs w:val="24"/>
                <w:highlight w:val="none"/>
              </w:rPr>
            </w:pPr>
            <w:r>
              <w:rPr>
                <w:rFonts w:hint="default" w:ascii="Times New Roman" w:hAnsi="Times New Roman" w:cs="Times New Roman"/>
                <w:color w:val="auto"/>
                <w:kern w:val="0"/>
                <w:sz w:val="24"/>
                <w:szCs w:val="24"/>
                <w:highlight w:val="none"/>
              </w:rPr>
              <w:t>标准</w:t>
            </w:r>
          </w:p>
        </w:tc>
        <w:tc>
          <w:tcPr>
            <w:tcW w:w="8712" w:type="dxa"/>
            <w:noWrap w:val="0"/>
            <w:vAlign w:val="center"/>
          </w:tcPr>
          <w:p w14:paraId="30019362">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w:t>
            </w:r>
            <w:r>
              <w:rPr>
                <w:rFonts w:hint="default" w:ascii="Times New Roman" w:hAnsi="Times New Roman" w:cs="Times New Roman"/>
                <w:b/>
                <w:color w:val="auto"/>
                <w:sz w:val="24"/>
                <w:highlight w:val="none"/>
                <w:lang w:val="en-US" w:eastAsia="zh-CN"/>
              </w:rPr>
              <w:t>环境质量</w:t>
            </w:r>
            <w:r>
              <w:rPr>
                <w:rFonts w:hint="default" w:ascii="Times New Roman" w:hAnsi="Times New Roman" w:cs="Times New Roman"/>
                <w:b/>
                <w:color w:val="auto"/>
                <w:sz w:val="24"/>
                <w:highlight w:val="none"/>
              </w:rPr>
              <w:t>标准</w:t>
            </w:r>
          </w:p>
          <w:p w14:paraId="67C4A5FA">
            <w:pPr>
              <w:pStyle w:val="65"/>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lang w:val="en-US" w:eastAsia="zh-CN"/>
              </w:rPr>
            </w:pPr>
            <w:r>
              <w:rPr>
                <w:rFonts w:hint="default" w:ascii="Times New Roman" w:hAnsi="Times New Roman" w:cs="Times New Roman"/>
                <w:b/>
                <w:color w:val="auto"/>
                <w:sz w:val="24"/>
                <w:highlight w:val="none"/>
              </w:rPr>
              <w:t>1</w:t>
            </w:r>
            <w:r>
              <w:rPr>
                <w:rFonts w:hint="default" w:ascii="Times New Roman" w:hAnsi="Times New Roman" w:cs="Times New Roman"/>
                <w:b/>
                <w:color w:val="auto"/>
                <w:sz w:val="24"/>
                <w:highlight w:val="none"/>
                <w:lang w:val="en-US" w:eastAsia="zh-CN"/>
              </w:rPr>
              <w:t>.1声环境</w:t>
            </w:r>
          </w:p>
          <w:p w14:paraId="3F7CA68B">
            <w:pPr>
              <w:pStyle w:val="65"/>
              <w:keepNext w:val="0"/>
              <w:keepLines w:val="0"/>
              <w:suppressLineNumbers w:val="0"/>
              <w:spacing w:before="0" w:beforeAutospacing="0" w:after="0" w:afterAutospacing="0"/>
              <w:ind w:left="0" w:right="0" w:firstLine="480"/>
              <w:rPr>
                <w:rFonts w:hint="default" w:ascii="Times New Roman" w:hAnsi="Times New Roman" w:cs="Times New Roman"/>
                <w:color w:val="auto"/>
                <w:kern w:val="0"/>
                <w:highlight w:val="none"/>
                <w:lang w:eastAsia="zh-CN"/>
              </w:rPr>
            </w:pP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highlight w:val="none"/>
                <w:lang w:val="en-US" w:eastAsia="zh-CN"/>
              </w:rPr>
              <w:t>所处的声环境功能区为GB3096规定的</w:t>
            </w:r>
            <w:r>
              <w:rPr>
                <w:rFonts w:hint="default" w:ascii="Times New Roman" w:hAnsi="Times New Roman" w:cs="Times New Roman"/>
                <w:color w:val="auto"/>
                <w:highlight w:val="none"/>
                <w:lang w:val="en-US" w:eastAsia="zh-CN"/>
              </w:rPr>
              <w:t>2</w:t>
            </w:r>
            <w:r>
              <w:rPr>
                <w:rFonts w:hint="default" w:ascii="Times New Roman" w:hAnsi="Times New Roman" w:eastAsia="宋体" w:cs="Times New Roman"/>
                <w:color w:val="auto"/>
                <w:highlight w:val="none"/>
                <w:lang w:val="en-US" w:eastAsia="zh-CN"/>
              </w:rPr>
              <w:t>类地区</w:t>
            </w:r>
            <w:r>
              <w:rPr>
                <w:rFonts w:hint="default" w:ascii="Times New Roman" w:hAnsi="Times New Roman" w:cs="Times New Roman"/>
                <w:color w:val="auto"/>
                <w:kern w:val="0"/>
                <w:highlight w:val="none"/>
                <w:lang w:eastAsia="zh-CN"/>
              </w:rPr>
              <w:t>，执行《声环境质量标准》（</w:t>
            </w:r>
            <w:r>
              <w:rPr>
                <w:rFonts w:hint="default" w:ascii="Times New Roman" w:hAnsi="Times New Roman" w:cs="Times New Roman"/>
                <w:color w:val="auto"/>
                <w:kern w:val="0"/>
                <w:highlight w:val="none"/>
                <w:lang w:val="en-US" w:eastAsia="zh-CN"/>
              </w:rPr>
              <w:t>GB3096-2008</w:t>
            </w:r>
            <w:r>
              <w:rPr>
                <w:rFonts w:hint="default" w:ascii="Times New Roman" w:hAnsi="Times New Roman" w:cs="Times New Roman"/>
                <w:color w:val="auto"/>
                <w:kern w:val="0"/>
                <w:highlight w:val="none"/>
                <w:lang w:eastAsia="zh-CN"/>
              </w:rPr>
              <w:t>）</w:t>
            </w:r>
            <w:r>
              <w:rPr>
                <w:rFonts w:hint="default" w:ascii="Times New Roman" w:hAnsi="Times New Roman" w:cs="Times New Roman"/>
                <w:color w:val="auto"/>
                <w:kern w:val="0"/>
                <w:highlight w:val="none"/>
                <w:lang w:val="en-US" w:eastAsia="zh-CN"/>
              </w:rPr>
              <w:t>2</w:t>
            </w:r>
            <w:r>
              <w:rPr>
                <w:rFonts w:hint="default" w:ascii="Times New Roman" w:hAnsi="Times New Roman" w:cs="Times New Roman"/>
                <w:color w:val="auto"/>
                <w:kern w:val="0"/>
                <w:highlight w:val="none"/>
                <w:lang w:eastAsia="zh-CN"/>
              </w:rPr>
              <w:t>类声环境功能区标准。具体标准限值见表3-</w:t>
            </w:r>
            <w:r>
              <w:rPr>
                <w:rFonts w:hint="default" w:ascii="Times New Roman" w:hAnsi="Times New Roman" w:cs="Times New Roman"/>
                <w:color w:val="auto"/>
                <w:kern w:val="0"/>
                <w:highlight w:val="none"/>
                <w:lang w:val="en-US" w:eastAsia="zh-CN"/>
              </w:rPr>
              <w:t>7</w:t>
            </w:r>
            <w:r>
              <w:rPr>
                <w:rFonts w:hint="default" w:ascii="Times New Roman" w:hAnsi="Times New Roman" w:cs="Times New Roman"/>
                <w:color w:val="auto"/>
                <w:kern w:val="0"/>
                <w:highlight w:val="none"/>
                <w:lang w:eastAsia="zh-CN"/>
              </w:rPr>
              <w:t>。</w:t>
            </w:r>
          </w:p>
          <w:p w14:paraId="237D428D">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eastAsia="宋体" w:cs="Times New Roman"/>
                <w:b/>
                <w:bCs w:val="0"/>
                <w:color w:val="auto"/>
                <w:kern w:val="0"/>
                <w:sz w:val="21"/>
                <w:szCs w:val="21"/>
                <w:highlight w:val="none"/>
                <w:lang w:eastAsia="zh-CN"/>
              </w:rPr>
            </w:pPr>
            <w:r>
              <w:rPr>
                <w:rFonts w:hint="default" w:ascii="Times New Roman" w:hAnsi="Times New Roman" w:cs="Times New Roman"/>
                <w:b/>
                <w:bCs w:val="0"/>
                <w:color w:val="auto"/>
                <w:kern w:val="0"/>
                <w:sz w:val="21"/>
                <w:szCs w:val="21"/>
                <w:highlight w:val="none"/>
              </w:rPr>
              <w:t>表3-</w:t>
            </w:r>
            <w:r>
              <w:rPr>
                <w:rFonts w:hint="default" w:ascii="Times New Roman" w:hAnsi="Times New Roman" w:cs="Times New Roman"/>
                <w:b/>
                <w:bCs w:val="0"/>
                <w:color w:val="auto"/>
                <w:kern w:val="0"/>
                <w:sz w:val="21"/>
                <w:szCs w:val="21"/>
                <w:highlight w:val="none"/>
                <w:lang w:val="en-US" w:eastAsia="zh-CN"/>
              </w:rPr>
              <w:t>7 声环境质量</w:t>
            </w:r>
            <w:r>
              <w:rPr>
                <w:rFonts w:hint="default" w:ascii="Times New Roman" w:hAnsi="Times New Roman" w:cs="Times New Roman"/>
                <w:b/>
                <w:bCs w:val="0"/>
                <w:color w:val="auto"/>
                <w:kern w:val="0"/>
                <w:sz w:val="21"/>
                <w:szCs w:val="21"/>
                <w:highlight w:val="none"/>
              </w:rPr>
              <w:t>标准</w:t>
            </w:r>
            <w:r>
              <w:rPr>
                <w:rFonts w:hint="default" w:ascii="Times New Roman" w:hAnsi="Times New Roman" w:cs="Times New Roman"/>
                <w:b/>
                <w:bCs w:val="0"/>
                <w:color w:val="auto"/>
                <w:kern w:val="0"/>
                <w:sz w:val="21"/>
                <w:szCs w:val="21"/>
                <w:highlight w:val="none"/>
                <w:lang w:eastAsia="zh-CN"/>
              </w:rPr>
              <w:t>一览表</w:t>
            </w:r>
          </w:p>
          <w:tbl>
            <w:tblPr>
              <w:tblStyle w:val="30"/>
              <w:tblW w:w="49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4"/>
              <w:gridCol w:w="1017"/>
              <w:gridCol w:w="1293"/>
              <w:gridCol w:w="3051"/>
            </w:tblGrid>
            <w:tr w14:paraId="7B96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122" w:type="pct"/>
                  <w:noWrap w:val="0"/>
                  <w:vAlign w:val="center"/>
                </w:tcPr>
                <w:p w14:paraId="2ADF5FD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eastAsia="zh-CN"/>
                    </w:rPr>
                  </w:pPr>
                  <w:r>
                    <w:rPr>
                      <w:rFonts w:hint="default" w:ascii="Times New Roman" w:hAnsi="Times New Roman" w:cs="Times New Roman"/>
                      <w:color w:val="auto"/>
                      <w:kern w:val="0"/>
                      <w:sz w:val="21"/>
                      <w:highlight w:val="none"/>
                      <w:lang w:val="en-US" w:eastAsia="zh-CN"/>
                    </w:rPr>
                    <w:t>项目</w:t>
                  </w:r>
                </w:p>
              </w:tc>
              <w:tc>
                <w:tcPr>
                  <w:tcW w:w="1240" w:type="pct"/>
                  <w:gridSpan w:val="2"/>
                  <w:noWrap w:val="0"/>
                  <w:vAlign w:val="center"/>
                </w:tcPr>
                <w:p w14:paraId="0269A97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标准值</w:t>
                  </w:r>
                </w:p>
              </w:tc>
              <w:tc>
                <w:tcPr>
                  <w:tcW w:w="1637" w:type="pct"/>
                  <w:noWrap w:val="0"/>
                  <w:vAlign w:val="center"/>
                </w:tcPr>
                <w:p w14:paraId="6D98500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执行标准</w:t>
                  </w:r>
                </w:p>
              </w:tc>
            </w:tr>
            <w:tr w14:paraId="3235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22" w:type="pct"/>
                  <w:vMerge w:val="restart"/>
                  <w:noWrap w:val="0"/>
                  <w:vAlign w:val="center"/>
                </w:tcPr>
                <w:p w14:paraId="167CEBD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华润新能源额济纳旗100兆瓦风电项目220kV升压站工程</w:t>
                  </w:r>
                </w:p>
              </w:tc>
              <w:tc>
                <w:tcPr>
                  <w:tcW w:w="546" w:type="pct"/>
                  <w:noWrap w:val="0"/>
                  <w:vAlign w:val="center"/>
                </w:tcPr>
                <w:p w14:paraId="0933DE1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昼间</w:t>
                  </w:r>
                </w:p>
              </w:tc>
              <w:tc>
                <w:tcPr>
                  <w:tcW w:w="693" w:type="pct"/>
                  <w:noWrap w:val="0"/>
                  <w:vAlign w:val="center"/>
                </w:tcPr>
                <w:p w14:paraId="760BA566">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lang w:val="en-US" w:eastAsia="zh-CN"/>
                    </w:rPr>
                    <w:t>60</w:t>
                  </w:r>
                  <w:r>
                    <w:rPr>
                      <w:rFonts w:hint="default" w:ascii="Times New Roman" w:hAnsi="Times New Roman" w:cs="Times New Roman"/>
                      <w:color w:val="auto"/>
                      <w:sz w:val="21"/>
                      <w:highlight w:val="none"/>
                    </w:rPr>
                    <w:t>dB(A)</w:t>
                  </w:r>
                </w:p>
              </w:tc>
              <w:tc>
                <w:tcPr>
                  <w:tcW w:w="1637" w:type="pct"/>
                  <w:vMerge w:val="restart"/>
                  <w:noWrap w:val="0"/>
                  <w:vAlign w:val="center"/>
                </w:tcPr>
                <w:p w14:paraId="7E7F655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eastAsia="zh-CN"/>
                    </w:rPr>
                  </w:pPr>
                  <w:r>
                    <w:rPr>
                      <w:rFonts w:hint="default" w:ascii="Times New Roman" w:hAnsi="Times New Roman" w:cs="Times New Roman"/>
                      <w:color w:val="auto"/>
                      <w:kern w:val="0"/>
                      <w:sz w:val="21"/>
                      <w:highlight w:val="none"/>
                      <w:lang w:eastAsia="zh-CN"/>
                    </w:rPr>
                    <w:t>《声环境质量标准》</w:t>
                  </w:r>
                </w:p>
                <w:p w14:paraId="4C8C3CD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lang w:val="en-US" w:eastAsia="zh-CN"/>
                    </w:rPr>
                    <w:t>2</w:t>
                  </w:r>
                  <w:r>
                    <w:rPr>
                      <w:rFonts w:hint="default" w:ascii="Times New Roman" w:hAnsi="Times New Roman" w:cs="Times New Roman"/>
                      <w:color w:val="auto"/>
                      <w:kern w:val="0"/>
                      <w:sz w:val="21"/>
                      <w:highlight w:val="none"/>
                      <w:lang w:eastAsia="zh-CN"/>
                    </w:rPr>
                    <w:t>类声环境功能区</w:t>
                  </w:r>
                  <w:r>
                    <w:rPr>
                      <w:rFonts w:hint="default" w:ascii="Times New Roman" w:hAnsi="Times New Roman" w:cs="Times New Roman"/>
                      <w:color w:val="auto"/>
                      <w:kern w:val="0"/>
                      <w:sz w:val="21"/>
                      <w:highlight w:val="none"/>
                    </w:rPr>
                    <w:t>标准</w:t>
                  </w:r>
                </w:p>
              </w:tc>
            </w:tr>
            <w:tr w14:paraId="1302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22" w:type="pct"/>
                  <w:vMerge w:val="continue"/>
                  <w:noWrap w:val="0"/>
                  <w:vAlign w:val="center"/>
                </w:tcPr>
                <w:p w14:paraId="665CE43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p>
              </w:tc>
              <w:tc>
                <w:tcPr>
                  <w:tcW w:w="546" w:type="pct"/>
                  <w:noWrap w:val="0"/>
                  <w:vAlign w:val="center"/>
                </w:tcPr>
                <w:p w14:paraId="610C1A71">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夜间</w:t>
                  </w:r>
                </w:p>
              </w:tc>
              <w:tc>
                <w:tcPr>
                  <w:tcW w:w="693" w:type="pct"/>
                  <w:noWrap w:val="0"/>
                  <w:vAlign w:val="center"/>
                </w:tcPr>
                <w:p w14:paraId="6D59376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lang w:val="en-US" w:eastAsia="zh-CN"/>
                    </w:rPr>
                    <w:t>50</w:t>
                  </w:r>
                  <w:r>
                    <w:rPr>
                      <w:rFonts w:hint="default" w:ascii="Times New Roman" w:hAnsi="Times New Roman" w:cs="Times New Roman"/>
                      <w:color w:val="auto"/>
                      <w:sz w:val="21"/>
                      <w:highlight w:val="none"/>
                    </w:rPr>
                    <w:t>dB(A)</w:t>
                  </w:r>
                </w:p>
              </w:tc>
              <w:tc>
                <w:tcPr>
                  <w:tcW w:w="1637" w:type="pct"/>
                  <w:vMerge w:val="continue"/>
                  <w:noWrap w:val="0"/>
                  <w:vAlign w:val="top"/>
                </w:tcPr>
                <w:p w14:paraId="65DC4448">
                  <w:pPr>
                    <w:pStyle w:val="6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b/>
                      <w:bCs w:val="0"/>
                      <w:color w:val="auto"/>
                      <w:kern w:val="0"/>
                      <w:highlight w:val="none"/>
                    </w:rPr>
                  </w:pPr>
                </w:p>
              </w:tc>
            </w:tr>
          </w:tbl>
          <w:p w14:paraId="07B278EC">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t>1.2电磁环境</w:t>
            </w:r>
          </w:p>
          <w:p w14:paraId="278DD44F">
            <w:pPr>
              <w:pStyle w:val="65"/>
              <w:keepNext w:val="0"/>
              <w:keepLines w:val="0"/>
              <w:suppressLineNumbers w:val="0"/>
              <w:spacing w:before="0" w:beforeAutospacing="0" w:after="0" w:afterAutospacing="0"/>
              <w:ind w:left="0" w:right="0" w:firstLine="48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szCs w:val="24"/>
                <w:highlight w:val="none"/>
              </w:rPr>
              <w:t>本工程电磁环境采用《电磁环境控制限值》（</w:t>
            </w:r>
            <w:r>
              <w:rPr>
                <w:rFonts w:hint="default" w:ascii="Times New Roman" w:hAnsi="Times New Roman" w:eastAsia="TimesNewRomanPSMT" w:cs="Times New Roman"/>
                <w:color w:val="auto"/>
                <w:sz w:val="24"/>
                <w:szCs w:val="24"/>
                <w:highlight w:val="none"/>
              </w:rPr>
              <w:t>GB8702-2014</w:t>
            </w:r>
            <w:r>
              <w:rPr>
                <w:rFonts w:hint="default" w:ascii="Times New Roman" w:hAnsi="Times New Roman" w:eastAsia="宋体" w:cs="Times New Roman"/>
                <w:color w:val="auto"/>
                <w:sz w:val="24"/>
                <w:szCs w:val="24"/>
                <w:highlight w:val="none"/>
              </w:rPr>
              <w:t>）中执行的标准。</w:t>
            </w:r>
          </w:p>
          <w:p w14:paraId="2AD65FD5">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eastAsia="宋体" w:cs="Times New Roman"/>
                <w:b/>
                <w:bCs w:val="0"/>
                <w:color w:val="auto"/>
                <w:kern w:val="0"/>
                <w:sz w:val="21"/>
                <w:szCs w:val="21"/>
                <w:highlight w:val="none"/>
                <w:lang w:eastAsia="zh-CN"/>
              </w:rPr>
            </w:pPr>
            <w:r>
              <w:rPr>
                <w:rFonts w:hint="default" w:ascii="Times New Roman" w:hAnsi="Times New Roman" w:eastAsia="宋体" w:cs="Times New Roman"/>
                <w:b/>
                <w:bCs w:val="0"/>
                <w:color w:val="auto"/>
                <w:kern w:val="0"/>
                <w:sz w:val="21"/>
                <w:szCs w:val="21"/>
                <w:highlight w:val="none"/>
              </w:rPr>
              <w:t>表3-</w:t>
            </w:r>
            <w:r>
              <w:rPr>
                <w:rFonts w:hint="default" w:ascii="Times New Roman" w:hAnsi="Times New Roman" w:cs="Times New Roman"/>
                <w:b/>
                <w:bCs w:val="0"/>
                <w:color w:val="auto"/>
                <w:kern w:val="0"/>
                <w:sz w:val="21"/>
                <w:szCs w:val="21"/>
                <w:highlight w:val="none"/>
                <w:lang w:val="en-US" w:eastAsia="zh-CN"/>
              </w:rPr>
              <w:t>9</w:t>
            </w:r>
            <w:r>
              <w:rPr>
                <w:rFonts w:hint="default" w:ascii="Times New Roman" w:hAnsi="Times New Roman" w:eastAsia="宋体" w:cs="Times New Roman"/>
                <w:b/>
                <w:bCs w:val="0"/>
                <w:color w:val="auto"/>
                <w:kern w:val="0"/>
                <w:sz w:val="21"/>
                <w:szCs w:val="21"/>
                <w:highlight w:val="none"/>
                <w:lang w:val="en-US" w:eastAsia="zh-CN"/>
              </w:rPr>
              <w:t xml:space="preserve"> </w:t>
            </w:r>
            <w:r>
              <w:rPr>
                <w:rFonts w:hint="default" w:ascii="Times New Roman" w:hAnsi="Times New Roman" w:eastAsia="宋体" w:cs="Times New Roman"/>
                <w:b/>
                <w:bCs w:val="0"/>
                <w:color w:val="auto"/>
                <w:kern w:val="0"/>
                <w:sz w:val="21"/>
                <w:szCs w:val="21"/>
                <w:highlight w:val="none"/>
              </w:rPr>
              <w:t>工频电场、工频磁感应强度标准值</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5267"/>
              <w:gridCol w:w="2218"/>
            </w:tblGrid>
            <w:tr w14:paraId="74C0C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noWrap w:val="0"/>
                  <w:vAlign w:val="center"/>
                </w:tcPr>
                <w:p w14:paraId="7AA6867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eastAsia="zh-CN"/>
                    </w:rPr>
                  </w:pPr>
                  <w:r>
                    <w:rPr>
                      <w:rFonts w:hint="default" w:ascii="Times New Roman" w:hAnsi="Times New Roman" w:cs="Times New Roman"/>
                      <w:color w:val="auto"/>
                      <w:kern w:val="0"/>
                      <w:sz w:val="21"/>
                      <w:highlight w:val="none"/>
                      <w:lang w:val="en-US" w:eastAsia="zh-CN"/>
                    </w:rPr>
                    <w:t>项目</w:t>
                  </w:r>
                </w:p>
              </w:tc>
              <w:tc>
                <w:tcPr>
                  <w:tcW w:w="2815" w:type="pct"/>
                  <w:noWrap w:val="0"/>
                  <w:vAlign w:val="center"/>
                </w:tcPr>
                <w:p w14:paraId="6D262EC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标准值</w:t>
                  </w:r>
                </w:p>
              </w:tc>
              <w:tc>
                <w:tcPr>
                  <w:tcW w:w="1185" w:type="pct"/>
                  <w:noWrap w:val="0"/>
                  <w:vAlign w:val="center"/>
                </w:tcPr>
                <w:p w14:paraId="18A4A9F9">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标准来源</w:t>
                  </w:r>
                </w:p>
              </w:tc>
            </w:tr>
            <w:tr w14:paraId="4DAD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noWrap w:val="0"/>
                  <w:vAlign w:val="center"/>
                </w:tcPr>
                <w:p w14:paraId="29361E4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工频电场</w:t>
                  </w:r>
                </w:p>
              </w:tc>
              <w:tc>
                <w:tcPr>
                  <w:tcW w:w="2815" w:type="pct"/>
                  <w:noWrap w:val="0"/>
                  <w:vAlign w:val="center"/>
                </w:tcPr>
                <w:p w14:paraId="5EB0201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频率为50Hz 的公众</w:t>
                  </w:r>
                  <w:r>
                    <w:rPr>
                      <w:rFonts w:hint="eastAsia" w:ascii="Times New Roman" w:cs="Times New Roman"/>
                      <w:color w:val="auto"/>
                      <w:kern w:val="0"/>
                      <w:sz w:val="21"/>
                      <w:highlight w:val="none"/>
                      <w:lang w:val="en-US" w:eastAsia="zh-CN"/>
                    </w:rPr>
                    <w:t>曝露</w:t>
                  </w:r>
                  <w:r>
                    <w:rPr>
                      <w:rFonts w:hint="default" w:ascii="Times New Roman" w:hAnsi="Times New Roman" w:eastAsia="宋体" w:cs="Times New Roman"/>
                      <w:color w:val="auto"/>
                      <w:kern w:val="0"/>
                      <w:sz w:val="21"/>
                      <w:highlight w:val="none"/>
                      <w:lang w:val="en-US" w:eastAsia="zh-CN"/>
                    </w:rPr>
                    <w:t>限值4000V/m</w:t>
                  </w:r>
                </w:p>
              </w:tc>
              <w:tc>
                <w:tcPr>
                  <w:tcW w:w="1185" w:type="pct"/>
                  <w:vMerge w:val="restart"/>
                  <w:noWrap w:val="0"/>
                  <w:vAlign w:val="center"/>
                </w:tcPr>
                <w:p w14:paraId="7899B9B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《电磁环境控制限值》（GB8702-2014）</w:t>
                  </w:r>
                </w:p>
              </w:tc>
            </w:tr>
            <w:tr w14:paraId="2C28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9" w:type="pct"/>
                  <w:noWrap w:val="0"/>
                  <w:vAlign w:val="center"/>
                </w:tcPr>
                <w:p w14:paraId="282A1358">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lang w:val="en-US" w:eastAsia="zh-CN"/>
                    </w:rPr>
                  </w:pPr>
                  <w:r>
                    <w:rPr>
                      <w:rFonts w:hint="default" w:ascii="Times New Roman" w:hAnsi="Times New Roman" w:cs="Times New Roman"/>
                      <w:color w:val="auto"/>
                      <w:kern w:val="0"/>
                      <w:sz w:val="21"/>
                      <w:highlight w:val="none"/>
                      <w:lang w:val="en-US" w:eastAsia="zh-CN"/>
                    </w:rPr>
                    <w:t>工频磁场</w:t>
                  </w:r>
                </w:p>
              </w:tc>
              <w:tc>
                <w:tcPr>
                  <w:tcW w:w="2815" w:type="pct"/>
                  <w:noWrap w:val="0"/>
                  <w:vAlign w:val="center"/>
                </w:tcPr>
                <w:p w14:paraId="2BA5A371">
                  <w:pPr>
                    <w:pStyle w:val="65"/>
                    <w:keepNext w:val="0"/>
                    <w:keepLines w:val="0"/>
                    <w:suppressLineNumbers w:val="0"/>
                    <w:spacing w:before="0" w:beforeAutospacing="0" w:after="0" w:afterAutospacing="0" w:line="240" w:lineRule="auto"/>
                    <w:ind w:left="0" w:right="0" w:firstLine="1050" w:firstLineChars="500"/>
                    <w:jc w:val="both"/>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频率为50Hz 的公众</w:t>
                  </w:r>
                  <w:r>
                    <w:rPr>
                      <w:rFonts w:hint="eastAsia" w:ascii="Times New Roman" w:cs="Times New Roman"/>
                      <w:color w:val="auto"/>
                      <w:kern w:val="0"/>
                      <w:sz w:val="21"/>
                      <w:highlight w:val="none"/>
                      <w:lang w:val="en-US" w:eastAsia="zh-CN"/>
                    </w:rPr>
                    <w:t>曝露</w:t>
                  </w:r>
                  <w:r>
                    <w:rPr>
                      <w:rFonts w:hint="default" w:ascii="Times New Roman" w:hAnsi="Times New Roman" w:eastAsia="宋体" w:cs="Times New Roman"/>
                      <w:color w:val="auto"/>
                      <w:kern w:val="0"/>
                      <w:sz w:val="21"/>
                      <w:highlight w:val="none"/>
                      <w:lang w:val="en-US" w:eastAsia="zh-CN"/>
                    </w:rPr>
                    <w:t>限值100μT</w:t>
                  </w:r>
                </w:p>
              </w:tc>
              <w:tc>
                <w:tcPr>
                  <w:tcW w:w="1185" w:type="pct"/>
                  <w:vMerge w:val="continue"/>
                  <w:noWrap w:val="0"/>
                  <w:vAlign w:val="top"/>
                </w:tcPr>
                <w:p w14:paraId="1C13DB38">
                  <w:pPr>
                    <w:pStyle w:val="6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b/>
                      <w:bCs w:val="0"/>
                      <w:color w:val="auto"/>
                      <w:kern w:val="0"/>
                      <w:highlight w:val="none"/>
                    </w:rPr>
                  </w:pPr>
                </w:p>
              </w:tc>
            </w:tr>
          </w:tbl>
          <w:p w14:paraId="7D35AEAE">
            <w:pPr>
              <w:pStyle w:val="65"/>
              <w:keepNext w:val="0"/>
              <w:keepLines w:val="0"/>
              <w:suppressLineNumbers w:val="0"/>
              <w:spacing w:before="0" w:beforeAutospacing="0" w:after="0" w:afterAutospacing="0"/>
              <w:ind w:left="0" w:right="0" w:firstLine="482"/>
              <w:rPr>
                <w:rFonts w:hint="default" w:ascii="Times New Roman" w:hAnsi="Times New Roman" w:cs="Times New Roman"/>
                <w:b/>
                <w:bCs w:val="0"/>
                <w:color w:val="auto"/>
                <w:kern w:val="0"/>
                <w:highlight w:val="none"/>
              </w:rPr>
            </w:pPr>
            <w:r>
              <w:rPr>
                <w:rFonts w:hint="default" w:ascii="Times New Roman" w:hAnsi="Times New Roman" w:cs="Times New Roman"/>
                <w:b/>
                <w:bCs w:val="0"/>
                <w:color w:val="auto"/>
                <w:kern w:val="0"/>
                <w:highlight w:val="none"/>
                <w:lang w:val="en-US" w:eastAsia="zh-CN"/>
              </w:rPr>
              <w:t>2</w:t>
            </w:r>
            <w:r>
              <w:rPr>
                <w:rFonts w:hint="default" w:ascii="Times New Roman" w:hAnsi="Times New Roman" w:cs="Times New Roman"/>
                <w:b/>
                <w:bCs w:val="0"/>
                <w:color w:val="auto"/>
                <w:kern w:val="0"/>
                <w:highlight w:val="none"/>
              </w:rPr>
              <w:t>、</w:t>
            </w:r>
            <w:r>
              <w:rPr>
                <w:rFonts w:hint="default" w:ascii="Times New Roman" w:hAnsi="Times New Roman" w:cs="Times New Roman"/>
                <w:b/>
                <w:bCs w:val="0"/>
                <w:color w:val="auto"/>
                <w:kern w:val="0"/>
                <w:highlight w:val="none"/>
                <w:lang w:val="en-US" w:eastAsia="zh-CN"/>
              </w:rPr>
              <w:t>污染物</w:t>
            </w:r>
            <w:r>
              <w:rPr>
                <w:rFonts w:hint="default" w:ascii="Times New Roman" w:hAnsi="Times New Roman" w:cs="Times New Roman"/>
                <w:b/>
                <w:bCs w:val="0"/>
                <w:color w:val="auto"/>
                <w:kern w:val="0"/>
                <w:highlight w:val="none"/>
              </w:rPr>
              <w:t>排放标准</w:t>
            </w:r>
          </w:p>
          <w:p w14:paraId="1D3DF7D4">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highlight w:val="none"/>
                <w:lang w:val="en-US" w:eastAsia="zh-CN"/>
              </w:rPr>
            </w:pPr>
            <w:r>
              <w:rPr>
                <w:rFonts w:hint="default" w:ascii="Times New Roman" w:hAnsi="Times New Roman" w:eastAsia="宋体" w:cs="Times New Roman"/>
                <w:b/>
                <w:color w:val="auto"/>
                <w:sz w:val="24"/>
                <w:highlight w:val="none"/>
                <w:lang w:val="en-US" w:eastAsia="zh-CN"/>
              </w:rPr>
              <w:t>2.1噪声</w:t>
            </w:r>
          </w:p>
          <w:p w14:paraId="6D8A38C2">
            <w:pPr>
              <w:pStyle w:val="65"/>
              <w:keepNext w:val="0"/>
              <w:keepLines w:val="0"/>
              <w:suppressLineNumbers w:val="0"/>
              <w:spacing w:before="0" w:beforeAutospacing="0" w:after="0" w:afterAutospacing="0"/>
              <w:ind w:left="0" w:right="0" w:firstLine="480"/>
              <w:rPr>
                <w:rFonts w:hint="default" w:ascii="Times New Roman" w:hAnsi="Times New Roman" w:cs="Times New Roman"/>
                <w:color w:val="auto"/>
                <w:szCs w:val="24"/>
                <w:highlight w:val="none"/>
                <w:lang w:eastAsia="zh-CN"/>
              </w:rPr>
            </w:pPr>
            <w:r>
              <w:rPr>
                <w:rFonts w:hint="default" w:ascii="Times New Roman" w:hAnsi="Times New Roman" w:cs="Times New Roman"/>
                <w:color w:val="auto"/>
                <w:szCs w:val="24"/>
                <w:highlight w:val="none"/>
                <w:lang w:eastAsia="zh-CN"/>
              </w:rPr>
              <w:t>施工期噪声排放执行《建筑施工噪声排放标准》（GB12523-20</w:t>
            </w:r>
            <w:r>
              <w:rPr>
                <w:rFonts w:hint="default" w:ascii="Times New Roman" w:hAnsi="Times New Roman" w:cs="Times New Roman"/>
                <w:color w:val="auto"/>
                <w:szCs w:val="24"/>
                <w:highlight w:val="none"/>
                <w:lang w:val="en-US" w:eastAsia="zh-CN"/>
              </w:rPr>
              <w:t>2</w:t>
            </w:r>
            <w:r>
              <w:rPr>
                <w:rFonts w:hint="default" w:ascii="Times New Roman" w:hAnsi="Times New Roman" w:cs="Times New Roman"/>
                <w:color w:val="auto"/>
                <w:szCs w:val="24"/>
                <w:highlight w:val="none"/>
                <w:lang w:eastAsia="zh-CN"/>
              </w:rPr>
              <w:t>5），具体标准限值见表3-</w:t>
            </w:r>
            <w:r>
              <w:rPr>
                <w:rFonts w:hint="default" w:ascii="Times New Roman" w:hAnsi="Times New Roman" w:cs="Times New Roman"/>
                <w:color w:val="auto"/>
                <w:szCs w:val="24"/>
                <w:highlight w:val="none"/>
                <w:lang w:val="en-US" w:eastAsia="zh-CN"/>
              </w:rPr>
              <w:t>9</w:t>
            </w:r>
            <w:r>
              <w:rPr>
                <w:rFonts w:hint="default" w:ascii="Times New Roman" w:hAnsi="Times New Roman" w:cs="Times New Roman"/>
                <w:color w:val="auto"/>
                <w:szCs w:val="24"/>
                <w:highlight w:val="none"/>
                <w:lang w:eastAsia="zh-CN"/>
              </w:rPr>
              <w:t>。</w:t>
            </w:r>
          </w:p>
          <w:p w14:paraId="3A31CE93">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eastAsia="宋体" w:cs="Times New Roman"/>
                <w:b/>
                <w:bCs w:val="0"/>
                <w:color w:val="auto"/>
                <w:kern w:val="0"/>
                <w:sz w:val="21"/>
                <w:szCs w:val="21"/>
                <w:highlight w:val="none"/>
                <w:lang w:eastAsia="zh-CN"/>
              </w:rPr>
            </w:pPr>
            <w:r>
              <w:rPr>
                <w:rFonts w:hint="default" w:ascii="Times New Roman" w:hAnsi="Times New Roman" w:cs="Times New Roman"/>
                <w:b/>
                <w:bCs w:val="0"/>
                <w:color w:val="auto"/>
                <w:kern w:val="0"/>
                <w:sz w:val="21"/>
                <w:szCs w:val="21"/>
                <w:highlight w:val="none"/>
              </w:rPr>
              <w:t>表3-</w:t>
            </w:r>
            <w:r>
              <w:rPr>
                <w:rFonts w:hint="default" w:ascii="Times New Roman" w:hAnsi="Times New Roman" w:cs="Times New Roman"/>
                <w:b/>
                <w:bCs w:val="0"/>
                <w:color w:val="auto"/>
                <w:kern w:val="0"/>
                <w:sz w:val="21"/>
                <w:szCs w:val="21"/>
                <w:highlight w:val="none"/>
                <w:lang w:val="en-US" w:eastAsia="zh-CN"/>
              </w:rPr>
              <w:t xml:space="preserve">9  </w:t>
            </w:r>
            <w:r>
              <w:rPr>
                <w:rFonts w:hint="default" w:ascii="Times New Roman" w:hAnsi="Times New Roman" w:cs="Times New Roman"/>
                <w:b/>
                <w:bCs w:val="0"/>
                <w:color w:val="auto"/>
                <w:kern w:val="0"/>
                <w:sz w:val="21"/>
                <w:szCs w:val="21"/>
                <w:highlight w:val="none"/>
              </w:rPr>
              <w:t>噪声排放标准</w:t>
            </w:r>
            <w:r>
              <w:rPr>
                <w:rFonts w:hint="default" w:ascii="Times New Roman" w:hAnsi="Times New Roman" w:cs="Times New Roman"/>
                <w:b/>
                <w:bCs w:val="0"/>
                <w:color w:val="auto"/>
                <w:kern w:val="0"/>
                <w:sz w:val="21"/>
                <w:szCs w:val="21"/>
                <w:highlight w:val="none"/>
                <w:lang w:eastAsia="zh-CN"/>
              </w:rPr>
              <w:t>一览表</w:t>
            </w:r>
          </w:p>
          <w:tbl>
            <w:tblPr>
              <w:tblStyle w:val="30"/>
              <w:tblW w:w="49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5"/>
              <w:gridCol w:w="1232"/>
              <w:gridCol w:w="1489"/>
              <w:gridCol w:w="4159"/>
            </w:tblGrid>
            <w:tr w14:paraId="5925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7" w:type="pct"/>
                  <w:noWrap w:val="0"/>
                  <w:vAlign w:val="center"/>
                </w:tcPr>
                <w:p w14:paraId="6BD54B2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eastAsia="zh-CN"/>
                    </w:rPr>
                  </w:pPr>
                  <w:r>
                    <w:rPr>
                      <w:rFonts w:hint="default" w:ascii="Times New Roman" w:hAnsi="Times New Roman" w:cs="Times New Roman"/>
                      <w:color w:val="auto"/>
                      <w:kern w:val="0"/>
                      <w:sz w:val="21"/>
                      <w:highlight w:val="none"/>
                      <w:lang w:val="en-US" w:eastAsia="zh-CN"/>
                    </w:rPr>
                    <w:t>时段</w:t>
                  </w:r>
                </w:p>
              </w:tc>
              <w:tc>
                <w:tcPr>
                  <w:tcW w:w="1460" w:type="pct"/>
                  <w:gridSpan w:val="2"/>
                  <w:noWrap w:val="0"/>
                  <w:vAlign w:val="center"/>
                </w:tcPr>
                <w:p w14:paraId="6CA9968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标准值</w:t>
                  </w:r>
                </w:p>
              </w:tc>
              <w:tc>
                <w:tcPr>
                  <w:tcW w:w="2232" w:type="pct"/>
                  <w:noWrap w:val="0"/>
                  <w:vAlign w:val="center"/>
                </w:tcPr>
                <w:p w14:paraId="3EA30D2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执行标准</w:t>
                  </w:r>
                </w:p>
              </w:tc>
            </w:tr>
            <w:tr w14:paraId="3A89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307" w:type="pct"/>
                  <w:vMerge w:val="restart"/>
                  <w:noWrap w:val="0"/>
                  <w:vAlign w:val="center"/>
                </w:tcPr>
                <w:p w14:paraId="38B0809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eastAsia="zh-CN"/>
                    </w:rPr>
                  </w:pPr>
                  <w:r>
                    <w:rPr>
                      <w:rFonts w:hint="default" w:ascii="Times New Roman" w:hAnsi="Times New Roman" w:cs="Times New Roman"/>
                      <w:color w:val="auto"/>
                      <w:kern w:val="0"/>
                      <w:sz w:val="21"/>
                      <w:highlight w:val="none"/>
                      <w:lang w:val="en-US" w:eastAsia="zh-CN"/>
                    </w:rPr>
                    <w:t>施工期</w:t>
                  </w:r>
                </w:p>
              </w:tc>
              <w:tc>
                <w:tcPr>
                  <w:tcW w:w="661" w:type="pct"/>
                  <w:noWrap w:val="0"/>
                  <w:vAlign w:val="center"/>
                </w:tcPr>
                <w:p w14:paraId="4AE7976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昼间</w:t>
                  </w:r>
                </w:p>
              </w:tc>
              <w:tc>
                <w:tcPr>
                  <w:tcW w:w="798" w:type="pct"/>
                  <w:noWrap w:val="0"/>
                  <w:vAlign w:val="center"/>
                </w:tcPr>
                <w:p w14:paraId="474826CD">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lang w:val="en-US" w:eastAsia="zh-CN"/>
                    </w:rPr>
                    <w:t>70</w:t>
                  </w:r>
                  <w:r>
                    <w:rPr>
                      <w:rFonts w:hint="default" w:ascii="Times New Roman" w:hAnsi="Times New Roman" w:cs="Times New Roman"/>
                      <w:color w:val="auto"/>
                      <w:kern w:val="0"/>
                      <w:sz w:val="21"/>
                      <w:highlight w:val="none"/>
                    </w:rPr>
                    <w:t>dB(A)</w:t>
                  </w:r>
                </w:p>
              </w:tc>
              <w:tc>
                <w:tcPr>
                  <w:tcW w:w="2232" w:type="pct"/>
                  <w:vMerge w:val="restart"/>
                  <w:noWrap w:val="0"/>
                  <w:vAlign w:val="center"/>
                </w:tcPr>
                <w:p w14:paraId="5A7F96D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lang w:eastAsia="zh-CN"/>
                    </w:rPr>
                    <w:t>《建筑施工噪声排放标准》(GB12523-20</w:t>
                  </w:r>
                  <w:r>
                    <w:rPr>
                      <w:rFonts w:hint="default" w:ascii="Times New Roman" w:hAnsi="Times New Roman" w:cs="Times New Roman"/>
                      <w:color w:val="auto"/>
                      <w:kern w:val="0"/>
                      <w:sz w:val="21"/>
                      <w:highlight w:val="none"/>
                      <w:lang w:val="en-US" w:eastAsia="zh-CN"/>
                    </w:rPr>
                    <w:t>2</w:t>
                  </w:r>
                  <w:r>
                    <w:rPr>
                      <w:rFonts w:hint="default" w:ascii="Times New Roman" w:hAnsi="Times New Roman" w:cs="Times New Roman"/>
                      <w:color w:val="auto"/>
                      <w:kern w:val="0"/>
                      <w:sz w:val="21"/>
                      <w:highlight w:val="none"/>
                      <w:lang w:eastAsia="zh-CN"/>
                    </w:rPr>
                    <w:t>5)</w:t>
                  </w:r>
                </w:p>
              </w:tc>
            </w:tr>
            <w:tr w14:paraId="285D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1307" w:type="pct"/>
                  <w:vMerge w:val="continue"/>
                  <w:noWrap w:val="0"/>
                  <w:vAlign w:val="center"/>
                </w:tcPr>
                <w:p w14:paraId="23B0ED4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p>
              </w:tc>
              <w:tc>
                <w:tcPr>
                  <w:tcW w:w="661" w:type="pct"/>
                  <w:noWrap w:val="0"/>
                  <w:vAlign w:val="center"/>
                </w:tcPr>
                <w:p w14:paraId="1E6796F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夜间</w:t>
                  </w:r>
                </w:p>
              </w:tc>
              <w:tc>
                <w:tcPr>
                  <w:tcW w:w="798" w:type="pct"/>
                  <w:noWrap w:val="0"/>
                  <w:vAlign w:val="center"/>
                </w:tcPr>
                <w:p w14:paraId="3AA36EC9">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5</w:t>
                  </w:r>
                  <w:r>
                    <w:rPr>
                      <w:rFonts w:hint="default" w:ascii="Times New Roman" w:hAnsi="Times New Roman" w:cs="Times New Roman"/>
                      <w:color w:val="auto"/>
                      <w:kern w:val="0"/>
                      <w:sz w:val="21"/>
                      <w:highlight w:val="none"/>
                      <w:lang w:val="en-US" w:eastAsia="zh-CN"/>
                    </w:rPr>
                    <w:t>5</w:t>
                  </w:r>
                  <w:r>
                    <w:rPr>
                      <w:rFonts w:hint="default" w:ascii="Times New Roman" w:hAnsi="Times New Roman" w:cs="Times New Roman"/>
                      <w:color w:val="auto"/>
                      <w:kern w:val="0"/>
                      <w:sz w:val="21"/>
                      <w:highlight w:val="none"/>
                    </w:rPr>
                    <w:t>dB(A)</w:t>
                  </w:r>
                </w:p>
              </w:tc>
              <w:tc>
                <w:tcPr>
                  <w:tcW w:w="2232" w:type="pct"/>
                  <w:vMerge w:val="continue"/>
                  <w:noWrap w:val="0"/>
                  <w:vAlign w:val="top"/>
                </w:tcPr>
                <w:p w14:paraId="7D36DB88">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p>
              </w:tc>
            </w:tr>
          </w:tbl>
          <w:p w14:paraId="4730BEFC">
            <w:pPr>
              <w:pStyle w:val="65"/>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zCs w:val="24"/>
                <w:highlight w:val="none"/>
                <w:lang w:eastAsia="zh-CN"/>
              </w:rPr>
            </w:pPr>
            <w:r>
              <w:rPr>
                <w:rFonts w:hint="default" w:ascii="Times New Roman" w:hAnsi="Times New Roman" w:cs="Times New Roman"/>
                <w:color w:val="auto"/>
                <w:szCs w:val="24"/>
                <w:highlight w:val="none"/>
              </w:rPr>
              <w:t>运营期</w:t>
            </w:r>
            <w:r>
              <w:rPr>
                <w:rFonts w:hint="default" w:ascii="Times New Roman" w:hAnsi="Times New Roman" w:cs="Times New Roman"/>
                <w:color w:val="auto"/>
                <w:szCs w:val="24"/>
                <w:highlight w:val="none"/>
                <w:lang w:val="en-US" w:eastAsia="zh-CN"/>
              </w:rPr>
              <w:t>升压站场</w:t>
            </w:r>
            <w:r>
              <w:rPr>
                <w:rFonts w:hint="default" w:ascii="Times New Roman" w:hAnsi="Times New Roman" w:cs="Times New Roman"/>
                <w:color w:val="auto"/>
                <w:szCs w:val="24"/>
                <w:highlight w:val="none"/>
              </w:rPr>
              <w:t>界噪声排放执行《工业企业厂界环境噪声排放标准》</w:t>
            </w: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rPr>
              <w:t>GB12348-2008</w:t>
            </w: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rPr>
              <w:t>中</w:t>
            </w:r>
            <w:r>
              <w:rPr>
                <w:rFonts w:hint="default" w:ascii="Times New Roman" w:hAnsi="Times New Roman" w:cs="Times New Roman"/>
                <w:color w:val="auto"/>
                <w:szCs w:val="24"/>
                <w:highlight w:val="none"/>
                <w:lang w:val="en-US" w:eastAsia="zh-CN"/>
              </w:rPr>
              <w:t>2</w:t>
            </w:r>
            <w:r>
              <w:rPr>
                <w:rFonts w:hint="default" w:ascii="Times New Roman" w:hAnsi="Times New Roman" w:cs="Times New Roman"/>
                <w:color w:val="auto"/>
                <w:szCs w:val="24"/>
                <w:highlight w:val="none"/>
              </w:rPr>
              <w:t>类标准</w:t>
            </w:r>
            <w:r>
              <w:rPr>
                <w:rFonts w:hint="default" w:ascii="Times New Roman" w:hAnsi="Times New Roman" w:cs="Times New Roman"/>
                <w:color w:val="auto"/>
                <w:szCs w:val="24"/>
                <w:highlight w:val="none"/>
                <w:lang w:eastAsia="zh-CN"/>
              </w:rPr>
              <w:t>。</w:t>
            </w:r>
          </w:p>
          <w:p w14:paraId="01254F01">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eastAsia="宋体" w:cs="Times New Roman"/>
                <w:b/>
                <w:bCs w:val="0"/>
                <w:color w:val="auto"/>
                <w:kern w:val="0"/>
                <w:sz w:val="21"/>
                <w:szCs w:val="21"/>
                <w:highlight w:val="none"/>
                <w:lang w:eastAsia="zh-CN"/>
              </w:rPr>
            </w:pPr>
            <w:r>
              <w:rPr>
                <w:rFonts w:hint="default" w:ascii="Times New Roman" w:hAnsi="Times New Roman" w:cs="Times New Roman"/>
                <w:b/>
                <w:bCs w:val="0"/>
                <w:color w:val="auto"/>
                <w:kern w:val="0"/>
                <w:sz w:val="21"/>
                <w:szCs w:val="21"/>
                <w:highlight w:val="none"/>
              </w:rPr>
              <w:t>表3-</w:t>
            </w:r>
            <w:r>
              <w:rPr>
                <w:rFonts w:hint="default" w:ascii="Times New Roman" w:hAnsi="Times New Roman" w:cs="Times New Roman"/>
                <w:b/>
                <w:bCs w:val="0"/>
                <w:color w:val="auto"/>
                <w:kern w:val="0"/>
                <w:sz w:val="21"/>
                <w:szCs w:val="21"/>
                <w:highlight w:val="none"/>
                <w:lang w:val="en-US" w:eastAsia="zh-CN"/>
              </w:rPr>
              <w:t xml:space="preserve">10  </w:t>
            </w:r>
            <w:r>
              <w:rPr>
                <w:rFonts w:hint="default" w:ascii="Times New Roman" w:hAnsi="Times New Roman" w:cs="Times New Roman"/>
                <w:b/>
                <w:bCs w:val="0"/>
                <w:color w:val="auto"/>
                <w:kern w:val="0"/>
                <w:sz w:val="21"/>
                <w:szCs w:val="21"/>
                <w:highlight w:val="none"/>
              </w:rPr>
              <w:t>噪声排放标准</w:t>
            </w:r>
            <w:r>
              <w:rPr>
                <w:rFonts w:hint="default" w:ascii="Times New Roman" w:hAnsi="Times New Roman" w:cs="Times New Roman"/>
                <w:b/>
                <w:bCs w:val="0"/>
                <w:color w:val="auto"/>
                <w:kern w:val="0"/>
                <w:sz w:val="21"/>
                <w:szCs w:val="21"/>
                <w:highlight w:val="none"/>
                <w:lang w:eastAsia="zh-CN"/>
              </w:rPr>
              <w:t>一览表</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2"/>
              <w:gridCol w:w="2116"/>
              <w:gridCol w:w="957"/>
              <w:gridCol w:w="1159"/>
              <w:gridCol w:w="3234"/>
            </w:tblGrid>
            <w:tr w14:paraId="3CE5A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1" w:type="pct"/>
                  <w:noWrap w:val="0"/>
                  <w:vAlign w:val="center"/>
                </w:tcPr>
                <w:p w14:paraId="71E0703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eastAsia="zh-CN"/>
                    </w:rPr>
                  </w:pPr>
                  <w:r>
                    <w:rPr>
                      <w:rFonts w:hint="default" w:ascii="Times New Roman" w:hAnsi="Times New Roman" w:cs="Times New Roman"/>
                      <w:color w:val="auto"/>
                      <w:kern w:val="0"/>
                      <w:sz w:val="21"/>
                      <w:highlight w:val="none"/>
                      <w:lang w:val="en-US" w:eastAsia="zh-CN"/>
                    </w:rPr>
                    <w:t>时段</w:t>
                  </w:r>
                </w:p>
              </w:tc>
              <w:tc>
                <w:tcPr>
                  <w:tcW w:w="1130" w:type="pct"/>
                  <w:noWrap w:val="0"/>
                  <w:vAlign w:val="center"/>
                </w:tcPr>
                <w:p w14:paraId="3235169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p>
              </w:tc>
              <w:tc>
                <w:tcPr>
                  <w:tcW w:w="1130" w:type="pct"/>
                  <w:gridSpan w:val="2"/>
                  <w:noWrap w:val="0"/>
                  <w:vAlign w:val="center"/>
                </w:tcPr>
                <w:p w14:paraId="6790C6C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标准值</w:t>
                  </w:r>
                </w:p>
              </w:tc>
              <w:tc>
                <w:tcPr>
                  <w:tcW w:w="1727" w:type="pct"/>
                  <w:noWrap w:val="0"/>
                  <w:vAlign w:val="center"/>
                </w:tcPr>
                <w:p w14:paraId="22558482">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执行标准</w:t>
                  </w:r>
                </w:p>
              </w:tc>
            </w:tr>
            <w:tr w14:paraId="31A5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1" w:type="pct"/>
                  <w:vMerge w:val="restart"/>
                  <w:noWrap w:val="0"/>
                  <w:vAlign w:val="center"/>
                </w:tcPr>
                <w:p w14:paraId="1B280E6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eastAsia="zh-CN"/>
                    </w:rPr>
                  </w:pPr>
                  <w:r>
                    <w:rPr>
                      <w:rFonts w:hint="default" w:ascii="Times New Roman" w:hAnsi="Times New Roman" w:cs="Times New Roman"/>
                      <w:color w:val="auto"/>
                      <w:kern w:val="0"/>
                      <w:sz w:val="21"/>
                      <w:highlight w:val="none"/>
                      <w:lang w:val="en-US" w:eastAsia="zh-CN"/>
                    </w:rPr>
                    <w:t>运营期</w:t>
                  </w:r>
                </w:p>
              </w:tc>
              <w:tc>
                <w:tcPr>
                  <w:tcW w:w="1130" w:type="pct"/>
                  <w:noWrap w:val="0"/>
                  <w:vAlign w:val="center"/>
                </w:tcPr>
                <w:p w14:paraId="454E9776">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p>
              </w:tc>
              <w:tc>
                <w:tcPr>
                  <w:tcW w:w="511" w:type="pct"/>
                  <w:noWrap w:val="0"/>
                  <w:vAlign w:val="center"/>
                </w:tcPr>
                <w:p w14:paraId="01EFB61D">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昼间</w:t>
                  </w:r>
                </w:p>
              </w:tc>
              <w:tc>
                <w:tcPr>
                  <w:tcW w:w="618" w:type="pct"/>
                  <w:noWrap w:val="0"/>
                  <w:vAlign w:val="center"/>
                </w:tcPr>
                <w:p w14:paraId="1BAAF8B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sz w:val="21"/>
                      <w:highlight w:val="none"/>
                      <w:lang w:val="en-US" w:eastAsia="zh-CN"/>
                    </w:rPr>
                    <w:t>60</w:t>
                  </w:r>
                  <w:r>
                    <w:rPr>
                      <w:rFonts w:hint="default" w:ascii="Times New Roman" w:hAnsi="Times New Roman" w:cs="Times New Roman"/>
                      <w:color w:val="auto"/>
                      <w:sz w:val="21"/>
                      <w:highlight w:val="none"/>
                    </w:rPr>
                    <w:t>dB(A)</w:t>
                  </w:r>
                </w:p>
              </w:tc>
              <w:tc>
                <w:tcPr>
                  <w:tcW w:w="1727" w:type="pct"/>
                  <w:vMerge w:val="restart"/>
                  <w:noWrap w:val="0"/>
                  <w:vAlign w:val="center"/>
                </w:tcPr>
                <w:p w14:paraId="4E1702C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val="0"/>
                      <w:color w:val="auto"/>
                      <w:kern w:val="0"/>
                      <w:highlight w:val="none"/>
                    </w:rPr>
                  </w:pPr>
                  <w:r>
                    <w:rPr>
                      <w:rFonts w:hint="default" w:ascii="Times New Roman" w:hAnsi="Times New Roman" w:cs="Times New Roman"/>
                      <w:color w:val="auto"/>
                      <w:sz w:val="21"/>
                      <w:highlight w:val="none"/>
                    </w:rPr>
                    <w:t>《工业企业厂界环境噪声排放标准》</w:t>
                  </w:r>
                  <w:r>
                    <w:rPr>
                      <w:rFonts w:hint="default" w:ascii="Times New Roman" w:hAnsi="Times New Roman" w:cs="Times New Roman"/>
                      <w:color w:val="auto"/>
                      <w:sz w:val="21"/>
                      <w:highlight w:val="none"/>
                      <w:lang w:eastAsia="zh-CN"/>
                    </w:rPr>
                    <w:t>（</w:t>
                  </w:r>
                  <w:r>
                    <w:rPr>
                      <w:rFonts w:hint="default" w:ascii="Times New Roman" w:hAnsi="Times New Roman" w:cs="Times New Roman"/>
                      <w:color w:val="auto"/>
                      <w:sz w:val="21"/>
                      <w:highlight w:val="none"/>
                    </w:rPr>
                    <w:t>GB12348-2008</w:t>
                  </w:r>
                  <w:r>
                    <w:rPr>
                      <w:rFonts w:hint="default" w:ascii="Times New Roman" w:hAnsi="Times New Roman" w:cs="Times New Roman"/>
                      <w:color w:val="auto"/>
                      <w:sz w:val="21"/>
                      <w:highlight w:val="none"/>
                      <w:lang w:eastAsia="zh-CN"/>
                    </w:rPr>
                    <w:t>）</w:t>
                  </w:r>
                  <w:r>
                    <w:rPr>
                      <w:rFonts w:hint="default" w:ascii="Times New Roman" w:hAnsi="Times New Roman" w:cs="Times New Roman"/>
                      <w:color w:val="auto"/>
                      <w:sz w:val="21"/>
                      <w:highlight w:val="none"/>
                    </w:rPr>
                    <w:t>中</w:t>
                  </w:r>
                  <w:r>
                    <w:rPr>
                      <w:rFonts w:hint="default" w:ascii="Times New Roman" w:hAnsi="Times New Roman" w:cs="Times New Roman"/>
                      <w:color w:val="auto"/>
                      <w:sz w:val="21"/>
                      <w:highlight w:val="none"/>
                      <w:lang w:val="en-US" w:eastAsia="zh-CN"/>
                    </w:rPr>
                    <w:t>2</w:t>
                  </w:r>
                  <w:r>
                    <w:rPr>
                      <w:rFonts w:hint="default" w:ascii="Times New Roman" w:hAnsi="Times New Roman" w:cs="Times New Roman"/>
                      <w:color w:val="auto"/>
                      <w:sz w:val="21"/>
                      <w:highlight w:val="none"/>
                    </w:rPr>
                    <w:t>类标准</w:t>
                  </w:r>
                </w:p>
              </w:tc>
            </w:tr>
            <w:tr w14:paraId="68B7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011" w:type="pct"/>
                  <w:vMerge w:val="continue"/>
                  <w:noWrap w:val="0"/>
                  <w:vAlign w:val="center"/>
                </w:tcPr>
                <w:p w14:paraId="2AEAF8FD">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p>
              </w:tc>
              <w:tc>
                <w:tcPr>
                  <w:tcW w:w="1130" w:type="pct"/>
                  <w:noWrap w:val="0"/>
                  <w:vAlign w:val="center"/>
                </w:tcPr>
                <w:p w14:paraId="6C97FE88">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p>
              </w:tc>
              <w:tc>
                <w:tcPr>
                  <w:tcW w:w="511" w:type="pct"/>
                  <w:noWrap w:val="0"/>
                  <w:vAlign w:val="center"/>
                </w:tcPr>
                <w:p w14:paraId="379CA086">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kern w:val="0"/>
                      <w:sz w:val="21"/>
                      <w:highlight w:val="none"/>
                    </w:rPr>
                    <w:t>夜间</w:t>
                  </w:r>
                </w:p>
              </w:tc>
              <w:tc>
                <w:tcPr>
                  <w:tcW w:w="618" w:type="pct"/>
                  <w:noWrap w:val="0"/>
                  <w:vAlign w:val="center"/>
                </w:tcPr>
                <w:p w14:paraId="36DDC21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1"/>
                      <w:highlight w:val="none"/>
                    </w:rPr>
                  </w:pPr>
                  <w:r>
                    <w:rPr>
                      <w:rFonts w:hint="default" w:ascii="Times New Roman" w:hAnsi="Times New Roman" w:cs="Times New Roman"/>
                      <w:color w:val="auto"/>
                      <w:sz w:val="21"/>
                      <w:highlight w:val="none"/>
                      <w:lang w:val="en-US" w:eastAsia="zh-CN"/>
                    </w:rPr>
                    <w:t>50</w:t>
                  </w:r>
                  <w:r>
                    <w:rPr>
                      <w:rFonts w:hint="default" w:ascii="Times New Roman" w:hAnsi="Times New Roman" w:cs="Times New Roman"/>
                      <w:color w:val="auto"/>
                      <w:sz w:val="21"/>
                      <w:highlight w:val="none"/>
                    </w:rPr>
                    <w:t>dB(A)</w:t>
                  </w:r>
                </w:p>
              </w:tc>
              <w:tc>
                <w:tcPr>
                  <w:tcW w:w="1727" w:type="pct"/>
                  <w:vMerge w:val="continue"/>
                  <w:noWrap w:val="0"/>
                  <w:vAlign w:val="top"/>
                </w:tcPr>
                <w:p w14:paraId="4DE0B584">
                  <w:pPr>
                    <w:pStyle w:val="65"/>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b/>
                      <w:bCs w:val="0"/>
                      <w:color w:val="auto"/>
                      <w:kern w:val="0"/>
                      <w:highlight w:val="none"/>
                    </w:rPr>
                  </w:pPr>
                </w:p>
              </w:tc>
            </w:tr>
          </w:tbl>
          <w:p w14:paraId="1C414A2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cs="Times New Roman"/>
                <w:b/>
                <w:bCs w:val="0"/>
                <w:color w:val="auto"/>
                <w:sz w:val="24"/>
                <w:highlight w:val="none"/>
                <w:lang w:val="en-US" w:eastAsia="zh-CN"/>
              </w:rPr>
              <w:t>2.2废水</w:t>
            </w:r>
          </w:p>
          <w:p w14:paraId="5A0992B4">
            <w:pPr>
              <w:pStyle w:val="65"/>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Cs w:val="24"/>
                <w:highlight w:val="none"/>
                <w:lang w:eastAsia="zh-CN"/>
              </w:rPr>
              <w:t>生活污水经处理后回用于</w:t>
            </w:r>
            <w:r>
              <w:rPr>
                <w:rFonts w:hint="default" w:ascii="Times New Roman" w:hAnsi="Times New Roman" w:eastAsia="宋体" w:cs="Times New Roman"/>
                <w:color w:val="auto"/>
                <w:szCs w:val="24"/>
                <w:highlight w:val="none"/>
                <w:lang w:val="en-US" w:eastAsia="zh-CN"/>
              </w:rPr>
              <w:t>道路冲洗、</w:t>
            </w:r>
            <w:r>
              <w:rPr>
                <w:rFonts w:hint="eastAsia" w:ascii="Times New Roman" w:cs="Times New Roman"/>
                <w:color w:val="auto"/>
                <w:szCs w:val="24"/>
                <w:highlight w:val="none"/>
                <w:lang w:val="en-US" w:eastAsia="zh-CN"/>
              </w:rPr>
              <w:t>洒水抑尘</w:t>
            </w:r>
            <w:r>
              <w:rPr>
                <w:rFonts w:hint="default" w:ascii="Times New Roman" w:hAnsi="Times New Roman" w:eastAsia="宋体" w:cs="Times New Roman"/>
                <w:color w:val="auto"/>
                <w:szCs w:val="24"/>
                <w:highlight w:val="none"/>
                <w:lang w:eastAsia="zh-CN"/>
              </w:rPr>
              <w:t>，污水处理设施处理完的水执行《城市污水再生利用城市杂用水水质》（</w:t>
            </w:r>
            <w:r>
              <w:rPr>
                <w:rFonts w:hint="default" w:ascii="Times New Roman" w:hAnsi="Times New Roman" w:eastAsia="宋体" w:cs="Times New Roman"/>
                <w:color w:val="auto"/>
                <w:szCs w:val="24"/>
                <w:highlight w:val="none"/>
                <w:lang w:val="en-US" w:eastAsia="zh-CN"/>
              </w:rPr>
              <w:t>GB/T18920-2020）。</w:t>
            </w:r>
          </w:p>
          <w:p w14:paraId="19597632">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表3-1</w:t>
            </w:r>
            <w:r>
              <w:rPr>
                <w:rFonts w:hint="default" w:ascii="Times New Roman" w:hAnsi="Times New Roman" w:cs="Times New Roman"/>
                <w:b/>
                <w:bCs w:val="0"/>
                <w:color w:val="auto"/>
                <w:kern w:val="0"/>
                <w:sz w:val="21"/>
                <w:szCs w:val="21"/>
                <w:highlight w:val="none"/>
                <w:lang w:val="en-US" w:eastAsia="zh-CN"/>
              </w:rPr>
              <w:t>1</w:t>
            </w:r>
            <w:r>
              <w:rPr>
                <w:rFonts w:hint="default" w:ascii="Times New Roman" w:hAnsi="Times New Roman" w:eastAsia="宋体" w:cs="Times New Roman"/>
                <w:b/>
                <w:bCs w:val="0"/>
                <w:color w:val="auto"/>
                <w:kern w:val="0"/>
                <w:sz w:val="21"/>
                <w:szCs w:val="21"/>
                <w:highlight w:val="none"/>
                <w:lang w:val="en-US" w:eastAsia="zh-CN"/>
              </w:rPr>
              <w:t>城市污水再利用杂用水水质</w:t>
            </w:r>
            <w:r>
              <w:rPr>
                <w:rFonts w:hint="default" w:ascii="Times New Roman" w:hAnsi="Times New Roman" w:cs="Times New Roman"/>
                <w:b/>
                <w:bCs w:val="0"/>
                <w:color w:val="auto"/>
                <w:kern w:val="0"/>
                <w:sz w:val="21"/>
                <w:szCs w:val="21"/>
                <w:highlight w:val="none"/>
                <w:lang w:val="en-US" w:eastAsia="zh-CN"/>
              </w:rPr>
              <w:t xml:space="preserve">  </w:t>
            </w:r>
            <w:r>
              <w:rPr>
                <w:rFonts w:hint="default" w:ascii="Times New Roman" w:hAnsi="Times New Roman" w:eastAsia="宋体" w:cs="Times New Roman"/>
                <w:b/>
                <w:bCs w:val="0"/>
                <w:color w:val="auto"/>
                <w:kern w:val="0"/>
                <w:sz w:val="21"/>
                <w:szCs w:val="21"/>
                <w:highlight w:val="none"/>
                <w:lang w:val="en-US" w:eastAsia="zh-CN"/>
              </w:rPr>
              <w:t>单位：mg/L</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0"/>
              <w:gridCol w:w="3488"/>
              <w:gridCol w:w="4352"/>
            </w:tblGrid>
            <w:tr w14:paraId="78FF8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1CF75FB9">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序号</w:t>
                  </w:r>
                </w:p>
              </w:tc>
              <w:tc>
                <w:tcPr>
                  <w:tcW w:w="1863" w:type="pct"/>
                  <w:noWrap w:val="0"/>
                  <w:vAlign w:val="top"/>
                </w:tcPr>
                <w:p w14:paraId="59CB446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项目</w:t>
                  </w:r>
                </w:p>
              </w:tc>
              <w:tc>
                <w:tcPr>
                  <w:tcW w:w="2324" w:type="pct"/>
                  <w:noWrap w:val="0"/>
                  <w:vAlign w:val="top"/>
                </w:tcPr>
                <w:p w14:paraId="6D0F9CA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城市绿化、道路清扫、消防、建筑施工</w:t>
                  </w:r>
                </w:p>
              </w:tc>
            </w:tr>
            <w:tr w14:paraId="04CBB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468E87C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1</w:t>
                  </w:r>
                </w:p>
              </w:tc>
              <w:tc>
                <w:tcPr>
                  <w:tcW w:w="1863" w:type="pct"/>
                  <w:noWrap w:val="0"/>
                  <w:vAlign w:val="top"/>
                </w:tcPr>
                <w:p w14:paraId="6136BDF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PH值</w:t>
                  </w:r>
                </w:p>
              </w:tc>
              <w:tc>
                <w:tcPr>
                  <w:tcW w:w="2324" w:type="pct"/>
                  <w:noWrap w:val="0"/>
                  <w:vAlign w:val="top"/>
                </w:tcPr>
                <w:p w14:paraId="11CB3D39">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6-9</w:t>
                  </w:r>
                </w:p>
              </w:tc>
            </w:tr>
            <w:tr w14:paraId="7E06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14F3CF0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2</w:t>
                  </w:r>
                </w:p>
              </w:tc>
              <w:tc>
                <w:tcPr>
                  <w:tcW w:w="1863" w:type="pct"/>
                  <w:noWrap w:val="0"/>
                  <w:vAlign w:val="top"/>
                </w:tcPr>
                <w:p w14:paraId="059213B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色度(度)≤</w:t>
                  </w:r>
                </w:p>
              </w:tc>
              <w:tc>
                <w:tcPr>
                  <w:tcW w:w="2324" w:type="pct"/>
                  <w:noWrap w:val="0"/>
                  <w:vAlign w:val="top"/>
                </w:tcPr>
                <w:p w14:paraId="5A051B9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30</w:t>
                  </w:r>
                </w:p>
              </w:tc>
            </w:tr>
            <w:tr w14:paraId="7331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6636ECB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3</w:t>
                  </w:r>
                </w:p>
              </w:tc>
              <w:tc>
                <w:tcPr>
                  <w:tcW w:w="1863" w:type="pct"/>
                  <w:noWrap w:val="0"/>
                  <w:vAlign w:val="top"/>
                </w:tcPr>
                <w:p w14:paraId="1599D83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嗅</w:t>
                  </w:r>
                </w:p>
              </w:tc>
              <w:tc>
                <w:tcPr>
                  <w:tcW w:w="2324" w:type="pct"/>
                  <w:noWrap w:val="0"/>
                  <w:vAlign w:val="top"/>
                </w:tcPr>
                <w:p w14:paraId="5701CFE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无不快感</w:t>
                  </w:r>
                </w:p>
              </w:tc>
            </w:tr>
            <w:tr w14:paraId="6340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0B57542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4</w:t>
                  </w:r>
                </w:p>
              </w:tc>
              <w:tc>
                <w:tcPr>
                  <w:tcW w:w="1863" w:type="pct"/>
                  <w:noWrap w:val="0"/>
                  <w:vAlign w:val="top"/>
                </w:tcPr>
                <w:p w14:paraId="4080CE0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浊度/NTU</w:t>
                  </w:r>
                </w:p>
              </w:tc>
              <w:tc>
                <w:tcPr>
                  <w:tcW w:w="2324" w:type="pct"/>
                  <w:noWrap w:val="0"/>
                  <w:vAlign w:val="top"/>
                </w:tcPr>
                <w:p w14:paraId="0E84F77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10</w:t>
                  </w:r>
                </w:p>
              </w:tc>
            </w:tr>
            <w:tr w14:paraId="59DB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5D398F1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5</w:t>
                  </w:r>
                </w:p>
              </w:tc>
              <w:tc>
                <w:tcPr>
                  <w:tcW w:w="1863" w:type="pct"/>
                  <w:noWrap w:val="0"/>
                  <w:vAlign w:val="top"/>
                </w:tcPr>
                <w:p w14:paraId="6D822626">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五日生化需氧量(BOD;)(mgL)≤</w:t>
                  </w:r>
                </w:p>
              </w:tc>
              <w:tc>
                <w:tcPr>
                  <w:tcW w:w="2324" w:type="pct"/>
                  <w:noWrap w:val="0"/>
                  <w:vAlign w:val="top"/>
                </w:tcPr>
                <w:p w14:paraId="44B9C73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10</w:t>
                  </w:r>
                </w:p>
              </w:tc>
            </w:tr>
            <w:tr w14:paraId="1B33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6630EEC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6</w:t>
                  </w:r>
                </w:p>
              </w:tc>
              <w:tc>
                <w:tcPr>
                  <w:tcW w:w="1863" w:type="pct"/>
                  <w:noWrap w:val="0"/>
                  <w:vAlign w:val="top"/>
                </w:tcPr>
                <w:p w14:paraId="2494AA5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氨氮≤</w:t>
                  </w:r>
                </w:p>
              </w:tc>
              <w:tc>
                <w:tcPr>
                  <w:tcW w:w="2324" w:type="pct"/>
                  <w:noWrap w:val="0"/>
                  <w:vAlign w:val="top"/>
                </w:tcPr>
                <w:p w14:paraId="7DBF52A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8</w:t>
                  </w:r>
                </w:p>
              </w:tc>
            </w:tr>
            <w:tr w14:paraId="2D97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23A6F57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7</w:t>
                  </w:r>
                </w:p>
              </w:tc>
              <w:tc>
                <w:tcPr>
                  <w:tcW w:w="1863" w:type="pct"/>
                  <w:noWrap w:val="0"/>
                  <w:vAlign w:val="top"/>
                </w:tcPr>
                <w:p w14:paraId="649FC5C8">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阴离子表面活性剂(mgl)≤</w:t>
                  </w:r>
                </w:p>
              </w:tc>
              <w:tc>
                <w:tcPr>
                  <w:tcW w:w="2324" w:type="pct"/>
                  <w:noWrap w:val="0"/>
                  <w:vAlign w:val="top"/>
                </w:tcPr>
                <w:p w14:paraId="609AF161">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0.5</w:t>
                  </w:r>
                </w:p>
              </w:tc>
            </w:tr>
            <w:tr w14:paraId="08B1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402C63C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8</w:t>
                  </w:r>
                </w:p>
              </w:tc>
              <w:tc>
                <w:tcPr>
                  <w:tcW w:w="1863" w:type="pct"/>
                  <w:noWrap w:val="0"/>
                  <w:vAlign w:val="top"/>
                </w:tcPr>
                <w:p w14:paraId="1131ED4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锰(mgL)≤</w:t>
                  </w:r>
                </w:p>
              </w:tc>
              <w:tc>
                <w:tcPr>
                  <w:tcW w:w="2324" w:type="pct"/>
                  <w:noWrap w:val="0"/>
                  <w:vAlign w:val="top"/>
                </w:tcPr>
                <w:p w14:paraId="39E800F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w:t>
                  </w:r>
                </w:p>
              </w:tc>
            </w:tr>
            <w:tr w14:paraId="16BE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228F83B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9</w:t>
                  </w:r>
                </w:p>
              </w:tc>
              <w:tc>
                <w:tcPr>
                  <w:tcW w:w="1863" w:type="pct"/>
                  <w:noWrap w:val="0"/>
                  <w:vAlign w:val="top"/>
                </w:tcPr>
                <w:p w14:paraId="3F57B841">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铁(mgL)≤</w:t>
                  </w:r>
                </w:p>
              </w:tc>
              <w:tc>
                <w:tcPr>
                  <w:tcW w:w="2324" w:type="pct"/>
                  <w:noWrap w:val="0"/>
                  <w:vAlign w:val="top"/>
                </w:tcPr>
                <w:p w14:paraId="3E9585A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w:t>
                  </w:r>
                </w:p>
              </w:tc>
            </w:tr>
            <w:tr w14:paraId="4DA4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50C21ED9">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10</w:t>
                  </w:r>
                </w:p>
              </w:tc>
              <w:tc>
                <w:tcPr>
                  <w:tcW w:w="1863" w:type="pct"/>
                  <w:noWrap w:val="0"/>
                  <w:vAlign w:val="top"/>
                </w:tcPr>
                <w:p w14:paraId="4D289B6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溶解性总固体(mgL)≤</w:t>
                  </w:r>
                </w:p>
              </w:tc>
              <w:tc>
                <w:tcPr>
                  <w:tcW w:w="2324" w:type="pct"/>
                  <w:noWrap w:val="0"/>
                  <w:vAlign w:val="top"/>
                </w:tcPr>
                <w:p w14:paraId="2A6EF0D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1000（2000）a</w:t>
                  </w:r>
                </w:p>
              </w:tc>
            </w:tr>
            <w:tr w14:paraId="0B68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12" w:type="pct"/>
                  <w:noWrap w:val="0"/>
                  <w:vAlign w:val="top"/>
                </w:tcPr>
                <w:p w14:paraId="74D21AFD">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11</w:t>
                  </w:r>
                </w:p>
              </w:tc>
              <w:tc>
                <w:tcPr>
                  <w:tcW w:w="1863" w:type="pct"/>
                  <w:noWrap w:val="0"/>
                  <w:vAlign w:val="top"/>
                </w:tcPr>
                <w:p w14:paraId="6E7C53C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溶解氧(mgL)≤</w:t>
                  </w:r>
                </w:p>
              </w:tc>
              <w:tc>
                <w:tcPr>
                  <w:tcW w:w="2324" w:type="pct"/>
                  <w:noWrap w:val="0"/>
                  <w:vAlign w:val="top"/>
                </w:tcPr>
                <w:p w14:paraId="33BA5C4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highlight w:val="none"/>
                      <w:lang w:val="en-US" w:eastAsia="zh-CN"/>
                    </w:rPr>
                  </w:pPr>
                  <w:r>
                    <w:rPr>
                      <w:rFonts w:hint="default" w:ascii="Times New Roman" w:hAnsi="Times New Roman" w:eastAsia="宋体" w:cs="Times New Roman"/>
                      <w:color w:val="auto"/>
                      <w:kern w:val="0"/>
                      <w:sz w:val="21"/>
                      <w:highlight w:val="none"/>
                      <w:lang w:val="en-US" w:eastAsia="zh-CN"/>
                    </w:rPr>
                    <w:t>2.0</w:t>
                  </w:r>
                </w:p>
              </w:tc>
            </w:tr>
          </w:tbl>
          <w:p w14:paraId="71E71D7C">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highlight w:val="none"/>
                <w:lang w:val="en-US" w:eastAsia="zh-CN"/>
              </w:rPr>
            </w:pPr>
            <w:r>
              <w:rPr>
                <w:rFonts w:hint="default" w:ascii="Times New Roman" w:hAnsi="Times New Roman" w:eastAsia="宋体" w:cs="Times New Roman"/>
                <w:b/>
                <w:color w:val="auto"/>
                <w:sz w:val="24"/>
                <w:highlight w:val="none"/>
                <w:lang w:val="en-US" w:eastAsia="zh-CN"/>
              </w:rPr>
              <w:t>2.</w:t>
            </w:r>
            <w:r>
              <w:rPr>
                <w:rFonts w:hint="default" w:ascii="Times New Roman" w:hAnsi="Times New Roman"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 xml:space="preserve">固体废物 </w:t>
            </w:r>
          </w:p>
          <w:p w14:paraId="34DBC709">
            <w:pPr>
              <w:pStyle w:val="65"/>
              <w:keepNext w:val="0"/>
              <w:keepLines w:val="0"/>
              <w:suppressLineNumbers w:val="0"/>
              <w:spacing w:before="0" w:beforeAutospacing="0" w:after="0" w:afterAutospacing="0"/>
              <w:ind w:left="0" w:leftChars="0" w:right="0" w:firstLine="480" w:firstLineChars="200"/>
              <w:jc w:val="both"/>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lang w:val="en-US" w:eastAsia="zh-CN"/>
              </w:rPr>
              <w:t>本</w:t>
            </w:r>
            <w:r>
              <w:rPr>
                <w:rFonts w:hint="default" w:ascii="Times New Roman" w:hAnsi="Times New Roman" w:cs="Times New Roman"/>
                <w:color w:val="auto"/>
                <w:szCs w:val="24"/>
                <w:highlight w:val="none"/>
              </w:rPr>
              <w:t>项目运行期废蓄电池、废变压器油</w:t>
            </w: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lang w:val="en-US" w:eastAsia="zh-CN"/>
              </w:rPr>
              <w:t>废润滑油、废润滑油桶、沾染废物属于危险废物，</w:t>
            </w:r>
            <w:r>
              <w:rPr>
                <w:rFonts w:hint="default" w:ascii="Times New Roman" w:hAnsi="Times New Roman" w:cs="Times New Roman"/>
                <w:color w:val="auto"/>
                <w:szCs w:val="24"/>
                <w:highlight w:val="none"/>
              </w:rPr>
              <w:t>执行《危险废物贮存污染控制标准》（GB 18597—2023）</w:t>
            </w: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lang w:val="en-US" w:eastAsia="zh-CN"/>
              </w:rPr>
              <w:t>污泥属于</w:t>
            </w:r>
            <w:r>
              <w:rPr>
                <w:rFonts w:hint="default" w:ascii="Times New Roman" w:hAnsi="Times New Roman" w:cs="Times New Roman"/>
                <w:color w:val="auto"/>
                <w:spacing w:val="-2"/>
                <w:lang w:eastAsia="zh-CN"/>
              </w:rPr>
              <w:t>一般固废，贮存执行《一般工业固体废物贮存和填埋污染控制标准》（GB18599-2020）</w:t>
            </w:r>
            <w:r>
              <w:rPr>
                <w:rFonts w:hint="default" w:ascii="Times New Roman" w:hAnsi="Times New Roman" w:cs="Times New Roman"/>
                <w:color w:val="auto"/>
                <w:szCs w:val="24"/>
                <w:highlight w:val="none"/>
              </w:rPr>
              <w:t xml:space="preserve">。 </w:t>
            </w:r>
          </w:p>
          <w:p w14:paraId="330EACD1">
            <w:pPr>
              <w:pStyle w:val="65"/>
              <w:keepNext w:val="0"/>
              <w:keepLines w:val="0"/>
              <w:suppressLineNumbers w:val="0"/>
              <w:spacing w:before="0" w:beforeAutospacing="0" w:after="0" w:afterAutospacing="0"/>
              <w:ind w:left="0" w:leftChars="0" w:right="0" w:firstLine="0" w:firstLineChars="0"/>
              <w:jc w:val="both"/>
              <w:rPr>
                <w:rFonts w:hint="default" w:ascii="Times New Roman" w:hAnsi="Times New Roman" w:cs="Times New Roman"/>
                <w:color w:val="auto"/>
                <w:szCs w:val="24"/>
                <w:highlight w:val="none"/>
              </w:rPr>
            </w:pPr>
          </w:p>
        </w:tc>
      </w:tr>
      <w:tr w14:paraId="7AE555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0" w:hRule="atLeast"/>
          <w:jc w:val="center"/>
        </w:trPr>
        <w:tc>
          <w:tcPr>
            <w:tcW w:w="812" w:type="dxa"/>
            <w:noWrap w:val="0"/>
            <w:vAlign w:val="center"/>
          </w:tcPr>
          <w:p w14:paraId="5AB2017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lang w:val="en-US" w:eastAsia="zh-CN"/>
              </w:rPr>
              <w:t>其他</w:t>
            </w:r>
          </w:p>
        </w:tc>
        <w:tc>
          <w:tcPr>
            <w:tcW w:w="8712" w:type="dxa"/>
            <w:noWrap w:val="0"/>
            <w:vAlign w:val="center"/>
          </w:tcPr>
          <w:p w14:paraId="2C0AB166">
            <w:pPr>
              <w:pStyle w:val="65"/>
              <w:keepNext w:val="0"/>
              <w:keepLines w:val="0"/>
              <w:suppressLineNumbers w:val="0"/>
              <w:spacing w:before="0" w:beforeAutospacing="0" w:after="0" w:afterAutospacing="0"/>
              <w:ind w:left="0" w:leftChars="0" w:right="0" w:firstLine="472" w:firstLineChars="200"/>
              <w:jc w:val="both"/>
              <w:rPr>
                <w:rFonts w:hint="default" w:ascii="Times New Roman" w:hAnsi="Times New Roman" w:cs="Times New Roman"/>
                <w:color w:val="auto"/>
                <w:spacing w:val="-2"/>
                <w:lang w:eastAsia="zh-CN"/>
              </w:rPr>
            </w:pPr>
            <w:r>
              <w:rPr>
                <w:rFonts w:hint="default" w:ascii="Times New Roman" w:hAnsi="Times New Roman" w:cs="Times New Roman"/>
                <w:color w:val="auto"/>
                <w:spacing w:val="-2"/>
                <w:lang w:eastAsia="zh-CN"/>
              </w:rPr>
              <w:t>本项目不涉及总量控制指标。</w:t>
            </w:r>
          </w:p>
        </w:tc>
      </w:tr>
    </w:tbl>
    <w:p w14:paraId="12A65B25">
      <w:pPr>
        <w:pStyle w:val="26"/>
        <w:jc w:val="center"/>
        <w:outlineLvl w:val="0"/>
        <w:rPr>
          <w:rFonts w:hint="default" w:ascii="Times New Roman" w:hAnsi="Times New Roman" w:eastAsia="黑体" w:cs="Times New Roman"/>
          <w:snapToGrid w:val="0"/>
          <w:color w:val="auto"/>
          <w:sz w:val="30"/>
          <w:szCs w:val="30"/>
          <w:highlight w:val="none"/>
          <w:lang w:val="en-US" w:eastAsia="zh-CN"/>
        </w:rPr>
      </w:pPr>
      <w:r>
        <w:rPr>
          <w:rFonts w:hint="default" w:ascii="Times New Roman" w:hAnsi="Times New Roman" w:eastAsia="黑体" w:cs="Times New Roman"/>
          <w:snapToGrid w:val="0"/>
          <w:color w:val="0000FF"/>
          <w:sz w:val="36"/>
          <w:szCs w:val="36"/>
          <w:highlight w:val="none"/>
        </w:rPr>
        <w:br w:type="page"/>
      </w:r>
      <w:bookmarkStart w:id="9" w:name="_Toc20261"/>
      <w:bookmarkStart w:id="10" w:name="_Toc19892"/>
      <w:bookmarkStart w:id="11" w:name="_Toc12079"/>
      <w:r>
        <w:rPr>
          <w:rFonts w:hint="default" w:ascii="Times New Roman" w:hAnsi="Times New Roman" w:eastAsia="黑体" w:cs="Times New Roman"/>
          <w:snapToGrid w:val="0"/>
          <w:color w:val="auto"/>
          <w:sz w:val="30"/>
          <w:szCs w:val="30"/>
          <w:highlight w:val="none"/>
          <w:lang w:val="en-US" w:eastAsia="zh-CN"/>
        </w:rPr>
        <w:t>四、生态环境影响</w:t>
      </w:r>
      <w:bookmarkEnd w:id="9"/>
      <w:bookmarkEnd w:id="10"/>
      <w:r>
        <w:rPr>
          <w:rFonts w:hint="default" w:ascii="Times New Roman" w:hAnsi="Times New Roman" w:eastAsia="黑体" w:cs="Times New Roman"/>
          <w:snapToGrid w:val="0"/>
          <w:color w:val="auto"/>
          <w:sz w:val="30"/>
          <w:szCs w:val="30"/>
          <w:highlight w:val="none"/>
          <w:lang w:val="en-US" w:eastAsia="zh-CN"/>
        </w:rPr>
        <w:t>分析</w:t>
      </w:r>
      <w:bookmarkEnd w:id="11"/>
    </w:p>
    <w:tbl>
      <w:tblPr>
        <w:tblStyle w:val="30"/>
        <w:tblW w:w="95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8664"/>
      </w:tblGrid>
      <w:tr w14:paraId="642222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55" w:type="dxa"/>
            <w:noWrap w:val="0"/>
            <w:tcMar>
              <w:left w:w="28" w:type="dxa"/>
              <w:right w:w="28" w:type="dxa"/>
            </w:tcMar>
            <w:vAlign w:val="center"/>
          </w:tcPr>
          <w:p w14:paraId="4FDFDEAD">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FF"/>
                <w:kern w:val="2"/>
                <w:sz w:val="24"/>
                <w:szCs w:val="24"/>
                <w:highlight w:val="none"/>
                <w:lang w:val="en-US" w:eastAsia="zh-CN"/>
              </w:rPr>
            </w:pPr>
            <w:r>
              <w:rPr>
                <w:rFonts w:hint="default" w:ascii="Times New Roman" w:hAnsi="Times New Roman" w:cs="Times New Roman"/>
                <w:color w:val="auto"/>
                <w:kern w:val="2"/>
                <w:sz w:val="24"/>
                <w:szCs w:val="24"/>
                <w:highlight w:val="none"/>
              </w:rPr>
              <w:t>施工期</w:t>
            </w:r>
            <w:r>
              <w:rPr>
                <w:rFonts w:hint="default" w:ascii="Times New Roman" w:hAnsi="Times New Roman" w:cs="Times New Roman"/>
                <w:color w:val="auto"/>
                <w:kern w:val="2"/>
                <w:sz w:val="24"/>
                <w:szCs w:val="24"/>
                <w:highlight w:val="none"/>
                <w:lang w:val="en-US" w:eastAsia="zh-CN"/>
              </w:rPr>
              <w:t>生态</w:t>
            </w:r>
            <w:r>
              <w:rPr>
                <w:rFonts w:hint="default" w:ascii="Times New Roman" w:hAnsi="Times New Roman" w:cs="Times New Roman"/>
                <w:color w:val="auto"/>
                <w:kern w:val="2"/>
                <w:sz w:val="24"/>
                <w:szCs w:val="24"/>
                <w:highlight w:val="none"/>
              </w:rPr>
              <w:t>环境</w:t>
            </w:r>
            <w:r>
              <w:rPr>
                <w:rFonts w:hint="default" w:ascii="Times New Roman" w:hAnsi="Times New Roman" w:cs="Times New Roman"/>
                <w:color w:val="auto"/>
                <w:kern w:val="2"/>
                <w:sz w:val="24"/>
                <w:szCs w:val="24"/>
                <w:highlight w:val="none"/>
                <w:lang w:val="en-US" w:eastAsia="zh-CN"/>
              </w:rPr>
              <w:t>影响分析</w:t>
            </w:r>
          </w:p>
        </w:tc>
        <w:tc>
          <w:tcPr>
            <w:tcW w:w="8053" w:type="dxa"/>
            <w:noWrap w:val="0"/>
            <w:vAlign w:val="center"/>
          </w:tcPr>
          <w:p w14:paraId="1F752C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本项目220kV升压站新建工程包括基础工程、主体框架工程、建筑装修工程、设备安装及调试等，工程工艺流程及产污环节如下图：</w:t>
            </w:r>
          </w:p>
          <w:p w14:paraId="2B7ADA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b w:val="0"/>
                <w:bCs/>
                <w:color w:val="0000FF"/>
                <w:kern w:val="0"/>
                <w:sz w:val="24"/>
                <w:szCs w:val="24"/>
                <w:highlight w:val="none"/>
                <w:lang w:val="en-US" w:eastAsia="zh-CN" w:bidi="ar-SA"/>
              </w:rPr>
            </w:pPr>
            <w:r>
              <w:rPr>
                <w:rFonts w:hint="default" w:ascii="Times New Roman" w:hAnsi="Times New Roman" w:eastAsia="宋体" w:cs="Times New Roman"/>
                <w:color w:val="auto"/>
                <w:sz w:val="21"/>
                <w:szCs w:val="21"/>
                <w:highlight w:val="none"/>
              </w:rPr>
              <w:drawing>
                <wp:inline distT="0" distB="0" distL="0" distR="0">
                  <wp:extent cx="4692650" cy="1689735"/>
                  <wp:effectExtent l="0" t="0" r="12700" b="5715"/>
                  <wp:docPr id="16669505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50551" name="图片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4692650" cy="1689735"/>
                          </a:xfrm>
                          <a:prstGeom prst="rect">
                            <a:avLst/>
                          </a:prstGeom>
                          <a:noFill/>
                          <a:ln>
                            <a:noFill/>
                          </a:ln>
                        </pic:spPr>
                      </pic:pic>
                    </a:graphicData>
                  </a:graphic>
                </wp:inline>
              </w:drawing>
            </w:r>
          </w:p>
          <w:p w14:paraId="5624E068">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rPr>
              <w:t>图4-1</w:t>
            </w:r>
            <w:r>
              <w:rPr>
                <w:rFonts w:hint="default" w:ascii="Times New Roman" w:hAnsi="Times New Roman" w:eastAsia="宋体" w:cs="Times New Roman"/>
                <w:b/>
                <w:color w:val="auto"/>
                <w:sz w:val="21"/>
                <w:szCs w:val="21"/>
                <w:highlight w:val="none"/>
                <w:lang w:val="en-US" w:eastAsia="zh-CN"/>
              </w:rPr>
              <w:t xml:space="preserve">  </w:t>
            </w:r>
            <w:r>
              <w:rPr>
                <w:rFonts w:hint="default" w:ascii="Times New Roman" w:hAnsi="Times New Roman" w:eastAsia="宋体" w:cs="Times New Roman"/>
                <w:b/>
                <w:color w:val="auto"/>
                <w:sz w:val="21"/>
                <w:szCs w:val="21"/>
                <w:highlight w:val="none"/>
              </w:rPr>
              <w:t>本项目施工期工艺流程及产污节点图</w:t>
            </w:r>
          </w:p>
          <w:p w14:paraId="0CA89039">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auto"/>
                <w:spacing w:val="-10"/>
                <w:sz w:val="24"/>
                <w:szCs w:val="24"/>
                <w:highlight w:val="none"/>
                <w:lang w:val="en-US" w:eastAsia="zh-CN"/>
              </w:rPr>
            </w:pPr>
            <w:r>
              <w:rPr>
                <w:rFonts w:hint="default" w:ascii="Times New Roman" w:hAnsi="Times New Roman" w:cs="Times New Roman"/>
                <w:b/>
                <w:bCs/>
                <w:color w:val="auto"/>
                <w:spacing w:val="-10"/>
                <w:sz w:val="24"/>
                <w:szCs w:val="24"/>
                <w:highlight w:val="none"/>
                <w:lang w:val="en-US" w:eastAsia="zh-CN"/>
              </w:rPr>
              <w:t>1、施工期废气影响分析</w:t>
            </w:r>
          </w:p>
          <w:p w14:paraId="6E2B19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（1）施工扬尘</w:t>
            </w:r>
          </w:p>
          <w:p w14:paraId="45750D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施工扬尘主要来自工程土建施工、建筑装修材料的运输与装卸，以及施工车辆行驶产生的扬尘。由于扬尘源多且分散，源高一般在15m以下，属无组织排放，受施工方式、施工机械和气候等因素制约，产生的随机性和波动性较大。施工阶段土建施工等开挖、土石方运输会产生扬尘。遇大风天气，扬尘污染较为突出。土建施工、车辆运输等产生的扬尘明显增加。</w:t>
            </w:r>
          </w:p>
          <w:p w14:paraId="177BE31F">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auto"/>
                <w:spacing w:val="-10"/>
                <w:sz w:val="24"/>
                <w:szCs w:val="24"/>
                <w:highlight w:val="none"/>
                <w:lang w:val="en-US" w:eastAsia="zh-CN"/>
              </w:rPr>
            </w:pPr>
            <w:r>
              <w:rPr>
                <w:rFonts w:hint="default" w:ascii="Times New Roman" w:hAnsi="Times New Roman" w:cs="Times New Roman"/>
                <w:b w:val="0"/>
                <w:bCs w:val="0"/>
                <w:color w:val="auto"/>
                <w:spacing w:val="-10"/>
                <w:sz w:val="24"/>
                <w:szCs w:val="24"/>
                <w:highlight w:val="none"/>
                <w:lang w:val="en-US" w:eastAsia="zh-CN"/>
              </w:rPr>
              <w:t>施工中应注重文明施工管理，定期对施工场地洒水抑尘、及时清理建筑垃圾和余土；站区内开挖后的土石方及建筑材料应定点堆放，采取拦挡、苫盖措施；特别是在大风季节强化管理，要求大风天停止土石方施工，并做必要的遮掩覆盖；施工建筑设置滞尘网，以减少施工扬尘的产生；运输车辆必须进行苫盖，避免对周围环境造成扬尘污染。施工时可能会产生扬尘影响，施工时应增加洒水设备，采取洒水抑尘及围挡苫盖等环保措施后，可有效降低影响。在采取上述抑尘措施后，施工扬尘对大气环境影响较小。</w:t>
            </w:r>
          </w:p>
          <w:p w14:paraId="0EEB3EF9">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auto"/>
                <w:spacing w:val="-10"/>
                <w:sz w:val="24"/>
                <w:szCs w:val="24"/>
                <w:highlight w:val="none"/>
                <w:lang w:val="en-US" w:eastAsia="zh-CN"/>
              </w:rPr>
            </w:pPr>
            <w:r>
              <w:rPr>
                <w:rFonts w:hint="default" w:ascii="Times New Roman" w:hAnsi="Times New Roman" w:cs="Times New Roman"/>
                <w:b w:val="0"/>
                <w:bCs w:val="0"/>
                <w:color w:val="auto"/>
                <w:spacing w:val="-10"/>
                <w:sz w:val="24"/>
                <w:szCs w:val="24"/>
                <w:highlight w:val="none"/>
                <w:lang w:val="en-US" w:eastAsia="zh-CN"/>
              </w:rPr>
              <w:t>（2）机械、车辆尾气</w:t>
            </w:r>
          </w:p>
          <w:p w14:paraId="0637D0FA">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auto"/>
                <w:spacing w:val="-10"/>
                <w:sz w:val="24"/>
                <w:szCs w:val="24"/>
                <w:highlight w:val="none"/>
                <w:lang w:val="en-US" w:eastAsia="zh-CN"/>
              </w:rPr>
            </w:pPr>
            <w:r>
              <w:rPr>
                <w:rFonts w:hint="default" w:ascii="Times New Roman" w:hAnsi="Times New Roman" w:cs="Times New Roman"/>
                <w:b w:val="0"/>
                <w:bCs w:val="0"/>
                <w:color w:val="auto"/>
                <w:spacing w:val="-10"/>
                <w:sz w:val="24"/>
                <w:szCs w:val="24"/>
                <w:highlight w:val="none"/>
                <w:lang w:val="en-US" w:eastAsia="zh-CN"/>
              </w:rPr>
              <w:t>施工机械、汽车及柴油发电机大多以柴油作为燃料，燃料燃烧过程中会产生CO、SO</w:t>
            </w:r>
            <w:r>
              <w:rPr>
                <w:rFonts w:hint="default" w:ascii="Times New Roman" w:hAnsi="Times New Roman" w:cs="Times New Roman"/>
                <w:b w:val="0"/>
                <w:bCs w:val="0"/>
                <w:color w:val="auto"/>
                <w:spacing w:val="-10"/>
                <w:sz w:val="24"/>
                <w:szCs w:val="24"/>
                <w:highlight w:val="none"/>
                <w:vertAlign w:val="subscript"/>
                <w:lang w:val="en-US" w:eastAsia="zh-CN"/>
              </w:rPr>
              <w:t>2</w:t>
            </w:r>
            <w:r>
              <w:rPr>
                <w:rFonts w:hint="default" w:ascii="Times New Roman" w:hAnsi="Times New Roman" w:cs="Times New Roman"/>
                <w:b w:val="0"/>
                <w:bCs w:val="0"/>
                <w:color w:val="auto"/>
                <w:spacing w:val="-10"/>
                <w:sz w:val="24"/>
                <w:szCs w:val="24"/>
                <w:highlight w:val="none"/>
                <w:lang w:val="en-US" w:eastAsia="zh-CN"/>
              </w:rPr>
              <w:t>、NO</w:t>
            </w:r>
            <w:r>
              <w:rPr>
                <w:rFonts w:hint="default" w:ascii="Times New Roman" w:hAnsi="Times New Roman" w:cs="Times New Roman"/>
                <w:b w:val="0"/>
                <w:bCs w:val="0"/>
                <w:color w:val="auto"/>
                <w:spacing w:val="-10"/>
                <w:sz w:val="24"/>
                <w:szCs w:val="24"/>
                <w:highlight w:val="none"/>
                <w:vertAlign w:val="subscript"/>
                <w:lang w:val="en-US" w:eastAsia="zh-CN"/>
              </w:rPr>
              <w:t>x</w:t>
            </w:r>
            <w:r>
              <w:rPr>
                <w:rFonts w:hint="default" w:ascii="Times New Roman" w:hAnsi="Times New Roman" w:cs="Times New Roman"/>
                <w:b w:val="0"/>
                <w:bCs w:val="0"/>
                <w:color w:val="auto"/>
                <w:spacing w:val="-10"/>
                <w:sz w:val="24"/>
                <w:szCs w:val="24"/>
                <w:highlight w:val="none"/>
                <w:lang w:val="en-US" w:eastAsia="zh-CN"/>
              </w:rPr>
              <w:t>、碳氢化合物和烟尘，产生情况主要决定因素为燃料油种类、机械性能、作业方式和风力等，其中属机械性能、作业方式因素的影响最大，如运输车辆和部分施工机械在怠速、减速和加速时产生的污染较为严重。各类施工机械流动性较强，且燃料用量不大，所产生的废气少且较为分散，在易于扩散的气象条件下，该废气对周围环境的影响不大。由于项目区域大而施工较为分散，在易于扩散的气象条件下，对周围环境的影响不大，且随着施工期的结束，该污染物也随之消失故施工期燃油废气对周围大气环境影响较小。</w:t>
            </w:r>
          </w:p>
          <w:p w14:paraId="421BEDDF">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auto"/>
                <w:spacing w:val="-10"/>
                <w:sz w:val="24"/>
                <w:szCs w:val="24"/>
                <w:highlight w:val="none"/>
                <w:lang w:val="en-US" w:eastAsia="zh-CN"/>
              </w:rPr>
            </w:pPr>
            <w:r>
              <w:rPr>
                <w:rFonts w:hint="default" w:ascii="Times New Roman" w:hAnsi="Times New Roman" w:cs="Times New Roman"/>
                <w:b/>
                <w:bCs/>
                <w:color w:val="auto"/>
                <w:spacing w:val="-10"/>
                <w:sz w:val="24"/>
                <w:szCs w:val="24"/>
                <w:highlight w:val="none"/>
                <w:lang w:val="en-US" w:eastAsia="zh-CN"/>
              </w:rPr>
              <w:t>2、施工期水环境影响分析</w:t>
            </w:r>
          </w:p>
          <w:p w14:paraId="04A859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0000FF"/>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项目施工期间的主要水污染物为施工人员生活污水。根据《内蒙古自治区行业用水定额》（DB15/T385-2020），施工人员的生活用水按60L/d•人计算，最大人数按20人次/日计，则生活用水总量约为1.2m</w:t>
            </w:r>
            <w:r>
              <w:rPr>
                <w:rFonts w:hint="default" w:ascii="Times New Roman" w:hAnsi="Times New Roman" w:eastAsia="宋体" w:cs="Times New Roman"/>
                <w:b w:val="0"/>
                <w:bCs/>
                <w:color w:val="auto"/>
                <w:kern w:val="0"/>
                <w:sz w:val="24"/>
                <w:szCs w:val="24"/>
                <w:highlight w:val="none"/>
                <w:vertAlign w:val="superscript"/>
                <w:lang w:val="en-US" w:eastAsia="zh-CN" w:bidi="ar-SA"/>
              </w:rPr>
              <w:t>3</w:t>
            </w:r>
            <w:r>
              <w:rPr>
                <w:rFonts w:hint="default" w:ascii="Times New Roman" w:hAnsi="Times New Roman" w:eastAsia="宋体" w:cs="Times New Roman"/>
                <w:b w:val="0"/>
                <w:bCs/>
                <w:color w:val="auto"/>
                <w:kern w:val="0"/>
                <w:sz w:val="24"/>
                <w:szCs w:val="24"/>
                <w:highlight w:val="none"/>
                <w:lang w:val="en-US" w:eastAsia="zh-CN" w:bidi="ar-SA"/>
              </w:rPr>
              <w:t>/d，排放系数为0.8计，则施工期生活污水排放量为0.96m</w:t>
            </w:r>
            <w:r>
              <w:rPr>
                <w:rFonts w:hint="default" w:ascii="Times New Roman" w:hAnsi="Times New Roman" w:eastAsia="宋体" w:cs="Times New Roman"/>
                <w:b w:val="0"/>
                <w:bCs/>
                <w:color w:val="auto"/>
                <w:kern w:val="0"/>
                <w:sz w:val="24"/>
                <w:szCs w:val="24"/>
                <w:highlight w:val="none"/>
                <w:vertAlign w:val="superscript"/>
                <w:lang w:val="en-US" w:eastAsia="zh-CN" w:bidi="ar-SA"/>
              </w:rPr>
              <w:t>3</w:t>
            </w:r>
            <w:r>
              <w:rPr>
                <w:rFonts w:hint="default" w:ascii="Times New Roman" w:hAnsi="Times New Roman" w:eastAsia="宋体" w:cs="Times New Roman"/>
                <w:b w:val="0"/>
                <w:bCs/>
                <w:color w:val="auto"/>
                <w:kern w:val="0"/>
                <w:sz w:val="24"/>
                <w:szCs w:val="24"/>
                <w:highlight w:val="none"/>
                <w:lang w:val="en-US" w:eastAsia="zh-CN" w:bidi="ar-SA"/>
              </w:rPr>
              <w:t>/d，经类比调查，主要污染物浓度为COD</w:t>
            </w:r>
            <w:r>
              <w:rPr>
                <w:rFonts w:hint="default" w:ascii="Times New Roman" w:hAnsi="Times New Roman" w:cs="Times New Roman"/>
                <w:b w:val="0"/>
                <w:bCs/>
                <w:color w:val="auto"/>
                <w:kern w:val="0"/>
                <w:sz w:val="24"/>
                <w:szCs w:val="24"/>
                <w:highlight w:val="none"/>
                <w:lang w:val="en-US" w:eastAsia="zh-CN" w:bidi="ar-SA"/>
              </w:rPr>
              <w:t xml:space="preserve"> </w:t>
            </w:r>
            <w:r>
              <w:rPr>
                <w:rFonts w:hint="default" w:ascii="Times New Roman" w:hAnsi="Times New Roman" w:eastAsia="宋体" w:cs="Times New Roman"/>
                <w:b w:val="0"/>
                <w:bCs/>
                <w:color w:val="auto"/>
                <w:kern w:val="0"/>
                <w:sz w:val="24"/>
                <w:szCs w:val="24"/>
                <w:highlight w:val="none"/>
                <w:lang w:val="en-US" w:eastAsia="zh-CN" w:bidi="ar-SA"/>
              </w:rPr>
              <w:t>400mg/L、BOD</w:t>
            </w:r>
            <w:r>
              <w:rPr>
                <w:rFonts w:hint="default" w:ascii="Times New Roman" w:hAnsi="Times New Roman" w:eastAsia="宋体" w:cs="Times New Roman"/>
                <w:b w:val="0"/>
                <w:bCs/>
                <w:color w:val="auto"/>
                <w:kern w:val="0"/>
                <w:sz w:val="24"/>
                <w:szCs w:val="24"/>
                <w:highlight w:val="none"/>
                <w:vertAlign w:val="subscript"/>
                <w:lang w:val="en-US" w:eastAsia="zh-CN" w:bidi="ar-SA"/>
              </w:rPr>
              <w:t>5</w:t>
            </w:r>
            <w:r>
              <w:rPr>
                <w:rFonts w:hint="default" w:ascii="Times New Roman" w:hAnsi="Times New Roman" w:cs="Times New Roman"/>
                <w:b w:val="0"/>
                <w:bCs/>
                <w:color w:val="auto"/>
                <w:kern w:val="0"/>
                <w:sz w:val="24"/>
                <w:szCs w:val="24"/>
                <w:highlight w:val="none"/>
                <w:vertAlign w:val="subscript"/>
                <w:lang w:val="en-US" w:eastAsia="zh-CN" w:bidi="ar-SA"/>
              </w:rPr>
              <w:t xml:space="preserve"> </w:t>
            </w:r>
            <w:r>
              <w:rPr>
                <w:rFonts w:hint="default" w:ascii="Times New Roman" w:hAnsi="Times New Roman" w:eastAsia="宋体" w:cs="Times New Roman"/>
                <w:b w:val="0"/>
                <w:bCs/>
                <w:color w:val="auto"/>
                <w:kern w:val="0"/>
                <w:sz w:val="24"/>
                <w:szCs w:val="24"/>
                <w:highlight w:val="none"/>
                <w:lang w:val="en-US" w:eastAsia="zh-CN" w:bidi="ar-SA"/>
              </w:rPr>
              <w:t>200mg/L、氨氮</w:t>
            </w:r>
            <w:r>
              <w:rPr>
                <w:rFonts w:hint="default" w:ascii="Times New Roman" w:hAnsi="Times New Roman" w:cs="Times New Roman"/>
                <w:b w:val="0"/>
                <w:bCs/>
                <w:color w:val="auto"/>
                <w:kern w:val="0"/>
                <w:sz w:val="24"/>
                <w:szCs w:val="24"/>
                <w:highlight w:val="none"/>
                <w:lang w:val="en-US" w:eastAsia="zh-CN" w:bidi="ar-SA"/>
              </w:rPr>
              <w:t xml:space="preserve"> </w:t>
            </w:r>
            <w:r>
              <w:rPr>
                <w:rFonts w:hint="default" w:ascii="Times New Roman" w:hAnsi="Times New Roman" w:eastAsia="宋体" w:cs="Times New Roman"/>
                <w:b w:val="0"/>
                <w:bCs/>
                <w:color w:val="auto"/>
                <w:kern w:val="0"/>
                <w:sz w:val="24"/>
                <w:szCs w:val="24"/>
                <w:highlight w:val="none"/>
                <w:lang w:val="en-US" w:eastAsia="zh-CN" w:bidi="ar-SA"/>
              </w:rPr>
              <w:t>30mg/L和SS</w:t>
            </w:r>
            <w:r>
              <w:rPr>
                <w:rFonts w:hint="default" w:ascii="Times New Roman" w:hAnsi="Times New Roman" w:cs="Times New Roman"/>
                <w:b w:val="0"/>
                <w:bCs/>
                <w:color w:val="auto"/>
                <w:kern w:val="0"/>
                <w:sz w:val="24"/>
                <w:szCs w:val="24"/>
                <w:highlight w:val="none"/>
                <w:lang w:val="en-US" w:eastAsia="zh-CN" w:bidi="ar-SA"/>
              </w:rPr>
              <w:t xml:space="preserve"> </w:t>
            </w:r>
            <w:r>
              <w:rPr>
                <w:rFonts w:hint="default" w:ascii="Times New Roman" w:hAnsi="Times New Roman" w:eastAsia="宋体" w:cs="Times New Roman"/>
                <w:b w:val="0"/>
                <w:bCs/>
                <w:color w:val="auto"/>
                <w:kern w:val="0"/>
                <w:sz w:val="24"/>
                <w:szCs w:val="24"/>
                <w:highlight w:val="none"/>
                <w:lang w:val="en-US" w:eastAsia="zh-CN" w:bidi="ar-SA"/>
              </w:rPr>
              <w:t>300mg/L。升压站施工人员日常生活依托风电场内施工生产生活区，生活污水由生活区内的化粪池</w:t>
            </w:r>
            <w:r>
              <w:rPr>
                <w:rFonts w:hint="default" w:ascii="Times New Roman" w:hAnsi="Times New Roman" w:cs="Times New Roman"/>
                <w:b w:val="0"/>
                <w:bCs/>
                <w:color w:val="auto"/>
                <w:kern w:val="0"/>
                <w:sz w:val="24"/>
                <w:szCs w:val="24"/>
                <w:highlight w:val="none"/>
                <w:lang w:val="en-US" w:eastAsia="zh-CN" w:bidi="ar-SA"/>
              </w:rPr>
              <w:t>静置沉淀</w:t>
            </w:r>
            <w:r>
              <w:rPr>
                <w:rFonts w:hint="default" w:ascii="Times New Roman" w:hAnsi="Times New Roman" w:eastAsia="宋体" w:cs="Times New Roman"/>
                <w:b w:val="0"/>
                <w:bCs/>
                <w:color w:val="auto"/>
                <w:kern w:val="0"/>
                <w:sz w:val="24"/>
                <w:szCs w:val="24"/>
                <w:highlight w:val="none"/>
                <w:lang w:val="en-US" w:eastAsia="zh-CN" w:bidi="ar-SA"/>
              </w:rPr>
              <w:t>后</w:t>
            </w:r>
            <w:r>
              <w:rPr>
                <w:rFonts w:hint="default" w:ascii="Times New Roman" w:hAnsi="Times New Roman" w:cs="Times New Roman"/>
                <w:b w:val="0"/>
                <w:bCs/>
                <w:color w:val="auto"/>
                <w:kern w:val="0"/>
                <w:sz w:val="24"/>
                <w:szCs w:val="24"/>
                <w:highlight w:val="none"/>
                <w:lang w:val="en-US" w:eastAsia="zh-CN" w:bidi="ar-SA"/>
              </w:rPr>
              <w:t>，拉运至污水处理厂进一步处理。</w:t>
            </w:r>
          </w:p>
          <w:p w14:paraId="4FA53E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项目不设置混凝土搅拌站，外购商品砼，施工期施工用水主要为混凝土养护用水，养护方法为先用吸水材料覆盖混凝土，再在吸水材料上洒水，根据吸收和蒸发情况，适时补充。在养护过程中，大部分养护水被混凝土吸收或被蒸发。施工废水主要为施工冲洗废水，</w:t>
            </w:r>
            <w:r>
              <w:rPr>
                <w:rFonts w:hint="default" w:ascii="Times New Roman" w:hAnsi="Times New Roman" w:cs="Times New Roman"/>
                <w:b w:val="0"/>
                <w:bCs/>
                <w:color w:val="auto"/>
                <w:kern w:val="0"/>
                <w:sz w:val="24"/>
                <w:szCs w:val="24"/>
                <w:highlight w:val="none"/>
                <w:lang w:val="en-US" w:eastAsia="zh-CN" w:bidi="ar-SA"/>
              </w:rPr>
              <w:t>其中</w:t>
            </w:r>
            <w:r>
              <w:rPr>
                <w:rFonts w:hint="default" w:ascii="Times New Roman" w:hAnsi="Times New Roman" w:eastAsia="宋体" w:cs="Times New Roman"/>
                <w:b w:val="0"/>
                <w:bCs/>
                <w:color w:val="auto"/>
                <w:kern w:val="0"/>
                <w:sz w:val="24"/>
                <w:szCs w:val="24"/>
                <w:highlight w:val="none"/>
                <w:lang w:val="en-US" w:eastAsia="zh-CN" w:bidi="ar-SA"/>
              </w:rPr>
              <w:t>机械冲洗水经移动式油处理设施处理，其他施工废水通过沉淀池处理，处理后全部用于洒水降尘，不会对周围环境产生影响。</w:t>
            </w:r>
          </w:p>
          <w:p w14:paraId="20C6B0DF">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auto"/>
                <w:spacing w:val="-10"/>
                <w:sz w:val="24"/>
                <w:szCs w:val="24"/>
                <w:highlight w:val="none"/>
                <w:lang w:val="en-US" w:eastAsia="zh-CN"/>
              </w:rPr>
            </w:pPr>
            <w:r>
              <w:rPr>
                <w:rFonts w:hint="default" w:ascii="Times New Roman" w:hAnsi="Times New Roman" w:cs="Times New Roman"/>
                <w:b/>
                <w:bCs/>
                <w:color w:val="auto"/>
                <w:spacing w:val="-10"/>
                <w:sz w:val="24"/>
                <w:szCs w:val="24"/>
                <w:highlight w:val="none"/>
                <w:lang w:val="en-US" w:eastAsia="zh-CN"/>
              </w:rPr>
              <w:t>3、施工期声环境影响</w:t>
            </w:r>
          </w:p>
          <w:p w14:paraId="017BA9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（1）施工噪声源分析</w:t>
            </w:r>
          </w:p>
          <w:p w14:paraId="3A4064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工程分析结果表明，施工期噪声主要为施工机械设备所产生的作业噪声，施工机械如推土机、载重汽车、挖掘机、混凝土搅拌机和振捣器等。根据《环境噪声与振动控制工程技术导则》（HJ2034-2013）这些建筑施工机械的声源噪声强度大多在75～110dB(A)范围内。施工过程中基础开挖、基础打桩等活动均选择在白天进行，噪声影响主要在白天。</w:t>
            </w:r>
          </w:p>
          <w:p w14:paraId="3ECCAC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（2）施工期噪声影响分析</w:t>
            </w:r>
          </w:p>
          <w:p w14:paraId="430073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color w:val="auto"/>
                <w:kern w:val="0"/>
                <w:sz w:val="24"/>
                <w:szCs w:val="24"/>
                <w:highlight w:val="none"/>
                <w:lang w:val="en-US" w:eastAsia="zh-CN" w:bidi="ar-SA"/>
              </w:rPr>
              <w:t>根据《环境影响评价技术导则声环境》（HJ2.4-2021），</w:t>
            </w:r>
            <w:r>
              <w:rPr>
                <w:rFonts w:hint="default" w:ascii="Times New Roman" w:hAnsi="Times New Roman" w:eastAsia="宋体" w:cs="Times New Roman"/>
                <w:color w:val="auto"/>
                <w:sz w:val="24"/>
                <w:szCs w:val="24"/>
                <w:highlight w:val="none"/>
              </w:rPr>
              <w:t>单台施工机械声级随距离的衰减计算公式如下：</w:t>
            </w:r>
          </w:p>
          <w:p w14:paraId="235D0C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highlight w:val="none"/>
              </w:rPr>
              <w:drawing>
                <wp:inline distT="0" distB="0" distL="114300" distR="114300">
                  <wp:extent cx="2338070" cy="421005"/>
                  <wp:effectExtent l="0" t="0" r="5080" b="17145"/>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26"/>
                          <a:stretch>
                            <a:fillRect/>
                          </a:stretch>
                        </pic:blipFill>
                        <pic:spPr>
                          <a:xfrm>
                            <a:off x="0" y="0"/>
                            <a:ext cx="2338070" cy="421005"/>
                          </a:xfrm>
                          <a:prstGeom prst="rect">
                            <a:avLst/>
                          </a:prstGeom>
                          <a:noFill/>
                          <a:ln>
                            <a:noFill/>
                          </a:ln>
                        </pic:spPr>
                      </pic:pic>
                    </a:graphicData>
                  </a:graphic>
                </wp:inline>
              </w:drawing>
            </w:r>
          </w:p>
          <w:p w14:paraId="6B4032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式中：L</w:t>
            </w:r>
            <w:r>
              <w:rPr>
                <w:rFonts w:hint="default" w:ascii="Times New Roman" w:hAnsi="Times New Roman" w:eastAsia="宋体" w:cs="Times New Roman"/>
                <w:b w:val="0"/>
                <w:bCs/>
                <w:color w:val="auto"/>
                <w:kern w:val="0"/>
                <w:sz w:val="24"/>
                <w:szCs w:val="24"/>
                <w:highlight w:val="none"/>
                <w:vertAlign w:val="subscript"/>
                <w:lang w:val="en-US" w:eastAsia="zh-CN" w:bidi="ar-SA"/>
              </w:rPr>
              <w:t>A</w:t>
            </w:r>
            <w:r>
              <w:rPr>
                <w:rFonts w:hint="default" w:ascii="Times New Roman" w:hAnsi="Times New Roman" w:eastAsia="宋体" w:cs="Times New Roman"/>
                <w:b w:val="0"/>
                <w:bCs/>
                <w:color w:val="auto"/>
                <w:kern w:val="0"/>
                <w:sz w:val="24"/>
                <w:szCs w:val="24"/>
                <w:highlight w:val="none"/>
                <w:lang w:val="en-US" w:eastAsia="zh-CN" w:bidi="ar-SA"/>
              </w:rPr>
              <w:t>（r）—预测点的噪声值；</w:t>
            </w:r>
          </w:p>
          <w:p w14:paraId="1FEE06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L</w:t>
            </w:r>
            <w:r>
              <w:rPr>
                <w:rFonts w:hint="default" w:ascii="Times New Roman" w:hAnsi="Times New Roman" w:eastAsia="宋体" w:cs="Times New Roman"/>
                <w:b w:val="0"/>
                <w:bCs/>
                <w:color w:val="auto"/>
                <w:kern w:val="0"/>
                <w:sz w:val="24"/>
                <w:szCs w:val="24"/>
                <w:highlight w:val="none"/>
                <w:vertAlign w:val="subscript"/>
                <w:lang w:val="en-US" w:eastAsia="zh-CN" w:bidi="ar-SA"/>
              </w:rPr>
              <w:t>A</w:t>
            </w:r>
            <w:r>
              <w:rPr>
                <w:rFonts w:hint="default" w:ascii="Times New Roman" w:hAnsi="Times New Roman" w:eastAsia="宋体" w:cs="Times New Roman"/>
                <w:b w:val="0"/>
                <w:bCs/>
                <w:color w:val="auto"/>
                <w:kern w:val="0"/>
                <w:sz w:val="24"/>
                <w:szCs w:val="24"/>
                <w:highlight w:val="none"/>
                <w:lang w:val="en-US" w:eastAsia="zh-CN" w:bidi="ar-SA"/>
              </w:rPr>
              <w:t>（r</w:t>
            </w:r>
            <w:r>
              <w:rPr>
                <w:rFonts w:hint="default" w:ascii="Times New Roman" w:hAnsi="Times New Roman" w:eastAsia="宋体" w:cs="Times New Roman"/>
                <w:b w:val="0"/>
                <w:bCs/>
                <w:color w:val="auto"/>
                <w:kern w:val="0"/>
                <w:sz w:val="24"/>
                <w:szCs w:val="24"/>
                <w:highlight w:val="none"/>
                <w:vertAlign w:val="subscript"/>
                <w:lang w:val="en-US" w:eastAsia="zh-CN" w:bidi="ar-SA"/>
              </w:rPr>
              <w:t>0</w:t>
            </w:r>
            <w:r>
              <w:rPr>
                <w:rFonts w:hint="default" w:ascii="Times New Roman" w:hAnsi="Times New Roman" w:eastAsia="宋体" w:cs="Times New Roman"/>
                <w:b w:val="0"/>
                <w:bCs/>
                <w:color w:val="auto"/>
                <w:kern w:val="0"/>
                <w:sz w:val="24"/>
                <w:szCs w:val="24"/>
                <w:highlight w:val="none"/>
                <w:lang w:val="en-US" w:eastAsia="zh-CN" w:bidi="ar-SA"/>
              </w:rPr>
              <w:t>）—参照点的噪声值；</w:t>
            </w:r>
          </w:p>
          <w:p w14:paraId="0E22BF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r、r</w:t>
            </w:r>
            <w:r>
              <w:rPr>
                <w:rFonts w:hint="default" w:ascii="Times New Roman" w:hAnsi="Times New Roman" w:eastAsia="宋体" w:cs="Times New Roman"/>
                <w:b w:val="0"/>
                <w:bCs/>
                <w:color w:val="auto"/>
                <w:kern w:val="0"/>
                <w:sz w:val="24"/>
                <w:szCs w:val="24"/>
                <w:highlight w:val="none"/>
                <w:vertAlign w:val="subscript"/>
                <w:lang w:val="en-US" w:eastAsia="zh-CN" w:bidi="ar-SA"/>
              </w:rPr>
              <w:t>0</w:t>
            </w:r>
            <w:r>
              <w:rPr>
                <w:rFonts w:hint="default" w:ascii="Times New Roman" w:hAnsi="Times New Roman" w:eastAsia="宋体" w:cs="Times New Roman"/>
                <w:b w:val="0"/>
                <w:bCs/>
                <w:color w:val="auto"/>
                <w:kern w:val="0"/>
                <w:sz w:val="24"/>
                <w:szCs w:val="24"/>
                <w:highlight w:val="none"/>
                <w:lang w:val="en-US" w:eastAsia="zh-CN" w:bidi="ar-SA"/>
              </w:rPr>
              <w:t>—预测点、参照点到噪声源处的距离。</w:t>
            </w:r>
          </w:p>
          <w:p w14:paraId="6E9A1B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在不采取任何噪声污染防治措施情况下，施工期间不同施工阶段的噪声随距离的衰减变化情况，具体结果详见下表。</w:t>
            </w:r>
          </w:p>
          <w:p w14:paraId="7432E7A5">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eastAsia="宋体" w:cs="Times New Roman"/>
                <w:b/>
                <w:bCs w:val="0"/>
                <w:color w:val="auto"/>
                <w:sz w:val="21"/>
                <w:szCs w:val="21"/>
                <w:highlight w:val="none"/>
              </w:rPr>
              <w:t>表</w:t>
            </w:r>
            <w:r>
              <w:rPr>
                <w:rFonts w:hint="default" w:ascii="Times New Roman" w:hAnsi="Times New Roman" w:eastAsia="宋体" w:cs="Times New Roman"/>
                <w:b/>
                <w:bCs w:val="0"/>
                <w:color w:val="auto"/>
                <w:sz w:val="21"/>
                <w:szCs w:val="21"/>
                <w:highlight w:val="none"/>
                <w:lang w:val="en-US" w:eastAsia="zh-CN"/>
              </w:rPr>
              <w:t>4-</w:t>
            </w:r>
            <w:r>
              <w:rPr>
                <w:rFonts w:hint="default" w:ascii="Times New Roman" w:hAnsi="Times New Roman" w:cs="Times New Roman"/>
                <w:b/>
                <w:bCs w:val="0"/>
                <w:color w:val="auto"/>
                <w:sz w:val="21"/>
                <w:szCs w:val="21"/>
                <w:highlight w:val="none"/>
                <w:lang w:val="en-US" w:eastAsia="zh-CN"/>
              </w:rPr>
              <w:t>1</w:t>
            </w:r>
            <w:r>
              <w:rPr>
                <w:rFonts w:hint="default" w:ascii="Times New Roman" w:hAnsi="Times New Roman" w:eastAsia="宋体" w:cs="Times New Roman"/>
                <w:b/>
                <w:bCs w:val="0"/>
                <w:color w:val="auto"/>
                <w:sz w:val="21"/>
                <w:szCs w:val="21"/>
                <w:highlight w:val="none"/>
              </w:rPr>
              <w:t xml:space="preserve"> </w:t>
            </w:r>
            <w:r>
              <w:rPr>
                <w:rFonts w:hint="default" w:ascii="Times New Roman" w:hAnsi="Times New Roman" w:eastAsia="宋体" w:cs="Times New Roman"/>
                <w:b/>
                <w:bCs w:val="0"/>
                <w:color w:val="auto"/>
                <w:sz w:val="21"/>
                <w:szCs w:val="21"/>
                <w:highlight w:val="none"/>
                <w:lang w:val="en-US" w:eastAsia="zh-CN"/>
              </w:rPr>
              <w:t xml:space="preserve"> 各类施工机械在不同距离处的噪声贡献值</w:t>
            </w:r>
            <w:r>
              <w:rPr>
                <w:rFonts w:hint="default" w:ascii="Times New Roman" w:hAnsi="Times New Roman" w:cs="Times New Roman"/>
                <w:b/>
                <w:bCs w:val="0"/>
                <w:color w:val="auto"/>
                <w:sz w:val="21"/>
                <w:szCs w:val="21"/>
                <w:highlight w:val="none"/>
                <w:lang w:val="en-US" w:eastAsia="zh-CN"/>
              </w:rPr>
              <w:t xml:space="preserve">  </w:t>
            </w:r>
            <w:r>
              <w:rPr>
                <w:rFonts w:hint="default" w:ascii="Times New Roman" w:hAnsi="Times New Roman" w:eastAsia="宋体" w:cs="Times New Roman"/>
                <w:b/>
                <w:bCs w:val="0"/>
                <w:color w:val="auto"/>
                <w:sz w:val="21"/>
                <w:szCs w:val="21"/>
                <w:highlight w:val="none"/>
              </w:rPr>
              <w:t>单位：dB（A）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43"/>
              <w:gridCol w:w="843"/>
              <w:gridCol w:w="843"/>
              <w:gridCol w:w="843"/>
              <w:gridCol w:w="843"/>
              <w:gridCol w:w="843"/>
              <w:gridCol w:w="845"/>
              <w:gridCol w:w="845"/>
              <w:gridCol w:w="845"/>
              <w:gridCol w:w="845"/>
            </w:tblGrid>
            <w:tr w14:paraId="119F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vMerge w:val="restart"/>
                  <w:noWrap w:val="0"/>
                  <w:vAlign w:val="center"/>
                </w:tcPr>
                <w:p w14:paraId="004CDE6B">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施工</w:t>
                  </w:r>
                </w:p>
                <w:p w14:paraId="1DA4E74A">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阶段</w:t>
                  </w:r>
                </w:p>
              </w:tc>
              <w:tc>
                <w:tcPr>
                  <w:tcW w:w="838" w:type="dxa"/>
                  <w:vMerge w:val="restart"/>
                  <w:noWrap w:val="0"/>
                  <w:vAlign w:val="center"/>
                </w:tcPr>
                <w:p w14:paraId="72365229">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机械</w:t>
                  </w:r>
                </w:p>
                <w:p w14:paraId="6C0F8C3B">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名称</w:t>
                  </w:r>
                </w:p>
              </w:tc>
              <w:tc>
                <w:tcPr>
                  <w:tcW w:w="6708" w:type="dxa"/>
                  <w:gridSpan w:val="8"/>
                  <w:noWrap w:val="0"/>
                  <w:vAlign w:val="center"/>
                </w:tcPr>
                <w:p w14:paraId="5B498355">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距机械不同距离处的声压级</w:t>
                  </w:r>
                </w:p>
              </w:tc>
            </w:tr>
            <w:tr w14:paraId="6A33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vMerge w:val="continue"/>
                  <w:noWrap w:val="0"/>
                  <w:vAlign w:val="center"/>
                </w:tcPr>
                <w:p w14:paraId="391EA611">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p>
              </w:tc>
              <w:tc>
                <w:tcPr>
                  <w:tcW w:w="838" w:type="dxa"/>
                  <w:vMerge w:val="continue"/>
                  <w:noWrap w:val="0"/>
                  <w:vAlign w:val="center"/>
                </w:tcPr>
                <w:p w14:paraId="1BF049A7">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p>
              </w:tc>
              <w:tc>
                <w:tcPr>
                  <w:tcW w:w="838" w:type="dxa"/>
                  <w:noWrap w:val="0"/>
                  <w:vAlign w:val="center"/>
                </w:tcPr>
                <w:p w14:paraId="6F057861">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1m</w:t>
                  </w:r>
                </w:p>
              </w:tc>
              <w:tc>
                <w:tcPr>
                  <w:tcW w:w="838" w:type="dxa"/>
                  <w:noWrap w:val="0"/>
                  <w:vAlign w:val="center"/>
                </w:tcPr>
                <w:p w14:paraId="1ED7DCFD">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10m</w:t>
                  </w:r>
                </w:p>
              </w:tc>
              <w:tc>
                <w:tcPr>
                  <w:tcW w:w="838" w:type="dxa"/>
                  <w:noWrap w:val="0"/>
                  <w:vAlign w:val="center"/>
                </w:tcPr>
                <w:p w14:paraId="58ACA2A0">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20m</w:t>
                  </w:r>
                </w:p>
              </w:tc>
              <w:tc>
                <w:tcPr>
                  <w:tcW w:w="838" w:type="dxa"/>
                  <w:noWrap w:val="0"/>
                  <w:vAlign w:val="center"/>
                </w:tcPr>
                <w:p w14:paraId="2479FFDE">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30m</w:t>
                  </w:r>
                </w:p>
              </w:tc>
              <w:tc>
                <w:tcPr>
                  <w:tcW w:w="839" w:type="dxa"/>
                  <w:noWrap w:val="0"/>
                  <w:vAlign w:val="center"/>
                </w:tcPr>
                <w:p w14:paraId="4036194D">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50m</w:t>
                  </w:r>
                </w:p>
              </w:tc>
              <w:tc>
                <w:tcPr>
                  <w:tcW w:w="839" w:type="dxa"/>
                  <w:noWrap w:val="0"/>
                  <w:vAlign w:val="center"/>
                </w:tcPr>
                <w:p w14:paraId="0CDDC59A">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100m</w:t>
                  </w:r>
                </w:p>
              </w:tc>
              <w:tc>
                <w:tcPr>
                  <w:tcW w:w="839" w:type="dxa"/>
                  <w:noWrap w:val="0"/>
                  <w:vAlign w:val="center"/>
                </w:tcPr>
                <w:p w14:paraId="5C2A2866">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150m</w:t>
                  </w:r>
                </w:p>
              </w:tc>
              <w:tc>
                <w:tcPr>
                  <w:tcW w:w="839" w:type="dxa"/>
                  <w:noWrap w:val="0"/>
                  <w:vAlign w:val="center"/>
                </w:tcPr>
                <w:p w14:paraId="1F6DFC1A">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200m</w:t>
                  </w:r>
                </w:p>
              </w:tc>
            </w:tr>
            <w:tr w14:paraId="18BD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noWrap w:val="0"/>
                  <w:vAlign w:val="center"/>
                </w:tcPr>
                <w:p w14:paraId="5C3D2356">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基础施工阶段</w:t>
                  </w:r>
                </w:p>
              </w:tc>
              <w:tc>
                <w:tcPr>
                  <w:tcW w:w="838" w:type="dxa"/>
                  <w:noWrap w:val="0"/>
                  <w:vAlign w:val="center"/>
                </w:tcPr>
                <w:p w14:paraId="4AA33A7E">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空压机</w:t>
                  </w:r>
                </w:p>
              </w:tc>
              <w:tc>
                <w:tcPr>
                  <w:tcW w:w="838" w:type="dxa"/>
                  <w:noWrap w:val="0"/>
                  <w:vAlign w:val="center"/>
                </w:tcPr>
                <w:p w14:paraId="377D639C">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90</w:t>
                  </w:r>
                </w:p>
              </w:tc>
              <w:tc>
                <w:tcPr>
                  <w:tcW w:w="838" w:type="dxa"/>
                  <w:noWrap w:val="0"/>
                  <w:vAlign w:val="center"/>
                </w:tcPr>
                <w:p w14:paraId="06E00645">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70</w:t>
                  </w:r>
                </w:p>
              </w:tc>
              <w:tc>
                <w:tcPr>
                  <w:tcW w:w="838" w:type="dxa"/>
                  <w:noWrap w:val="0"/>
                  <w:vAlign w:val="center"/>
                </w:tcPr>
                <w:p w14:paraId="4DC13049">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64</w:t>
                  </w:r>
                </w:p>
              </w:tc>
              <w:tc>
                <w:tcPr>
                  <w:tcW w:w="838" w:type="dxa"/>
                  <w:noWrap w:val="0"/>
                  <w:vAlign w:val="center"/>
                </w:tcPr>
                <w:p w14:paraId="2D63D0D0">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60.5</w:t>
                  </w:r>
                </w:p>
              </w:tc>
              <w:tc>
                <w:tcPr>
                  <w:tcW w:w="839" w:type="dxa"/>
                  <w:noWrap w:val="0"/>
                  <w:vAlign w:val="center"/>
                </w:tcPr>
                <w:p w14:paraId="296C917F">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56</w:t>
                  </w:r>
                </w:p>
              </w:tc>
              <w:tc>
                <w:tcPr>
                  <w:tcW w:w="839" w:type="dxa"/>
                  <w:noWrap w:val="0"/>
                  <w:vAlign w:val="center"/>
                </w:tcPr>
                <w:p w14:paraId="324A19E7">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50</w:t>
                  </w:r>
                </w:p>
              </w:tc>
              <w:tc>
                <w:tcPr>
                  <w:tcW w:w="839" w:type="dxa"/>
                  <w:noWrap w:val="0"/>
                  <w:vAlign w:val="center"/>
                </w:tcPr>
                <w:p w14:paraId="6E4FE1EA">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44.5</w:t>
                  </w:r>
                </w:p>
              </w:tc>
              <w:tc>
                <w:tcPr>
                  <w:tcW w:w="839" w:type="dxa"/>
                  <w:noWrap w:val="0"/>
                  <w:vAlign w:val="center"/>
                </w:tcPr>
                <w:p w14:paraId="314E5C6B">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44</w:t>
                  </w:r>
                </w:p>
              </w:tc>
            </w:tr>
            <w:tr w14:paraId="0231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vMerge w:val="restart"/>
                  <w:noWrap w:val="0"/>
                  <w:vAlign w:val="center"/>
                </w:tcPr>
                <w:p w14:paraId="48445880">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土建阶段</w:t>
                  </w:r>
                </w:p>
              </w:tc>
              <w:tc>
                <w:tcPr>
                  <w:tcW w:w="838" w:type="dxa"/>
                  <w:noWrap w:val="0"/>
                  <w:vAlign w:val="center"/>
                </w:tcPr>
                <w:p w14:paraId="35220C7A">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推土机</w:t>
                  </w:r>
                </w:p>
              </w:tc>
              <w:tc>
                <w:tcPr>
                  <w:tcW w:w="838" w:type="dxa"/>
                  <w:noWrap w:val="0"/>
                  <w:vAlign w:val="center"/>
                </w:tcPr>
                <w:p w14:paraId="4C88712A">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90</w:t>
                  </w:r>
                </w:p>
              </w:tc>
              <w:tc>
                <w:tcPr>
                  <w:tcW w:w="838" w:type="dxa"/>
                  <w:noWrap w:val="0"/>
                  <w:vAlign w:val="center"/>
                </w:tcPr>
                <w:p w14:paraId="7A3C976E">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70</w:t>
                  </w:r>
                </w:p>
              </w:tc>
              <w:tc>
                <w:tcPr>
                  <w:tcW w:w="838" w:type="dxa"/>
                  <w:noWrap w:val="0"/>
                  <w:vAlign w:val="center"/>
                </w:tcPr>
                <w:p w14:paraId="0D81F9BC">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64</w:t>
                  </w:r>
                </w:p>
              </w:tc>
              <w:tc>
                <w:tcPr>
                  <w:tcW w:w="838" w:type="dxa"/>
                  <w:noWrap w:val="0"/>
                  <w:vAlign w:val="center"/>
                </w:tcPr>
                <w:p w14:paraId="3E5F6293">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60.5</w:t>
                  </w:r>
                </w:p>
              </w:tc>
              <w:tc>
                <w:tcPr>
                  <w:tcW w:w="839" w:type="dxa"/>
                  <w:noWrap w:val="0"/>
                  <w:vAlign w:val="center"/>
                </w:tcPr>
                <w:p w14:paraId="5749CFBC">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56</w:t>
                  </w:r>
                </w:p>
              </w:tc>
              <w:tc>
                <w:tcPr>
                  <w:tcW w:w="839" w:type="dxa"/>
                  <w:noWrap w:val="0"/>
                  <w:vAlign w:val="center"/>
                </w:tcPr>
                <w:p w14:paraId="164307BD">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50</w:t>
                  </w:r>
                </w:p>
              </w:tc>
              <w:tc>
                <w:tcPr>
                  <w:tcW w:w="839" w:type="dxa"/>
                  <w:noWrap w:val="0"/>
                  <w:vAlign w:val="center"/>
                </w:tcPr>
                <w:p w14:paraId="3950D0A2">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44.5</w:t>
                  </w:r>
                </w:p>
              </w:tc>
              <w:tc>
                <w:tcPr>
                  <w:tcW w:w="839" w:type="dxa"/>
                  <w:noWrap w:val="0"/>
                  <w:vAlign w:val="center"/>
                </w:tcPr>
                <w:p w14:paraId="794E000D">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44</w:t>
                  </w:r>
                </w:p>
              </w:tc>
            </w:tr>
            <w:tr w14:paraId="0329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vMerge w:val="continue"/>
                  <w:noWrap w:val="0"/>
                  <w:vAlign w:val="center"/>
                </w:tcPr>
                <w:p w14:paraId="6E3CB21E">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p>
              </w:tc>
              <w:tc>
                <w:tcPr>
                  <w:tcW w:w="838" w:type="dxa"/>
                  <w:noWrap w:val="0"/>
                  <w:vAlign w:val="center"/>
                </w:tcPr>
                <w:p w14:paraId="46AB33D6">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挖掘机</w:t>
                  </w:r>
                </w:p>
              </w:tc>
              <w:tc>
                <w:tcPr>
                  <w:tcW w:w="838" w:type="dxa"/>
                  <w:noWrap w:val="0"/>
                  <w:vAlign w:val="center"/>
                </w:tcPr>
                <w:p w14:paraId="7AE00DB9">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90</w:t>
                  </w:r>
                </w:p>
              </w:tc>
              <w:tc>
                <w:tcPr>
                  <w:tcW w:w="838" w:type="dxa"/>
                  <w:noWrap w:val="0"/>
                  <w:vAlign w:val="center"/>
                </w:tcPr>
                <w:p w14:paraId="30D7E35E">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70</w:t>
                  </w:r>
                </w:p>
              </w:tc>
              <w:tc>
                <w:tcPr>
                  <w:tcW w:w="838" w:type="dxa"/>
                  <w:noWrap w:val="0"/>
                  <w:vAlign w:val="center"/>
                </w:tcPr>
                <w:p w14:paraId="530181AC">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64</w:t>
                  </w:r>
                </w:p>
              </w:tc>
              <w:tc>
                <w:tcPr>
                  <w:tcW w:w="838" w:type="dxa"/>
                  <w:noWrap w:val="0"/>
                  <w:vAlign w:val="center"/>
                </w:tcPr>
                <w:p w14:paraId="0F4B4B31">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60.5</w:t>
                  </w:r>
                </w:p>
              </w:tc>
              <w:tc>
                <w:tcPr>
                  <w:tcW w:w="839" w:type="dxa"/>
                  <w:noWrap w:val="0"/>
                  <w:vAlign w:val="center"/>
                </w:tcPr>
                <w:p w14:paraId="38312881">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56</w:t>
                  </w:r>
                </w:p>
              </w:tc>
              <w:tc>
                <w:tcPr>
                  <w:tcW w:w="839" w:type="dxa"/>
                  <w:noWrap w:val="0"/>
                  <w:vAlign w:val="center"/>
                </w:tcPr>
                <w:p w14:paraId="60EAD2BA">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50</w:t>
                  </w:r>
                </w:p>
              </w:tc>
              <w:tc>
                <w:tcPr>
                  <w:tcW w:w="839" w:type="dxa"/>
                  <w:noWrap w:val="0"/>
                  <w:vAlign w:val="center"/>
                </w:tcPr>
                <w:p w14:paraId="091A8A67">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44.5</w:t>
                  </w:r>
                </w:p>
              </w:tc>
              <w:tc>
                <w:tcPr>
                  <w:tcW w:w="839" w:type="dxa"/>
                  <w:noWrap w:val="0"/>
                  <w:vAlign w:val="center"/>
                </w:tcPr>
                <w:p w14:paraId="44D37B1D">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44</w:t>
                  </w:r>
                </w:p>
              </w:tc>
            </w:tr>
            <w:tr w14:paraId="1D24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vMerge w:val="continue"/>
                  <w:noWrap w:val="0"/>
                  <w:vAlign w:val="center"/>
                </w:tcPr>
                <w:p w14:paraId="4A509AB5">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bookmarkStart w:id="12" w:name="OLE_LINK11" w:colFirst="3" w:colLast="73"/>
                  <w:bookmarkStart w:id="13" w:name="OLE_LINK12" w:colFirst="3" w:colLast="73"/>
                  <w:bookmarkStart w:id="14" w:name="_Hlk217982433"/>
                </w:p>
              </w:tc>
              <w:tc>
                <w:tcPr>
                  <w:tcW w:w="838" w:type="dxa"/>
                  <w:noWrap w:val="0"/>
                  <w:vAlign w:val="center"/>
                </w:tcPr>
                <w:p w14:paraId="0FCF8108">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装载机</w:t>
                  </w:r>
                </w:p>
              </w:tc>
              <w:tc>
                <w:tcPr>
                  <w:tcW w:w="838" w:type="dxa"/>
                  <w:noWrap w:val="0"/>
                  <w:vAlign w:val="center"/>
                </w:tcPr>
                <w:p w14:paraId="6D1E0447">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90</w:t>
                  </w:r>
                </w:p>
              </w:tc>
              <w:tc>
                <w:tcPr>
                  <w:tcW w:w="838" w:type="dxa"/>
                  <w:noWrap w:val="0"/>
                  <w:vAlign w:val="center"/>
                </w:tcPr>
                <w:p w14:paraId="6DAFBD75">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70</w:t>
                  </w:r>
                </w:p>
              </w:tc>
              <w:tc>
                <w:tcPr>
                  <w:tcW w:w="838" w:type="dxa"/>
                  <w:noWrap w:val="0"/>
                  <w:vAlign w:val="center"/>
                </w:tcPr>
                <w:p w14:paraId="30B1EACC">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64</w:t>
                  </w:r>
                </w:p>
              </w:tc>
              <w:tc>
                <w:tcPr>
                  <w:tcW w:w="838" w:type="dxa"/>
                  <w:noWrap w:val="0"/>
                  <w:vAlign w:val="center"/>
                </w:tcPr>
                <w:p w14:paraId="6F676B0F">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60.5</w:t>
                  </w:r>
                </w:p>
              </w:tc>
              <w:tc>
                <w:tcPr>
                  <w:tcW w:w="839" w:type="dxa"/>
                  <w:noWrap w:val="0"/>
                  <w:vAlign w:val="center"/>
                </w:tcPr>
                <w:p w14:paraId="1500E904">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56</w:t>
                  </w:r>
                </w:p>
              </w:tc>
              <w:tc>
                <w:tcPr>
                  <w:tcW w:w="839" w:type="dxa"/>
                  <w:noWrap w:val="0"/>
                  <w:vAlign w:val="center"/>
                </w:tcPr>
                <w:p w14:paraId="187FD928">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50</w:t>
                  </w:r>
                </w:p>
              </w:tc>
              <w:tc>
                <w:tcPr>
                  <w:tcW w:w="839" w:type="dxa"/>
                  <w:noWrap w:val="0"/>
                  <w:vAlign w:val="center"/>
                </w:tcPr>
                <w:p w14:paraId="048F91D0">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44.5</w:t>
                  </w:r>
                </w:p>
              </w:tc>
              <w:tc>
                <w:tcPr>
                  <w:tcW w:w="839" w:type="dxa"/>
                  <w:noWrap w:val="0"/>
                  <w:vAlign w:val="center"/>
                </w:tcPr>
                <w:p w14:paraId="59ECCDA5">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44</w:t>
                  </w:r>
                </w:p>
              </w:tc>
            </w:tr>
            <w:bookmarkEnd w:id="12"/>
            <w:bookmarkEnd w:id="13"/>
            <w:bookmarkEnd w:id="14"/>
            <w:tr w14:paraId="01A7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vMerge w:val="continue"/>
                  <w:noWrap w:val="0"/>
                  <w:vAlign w:val="center"/>
                </w:tcPr>
                <w:p w14:paraId="6F72D037">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p>
              </w:tc>
              <w:tc>
                <w:tcPr>
                  <w:tcW w:w="838" w:type="dxa"/>
                  <w:noWrap w:val="0"/>
                  <w:vAlign w:val="center"/>
                </w:tcPr>
                <w:p w14:paraId="58615F51">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运输</w:t>
                  </w:r>
                </w:p>
                <w:p w14:paraId="36A301FF">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车辆</w:t>
                  </w:r>
                </w:p>
              </w:tc>
              <w:tc>
                <w:tcPr>
                  <w:tcW w:w="838" w:type="dxa"/>
                  <w:noWrap w:val="0"/>
                  <w:vAlign w:val="center"/>
                </w:tcPr>
                <w:p w14:paraId="668C54C7">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85</w:t>
                  </w:r>
                </w:p>
              </w:tc>
              <w:tc>
                <w:tcPr>
                  <w:tcW w:w="838" w:type="dxa"/>
                  <w:noWrap w:val="0"/>
                  <w:vAlign w:val="center"/>
                </w:tcPr>
                <w:p w14:paraId="4000C68E">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65</w:t>
                  </w:r>
                </w:p>
              </w:tc>
              <w:tc>
                <w:tcPr>
                  <w:tcW w:w="838" w:type="dxa"/>
                  <w:noWrap w:val="0"/>
                  <w:vAlign w:val="center"/>
                </w:tcPr>
                <w:p w14:paraId="5C3542EE">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59</w:t>
                  </w:r>
                </w:p>
              </w:tc>
              <w:tc>
                <w:tcPr>
                  <w:tcW w:w="838" w:type="dxa"/>
                  <w:noWrap w:val="0"/>
                  <w:vAlign w:val="center"/>
                </w:tcPr>
                <w:p w14:paraId="139993CA">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55.5</w:t>
                  </w:r>
                </w:p>
              </w:tc>
              <w:tc>
                <w:tcPr>
                  <w:tcW w:w="839" w:type="dxa"/>
                  <w:noWrap w:val="0"/>
                  <w:vAlign w:val="center"/>
                </w:tcPr>
                <w:p w14:paraId="34F6DA91">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56</w:t>
                  </w:r>
                </w:p>
              </w:tc>
              <w:tc>
                <w:tcPr>
                  <w:tcW w:w="839" w:type="dxa"/>
                  <w:noWrap w:val="0"/>
                  <w:vAlign w:val="center"/>
                </w:tcPr>
                <w:p w14:paraId="404F7605">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45</w:t>
                  </w:r>
                </w:p>
              </w:tc>
              <w:tc>
                <w:tcPr>
                  <w:tcW w:w="839" w:type="dxa"/>
                  <w:noWrap w:val="0"/>
                  <w:vAlign w:val="center"/>
                </w:tcPr>
                <w:p w14:paraId="2648FA5B">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39.5</w:t>
                  </w:r>
                </w:p>
              </w:tc>
              <w:tc>
                <w:tcPr>
                  <w:tcW w:w="839" w:type="dxa"/>
                  <w:noWrap w:val="0"/>
                  <w:vAlign w:val="center"/>
                </w:tcPr>
                <w:p w14:paraId="7F38FAA2">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39</w:t>
                  </w:r>
                </w:p>
              </w:tc>
            </w:tr>
            <w:tr w14:paraId="4AC5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vMerge w:val="restart"/>
                  <w:noWrap w:val="0"/>
                  <w:vAlign w:val="center"/>
                </w:tcPr>
                <w:p w14:paraId="177549A5">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bookmarkStart w:id="15" w:name="OLE_LINK9" w:colFirst="2" w:colLast="73"/>
                  <w:bookmarkStart w:id="16" w:name="_Hlk217982429"/>
                  <w:bookmarkStart w:id="17" w:name="OLE_LINK10" w:colFirst="2" w:colLast="73"/>
                  <w:r>
                    <w:rPr>
                      <w:rStyle w:val="107"/>
                      <w:rFonts w:hint="default" w:ascii="Times New Roman" w:hAnsi="Times New Roman" w:cs="Times New Roman"/>
                      <w:color w:val="auto"/>
                      <w:sz w:val="21"/>
                      <w:szCs w:val="21"/>
                    </w:rPr>
                    <w:t>结构施工阶段</w:t>
                  </w:r>
                </w:p>
              </w:tc>
              <w:tc>
                <w:tcPr>
                  <w:tcW w:w="838" w:type="dxa"/>
                  <w:noWrap w:val="0"/>
                  <w:vAlign w:val="center"/>
                </w:tcPr>
                <w:p w14:paraId="13968BAC">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混凝土搅拌机</w:t>
                  </w:r>
                </w:p>
              </w:tc>
              <w:tc>
                <w:tcPr>
                  <w:tcW w:w="838" w:type="dxa"/>
                  <w:noWrap w:val="0"/>
                  <w:vAlign w:val="center"/>
                </w:tcPr>
                <w:p w14:paraId="5CEE9EE2">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85</w:t>
                  </w:r>
                </w:p>
              </w:tc>
              <w:tc>
                <w:tcPr>
                  <w:tcW w:w="838" w:type="dxa"/>
                  <w:noWrap w:val="0"/>
                  <w:vAlign w:val="center"/>
                </w:tcPr>
                <w:p w14:paraId="78B9CA9C">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65</w:t>
                  </w:r>
                </w:p>
              </w:tc>
              <w:tc>
                <w:tcPr>
                  <w:tcW w:w="838" w:type="dxa"/>
                  <w:noWrap w:val="0"/>
                  <w:vAlign w:val="center"/>
                </w:tcPr>
                <w:p w14:paraId="2F2CF1F7">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59</w:t>
                  </w:r>
                </w:p>
              </w:tc>
              <w:tc>
                <w:tcPr>
                  <w:tcW w:w="838" w:type="dxa"/>
                  <w:noWrap w:val="0"/>
                  <w:vAlign w:val="center"/>
                </w:tcPr>
                <w:p w14:paraId="62042B41">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55.5</w:t>
                  </w:r>
                </w:p>
              </w:tc>
              <w:tc>
                <w:tcPr>
                  <w:tcW w:w="839" w:type="dxa"/>
                  <w:noWrap w:val="0"/>
                  <w:vAlign w:val="center"/>
                </w:tcPr>
                <w:p w14:paraId="24C2AE59">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51</w:t>
                  </w:r>
                </w:p>
              </w:tc>
              <w:tc>
                <w:tcPr>
                  <w:tcW w:w="839" w:type="dxa"/>
                  <w:noWrap w:val="0"/>
                  <w:vAlign w:val="center"/>
                </w:tcPr>
                <w:p w14:paraId="1A1FF5CF">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45</w:t>
                  </w:r>
                </w:p>
              </w:tc>
              <w:tc>
                <w:tcPr>
                  <w:tcW w:w="839" w:type="dxa"/>
                  <w:noWrap w:val="0"/>
                  <w:vAlign w:val="center"/>
                </w:tcPr>
                <w:p w14:paraId="3B2D8755">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39.5</w:t>
                  </w:r>
                </w:p>
              </w:tc>
              <w:tc>
                <w:tcPr>
                  <w:tcW w:w="839" w:type="dxa"/>
                  <w:noWrap w:val="0"/>
                  <w:vAlign w:val="center"/>
                </w:tcPr>
                <w:p w14:paraId="4E53BA34">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39</w:t>
                  </w:r>
                </w:p>
              </w:tc>
            </w:tr>
            <w:bookmarkEnd w:id="15"/>
            <w:bookmarkEnd w:id="16"/>
            <w:bookmarkEnd w:id="17"/>
            <w:tr w14:paraId="616A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vMerge w:val="continue"/>
                  <w:noWrap w:val="0"/>
                  <w:vAlign w:val="center"/>
                </w:tcPr>
                <w:p w14:paraId="2A3E3BCC">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p>
              </w:tc>
              <w:tc>
                <w:tcPr>
                  <w:tcW w:w="838" w:type="dxa"/>
                  <w:noWrap w:val="0"/>
                  <w:vAlign w:val="center"/>
                </w:tcPr>
                <w:p w14:paraId="089C416E">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振捣器</w:t>
                  </w:r>
                </w:p>
              </w:tc>
              <w:tc>
                <w:tcPr>
                  <w:tcW w:w="838" w:type="dxa"/>
                  <w:noWrap w:val="0"/>
                  <w:vAlign w:val="center"/>
                </w:tcPr>
                <w:p w14:paraId="450E1DC3">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95</w:t>
                  </w:r>
                </w:p>
              </w:tc>
              <w:tc>
                <w:tcPr>
                  <w:tcW w:w="838" w:type="dxa"/>
                  <w:noWrap w:val="0"/>
                  <w:vAlign w:val="center"/>
                </w:tcPr>
                <w:p w14:paraId="54EF88FB">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75</w:t>
                  </w:r>
                </w:p>
              </w:tc>
              <w:tc>
                <w:tcPr>
                  <w:tcW w:w="838" w:type="dxa"/>
                  <w:noWrap w:val="0"/>
                  <w:vAlign w:val="center"/>
                </w:tcPr>
                <w:p w14:paraId="49379B47">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69</w:t>
                  </w:r>
                </w:p>
              </w:tc>
              <w:tc>
                <w:tcPr>
                  <w:tcW w:w="838" w:type="dxa"/>
                  <w:noWrap w:val="0"/>
                  <w:vAlign w:val="center"/>
                </w:tcPr>
                <w:p w14:paraId="1CDBE1DE">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65.5</w:t>
                  </w:r>
                </w:p>
              </w:tc>
              <w:tc>
                <w:tcPr>
                  <w:tcW w:w="839" w:type="dxa"/>
                  <w:noWrap w:val="0"/>
                  <w:vAlign w:val="center"/>
                </w:tcPr>
                <w:p w14:paraId="75AC1698">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61</w:t>
                  </w:r>
                </w:p>
              </w:tc>
              <w:tc>
                <w:tcPr>
                  <w:tcW w:w="839" w:type="dxa"/>
                  <w:noWrap w:val="0"/>
                  <w:vAlign w:val="center"/>
                </w:tcPr>
                <w:p w14:paraId="08770676">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55</w:t>
                  </w:r>
                </w:p>
              </w:tc>
              <w:tc>
                <w:tcPr>
                  <w:tcW w:w="839" w:type="dxa"/>
                  <w:noWrap w:val="0"/>
                  <w:vAlign w:val="center"/>
                </w:tcPr>
                <w:p w14:paraId="6D75A284">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49.5</w:t>
                  </w:r>
                </w:p>
              </w:tc>
              <w:tc>
                <w:tcPr>
                  <w:tcW w:w="839" w:type="dxa"/>
                  <w:noWrap w:val="0"/>
                  <w:vAlign w:val="center"/>
                </w:tcPr>
                <w:p w14:paraId="025D6D84">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39</w:t>
                  </w:r>
                </w:p>
              </w:tc>
            </w:tr>
            <w:tr w14:paraId="43AB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vMerge w:val="restart"/>
                  <w:noWrap w:val="0"/>
                  <w:vAlign w:val="center"/>
                </w:tcPr>
                <w:p w14:paraId="53C4E403">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设备安装调试阶段</w:t>
                  </w:r>
                </w:p>
              </w:tc>
              <w:tc>
                <w:tcPr>
                  <w:tcW w:w="838" w:type="dxa"/>
                  <w:noWrap w:val="0"/>
                  <w:vAlign w:val="center"/>
                </w:tcPr>
                <w:p w14:paraId="79E75BF1">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电锯、电刨</w:t>
                  </w:r>
                </w:p>
              </w:tc>
              <w:tc>
                <w:tcPr>
                  <w:tcW w:w="838" w:type="dxa"/>
                  <w:noWrap w:val="0"/>
                  <w:vAlign w:val="center"/>
                </w:tcPr>
                <w:p w14:paraId="423222DD">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100</w:t>
                  </w:r>
                </w:p>
              </w:tc>
              <w:tc>
                <w:tcPr>
                  <w:tcW w:w="838" w:type="dxa"/>
                  <w:noWrap w:val="0"/>
                  <w:vAlign w:val="center"/>
                </w:tcPr>
                <w:p w14:paraId="43CA0986">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80</w:t>
                  </w:r>
                </w:p>
              </w:tc>
              <w:tc>
                <w:tcPr>
                  <w:tcW w:w="838" w:type="dxa"/>
                  <w:noWrap w:val="0"/>
                  <w:vAlign w:val="center"/>
                </w:tcPr>
                <w:p w14:paraId="6BE11478">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74</w:t>
                  </w:r>
                </w:p>
              </w:tc>
              <w:tc>
                <w:tcPr>
                  <w:tcW w:w="838" w:type="dxa"/>
                  <w:noWrap w:val="0"/>
                  <w:vAlign w:val="center"/>
                </w:tcPr>
                <w:p w14:paraId="0ADF79E4">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70.5</w:t>
                  </w:r>
                </w:p>
              </w:tc>
              <w:tc>
                <w:tcPr>
                  <w:tcW w:w="839" w:type="dxa"/>
                  <w:noWrap w:val="0"/>
                  <w:vAlign w:val="center"/>
                </w:tcPr>
                <w:p w14:paraId="6346A569">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66</w:t>
                  </w:r>
                </w:p>
              </w:tc>
              <w:tc>
                <w:tcPr>
                  <w:tcW w:w="839" w:type="dxa"/>
                  <w:noWrap w:val="0"/>
                  <w:vAlign w:val="center"/>
                </w:tcPr>
                <w:p w14:paraId="70487F37">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60</w:t>
                  </w:r>
                </w:p>
              </w:tc>
              <w:tc>
                <w:tcPr>
                  <w:tcW w:w="839" w:type="dxa"/>
                  <w:noWrap w:val="0"/>
                  <w:vAlign w:val="center"/>
                </w:tcPr>
                <w:p w14:paraId="53934705">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54.5</w:t>
                  </w:r>
                </w:p>
              </w:tc>
              <w:tc>
                <w:tcPr>
                  <w:tcW w:w="839" w:type="dxa"/>
                  <w:noWrap w:val="0"/>
                  <w:vAlign w:val="center"/>
                </w:tcPr>
                <w:p w14:paraId="3E47E889">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54</w:t>
                  </w:r>
                </w:p>
              </w:tc>
            </w:tr>
            <w:tr w14:paraId="45C8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vMerge w:val="continue"/>
                  <w:noWrap w:val="0"/>
                  <w:vAlign w:val="center"/>
                </w:tcPr>
                <w:p w14:paraId="7B59ADCA">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p>
              </w:tc>
              <w:tc>
                <w:tcPr>
                  <w:tcW w:w="838" w:type="dxa"/>
                  <w:noWrap w:val="0"/>
                  <w:vAlign w:val="center"/>
                </w:tcPr>
                <w:p w14:paraId="28F2110F">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起重机</w:t>
                  </w:r>
                </w:p>
              </w:tc>
              <w:tc>
                <w:tcPr>
                  <w:tcW w:w="838" w:type="dxa"/>
                  <w:noWrap w:val="0"/>
                  <w:vAlign w:val="center"/>
                </w:tcPr>
                <w:p w14:paraId="6F8FCB47">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85</w:t>
                  </w:r>
                </w:p>
              </w:tc>
              <w:tc>
                <w:tcPr>
                  <w:tcW w:w="838" w:type="dxa"/>
                  <w:noWrap w:val="0"/>
                  <w:vAlign w:val="center"/>
                </w:tcPr>
                <w:p w14:paraId="78F1CDFD">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65</w:t>
                  </w:r>
                </w:p>
              </w:tc>
              <w:tc>
                <w:tcPr>
                  <w:tcW w:w="838" w:type="dxa"/>
                  <w:noWrap w:val="0"/>
                  <w:vAlign w:val="center"/>
                </w:tcPr>
                <w:p w14:paraId="4618B978">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59</w:t>
                  </w:r>
                </w:p>
              </w:tc>
              <w:tc>
                <w:tcPr>
                  <w:tcW w:w="838" w:type="dxa"/>
                  <w:noWrap w:val="0"/>
                  <w:vAlign w:val="center"/>
                </w:tcPr>
                <w:p w14:paraId="257CE0E8">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55.5</w:t>
                  </w:r>
                </w:p>
              </w:tc>
              <w:tc>
                <w:tcPr>
                  <w:tcW w:w="839" w:type="dxa"/>
                  <w:noWrap w:val="0"/>
                  <w:vAlign w:val="center"/>
                </w:tcPr>
                <w:p w14:paraId="5041D4DB">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51</w:t>
                  </w:r>
                </w:p>
              </w:tc>
              <w:tc>
                <w:tcPr>
                  <w:tcW w:w="839" w:type="dxa"/>
                  <w:noWrap w:val="0"/>
                  <w:vAlign w:val="center"/>
                </w:tcPr>
                <w:p w14:paraId="2EACDDDF">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45</w:t>
                  </w:r>
                </w:p>
              </w:tc>
              <w:tc>
                <w:tcPr>
                  <w:tcW w:w="839" w:type="dxa"/>
                  <w:noWrap w:val="0"/>
                  <w:vAlign w:val="center"/>
                </w:tcPr>
                <w:p w14:paraId="3DF951EF">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cr/>
                  </w:r>
                  <w:r>
                    <w:rPr>
                      <w:rStyle w:val="107"/>
                      <w:rFonts w:hint="default" w:ascii="Times New Roman" w:hAnsi="Times New Roman" w:cs="Times New Roman"/>
                      <w:color w:val="auto"/>
                      <w:sz w:val="21"/>
                      <w:szCs w:val="21"/>
                    </w:rPr>
                    <w:t>9.5</w:t>
                  </w:r>
                </w:p>
              </w:tc>
              <w:tc>
                <w:tcPr>
                  <w:tcW w:w="839" w:type="dxa"/>
                  <w:noWrap w:val="0"/>
                  <w:vAlign w:val="center"/>
                </w:tcPr>
                <w:p w14:paraId="16AB01F8">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39</w:t>
                  </w:r>
                </w:p>
              </w:tc>
            </w:tr>
            <w:tr w14:paraId="04AAB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8" w:type="dxa"/>
                  <w:vMerge w:val="continue"/>
                  <w:noWrap w:val="0"/>
                  <w:vAlign w:val="center"/>
                </w:tcPr>
                <w:p w14:paraId="19FE198C">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p>
              </w:tc>
              <w:tc>
                <w:tcPr>
                  <w:tcW w:w="838" w:type="dxa"/>
                  <w:noWrap w:val="0"/>
                  <w:vAlign w:val="center"/>
                </w:tcPr>
                <w:p w14:paraId="55AAD445">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吊车、升降机</w:t>
                  </w:r>
                </w:p>
              </w:tc>
              <w:tc>
                <w:tcPr>
                  <w:tcW w:w="838" w:type="dxa"/>
                  <w:noWrap w:val="0"/>
                  <w:vAlign w:val="center"/>
                </w:tcPr>
                <w:p w14:paraId="0540C9C1">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85</w:t>
                  </w:r>
                </w:p>
              </w:tc>
              <w:tc>
                <w:tcPr>
                  <w:tcW w:w="838" w:type="dxa"/>
                  <w:noWrap w:val="0"/>
                  <w:vAlign w:val="center"/>
                </w:tcPr>
                <w:p w14:paraId="6A34989C">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65</w:t>
                  </w:r>
                </w:p>
              </w:tc>
              <w:tc>
                <w:tcPr>
                  <w:tcW w:w="838" w:type="dxa"/>
                  <w:noWrap w:val="0"/>
                  <w:vAlign w:val="center"/>
                </w:tcPr>
                <w:p w14:paraId="0DB726C5">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59</w:t>
                  </w:r>
                </w:p>
              </w:tc>
              <w:tc>
                <w:tcPr>
                  <w:tcW w:w="838" w:type="dxa"/>
                  <w:noWrap w:val="0"/>
                  <w:vAlign w:val="center"/>
                </w:tcPr>
                <w:p w14:paraId="573A185B">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55.5</w:t>
                  </w:r>
                </w:p>
              </w:tc>
              <w:tc>
                <w:tcPr>
                  <w:tcW w:w="839" w:type="dxa"/>
                  <w:noWrap w:val="0"/>
                  <w:vAlign w:val="center"/>
                </w:tcPr>
                <w:p w14:paraId="13FF6FCD">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51</w:t>
                  </w:r>
                </w:p>
              </w:tc>
              <w:tc>
                <w:tcPr>
                  <w:tcW w:w="839" w:type="dxa"/>
                  <w:noWrap w:val="0"/>
                  <w:vAlign w:val="center"/>
                </w:tcPr>
                <w:p w14:paraId="086CF6D9">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45</w:t>
                  </w:r>
                </w:p>
              </w:tc>
              <w:tc>
                <w:tcPr>
                  <w:tcW w:w="839" w:type="dxa"/>
                  <w:noWrap w:val="0"/>
                  <w:vAlign w:val="center"/>
                </w:tcPr>
                <w:p w14:paraId="18FB72D2">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cr/>
                  </w:r>
                  <w:r>
                    <w:rPr>
                      <w:rStyle w:val="107"/>
                      <w:rFonts w:hint="default" w:ascii="Times New Roman" w:hAnsi="Times New Roman" w:cs="Times New Roman"/>
                      <w:color w:val="auto"/>
                      <w:sz w:val="21"/>
                      <w:szCs w:val="21"/>
                    </w:rPr>
                    <w:t>9.5</w:t>
                  </w:r>
                </w:p>
              </w:tc>
              <w:tc>
                <w:tcPr>
                  <w:tcW w:w="839" w:type="dxa"/>
                  <w:noWrap w:val="0"/>
                  <w:vAlign w:val="center"/>
                </w:tcPr>
                <w:p w14:paraId="08EC2B69">
                  <w:pPr>
                    <w:keepNext w:val="0"/>
                    <w:keepLines w:val="0"/>
                    <w:suppressLineNumbers w:val="0"/>
                    <w:spacing w:before="0" w:beforeAutospacing="0" w:after="0" w:afterAutospacing="0"/>
                    <w:ind w:left="0" w:right="0"/>
                    <w:jc w:val="center"/>
                    <w:rPr>
                      <w:rStyle w:val="107"/>
                      <w:rFonts w:hint="default" w:ascii="Times New Roman" w:hAnsi="Times New Roman" w:cs="Times New Roman"/>
                      <w:color w:val="auto"/>
                      <w:sz w:val="21"/>
                      <w:szCs w:val="21"/>
                    </w:rPr>
                  </w:pPr>
                  <w:r>
                    <w:rPr>
                      <w:rStyle w:val="107"/>
                      <w:rFonts w:hint="default" w:ascii="Times New Roman" w:hAnsi="Times New Roman" w:cs="Times New Roman"/>
                      <w:color w:val="auto"/>
                      <w:sz w:val="21"/>
                      <w:szCs w:val="21"/>
                    </w:rPr>
                    <w:t>39</w:t>
                  </w:r>
                </w:p>
              </w:tc>
            </w:tr>
          </w:tbl>
          <w:p w14:paraId="0E0F92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以《建筑施工噪声排放标准》（GB12523-2025）评价，距</w:t>
            </w:r>
            <w:r>
              <w:rPr>
                <w:rFonts w:hint="default" w:ascii="Times New Roman" w:hAnsi="Times New Roman" w:cs="Times New Roman"/>
                <w:b w:val="0"/>
                <w:bCs/>
                <w:color w:val="auto"/>
                <w:kern w:val="0"/>
                <w:sz w:val="24"/>
                <w:szCs w:val="24"/>
                <w:highlight w:val="none"/>
                <w:lang w:val="en-US" w:eastAsia="zh-CN" w:bidi="ar-SA"/>
              </w:rPr>
              <w:t>单台</w:t>
            </w:r>
            <w:r>
              <w:rPr>
                <w:rFonts w:hint="default" w:ascii="Times New Roman" w:hAnsi="Times New Roman" w:eastAsia="宋体" w:cs="Times New Roman"/>
                <w:b w:val="0"/>
                <w:bCs/>
                <w:color w:val="auto"/>
                <w:kern w:val="0"/>
                <w:sz w:val="24"/>
                <w:szCs w:val="24"/>
                <w:highlight w:val="none"/>
                <w:lang w:val="en-US" w:eastAsia="zh-CN" w:bidi="ar-SA"/>
              </w:rPr>
              <w:t>主要设备</w:t>
            </w:r>
            <w:r>
              <w:rPr>
                <w:rFonts w:hint="default" w:ascii="Times New Roman" w:hAnsi="Times New Roman" w:cs="Times New Roman"/>
                <w:b w:val="0"/>
                <w:bCs/>
                <w:color w:val="auto"/>
                <w:kern w:val="0"/>
                <w:sz w:val="24"/>
                <w:szCs w:val="24"/>
                <w:highlight w:val="none"/>
                <w:lang w:val="en-US" w:eastAsia="zh-CN" w:bidi="ar-SA"/>
              </w:rPr>
              <w:t>50</w:t>
            </w:r>
            <w:r>
              <w:rPr>
                <w:rFonts w:hint="default" w:ascii="Times New Roman" w:hAnsi="Times New Roman" w:eastAsia="宋体" w:cs="Times New Roman"/>
                <w:b w:val="0"/>
                <w:bCs/>
                <w:color w:val="auto"/>
                <w:kern w:val="0"/>
                <w:sz w:val="24"/>
                <w:szCs w:val="24"/>
                <w:highlight w:val="none"/>
                <w:lang w:val="en-US" w:eastAsia="zh-CN" w:bidi="ar-SA"/>
              </w:rPr>
              <w:t>m处的昼间噪声可以达到70dB（A）的要求；若夜间施工，</w:t>
            </w:r>
            <w:r>
              <w:rPr>
                <w:rFonts w:hint="default" w:ascii="Times New Roman" w:hAnsi="Times New Roman" w:cs="Times New Roman"/>
                <w:b w:val="0"/>
                <w:bCs/>
                <w:color w:val="auto"/>
                <w:kern w:val="0"/>
                <w:sz w:val="24"/>
                <w:szCs w:val="24"/>
                <w:highlight w:val="none"/>
                <w:lang w:val="en-US" w:eastAsia="zh-CN" w:bidi="ar-SA"/>
              </w:rPr>
              <w:t>150</w:t>
            </w:r>
            <w:r>
              <w:rPr>
                <w:rFonts w:hint="default" w:ascii="Times New Roman" w:hAnsi="Times New Roman" w:eastAsia="宋体" w:cs="Times New Roman"/>
                <w:b w:val="0"/>
                <w:bCs/>
                <w:color w:val="auto"/>
                <w:kern w:val="0"/>
                <w:sz w:val="24"/>
                <w:szCs w:val="24"/>
                <w:highlight w:val="none"/>
                <w:lang w:val="en-US" w:eastAsia="zh-CN" w:bidi="ar-SA"/>
              </w:rPr>
              <w:t>m以外的噪声基本能满足55dB（A）的夜间标准值。</w:t>
            </w:r>
          </w:p>
          <w:p w14:paraId="42C676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本工程施工期间多台机械同时运行，产生的噪声影响会产生叠加影响，为避免对其产生严重噪声影响。施工期间应采取以下措施：</w:t>
            </w:r>
          </w:p>
          <w:p w14:paraId="47E255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1）加强施工期的环境管理工作，并接受环境保护部门监督管理；</w:t>
            </w:r>
          </w:p>
          <w:p w14:paraId="67D646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2）施工过程中加强施工机械保养和维护，并严格按操作规范使用各类施工机械；</w:t>
            </w:r>
          </w:p>
          <w:p w14:paraId="7458F7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3）合理安排施工作</w:t>
            </w:r>
            <w:r>
              <w:rPr>
                <w:rFonts w:hint="default" w:ascii="Times New Roman" w:hAnsi="Times New Roman" w:eastAsia="宋体" w:cs="Times New Roman"/>
                <w:b w:val="0"/>
                <w:bCs/>
                <w:color w:val="auto"/>
                <w:kern w:val="0"/>
                <w:sz w:val="24"/>
                <w:szCs w:val="24"/>
                <w:highlight w:val="none"/>
                <w:shd w:val="clear"/>
                <w:lang w:val="en-US" w:eastAsia="zh-CN" w:bidi="ar-SA"/>
              </w:rPr>
              <w:t>业时间；</w:t>
            </w:r>
          </w:p>
          <w:p w14:paraId="1117CD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4）强噪声设备尽量远离噪声建筑物布置；同时避免多台机械同时使用。</w:t>
            </w:r>
          </w:p>
          <w:p w14:paraId="151648C7">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auto"/>
                <w:spacing w:val="-10"/>
                <w:sz w:val="24"/>
                <w:szCs w:val="24"/>
                <w:highlight w:val="none"/>
                <w:lang w:val="en-US" w:eastAsia="zh-CN"/>
              </w:rPr>
            </w:pPr>
            <w:r>
              <w:rPr>
                <w:rFonts w:hint="default" w:ascii="Times New Roman" w:hAnsi="Times New Roman" w:cs="Times New Roman"/>
                <w:b/>
                <w:bCs/>
                <w:color w:val="auto"/>
                <w:spacing w:val="-10"/>
                <w:sz w:val="24"/>
                <w:szCs w:val="24"/>
                <w:highlight w:val="none"/>
                <w:lang w:val="en-US" w:eastAsia="zh-CN"/>
              </w:rPr>
              <w:t>4、施工期固体废物影响分析</w:t>
            </w:r>
          </w:p>
          <w:p w14:paraId="51587D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施工期对建筑垃圾进行分类收集、分类暂存，做好建筑垃圾暂存点的防护工作，避免风吹、雨淋，尽量缩短垃圾暂存的时间。项目基础开挖等产生的废土方大部分回填，其余用于道路铺设，无弃土产生，并及时调配用于场内道路修筑、场地平整等进行综合利用。建筑垃圾分类收集暂存，废弃砂石、混凝土优先风电场内综合利用，废包装物交有关部门回收利用。</w:t>
            </w:r>
          </w:p>
          <w:p w14:paraId="28F36F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施工人员产生的生活垃圾按0.5kg/人·d计，最大人数按20人次/日计，则生活垃圾产生量为0.01t/d。本项目施工期施工人员的生活垃圾集中收集后，委托环卫部门清运处理。</w:t>
            </w:r>
          </w:p>
          <w:p w14:paraId="59EC0E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 xml:space="preserve">施工单位要加强管理，在落实以上环境保护措施的基础上，项目实施施工过程中固体废物对周围环境影响很小。 </w:t>
            </w:r>
          </w:p>
          <w:p w14:paraId="1A51B20C">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auto"/>
                <w:spacing w:val="-10"/>
                <w:sz w:val="24"/>
                <w:szCs w:val="24"/>
                <w:highlight w:val="none"/>
                <w:lang w:val="en-US" w:eastAsia="zh-CN"/>
              </w:rPr>
            </w:pPr>
            <w:r>
              <w:rPr>
                <w:rFonts w:hint="default" w:ascii="Times New Roman" w:hAnsi="Times New Roman" w:cs="Times New Roman"/>
                <w:b/>
                <w:bCs/>
                <w:color w:val="auto"/>
                <w:spacing w:val="-10"/>
                <w:sz w:val="24"/>
                <w:szCs w:val="24"/>
                <w:highlight w:val="none"/>
                <w:lang w:val="en-US" w:eastAsia="zh-CN"/>
              </w:rPr>
              <w:t>5、施工期生态影响分析</w:t>
            </w:r>
          </w:p>
          <w:p w14:paraId="54DE0C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本项目为“</w:t>
            </w:r>
            <w:r>
              <w:rPr>
                <w:rFonts w:hint="default" w:ascii="Times New Roman" w:hAnsi="Times New Roman" w:cs="Times New Roman"/>
                <w:b w:val="0"/>
                <w:bCs/>
                <w:color w:val="auto"/>
                <w:kern w:val="0"/>
                <w:sz w:val="24"/>
                <w:szCs w:val="24"/>
                <w:highlight w:val="none"/>
                <w:lang w:val="en-US" w:eastAsia="zh-CN" w:bidi="ar-SA"/>
              </w:rPr>
              <w:t>华润新能源额济纳旗100兆瓦风电项目</w:t>
            </w:r>
            <w:r>
              <w:rPr>
                <w:rFonts w:hint="default" w:ascii="Times New Roman" w:hAnsi="Times New Roman" w:eastAsia="宋体" w:cs="Times New Roman"/>
                <w:b w:val="0"/>
                <w:bCs/>
                <w:color w:val="auto"/>
                <w:kern w:val="0"/>
                <w:sz w:val="24"/>
                <w:szCs w:val="24"/>
                <w:highlight w:val="none"/>
                <w:lang w:val="en-US" w:eastAsia="zh-CN" w:bidi="ar-SA"/>
              </w:rPr>
              <w:t>”配套建设的220kV升压站，选址位于</w:t>
            </w:r>
            <w:r>
              <w:rPr>
                <w:rFonts w:hint="default" w:ascii="Times New Roman" w:hAnsi="Times New Roman" w:cs="Times New Roman"/>
                <w:b w:val="0"/>
                <w:bCs/>
                <w:color w:val="auto"/>
                <w:kern w:val="0"/>
                <w:sz w:val="24"/>
                <w:szCs w:val="24"/>
                <w:highlight w:val="none"/>
                <w:lang w:val="en-US" w:eastAsia="zh-CN" w:bidi="ar-SA"/>
              </w:rPr>
              <w:t>华润新能源额济纳旗100兆瓦风电项目</w:t>
            </w:r>
            <w:r>
              <w:rPr>
                <w:rFonts w:hint="default" w:ascii="Times New Roman" w:hAnsi="Times New Roman" w:eastAsia="宋体" w:cs="Times New Roman"/>
                <w:b w:val="0"/>
                <w:bCs/>
                <w:color w:val="auto"/>
                <w:kern w:val="0"/>
                <w:sz w:val="24"/>
                <w:szCs w:val="24"/>
                <w:highlight w:val="none"/>
                <w:lang w:val="en-US" w:eastAsia="zh-CN" w:bidi="ar-SA"/>
              </w:rPr>
              <w:t>风电场征地范围内，本项目升压站工程与</w:t>
            </w:r>
            <w:r>
              <w:rPr>
                <w:rFonts w:hint="default" w:ascii="Times New Roman" w:hAnsi="Times New Roman" w:cs="Times New Roman"/>
                <w:b w:val="0"/>
                <w:bCs/>
                <w:color w:val="auto"/>
                <w:kern w:val="0"/>
                <w:sz w:val="24"/>
                <w:szCs w:val="24"/>
                <w:highlight w:val="none"/>
                <w:lang w:val="en-US" w:eastAsia="zh-CN" w:bidi="ar-SA"/>
              </w:rPr>
              <w:t>华润新能源额济纳旗100兆瓦风电项目</w:t>
            </w:r>
            <w:r>
              <w:rPr>
                <w:rFonts w:hint="default" w:ascii="Times New Roman" w:hAnsi="Times New Roman" w:eastAsia="宋体" w:cs="Times New Roman"/>
                <w:b w:val="0"/>
                <w:bCs/>
                <w:color w:val="auto"/>
                <w:kern w:val="0"/>
                <w:sz w:val="24"/>
                <w:szCs w:val="24"/>
                <w:highlight w:val="none"/>
                <w:lang w:val="en-US" w:eastAsia="zh-CN" w:bidi="ar-SA"/>
              </w:rPr>
              <w:t>同步施工，施工期对生态环境的主要影响为施工时土方开挖以及建设过程中植被的破坏和地表裸露，可能导致水土流失问题。</w:t>
            </w:r>
          </w:p>
          <w:p w14:paraId="76C69C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（1）对土地利用的影响</w:t>
            </w:r>
          </w:p>
          <w:p w14:paraId="0C1B9C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①永久用地</w:t>
            </w:r>
          </w:p>
          <w:p w14:paraId="14ECC22C">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eastAsia="zh-CN" w:bidi="ar"/>
              </w:rPr>
            </w:pPr>
            <w:r>
              <w:rPr>
                <w:rFonts w:hint="default" w:ascii="Times New Roman" w:hAnsi="Times New Roman" w:eastAsia="宋体" w:cs="Times New Roman"/>
                <w:b w:val="0"/>
                <w:bCs/>
                <w:color w:val="auto"/>
                <w:kern w:val="0"/>
                <w:sz w:val="24"/>
                <w:szCs w:val="24"/>
                <w:highlight w:val="none"/>
                <w:lang w:val="en-US" w:eastAsia="zh-CN" w:bidi="ar-SA"/>
              </w:rPr>
              <w:t>本评价区域土地利用类型</w:t>
            </w:r>
            <w:r>
              <w:rPr>
                <w:rFonts w:hint="default" w:ascii="Times New Roman" w:hAnsi="Times New Roman" w:cs="Times New Roman"/>
                <w:b w:val="0"/>
                <w:bCs/>
                <w:color w:val="auto"/>
                <w:kern w:val="0"/>
                <w:sz w:val="24"/>
                <w:szCs w:val="24"/>
                <w:highlight w:val="none"/>
                <w:lang w:val="en-US" w:eastAsia="zh-CN" w:bidi="ar-SA"/>
              </w:rPr>
              <w:t>主要为</w:t>
            </w:r>
            <w:r>
              <w:rPr>
                <w:rFonts w:hint="default" w:ascii="Times New Roman" w:hAnsi="Times New Roman" w:eastAsia="宋体" w:cs="Times New Roman"/>
                <w:color w:val="auto"/>
                <w:sz w:val="24"/>
                <w:szCs w:val="24"/>
                <w:lang w:eastAsia="zh-CN" w:bidi="ar"/>
              </w:rPr>
              <w:t>裸岩石砾地</w:t>
            </w:r>
            <w:r>
              <w:rPr>
                <w:rFonts w:hint="default" w:ascii="Times New Roman" w:hAnsi="Times New Roman" w:eastAsia="宋体" w:cs="Times New Roman"/>
                <w:b w:val="0"/>
                <w:bCs/>
                <w:color w:val="auto"/>
                <w:kern w:val="0"/>
                <w:sz w:val="24"/>
                <w:szCs w:val="24"/>
                <w:highlight w:val="none"/>
                <w:lang w:val="en-US" w:eastAsia="zh-CN" w:bidi="ar-SA"/>
              </w:rPr>
              <w:t>。</w:t>
            </w:r>
            <w:r>
              <w:rPr>
                <w:rFonts w:hint="default" w:ascii="Times New Roman" w:hAnsi="Times New Roman" w:eastAsia="宋体" w:cs="Times New Roman"/>
                <w:color w:val="auto"/>
                <w:sz w:val="24"/>
                <w:szCs w:val="24"/>
                <w:lang w:eastAsia="zh-CN" w:bidi="ar"/>
              </w:rPr>
              <w:t>随着施工结束和植被的恢复，临时占地将恢复原土地利用类型</w:t>
            </w:r>
            <w:r>
              <w:rPr>
                <w:rFonts w:hint="eastAsia" w:cs="Times New Roman"/>
                <w:color w:val="auto"/>
                <w:sz w:val="24"/>
                <w:szCs w:val="24"/>
                <w:lang w:eastAsia="zh-CN" w:bidi="ar"/>
              </w:rPr>
              <w:t>，</w:t>
            </w:r>
            <w:r>
              <w:rPr>
                <w:rFonts w:hint="eastAsia" w:cs="Times New Roman"/>
                <w:color w:val="auto"/>
                <w:sz w:val="24"/>
                <w:szCs w:val="24"/>
                <w:lang w:val="en-US" w:eastAsia="zh-CN" w:bidi="ar"/>
              </w:rPr>
              <w:t>将地表砾石进行收集后覆盖在地表</w:t>
            </w:r>
            <w:r>
              <w:rPr>
                <w:rFonts w:hint="default" w:ascii="Times New Roman" w:hAnsi="Times New Roman" w:eastAsia="宋体" w:cs="Times New Roman"/>
                <w:color w:val="auto"/>
                <w:sz w:val="24"/>
                <w:szCs w:val="24"/>
                <w:lang w:eastAsia="zh-CN" w:bidi="ar"/>
              </w:rPr>
              <w:t>。</w:t>
            </w:r>
          </w:p>
          <w:p w14:paraId="6818CA35">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eastAsia="zh-CN" w:bidi="ar"/>
              </w:rPr>
            </w:pPr>
            <w:r>
              <w:rPr>
                <w:rFonts w:hint="default" w:ascii="Times New Roman" w:hAnsi="Times New Roman" w:eastAsia="宋体" w:cs="Times New Roman"/>
                <w:color w:val="auto"/>
                <w:sz w:val="24"/>
                <w:szCs w:val="24"/>
                <w:lang w:eastAsia="zh-CN" w:bidi="ar"/>
              </w:rPr>
              <w:t>综上，施工期对生态环境的影响持续时间短，可恢复性强，长远来看，施工期对生态环境的影响较小。</w:t>
            </w:r>
          </w:p>
          <w:p w14:paraId="313A5A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②</w:t>
            </w:r>
            <w:r>
              <w:rPr>
                <w:rFonts w:hint="default" w:ascii="Times New Roman" w:hAnsi="Times New Roman" w:cs="Times New Roman"/>
                <w:b w:val="0"/>
                <w:bCs/>
                <w:color w:val="auto"/>
                <w:kern w:val="0"/>
                <w:sz w:val="24"/>
                <w:szCs w:val="24"/>
                <w:highlight w:val="none"/>
                <w:lang w:val="en-US" w:eastAsia="zh-CN" w:bidi="ar-SA"/>
              </w:rPr>
              <w:t>长期租地</w:t>
            </w:r>
          </w:p>
          <w:p w14:paraId="423320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本评价区域土地利用类型主要为农村道路，用于进站道路，土地利用类型基本不变，土地扰动面积不大，</w:t>
            </w:r>
            <w:r>
              <w:rPr>
                <w:rFonts w:hint="default" w:ascii="Times New Roman" w:hAnsi="Times New Roman" w:eastAsia="宋体" w:cs="Times New Roman"/>
                <w:b w:val="0"/>
                <w:bCs/>
                <w:color w:val="auto"/>
                <w:kern w:val="0"/>
                <w:sz w:val="24"/>
                <w:szCs w:val="24"/>
                <w:highlight w:val="none"/>
                <w:lang w:val="en-US" w:eastAsia="zh-CN" w:bidi="ar-SA"/>
              </w:rPr>
              <w:t>对整个区域的土地利用影响不大。</w:t>
            </w:r>
          </w:p>
          <w:p w14:paraId="422B4E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③临时占地</w:t>
            </w:r>
          </w:p>
          <w:p w14:paraId="19E1D2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0000FF"/>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本项目的场内临时道路</w:t>
            </w:r>
            <w:r>
              <w:rPr>
                <w:rFonts w:hint="default" w:ascii="Times New Roman" w:hAnsi="Times New Roman" w:cs="Times New Roman"/>
                <w:b w:val="0"/>
                <w:bCs/>
                <w:color w:val="auto"/>
                <w:kern w:val="0"/>
                <w:sz w:val="24"/>
                <w:szCs w:val="24"/>
                <w:highlight w:val="none"/>
                <w:lang w:val="en-US" w:eastAsia="zh-CN" w:bidi="ar-SA"/>
              </w:rPr>
              <w:t>、施工生产生活区</w:t>
            </w:r>
            <w:r>
              <w:rPr>
                <w:rFonts w:hint="default" w:ascii="Times New Roman" w:hAnsi="Times New Roman" w:eastAsia="宋体" w:cs="Times New Roman"/>
                <w:b w:val="0"/>
                <w:bCs/>
                <w:color w:val="auto"/>
                <w:kern w:val="0"/>
                <w:sz w:val="24"/>
                <w:szCs w:val="24"/>
                <w:highlight w:val="none"/>
                <w:lang w:val="en-US" w:eastAsia="zh-CN" w:bidi="ar-SA"/>
              </w:rPr>
              <w:t>等用地均为临时占地，均依托</w:t>
            </w:r>
            <w:r>
              <w:rPr>
                <w:rFonts w:hint="default" w:ascii="Times New Roman" w:hAnsi="Times New Roman" w:cs="Times New Roman"/>
                <w:b w:val="0"/>
                <w:bCs/>
                <w:color w:val="auto"/>
                <w:kern w:val="0"/>
                <w:sz w:val="24"/>
                <w:szCs w:val="24"/>
                <w:highlight w:val="none"/>
                <w:lang w:val="en-US" w:eastAsia="zh-CN" w:bidi="ar-SA"/>
              </w:rPr>
              <w:t>华润新能源额济纳旗100兆瓦风电项目</w:t>
            </w:r>
            <w:r>
              <w:rPr>
                <w:rFonts w:hint="default" w:ascii="Times New Roman" w:hAnsi="Times New Roman" w:eastAsia="宋体" w:cs="Times New Roman"/>
                <w:b w:val="0"/>
                <w:bCs/>
                <w:color w:val="auto"/>
                <w:kern w:val="0"/>
                <w:sz w:val="24"/>
                <w:szCs w:val="24"/>
                <w:highlight w:val="none"/>
                <w:lang w:val="en-US" w:eastAsia="zh-CN" w:bidi="ar-SA"/>
              </w:rPr>
              <w:t>，临时占地时使用的施工机械压实土壤、剥离表土，导致土壤结构破坏、肥力下降；植被清除引发局部生物多样性降低，但本项目施工期结束后，企业将制定相对应的生态补偿计划，对临时占地进行修复，因此对整个区域的土地利用影响不大。</w:t>
            </w:r>
          </w:p>
          <w:p w14:paraId="3280FE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（2）植被影响分析 </w:t>
            </w:r>
          </w:p>
          <w:p w14:paraId="7B63AB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本工程建设造成的植被破坏仅限于升压站站址、进站道路占地，土地类型为裸岩石砾地，站址范围内没有珍惜植物，</w:t>
            </w:r>
            <w:r>
              <w:rPr>
                <w:rFonts w:hint="eastAsia" w:cs="Times New Roman"/>
                <w:b w:val="0"/>
                <w:bCs/>
                <w:color w:val="auto"/>
                <w:kern w:val="0"/>
                <w:sz w:val="24"/>
                <w:szCs w:val="24"/>
                <w:highlight w:val="none"/>
                <w:lang w:val="en-US" w:eastAsia="zh-CN" w:bidi="ar-SA"/>
              </w:rPr>
              <w:t>仅有少量红砂，</w:t>
            </w:r>
            <w:r>
              <w:rPr>
                <w:rFonts w:hint="default" w:ascii="Times New Roman" w:hAnsi="Times New Roman" w:cs="Times New Roman"/>
                <w:b w:val="0"/>
                <w:bCs/>
                <w:color w:val="auto"/>
                <w:kern w:val="0"/>
                <w:sz w:val="24"/>
                <w:szCs w:val="24"/>
                <w:highlight w:val="none"/>
                <w:lang w:val="en-US" w:eastAsia="zh-CN" w:bidi="ar-SA"/>
              </w:rPr>
              <w:t>且工程结束后，站区周边要及时</w:t>
            </w:r>
            <w:r>
              <w:rPr>
                <w:rFonts w:hint="eastAsia" w:cs="Times New Roman"/>
                <w:b w:val="0"/>
                <w:bCs/>
                <w:color w:val="auto"/>
                <w:kern w:val="0"/>
                <w:sz w:val="24"/>
                <w:szCs w:val="24"/>
                <w:highlight w:val="none"/>
                <w:lang w:val="en-US" w:eastAsia="zh-CN" w:bidi="ar-SA"/>
              </w:rPr>
              <w:t>恢复原状</w:t>
            </w:r>
            <w:r>
              <w:rPr>
                <w:rFonts w:hint="default" w:ascii="Times New Roman" w:hAnsi="Times New Roman" w:cs="Times New Roman"/>
                <w:b w:val="0"/>
                <w:bCs/>
                <w:color w:val="auto"/>
                <w:kern w:val="0"/>
                <w:sz w:val="24"/>
                <w:szCs w:val="24"/>
                <w:highlight w:val="none"/>
                <w:lang w:val="en-US" w:eastAsia="zh-CN" w:bidi="ar-SA"/>
              </w:rPr>
              <w:t>，生物量将有所增加。因此，本工程的建设对站址当地植物的总体影响较小。</w:t>
            </w:r>
            <w:r>
              <w:rPr>
                <w:rFonts w:hint="default" w:ascii="Times New Roman" w:hAnsi="Times New Roman" w:eastAsia="宋体" w:cs="Times New Roman"/>
                <w:b w:val="0"/>
                <w:bCs/>
                <w:color w:val="auto"/>
                <w:kern w:val="0"/>
                <w:sz w:val="24"/>
                <w:szCs w:val="24"/>
                <w:highlight w:val="none"/>
                <w:lang w:val="en-US" w:eastAsia="zh-CN" w:bidi="ar-SA"/>
              </w:rPr>
              <w:t>本工程在施工时要采取尽可能少破坏植被的原则，尽量缩小施工范围，施工活动应严格控制在永久占地范围内，以免造成土壤与植被的不必要破坏。在施工后及时进行站区硬化及周边施工区植被恢复，防止或减少水土流失。</w:t>
            </w:r>
          </w:p>
          <w:p w14:paraId="62434F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另外，施工期造成的扬尘污染会影响周边植物</w:t>
            </w:r>
            <w:r>
              <w:rPr>
                <w:rFonts w:hint="eastAsia" w:cs="Times New Roman"/>
                <w:b w:val="0"/>
                <w:bCs/>
                <w:color w:val="auto"/>
                <w:kern w:val="0"/>
                <w:sz w:val="24"/>
                <w:szCs w:val="24"/>
                <w:highlight w:val="none"/>
                <w:lang w:val="en-US" w:eastAsia="zh-CN" w:bidi="ar-SA"/>
              </w:rPr>
              <w:t>—红砂</w:t>
            </w:r>
            <w:r>
              <w:rPr>
                <w:rFonts w:hint="default" w:ascii="Times New Roman" w:hAnsi="Times New Roman" w:eastAsia="宋体" w:cs="Times New Roman"/>
                <w:b w:val="0"/>
                <w:bCs/>
                <w:color w:val="auto"/>
                <w:kern w:val="0"/>
                <w:sz w:val="24"/>
                <w:szCs w:val="24"/>
                <w:highlight w:val="none"/>
                <w:lang w:val="en-US" w:eastAsia="zh-CN" w:bidi="ar-SA"/>
              </w:rPr>
              <w:t>的生长和生存，但经采取洒水抑尘等措施后对植物的影响很小，且施工结束后该污染物也随即消失。</w:t>
            </w:r>
          </w:p>
          <w:p w14:paraId="299D29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（3）对动物的影响分析 </w:t>
            </w:r>
          </w:p>
          <w:p w14:paraId="0796E014">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eastAsia="zh-CN" w:bidi="ar"/>
              </w:rPr>
            </w:pPr>
            <w:r>
              <w:rPr>
                <w:rFonts w:hint="default" w:ascii="Times New Roman" w:hAnsi="Times New Roman" w:eastAsia="宋体" w:cs="Times New Roman"/>
                <w:color w:val="auto"/>
                <w:sz w:val="24"/>
                <w:szCs w:val="24"/>
                <w:lang w:eastAsia="zh-CN" w:bidi="ar"/>
              </w:rPr>
              <w:t>在施工期对兽类的影响主要体现在对动物栖息、觅食地所在生境的破坏，施工区植被的破坏、施工设备产生的噪声、施工人员以及各施工机械的干扰等均会使施工区及其周边环境发生改变，工程干扰会使野生动物受到惊吓，迫使动物离开施工区周围的栖息地或活动区域，使施工范围内动物的种类和数量减少。</w:t>
            </w:r>
          </w:p>
          <w:p w14:paraId="190218D4">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val="en-US" w:eastAsia="zh-CN" w:bidi="ar"/>
              </w:rPr>
            </w:pPr>
            <w:r>
              <w:rPr>
                <w:rFonts w:hint="default" w:ascii="Times New Roman" w:hAnsi="Times New Roman" w:eastAsia="宋体" w:cs="Times New Roman"/>
                <w:color w:val="auto"/>
                <w:sz w:val="24"/>
                <w:szCs w:val="24"/>
                <w:lang w:eastAsia="zh-CN" w:bidi="ar"/>
              </w:rPr>
              <w:t>由于本区域野生动物很少，主要的是鼠类和鸟类，其迁徙和活动能力较强，能迁移至附近受干扰小的区域，对整个区域内的动物数量影响不大。工程建成后，随着施工期结束后机械噪声随之结束，对动物影响较小，人为干扰逐渐减少，许多外迁的兽类会陆续回到原来的栖息地。</w:t>
            </w:r>
          </w:p>
          <w:p w14:paraId="29B8FF0B">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val="en-US" w:eastAsia="zh-CN" w:bidi="ar"/>
              </w:rPr>
            </w:pPr>
            <w:r>
              <w:rPr>
                <w:rFonts w:hint="default" w:ascii="Times New Roman" w:hAnsi="Times New Roman" w:eastAsia="宋体" w:cs="Times New Roman"/>
                <w:color w:val="auto"/>
                <w:sz w:val="24"/>
                <w:szCs w:val="24"/>
                <w:lang w:val="en-US" w:eastAsia="zh-CN" w:bidi="ar"/>
              </w:rPr>
              <w:t>（4）水土流失影响</w:t>
            </w:r>
          </w:p>
          <w:p w14:paraId="1D86F626">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bidi="ar"/>
              </w:rPr>
              <w:t>本项目建设地点位于内蒙古自治区阿拉善盟额济纳旗温图高勒苏木境内，本项目区域生态环境较为脆弱。水土流失的主要形式包括风力侵蚀和水力侵蚀，由于项目建设，导致地形地貌被破坏、扰动。随着工程的施工建设，对地表造成扰动，促使水土流失的发生发展，对周边环境造成了一定的影响。</w:t>
            </w:r>
          </w:p>
          <w:p w14:paraId="59154731">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lang w:eastAsia="zh-CN" w:bidi="ar"/>
              </w:rPr>
              <w:t>本项目工程建设</w:t>
            </w:r>
            <w:r>
              <w:rPr>
                <w:rFonts w:hint="default" w:ascii="Times New Roman" w:hAnsi="Times New Roman" w:eastAsia="宋体" w:cs="Times New Roman"/>
                <w:color w:val="auto"/>
                <w:sz w:val="24"/>
                <w:szCs w:val="24"/>
                <w:highlight w:val="none"/>
                <w:lang w:eastAsia="zh-CN" w:bidi="ar"/>
              </w:rPr>
              <w:t>涉及</w:t>
            </w:r>
            <w:r>
              <w:rPr>
                <w:rFonts w:hint="default" w:ascii="Times New Roman" w:hAnsi="Times New Roman" w:eastAsia="宋体" w:cs="Times New Roman"/>
                <w:color w:val="auto"/>
                <w:sz w:val="24"/>
                <w:szCs w:val="24"/>
                <w:highlight w:val="none"/>
                <w:lang w:val="en-US" w:eastAsia="zh-CN"/>
              </w:rPr>
              <w:t>220kV</w:t>
            </w:r>
            <w:r>
              <w:rPr>
                <w:rFonts w:hint="default" w:ascii="Times New Roman" w:hAnsi="Times New Roman" w:eastAsia="宋体" w:cs="Times New Roman"/>
                <w:color w:val="auto"/>
                <w:sz w:val="24"/>
                <w:szCs w:val="24"/>
                <w:highlight w:val="none"/>
                <w:lang w:eastAsia="zh-CN" w:bidi="ar"/>
              </w:rPr>
              <w:t>升压站、施工生产生活区、升压站进站道路等，破坏了原地貌和地表植被，使得大量的土地被征占和使用，使之丧失或降低了原来所具有的保持水土的功能，在遇到不利的气候条件的情况下，即可产生比较严重的风蚀和水蚀。其危害表现在以下几方面：</w:t>
            </w:r>
          </w:p>
          <w:p w14:paraId="7BA5F88F">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highlight w:val="none"/>
                <w:lang w:eastAsia="zh-CN" w:bidi="ar"/>
              </w:rPr>
              <w:t>①工程建设形成一定破坏区，无植被保护裸露的升压站、施工生产生活区、升压站进站道路，易被风蚀形成风沙流。风沙流与净风相比，其侵蚀能力显</w:t>
            </w:r>
            <w:r>
              <w:rPr>
                <w:rFonts w:hint="default" w:ascii="Times New Roman" w:hAnsi="Times New Roman" w:eastAsia="宋体" w:cs="Times New Roman"/>
                <w:color w:val="auto"/>
                <w:sz w:val="24"/>
                <w:szCs w:val="24"/>
                <w:lang w:eastAsia="zh-CN" w:bidi="ar"/>
              </w:rPr>
              <w:t>著提高，加速了周边草地的退化和沙化。裸露的地面为风蚀的发生提供了充足的物质源，有利于扬尘和灾害性天气的发生。</w:t>
            </w:r>
          </w:p>
          <w:p w14:paraId="76B12E69">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bidi="ar"/>
              </w:rPr>
              <w:t>②工程建设占压裸露岩石砾，破坏植被及表层土壤结构，改变了原地貌形状，为加速土壤侵蚀提供了有利条件，从而加剧水土流失和土地沙化，降低土地生产力，对项目区土壤环境产生一定影响。</w:t>
            </w:r>
          </w:p>
          <w:p w14:paraId="2F3E184F">
            <w:pPr>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color w:val="0000FF"/>
                <w:kern w:val="0"/>
                <w:sz w:val="24"/>
                <w:szCs w:val="24"/>
                <w:highlight w:val="none"/>
                <w:lang w:val="en-US" w:eastAsia="zh-CN" w:bidi="ar-SA"/>
              </w:rPr>
            </w:pPr>
            <w:r>
              <w:rPr>
                <w:rFonts w:hint="default" w:ascii="Times New Roman" w:hAnsi="Times New Roman" w:eastAsia="宋体" w:cs="Times New Roman"/>
                <w:color w:val="auto"/>
                <w:sz w:val="24"/>
                <w:szCs w:val="24"/>
                <w:lang w:eastAsia="zh-CN" w:bidi="ar"/>
              </w:rPr>
              <w:t>工程建设随着施工期的结束通过临时占地的植被恢复等措施，建设项目对土地沙化扩展可控制在工程影响范围之内，且影响随之结束，也不会产生沙尘天气变化。</w:t>
            </w:r>
          </w:p>
        </w:tc>
      </w:tr>
      <w:tr w14:paraId="156283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5" w:type="dxa"/>
            <w:noWrap w:val="0"/>
            <w:tcMar>
              <w:left w:w="28" w:type="dxa"/>
              <w:right w:w="28" w:type="dxa"/>
            </w:tcMar>
            <w:vAlign w:val="center"/>
          </w:tcPr>
          <w:p w14:paraId="3F1950D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FF"/>
                <w:kern w:val="2"/>
                <w:sz w:val="24"/>
                <w:szCs w:val="24"/>
                <w:highlight w:val="none"/>
              </w:rPr>
            </w:pPr>
            <w:r>
              <w:rPr>
                <w:rFonts w:hint="default" w:ascii="Times New Roman" w:hAnsi="Times New Roman" w:cs="Times New Roman"/>
                <w:b w:val="0"/>
                <w:bCs/>
                <w:color w:val="auto"/>
                <w:sz w:val="24"/>
                <w:szCs w:val="24"/>
                <w:highlight w:val="none"/>
              </w:rPr>
              <w:t>运营期</w:t>
            </w:r>
            <w:r>
              <w:rPr>
                <w:rFonts w:hint="default" w:ascii="Times New Roman" w:hAnsi="Times New Roman" w:cs="Times New Roman"/>
                <w:b w:val="0"/>
                <w:bCs/>
                <w:color w:val="auto"/>
                <w:kern w:val="2"/>
                <w:sz w:val="24"/>
                <w:szCs w:val="24"/>
                <w:highlight w:val="none"/>
                <w:lang w:val="en-US" w:eastAsia="zh-CN"/>
              </w:rPr>
              <w:t>生态</w:t>
            </w:r>
            <w:r>
              <w:rPr>
                <w:rFonts w:hint="default" w:ascii="Times New Roman" w:hAnsi="Times New Roman" w:cs="Times New Roman"/>
                <w:b w:val="0"/>
                <w:bCs/>
                <w:color w:val="auto"/>
                <w:kern w:val="2"/>
                <w:sz w:val="24"/>
                <w:szCs w:val="24"/>
                <w:highlight w:val="none"/>
              </w:rPr>
              <w:t>环境</w:t>
            </w:r>
            <w:r>
              <w:rPr>
                <w:rFonts w:hint="default" w:ascii="Times New Roman" w:hAnsi="Times New Roman" w:cs="Times New Roman"/>
                <w:b w:val="0"/>
                <w:bCs/>
                <w:color w:val="auto"/>
                <w:kern w:val="2"/>
                <w:sz w:val="24"/>
                <w:szCs w:val="24"/>
                <w:highlight w:val="none"/>
                <w:lang w:val="en-US" w:eastAsia="zh-CN"/>
              </w:rPr>
              <w:t>影响分析</w:t>
            </w:r>
          </w:p>
        </w:tc>
        <w:tc>
          <w:tcPr>
            <w:tcW w:w="8053" w:type="dxa"/>
            <w:noWrap w:val="0"/>
            <w:vAlign w:val="center"/>
          </w:tcPr>
          <w:p w14:paraId="715215DB">
            <w:pPr>
              <w:pStyle w:val="105"/>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42" w:leftChars="20" w:right="42" w:rightChars="20" w:firstLine="476" w:firstLineChars="200"/>
              <w:jc w:val="both"/>
              <w:textAlignment w:val="baseline"/>
              <w:rPr>
                <w:rFonts w:hint="default" w:ascii="Times New Roman" w:hAnsi="Times New Roman" w:eastAsia="宋体" w:cs="Times New Roman"/>
                <w:color w:val="auto"/>
                <w:spacing w:val="-1"/>
                <w:highlight w:val="none"/>
                <w:lang w:val="en-US" w:eastAsia="zh-CN"/>
              </w:rPr>
            </w:pPr>
            <w:r>
              <w:rPr>
                <w:rFonts w:hint="default" w:ascii="Times New Roman" w:hAnsi="Times New Roman" w:cs="Times New Roman"/>
                <w:color w:val="auto"/>
                <w:spacing w:val="-1"/>
                <w:lang w:val="en-US" w:eastAsia="zh-CN"/>
              </w:rPr>
              <w:t>升压站</w:t>
            </w:r>
            <w:r>
              <w:rPr>
                <w:rFonts w:hint="default" w:ascii="Times New Roman" w:hAnsi="Times New Roman" w:eastAsia="宋体" w:cs="Times New Roman"/>
                <w:color w:val="auto"/>
                <w:spacing w:val="-1"/>
                <w:lang w:val="en-US" w:eastAsia="zh-CN"/>
              </w:rPr>
              <w:t>的功能是变化总电容量、汇集配送电能，变电和送电过程中，只存在电压的变化和电流的传输现象，没有其他生产活动存在，整个过程中无原材料、中间产品、副产品、产品存在，也不存在产品的生产过程。</w:t>
            </w:r>
            <w:r>
              <w:rPr>
                <w:rFonts w:hint="default" w:ascii="Times New Roman" w:hAnsi="Times New Roman" w:cs="Times New Roman"/>
                <w:color w:val="auto"/>
                <w:spacing w:val="-1"/>
                <w:lang w:val="en-US" w:eastAsia="zh-CN"/>
              </w:rPr>
              <w:t>因此，升压站区</w:t>
            </w:r>
            <w:r>
              <w:rPr>
                <w:rFonts w:hint="default" w:ascii="Times New Roman" w:hAnsi="Times New Roman" w:eastAsia="宋体" w:cs="Times New Roman"/>
                <w:color w:val="auto"/>
                <w:spacing w:val="-1"/>
                <w:highlight w:val="none"/>
                <w:lang w:val="en-US" w:eastAsia="zh-CN"/>
              </w:rPr>
              <w:t>运营</w:t>
            </w:r>
            <w:r>
              <w:rPr>
                <w:rFonts w:hint="default" w:ascii="Times New Roman" w:hAnsi="Times New Roman" w:eastAsia="宋体" w:cs="Times New Roman"/>
                <w:color w:val="auto"/>
                <w:spacing w:val="-1"/>
                <w:highlight w:val="none"/>
              </w:rPr>
              <w:t>期产污</w:t>
            </w:r>
            <w:r>
              <w:rPr>
                <w:rFonts w:hint="default" w:ascii="Times New Roman" w:hAnsi="Times New Roman" w:eastAsia="宋体" w:cs="Times New Roman"/>
                <w:color w:val="auto"/>
                <w:spacing w:val="-1"/>
                <w:highlight w:val="none"/>
                <w:lang w:val="en-US" w:eastAsia="zh-CN"/>
              </w:rPr>
              <w:t>包括：</w:t>
            </w:r>
          </w:p>
          <w:p w14:paraId="7B7F27D0">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eastAsia="宋体" w:cs="Times New Roman"/>
                <w:color w:val="auto"/>
                <w:spacing w:val="-1"/>
                <w:highlight w:val="none"/>
                <w:lang w:val="en-US" w:eastAsia="zh-CN"/>
              </w:rPr>
            </w:pPr>
            <w:r>
              <w:rPr>
                <w:rFonts w:hint="default" w:ascii="Times New Roman" w:hAnsi="Times New Roman" w:eastAsia="宋体" w:cs="Times New Roman"/>
                <w:color w:val="auto"/>
                <w:spacing w:val="-1"/>
                <w:highlight w:val="none"/>
                <w:lang w:val="en-US" w:eastAsia="zh-CN"/>
              </w:rPr>
              <w:t>（1）工频电场、工频磁场</w:t>
            </w:r>
          </w:p>
          <w:p w14:paraId="674CD547">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cs="Times New Roman"/>
                <w:color w:val="auto"/>
                <w:spacing w:val="-1"/>
                <w:highlight w:val="none"/>
                <w:lang w:val="en-US" w:eastAsia="zh-CN"/>
              </w:rPr>
            </w:pPr>
            <w:r>
              <w:rPr>
                <w:rFonts w:hint="default" w:ascii="Times New Roman" w:hAnsi="Times New Roman" w:cs="Times New Roman"/>
                <w:color w:val="auto"/>
                <w:spacing w:val="-1"/>
                <w:highlight w:val="none"/>
                <w:lang w:val="en-US" w:eastAsia="zh-CN"/>
              </w:rPr>
              <w:t>主变压器及各种高压电气设备会产生一定强度的工频电场和工频磁场。</w:t>
            </w:r>
          </w:p>
          <w:p w14:paraId="76BD6DF5">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eastAsia="宋体" w:cs="Times New Roman"/>
                <w:color w:val="auto"/>
                <w:spacing w:val="-1"/>
                <w:highlight w:val="none"/>
                <w:lang w:val="en-US" w:eastAsia="zh-CN"/>
              </w:rPr>
            </w:pPr>
            <w:r>
              <w:rPr>
                <w:rFonts w:hint="default" w:ascii="Times New Roman" w:hAnsi="Times New Roman" w:eastAsia="宋体" w:cs="Times New Roman"/>
                <w:color w:val="auto"/>
                <w:spacing w:val="-1"/>
                <w:highlight w:val="none"/>
                <w:lang w:val="en-US" w:eastAsia="zh-CN"/>
              </w:rPr>
              <w:t>（2）噪声</w:t>
            </w:r>
          </w:p>
          <w:p w14:paraId="34D930A6">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eastAsia="宋体" w:cs="Times New Roman"/>
                <w:color w:val="auto"/>
                <w:spacing w:val="-1"/>
                <w:highlight w:val="none"/>
                <w:lang w:val="en-US" w:eastAsia="zh-CN"/>
              </w:rPr>
            </w:pPr>
            <w:r>
              <w:rPr>
                <w:rFonts w:hint="default" w:ascii="Times New Roman" w:hAnsi="Times New Roman" w:eastAsia="宋体" w:cs="Times New Roman"/>
                <w:snapToGrid w:val="0"/>
                <w:color w:val="auto"/>
                <w:spacing w:val="-1"/>
                <w:kern w:val="0"/>
                <w:sz w:val="24"/>
                <w:szCs w:val="24"/>
                <w:highlight w:val="none"/>
                <w:lang w:val="en-US" w:eastAsia="zh-CN" w:bidi="ar-SA"/>
              </w:rPr>
              <w:t>主变压器</w:t>
            </w:r>
            <w:r>
              <w:rPr>
                <w:rFonts w:hint="default" w:ascii="Times New Roman" w:hAnsi="Times New Roman" w:cs="Times New Roman"/>
                <w:color w:val="auto"/>
                <w:spacing w:val="-1"/>
                <w:highlight w:val="none"/>
                <w:lang w:val="en-US" w:eastAsia="zh-CN"/>
              </w:rPr>
              <w:t>及水泵</w:t>
            </w:r>
            <w:r>
              <w:rPr>
                <w:rFonts w:hint="default" w:ascii="Times New Roman" w:hAnsi="Times New Roman" w:eastAsia="宋体" w:cs="Times New Roman"/>
                <w:color w:val="auto"/>
                <w:spacing w:val="-1"/>
                <w:highlight w:val="none"/>
                <w:lang w:val="en-US" w:eastAsia="zh-CN"/>
              </w:rPr>
              <w:t>产生的噪声，可能对声环境产生影响。</w:t>
            </w:r>
          </w:p>
          <w:p w14:paraId="33180DF6">
            <w:pPr>
              <w:pStyle w:val="105"/>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eastAsia="宋体" w:cs="Times New Roman"/>
                <w:color w:val="auto"/>
                <w:spacing w:val="-1"/>
                <w:highlight w:val="none"/>
                <w:lang w:val="en-US" w:eastAsia="zh-CN"/>
              </w:rPr>
            </w:pPr>
            <w:r>
              <w:rPr>
                <w:rFonts w:hint="default" w:ascii="Times New Roman" w:hAnsi="Times New Roman" w:eastAsia="宋体" w:cs="Times New Roman"/>
                <w:snapToGrid w:val="0"/>
                <w:color w:val="auto"/>
                <w:spacing w:val="-1"/>
                <w:kern w:val="0"/>
                <w:sz w:val="24"/>
                <w:szCs w:val="24"/>
                <w:highlight w:val="none"/>
                <w:lang w:val="en-US" w:eastAsia="zh-CN" w:bidi="ar-SA"/>
              </w:rPr>
              <w:t>（3）</w:t>
            </w:r>
            <w:r>
              <w:rPr>
                <w:rFonts w:hint="default" w:ascii="Times New Roman" w:hAnsi="Times New Roman" w:eastAsia="宋体" w:cs="Times New Roman"/>
                <w:color w:val="auto"/>
                <w:spacing w:val="-1"/>
                <w:highlight w:val="none"/>
                <w:lang w:val="en-US" w:eastAsia="zh-CN"/>
              </w:rPr>
              <w:t>污废水</w:t>
            </w:r>
          </w:p>
          <w:p w14:paraId="177A5487">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eastAsia="宋体" w:cs="Times New Roman"/>
                <w:color w:val="auto"/>
                <w:spacing w:val="-1"/>
                <w:highlight w:val="none"/>
                <w:lang w:val="en-US" w:eastAsia="zh-CN"/>
              </w:rPr>
            </w:pPr>
            <w:r>
              <w:rPr>
                <w:rFonts w:hint="default" w:ascii="Times New Roman" w:hAnsi="Times New Roman" w:cs="Times New Roman"/>
                <w:color w:val="auto"/>
                <w:spacing w:val="-1"/>
                <w:highlight w:val="none"/>
                <w:lang w:val="en-US" w:eastAsia="zh-CN"/>
              </w:rPr>
              <w:t>工作人员产生的</w:t>
            </w:r>
            <w:r>
              <w:rPr>
                <w:rFonts w:hint="default" w:ascii="Times New Roman" w:hAnsi="Times New Roman" w:eastAsia="宋体" w:cs="Times New Roman"/>
                <w:color w:val="auto"/>
                <w:spacing w:val="-1"/>
                <w:highlight w:val="none"/>
                <w:lang w:val="en-US" w:eastAsia="zh-CN"/>
              </w:rPr>
              <w:t>生活污水。</w:t>
            </w:r>
          </w:p>
          <w:p w14:paraId="551CC9D0">
            <w:pPr>
              <w:pStyle w:val="105"/>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eastAsia="宋体" w:cs="Times New Roman"/>
                <w:snapToGrid w:val="0"/>
                <w:color w:val="auto"/>
                <w:spacing w:val="-1"/>
                <w:kern w:val="0"/>
                <w:sz w:val="24"/>
                <w:szCs w:val="24"/>
                <w:highlight w:val="none"/>
                <w:lang w:val="en-US" w:eastAsia="zh-CN" w:bidi="ar-SA"/>
              </w:rPr>
            </w:pPr>
            <w:r>
              <w:rPr>
                <w:rFonts w:hint="default" w:ascii="Times New Roman" w:hAnsi="Times New Roman" w:eastAsia="宋体" w:cs="Times New Roman"/>
                <w:snapToGrid w:val="0"/>
                <w:color w:val="auto"/>
                <w:spacing w:val="-1"/>
                <w:kern w:val="0"/>
                <w:sz w:val="24"/>
                <w:szCs w:val="24"/>
                <w:highlight w:val="none"/>
                <w:lang w:val="en-US" w:eastAsia="zh-CN" w:bidi="ar-SA"/>
              </w:rPr>
              <w:t>（4）固体废物</w:t>
            </w:r>
          </w:p>
          <w:p w14:paraId="4EB83E03">
            <w:pPr>
              <w:pStyle w:val="105"/>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cs="Times New Roman"/>
                <w:snapToGrid w:val="0"/>
                <w:color w:val="auto"/>
                <w:spacing w:val="-1"/>
                <w:kern w:val="0"/>
                <w:sz w:val="24"/>
                <w:szCs w:val="24"/>
                <w:highlight w:val="none"/>
                <w:lang w:val="en-US" w:eastAsia="zh-CN" w:bidi="ar-SA"/>
              </w:rPr>
            </w:pPr>
            <w:r>
              <w:rPr>
                <w:rFonts w:hint="default" w:ascii="Times New Roman" w:hAnsi="Times New Roman" w:cs="Times New Roman"/>
                <w:snapToGrid w:val="0"/>
                <w:color w:val="auto"/>
                <w:spacing w:val="-1"/>
                <w:kern w:val="0"/>
                <w:sz w:val="24"/>
                <w:szCs w:val="24"/>
                <w:highlight w:val="none"/>
                <w:lang w:val="en-US" w:eastAsia="zh-CN" w:bidi="ar-SA"/>
              </w:rPr>
              <w:t>一般固废：</w:t>
            </w:r>
            <w:r>
              <w:rPr>
                <w:rFonts w:hint="default" w:ascii="Times New Roman" w:hAnsi="Times New Roman" w:eastAsia="宋体" w:cs="Times New Roman"/>
                <w:snapToGrid w:val="0"/>
                <w:color w:val="auto"/>
                <w:spacing w:val="-1"/>
                <w:kern w:val="0"/>
                <w:sz w:val="24"/>
                <w:szCs w:val="24"/>
                <w:highlight w:val="none"/>
                <w:lang w:val="en-US" w:eastAsia="zh-CN" w:bidi="ar-SA"/>
              </w:rPr>
              <w:t>生活垃圾、</w:t>
            </w:r>
            <w:r>
              <w:rPr>
                <w:rFonts w:hint="default" w:ascii="Times New Roman" w:hAnsi="Times New Roman" w:cs="Times New Roman"/>
                <w:snapToGrid w:val="0"/>
                <w:color w:val="auto"/>
                <w:spacing w:val="-1"/>
                <w:kern w:val="0"/>
                <w:sz w:val="24"/>
                <w:szCs w:val="24"/>
                <w:highlight w:val="none"/>
                <w:lang w:val="en-US" w:eastAsia="zh-CN" w:bidi="ar-SA"/>
              </w:rPr>
              <w:t>废</w:t>
            </w:r>
            <w:r>
              <w:rPr>
                <w:rFonts w:hint="default" w:ascii="Times New Roman" w:hAnsi="Times New Roman" w:eastAsia="宋体" w:cs="Times New Roman"/>
                <w:snapToGrid w:val="0"/>
                <w:color w:val="auto"/>
                <w:spacing w:val="-1"/>
                <w:kern w:val="0"/>
                <w:sz w:val="24"/>
                <w:szCs w:val="24"/>
                <w:highlight w:val="none"/>
                <w:lang w:val="en-US" w:eastAsia="zh-CN" w:bidi="ar-SA"/>
              </w:rPr>
              <w:t>水处理</w:t>
            </w:r>
            <w:r>
              <w:rPr>
                <w:rFonts w:hint="default" w:ascii="Times New Roman" w:hAnsi="Times New Roman" w:cs="Times New Roman"/>
                <w:snapToGrid w:val="0"/>
                <w:color w:val="auto"/>
                <w:spacing w:val="-1"/>
                <w:kern w:val="0"/>
                <w:sz w:val="24"/>
                <w:szCs w:val="24"/>
                <w:highlight w:val="none"/>
                <w:lang w:val="en-US" w:eastAsia="zh-CN" w:bidi="ar-SA"/>
              </w:rPr>
              <w:t>过程中</w:t>
            </w:r>
            <w:r>
              <w:rPr>
                <w:rFonts w:hint="default" w:ascii="Times New Roman" w:hAnsi="Times New Roman" w:eastAsia="宋体" w:cs="Times New Roman"/>
                <w:snapToGrid w:val="0"/>
                <w:color w:val="auto"/>
                <w:spacing w:val="-1"/>
                <w:kern w:val="0"/>
                <w:sz w:val="24"/>
                <w:szCs w:val="24"/>
                <w:highlight w:val="none"/>
                <w:lang w:val="en-US" w:eastAsia="zh-CN" w:bidi="ar-SA"/>
              </w:rPr>
              <w:t>产生的污泥</w:t>
            </w:r>
            <w:r>
              <w:rPr>
                <w:rFonts w:hint="default" w:ascii="Times New Roman" w:hAnsi="Times New Roman" w:cs="Times New Roman"/>
                <w:snapToGrid w:val="0"/>
                <w:color w:val="auto"/>
                <w:spacing w:val="-1"/>
                <w:kern w:val="0"/>
                <w:sz w:val="24"/>
                <w:szCs w:val="24"/>
                <w:highlight w:val="none"/>
                <w:lang w:val="en-US" w:eastAsia="zh-CN" w:bidi="ar-SA"/>
              </w:rPr>
              <w:t>；危险废物：220V直流系统产生的</w:t>
            </w:r>
            <w:r>
              <w:rPr>
                <w:rFonts w:hint="default" w:ascii="Times New Roman" w:hAnsi="Times New Roman" w:cs="Times New Roman"/>
                <w:b w:val="0"/>
                <w:bCs w:val="0"/>
                <w:snapToGrid w:val="0"/>
                <w:color w:val="auto"/>
                <w:spacing w:val="-5"/>
                <w:kern w:val="0"/>
                <w:sz w:val="24"/>
                <w:szCs w:val="24"/>
                <w:highlight w:val="none"/>
                <w:lang w:val="en-US" w:eastAsia="zh-CN" w:bidi="ar-SA"/>
              </w:rPr>
              <w:t>废铅蓄电池（</w:t>
            </w:r>
            <w:r>
              <w:rPr>
                <w:rFonts w:hint="default" w:ascii="Times New Roman" w:hAnsi="Times New Roman" w:eastAsia="宋体" w:cs="Times New Roman"/>
                <w:color w:val="auto"/>
                <w:spacing w:val="7"/>
                <w:sz w:val="24"/>
                <w:szCs w:val="24"/>
                <w:highlight w:val="none"/>
              </w:rPr>
              <w:t>废物</w:t>
            </w:r>
            <w:r>
              <w:rPr>
                <w:rFonts w:hint="default" w:ascii="Times New Roman" w:hAnsi="Times New Roman" w:cs="Times New Roman"/>
                <w:color w:val="auto"/>
                <w:spacing w:val="7"/>
                <w:sz w:val="24"/>
                <w:szCs w:val="24"/>
                <w:highlight w:val="none"/>
                <w:lang w:val="en-US" w:eastAsia="zh-CN"/>
              </w:rPr>
              <w:t>类别</w:t>
            </w:r>
            <w:r>
              <w:rPr>
                <w:rFonts w:hint="default" w:ascii="Times New Roman" w:hAnsi="Times New Roman" w:eastAsia="宋体" w:cs="Times New Roman"/>
                <w:color w:val="auto"/>
                <w:sz w:val="24"/>
                <w:szCs w:val="24"/>
                <w:highlight w:val="none"/>
              </w:rPr>
              <w:t>HW</w:t>
            </w:r>
            <w:r>
              <w:rPr>
                <w:rFonts w:hint="default" w:ascii="Times New Roman" w:hAnsi="Times New Roman" w:eastAsia="宋体" w:cs="Times New Roman"/>
                <w:color w:val="auto"/>
                <w:spacing w:val="7"/>
                <w:sz w:val="24"/>
                <w:szCs w:val="24"/>
                <w:highlight w:val="none"/>
              </w:rPr>
              <w:t>31</w:t>
            </w:r>
            <w:r>
              <w:rPr>
                <w:rFonts w:hint="default" w:ascii="Times New Roman" w:hAnsi="Times New Roman" w:cs="Times New Roman"/>
                <w:color w:val="auto"/>
                <w:spacing w:val="8"/>
                <w:sz w:val="24"/>
                <w:szCs w:val="24"/>
                <w:highlight w:val="none"/>
                <w:lang w:eastAsia="zh-CN"/>
              </w:rPr>
              <w:t>：</w:t>
            </w:r>
            <w:r>
              <w:rPr>
                <w:rFonts w:hint="default" w:ascii="Times New Roman" w:hAnsi="Times New Roman" w:eastAsia="宋体" w:cs="Times New Roman"/>
                <w:color w:val="auto"/>
                <w:spacing w:val="8"/>
                <w:sz w:val="24"/>
                <w:szCs w:val="24"/>
                <w:highlight w:val="none"/>
              </w:rPr>
              <w:t>废物代码</w:t>
            </w:r>
            <w:r>
              <w:rPr>
                <w:rFonts w:hint="default" w:ascii="Times New Roman" w:hAnsi="Times New Roman" w:eastAsia="宋体" w:cs="Times New Roman"/>
                <w:color w:val="auto"/>
                <w:spacing w:val="3"/>
                <w:sz w:val="24"/>
                <w:szCs w:val="24"/>
                <w:highlight w:val="none"/>
              </w:rPr>
              <w:t>900-052-31</w:t>
            </w:r>
            <w:r>
              <w:rPr>
                <w:rFonts w:hint="default" w:ascii="Times New Roman" w:hAnsi="Times New Roman" w:cs="Times New Roman"/>
                <w:b w:val="0"/>
                <w:bCs w:val="0"/>
                <w:snapToGrid w:val="0"/>
                <w:color w:val="auto"/>
                <w:spacing w:val="-5"/>
                <w:kern w:val="0"/>
                <w:sz w:val="24"/>
                <w:szCs w:val="24"/>
                <w:highlight w:val="none"/>
                <w:lang w:val="en-US" w:eastAsia="zh-CN" w:bidi="ar-SA"/>
              </w:rPr>
              <w:t>）</w:t>
            </w:r>
            <w:r>
              <w:rPr>
                <w:rFonts w:hint="default" w:ascii="Times New Roman" w:hAnsi="Times New Roman" w:cs="Times New Roman"/>
                <w:snapToGrid w:val="0"/>
                <w:color w:val="auto"/>
                <w:spacing w:val="-1"/>
                <w:kern w:val="0"/>
                <w:sz w:val="24"/>
                <w:szCs w:val="24"/>
                <w:highlight w:val="none"/>
                <w:lang w:val="en-US" w:eastAsia="zh-CN" w:bidi="ar-SA"/>
              </w:rPr>
              <w:t>、</w:t>
            </w:r>
            <w:r>
              <w:rPr>
                <w:rFonts w:hint="default" w:ascii="Times New Roman" w:hAnsi="Times New Roman" w:eastAsia="宋体" w:cs="Times New Roman"/>
                <w:color w:val="auto"/>
                <w:spacing w:val="7"/>
                <w:sz w:val="24"/>
                <w:szCs w:val="24"/>
                <w:highlight w:val="none"/>
              </w:rPr>
              <w:t>沾染油污的油</w:t>
            </w:r>
            <w:r>
              <w:rPr>
                <w:rFonts w:hint="default" w:ascii="Times New Roman" w:hAnsi="Times New Roman" w:eastAsia="宋体" w:cs="Times New Roman"/>
                <w:color w:val="auto"/>
                <w:spacing w:val="8"/>
                <w:sz w:val="24"/>
                <w:szCs w:val="24"/>
                <w:highlight w:val="none"/>
              </w:rPr>
              <w:t>布废手套等</w:t>
            </w:r>
            <w:r>
              <w:rPr>
                <w:rFonts w:hint="default" w:ascii="Times New Roman" w:hAnsi="Times New Roman" w:eastAsia="宋体" w:cs="Times New Roman"/>
                <w:color w:val="auto"/>
                <w:spacing w:val="7"/>
                <w:sz w:val="24"/>
                <w:szCs w:val="24"/>
                <w:highlight w:val="none"/>
              </w:rPr>
              <w:t>检修</w:t>
            </w:r>
            <w:r>
              <w:rPr>
                <w:rFonts w:hint="default" w:ascii="Times New Roman" w:hAnsi="Times New Roman" w:cs="Times New Roman"/>
                <w:color w:val="auto"/>
                <w:spacing w:val="7"/>
                <w:sz w:val="24"/>
                <w:szCs w:val="24"/>
                <w:highlight w:val="none"/>
                <w:lang w:val="en-US" w:eastAsia="zh-CN"/>
              </w:rPr>
              <w:t>废物（</w:t>
            </w:r>
            <w:r>
              <w:rPr>
                <w:rFonts w:hint="default" w:ascii="Times New Roman" w:hAnsi="Times New Roman" w:eastAsia="宋体" w:cs="Times New Roman"/>
                <w:color w:val="auto"/>
                <w:spacing w:val="7"/>
                <w:sz w:val="24"/>
                <w:szCs w:val="24"/>
                <w:highlight w:val="none"/>
              </w:rPr>
              <w:t>废物</w:t>
            </w:r>
            <w:r>
              <w:rPr>
                <w:rFonts w:hint="default" w:ascii="Times New Roman" w:hAnsi="Times New Roman" w:cs="Times New Roman"/>
                <w:color w:val="auto"/>
                <w:spacing w:val="7"/>
                <w:sz w:val="24"/>
                <w:szCs w:val="24"/>
                <w:highlight w:val="none"/>
                <w:lang w:val="en-US" w:eastAsia="zh-CN"/>
              </w:rPr>
              <w:t>类别</w:t>
            </w:r>
            <w:r>
              <w:rPr>
                <w:rFonts w:hint="default" w:ascii="Times New Roman" w:hAnsi="Times New Roman" w:eastAsia="宋体" w:cs="Times New Roman"/>
                <w:color w:val="auto"/>
                <w:sz w:val="24"/>
                <w:szCs w:val="24"/>
                <w:highlight w:val="none"/>
              </w:rPr>
              <w:t>HW</w:t>
            </w:r>
            <w:r>
              <w:rPr>
                <w:rFonts w:hint="default" w:ascii="Times New Roman" w:hAnsi="Times New Roman" w:eastAsia="宋体" w:cs="Times New Roman"/>
                <w:color w:val="auto"/>
                <w:spacing w:val="7"/>
                <w:sz w:val="24"/>
                <w:szCs w:val="24"/>
                <w:highlight w:val="none"/>
              </w:rPr>
              <w:t>49</w:t>
            </w:r>
            <w:r>
              <w:rPr>
                <w:rFonts w:hint="default" w:ascii="Times New Roman" w:hAnsi="Times New Roman" w:eastAsia="宋体" w:cs="Times New Roman"/>
                <w:color w:val="auto"/>
                <w:spacing w:val="8"/>
                <w:sz w:val="24"/>
                <w:szCs w:val="24"/>
                <w:highlight w:val="none"/>
                <w:lang w:eastAsia="zh-CN"/>
              </w:rPr>
              <w:t>：</w:t>
            </w:r>
            <w:r>
              <w:rPr>
                <w:rFonts w:hint="default" w:ascii="Times New Roman" w:hAnsi="Times New Roman" w:eastAsia="宋体" w:cs="Times New Roman"/>
                <w:color w:val="auto"/>
                <w:spacing w:val="8"/>
                <w:sz w:val="24"/>
                <w:szCs w:val="24"/>
                <w:highlight w:val="none"/>
              </w:rPr>
              <w:t>废物代码</w:t>
            </w:r>
            <w:r>
              <w:rPr>
                <w:rFonts w:hint="default" w:ascii="Times New Roman" w:hAnsi="Times New Roman" w:eastAsia="宋体" w:cs="Times New Roman"/>
                <w:color w:val="auto"/>
                <w:spacing w:val="3"/>
                <w:sz w:val="24"/>
                <w:szCs w:val="24"/>
                <w:highlight w:val="none"/>
              </w:rPr>
              <w:t>900-041-049</w:t>
            </w:r>
            <w:r>
              <w:rPr>
                <w:rFonts w:hint="default" w:ascii="Times New Roman" w:hAnsi="Times New Roman" w:cs="Times New Roman"/>
                <w:color w:val="auto"/>
                <w:spacing w:val="7"/>
                <w:sz w:val="24"/>
                <w:szCs w:val="24"/>
                <w:highlight w:val="none"/>
                <w:lang w:val="en-US" w:eastAsia="zh-CN"/>
              </w:rPr>
              <w:t>）</w:t>
            </w:r>
            <w:r>
              <w:rPr>
                <w:rFonts w:hint="default" w:ascii="Times New Roman" w:hAnsi="Times New Roman" w:eastAsia="宋体" w:cs="Times New Roman"/>
                <w:snapToGrid w:val="0"/>
                <w:color w:val="auto"/>
                <w:spacing w:val="-1"/>
                <w:kern w:val="0"/>
                <w:sz w:val="24"/>
                <w:szCs w:val="24"/>
                <w:highlight w:val="none"/>
                <w:lang w:val="en-US" w:eastAsia="zh-CN" w:bidi="ar-SA"/>
              </w:rPr>
              <w:t>、</w:t>
            </w:r>
            <w:r>
              <w:rPr>
                <w:rFonts w:hint="default" w:ascii="Times New Roman" w:hAnsi="Times New Roman" w:eastAsia="宋体" w:cs="Times New Roman"/>
                <w:color w:val="auto"/>
                <w:sz w:val="24"/>
                <w:szCs w:val="24"/>
                <w:highlight w:val="none"/>
                <w:lang w:eastAsia="zh-CN"/>
              </w:rPr>
              <w:t>废润滑油</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pacing w:val="7"/>
                <w:sz w:val="24"/>
                <w:szCs w:val="24"/>
                <w:highlight w:val="none"/>
              </w:rPr>
              <w:t>废物</w:t>
            </w:r>
            <w:r>
              <w:rPr>
                <w:rFonts w:hint="default" w:ascii="Times New Roman" w:hAnsi="Times New Roman" w:cs="Times New Roman"/>
                <w:color w:val="auto"/>
                <w:spacing w:val="7"/>
                <w:sz w:val="24"/>
                <w:szCs w:val="24"/>
                <w:highlight w:val="none"/>
                <w:lang w:val="en-US" w:eastAsia="zh-CN"/>
              </w:rPr>
              <w:t>类别</w:t>
            </w:r>
            <w:r>
              <w:rPr>
                <w:rFonts w:hint="default" w:ascii="Times New Roman" w:hAnsi="Times New Roman" w:eastAsia="宋体" w:cs="Times New Roman"/>
                <w:color w:val="auto"/>
                <w:sz w:val="24"/>
                <w:szCs w:val="24"/>
                <w:highlight w:val="none"/>
              </w:rPr>
              <w:t>HW08</w:t>
            </w:r>
            <w:r>
              <w:rPr>
                <w:rFonts w:hint="default" w:ascii="Times New Roman" w:hAnsi="Times New Roman" w:eastAsia="宋体" w:cs="Times New Roman"/>
                <w:color w:val="auto"/>
                <w:spacing w:val="8"/>
                <w:sz w:val="24"/>
                <w:szCs w:val="24"/>
                <w:highlight w:val="none"/>
                <w:lang w:eastAsia="zh-CN"/>
              </w:rPr>
              <w:t>：</w:t>
            </w:r>
            <w:r>
              <w:rPr>
                <w:rFonts w:hint="default" w:ascii="Times New Roman" w:hAnsi="Times New Roman" w:eastAsia="宋体" w:cs="Times New Roman"/>
                <w:color w:val="auto"/>
                <w:spacing w:val="8"/>
                <w:sz w:val="24"/>
                <w:szCs w:val="24"/>
                <w:highlight w:val="none"/>
              </w:rPr>
              <w:t>废物代码</w:t>
            </w:r>
            <w:r>
              <w:rPr>
                <w:rFonts w:hint="default" w:ascii="Times New Roman" w:hAnsi="Times New Roman" w:eastAsia="宋体" w:cs="Times New Roman"/>
                <w:color w:val="auto"/>
                <w:spacing w:val="3"/>
                <w:sz w:val="24"/>
                <w:szCs w:val="24"/>
                <w:highlight w:val="none"/>
              </w:rPr>
              <w:t>900-214-08</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pacing w:val="8"/>
                <w:sz w:val="24"/>
                <w:szCs w:val="24"/>
                <w:highlight w:val="none"/>
                <w:lang w:val="en-US" w:eastAsia="zh-CN"/>
              </w:rPr>
              <w:t>废润滑油桶（</w:t>
            </w:r>
            <w:r>
              <w:rPr>
                <w:rFonts w:hint="default" w:ascii="Times New Roman" w:hAnsi="Times New Roman" w:eastAsia="宋体" w:cs="Times New Roman"/>
                <w:color w:val="auto"/>
                <w:spacing w:val="7"/>
                <w:sz w:val="24"/>
                <w:szCs w:val="24"/>
                <w:highlight w:val="none"/>
              </w:rPr>
              <w:t>废物</w:t>
            </w:r>
            <w:r>
              <w:rPr>
                <w:rFonts w:hint="default" w:ascii="Times New Roman" w:hAnsi="Times New Roman" w:cs="Times New Roman"/>
                <w:color w:val="auto"/>
                <w:spacing w:val="7"/>
                <w:sz w:val="24"/>
                <w:szCs w:val="24"/>
                <w:highlight w:val="none"/>
                <w:lang w:val="en-US" w:eastAsia="zh-CN"/>
              </w:rPr>
              <w:t>类别</w:t>
            </w:r>
            <w:r>
              <w:rPr>
                <w:rFonts w:hint="default" w:ascii="Times New Roman" w:hAnsi="Times New Roman" w:eastAsia="宋体" w:cs="Times New Roman"/>
                <w:color w:val="auto"/>
                <w:sz w:val="24"/>
                <w:szCs w:val="24"/>
                <w:highlight w:val="none"/>
              </w:rPr>
              <w:t>HW08</w:t>
            </w:r>
            <w:r>
              <w:rPr>
                <w:rFonts w:hint="default" w:ascii="Times New Roman" w:hAnsi="Times New Roman" w:eastAsia="宋体" w:cs="Times New Roman"/>
                <w:color w:val="auto"/>
                <w:spacing w:val="8"/>
                <w:sz w:val="24"/>
                <w:szCs w:val="24"/>
                <w:highlight w:val="none"/>
                <w:lang w:eastAsia="zh-CN"/>
              </w:rPr>
              <w:t>：</w:t>
            </w:r>
            <w:r>
              <w:rPr>
                <w:rFonts w:hint="default" w:ascii="Times New Roman" w:hAnsi="Times New Roman" w:eastAsia="宋体" w:cs="Times New Roman"/>
                <w:color w:val="auto"/>
                <w:spacing w:val="8"/>
                <w:sz w:val="24"/>
                <w:szCs w:val="24"/>
                <w:highlight w:val="none"/>
              </w:rPr>
              <w:t>废物代码</w:t>
            </w:r>
            <w:r>
              <w:rPr>
                <w:rFonts w:hint="default" w:ascii="Times New Roman" w:hAnsi="Times New Roman" w:eastAsia="宋体" w:cs="Times New Roman"/>
                <w:color w:val="auto"/>
                <w:spacing w:val="3"/>
                <w:sz w:val="24"/>
                <w:szCs w:val="24"/>
                <w:highlight w:val="none"/>
              </w:rPr>
              <w:t>900-2</w:t>
            </w:r>
            <w:r>
              <w:rPr>
                <w:rFonts w:hint="default" w:ascii="Times New Roman" w:hAnsi="Times New Roman" w:eastAsia="宋体" w:cs="Times New Roman"/>
                <w:color w:val="auto"/>
                <w:spacing w:val="3"/>
                <w:sz w:val="24"/>
                <w:szCs w:val="24"/>
                <w:highlight w:val="none"/>
                <w:lang w:val="en-US" w:eastAsia="zh-CN"/>
              </w:rPr>
              <w:t>49</w:t>
            </w:r>
            <w:r>
              <w:rPr>
                <w:rFonts w:hint="default" w:ascii="Times New Roman" w:hAnsi="Times New Roman" w:eastAsia="宋体" w:cs="Times New Roman"/>
                <w:color w:val="auto"/>
                <w:spacing w:val="3"/>
                <w:sz w:val="24"/>
                <w:szCs w:val="24"/>
                <w:highlight w:val="none"/>
              </w:rPr>
              <w:t>-08</w:t>
            </w:r>
            <w:r>
              <w:rPr>
                <w:rFonts w:hint="default" w:ascii="Times New Roman" w:hAnsi="Times New Roman" w:cs="Times New Roman"/>
                <w:color w:val="auto"/>
                <w:spacing w:val="8"/>
                <w:sz w:val="24"/>
                <w:szCs w:val="24"/>
                <w:highlight w:val="none"/>
                <w:lang w:val="en-US" w:eastAsia="zh-CN"/>
              </w:rPr>
              <w:t>）、</w:t>
            </w:r>
            <w:r>
              <w:rPr>
                <w:rFonts w:hint="default" w:ascii="Times New Roman" w:hAnsi="Times New Roman" w:eastAsia="宋体" w:cs="Times New Roman"/>
                <w:snapToGrid w:val="0"/>
                <w:color w:val="auto"/>
                <w:spacing w:val="-1"/>
                <w:kern w:val="0"/>
                <w:sz w:val="24"/>
                <w:szCs w:val="24"/>
                <w:highlight w:val="none"/>
                <w:lang w:val="en-US" w:eastAsia="zh-CN" w:bidi="ar-SA"/>
              </w:rPr>
              <w:t>主变压器事故状态下产生的变压器油</w:t>
            </w:r>
            <w:r>
              <w:rPr>
                <w:rFonts w:hint="default" w:ascii="Times New Roman" w:hAnsi="Times New Roman" w:cs="Times New Roman"/>
                <w:snapToGrid w:val="0"/>
                <w:color w:val="auto"/>
                <w:spacing w:val="-1"/>
                <w:kern w:val="0"/>
                <w:sz w:val="24"/>
                <w:szCs w:val="24"/>
                <w:highlight w:val="none"/>
                <w:lang w:val="en-US" w:eastAsia="zh-CN" w:bidi="ar-SA"/>
              </w:rPr>
              <w:t>（</w:t>
            </w:r>
            <w:r>
              <w:rPr>
                <w:rFonts w:hint="default" w:ascii="Times New Roman" w:hAnsi="Times New Roman" w:eastAsia="宋体" w:cs="Times New Roman"/>
                <w:color w:val="auto"/>
                <w:spacing w:val="7"/>
                <w:sz w:val="24"/>
                <w:szCs w:val="24"/>
                <w:highlight w:val="none"/>
              </w:rPr>
              <w:t>废物</w:t>
            </w:r>
            <w:r>
              <w:rPr>
                <w:rFonts w:hint="default" w:ascii="Times New Roman" w:hAnsi="Times New Roman" w:cs="Times New Roman"/>
                <w:color w:val="auto"/>
                <w:spacing w:val="7"/>
                <w:sz w:val="24"/>
                <w:szCs w:val="24"/>
                <w:highlight w:val="none"/>
                <w:lang w:val="en-US" w:eastAsia="zh-CN"/>
              </w:rPr>
              <w:t>类别</w:t>
            </w:r>
            <w:r>
              <w:rPr>
                <w:rFonts w:hint="default" w:ascii="Times New Roman" w:hAnsi="Times New Roman" w:eastAsia="宋体" w:cs="Times New Roman"/>
                <w:color w:val="auto"/>
                <w:sz w:val="24"/>
                <w:szCs w:val="24"/>
                <w:highlight w:val="none"/>
              </w:rPr>
              <w:t>HW</w:t>
            </w:r>
            <w:r>
              <w:rPr>
                <w:rFonts w:hint="default" w:ascii="Times New Roman" w:hAnsi="Times New Roman" w:eastAsia="宋体" w:cs="Times New Roman"/>
                <w:color w:val="auto"/>
                <w:spacing w:val="7"/>
                <w:sz w:val="24"/>
                <w:szCs w:val="24"/>
                <w:highlight w:val="none"/>
              </w:rPr>
              <w:t>08</w:t>
            </w:r>
            <w:r>
              <w:rPr>
                <w:rFonts w:hint="default" w:ascii="Times New Roman" w:hAnsi="Times New Roman" w:eastAsia="宋体" w:cs="Times New Roman"/>
                <w:color w:val="auto"/>
                <w:spacing w:val="8"/>
                <w:sz w:val="24"/>
                <w:szCs w:val="24"/>
                <w:highlight w:val="none"/>
                <w:lang w:eastAsia="zh-CN"/>
              </w:rPr>
              <w:t>：</w:t>
            </w:r>
            <w:r>
              <w:rPr>
                <w:rFonts w:hint="default" w:ascii="Times New Roman" w:hAnsi="Times New Roman" w:eastAsia="宋体" w:cs="Times New Roman"/>
                <w:color w:val="auto"/>
                <w:spacing w:val="8"/>
                <w:sz w:val="24"/>
                <w:szCs w:val="24"/>
                <w:highlight w:val="none"/>
              </w:rPr>
              <w:t>废物代</w:t>
            </w:r>
            <w:r>
              <w:rPr>
                <w:rFonts w:hint="default" w:ascii="Times New Roman" w:hAnsi="Times New Roman" w:eastAsia="宋体" w:cs="Times New Roman"/>
                <w:color w:val="auto"/>
                <w:spacing w:val="4"/>
                <w:sz w:val="24"/>
                <w:szCs w:val="24"/>
                <w:highlight w:val="none"/>
              </w:rPr>
              <w:t>码900-220-08</w:t>
            </w:r>
            <w:r>
              <w:rPr>
                <w:rFonts w:hint="default" w:ascii="Times New Roman" w:hAnsi="Times New Roman" w:cs="Times New Roman"/>
                <w:snapToGrid w:val="0"/>
                <w:color w:val="auto"/>
                <w:spacing w:val="-1"/>
                <w:kern w:val="0"/>
                <w:sz w:val="24"/>
                <w:szCs w:val="24"/>
                <w:highlight w:val="none"/>
                <w:lang w:val="en-US" w:eastAsia="zh-CN" w:bidi="ar-SA"/>
              </w:rPr>
              <w:t>）。</w:t>
            </w:r>
          </w:p>
          <w:p w14:paraId="15EFBBA3">
            <w:pPr>
              <w:pStyle w:val="105"/>
              <w:keepNext w:val="0"/>
              <w:keepLines w:val="0"/>
              <w:pageBreakBefore w:val="0"/>
              <w:widowControl/>
              <w:numPr>
                <w:ilvl w:val="0"/>
                <w:numId w:val="3"/>
              </w:numPr>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cs="Times New Roman"/>
                <w:snapToGrid w:val="0"/>
                <w:color w:val="auto"/>
                <w:spacing w:val="-1"/>
                <w:kern w:val="0"/>
                <w:sz w:val="24"/>
                <w:szCs w:val="24"/>
                <w:highlight w:val="none"/>
                <w:lang w:val="en-US" w:eastAsia="zh-CN" w:bidi="ar-SA"/>
              </w:rPr>
            </w:pPr>
            <w:r>
              <w:rPr>
                <w:rFonts w:hint="default" w:ascii="Times New Roman" w:hAnsi="Times New Roman" w:cs="Times New Roman"/>
                <w:snapToGrid w:val="0"/>
                <w:color w:val="auto"/>
                <w:spacing w:val="-1"/>
                <w:kern w:val="0"/>
                <w:sz w:val="24"/>
                <w:szCs w:val="24"/>
                <w:highlight w:val="none"/>
                <w:lang w:val="en-US" w:eastAsia="zh-CN" w:bidi="ar-SA"/>
              </w:rPr>
              <w:t>风险</w:t>
            </w:r>
          </w:p>
          <w:p w14:paraId="3C3BED1D">
            <w:pPr>
              <w:pStyle w:val="105"/>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462" w:leftChars="220" w:right="42" w:rightChars="20"/>
              <w:jc w:val="both"/>
              <w:textAlignment w:val="baseline"/>
              <w:rPr>
                <w:rFonts w:hint="default" w:ascii="Times New Roman" w:hAnsi="Times New Roman" w:cs="Times New Roman"/>
                <w:snapToGrid w:val="0"/>
                <w:color w:val="auto"/>
                <w:spacing w:val="-1"/>
                <w:kern w:val="0"/>
                <w:sz w:val="24"/>
                <w:szCs w:val="24"/>
                <w:highlight w:val="none"/>
                <w:lang w:val="en-US" w:eastAsia="zh-CN" w:bidi="ar-SA"/>
              </w:rPr>
            </w:pPr>
            <w:r>
              <w:rPr>
                <w:rFonts w:hint="default" w:ascii="Times New Roman" w:hAnsi="Times New Roman" w:cs="Times New Roman"/>
                <w:snapToGrid w:val="0"/>
                <w:color w:val="auto"/>
                <w:spacing w:val="-1"/>
                <w:kern w:val="0"/>
                <w:sz w:val="24"/>
                <w:szCs w:val="24"/>
                <w:highlight w:val="none"/>
                <w:lang w:val="en-US" w:eastAsia="zh-CN" w:bidi="ar-SA"/>
              </w:rPr>
              <w:t>危险物质变压器油泄漏风险。</w:t>
            </w:r>
          </w:p>
          <w:p w14:paraId="7FF99220">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10"/>
                <w:sz w:val="24"/>
                <w:szCs w:val="24"/>
                <w:highlight w:val="none"/>
                <w:lang w:val="en-US" w:eastAsia="zh-CN"/>
              </w:rPr>
            </w:pPr>
            <w:r>
              <w:rPr>
                <w:rFonts w:hint="default" w:ascii="Times New Roman" w:hAnsi="Times New Roman" w:cs="Times New Roman"/>
                <w:b/>
                <w:bCs/>
                <w:color w:val="auto"/>
                <w:spacing w:val="-10"/>
                <w:sz w:val="24"/>
                <w:szCs w:val="24"/>
                <w:highlight w:val="none"/>
                <w:lang w:val="en-US" w:eastAsia="zh-CN"/>
              </w:rPr>
              <w:t>1</w:t>
            </w:r>
            <w:r>
              <w:rPr>
                <w:rFonts w:hint="default" w:ascii="Times New Roman" w:hAnsi="Times New Roman" w:eastAsia="宋体" w:cs="Times New Roman"/>
                <w:b/>
                <w:bCs/>
                <w:color w:val="auto"/>
                <w:spacing w:val="-10"/>
                <w:sz w:val="24"/>
                <w:szCs w:val="24"/>
                <w:highlight w:val="none"/>
                <w:lang w:val="en-US" w:eastAsia="zh-CN"/>
              </w:rPr>
              <w:t>、</w:t>
            </w:r>
            <w:r>
              <w:rPr>
                <w:rFonts w:hint="default" w:ascii="Times New Roman" w:hAnsi="Times New Roman" w:cs="Times New Roman"/>
                <w:b/>
                <w:bCs/>
                <w:color w:val="auto"/>
                <w:spacing w:val="-10"/>
                <w:sz w:val="24"/>
                <w:szCs w:val="24"/>
                <w:highlight w:val="none"/>
                <w:lang w:val="en-US" w:eastAsia="zh-CN"/>
              </w:rPr>
              <w:t>电磁</w:t>
            </w:r>
            <w:r>
              <w:rPr>
                <w:rFonts w:hint="default" w:ascii="Times New Roman" w:hAnsi="Times New Roman" w:eastAsia="宋体" w:cs="Times New Roman"/>
                <w:b/>
                <w:bCs/>
                <w:color w:val="auto"/>
                <w:spacing w:val="-10"/>
                <w:sz w:val="24"/>
                <w:szCs w:val="24"/>
                <w:highlight w:val="none"/>
                <w:lang w:val="en-US" w:eastAsia="zh-CN"/>
              </w:rPr>
              <w:t>环境影响分析</w:t>
            </w:r>
          </w:p>
          <w:p w14:paraId="52164D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 xml:space="preserve">本项目按照《环境影响评价技术导则 输变电》（HJ 24-2020）要求对电磁环境影响进行了专题评价，在此仅作结论性分析，电磁环境影响分析具体内容详见电磁影响专项评价。 </w:t>
            </w:r>
          </w:p>
          <w:p w14:paraId="6A733B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根据专题评价中类比预测结果，本项目运营期产生的工频电场、工频磁感应强度均低于《电磁环境控制限值》规定的工频电场4000V/m限值，磁感应强度100μT限值，本项目从电磁环境影响角度分析是可行的。</w:t>
            </w:r>
          </w:p>
          <w:p w14:paraId="6AA2B3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kern w:val="0"/>
                <w:sz w:val="24"/>
                <w:szCs w:val="24"/>
                <w:highlight w:val="none"/>
                <w:lang w:val="en-US" w:eastAsia="zh-CN" w:bidi="ar-SA"/>
              </w:rPr>
            </w:pPr>
            <w:r>
              <w:rPr>
                <w:rFonts w:hint="default" w:ascii="Times New Roman" w:hAnsi="Times New Roman" w:eastAsia="宋体" w:cs="Times New Roman"/>
                <w:b/>
                <w:bCs w:val="0"/>
                <w:color w:val="auto"/>
                <w:kern w:val="0"/>
                <w:sz w:val="24"/>
                <w:szCs w:val="24"/>
                <w:highlight w:val="none"/>
                <w:lang w:val="en-US" w:eastAsia="zh-CN" w:bidi="ar-SA"/>
              </w:rPr>
              <w:t>详见电磁环境影响专项评价。</w:t>
            </w:r>
          </w:p>
          <w:p w14:paraId="4070778D">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 xml:space="preserve">2、噪声预测分析 </w:t>
            </w:r>
          </w:p>
          <w:p w14:paraId="1239BB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根据《环境影响评价技术导则声环境》（HJ2.4-2021）和《环境影响评价技术导则输变电》（HJ24-2020），本工程升压站噪声影响采用</w:t>
            </w:r>
            <w:r>
              <w:rPr>
                <w:rFonts w:hint="default" w:ascii="Times New Roman" w:hAnsi="Times New Roman" w:cs="Times New Roman"/>
                <w:color w:val="auto"/>
                <w:sz w:val="24"/>
                <w:szCs w:val="24"/>
                <w:highlight w:val="none"/>
              </w:rPr>
              <w:t>环境噪声预测评价模拟软件系统</w:t>
            </w:r>
            <w:r>
              <w:rPr>
                <w:rFonts w:hint="default" w:ascii="Times New Roman" w:hAnsi="Times New Roman" w:eastAsia="宋体" w:cs="Times New Roman"/>
                <w:b w:val="0"/>
                <w:bCs/>
                <w:color w:val="auto"/>
                <w:kern w:val="0"/>
                <w:sz w:val="24"/>
                <w:szCs w:val="24"/>
                <w:highlight w:val="none"/>
                <w:lang w:val="en-US" w:eastAsia="zh-CN" w:bidi="ar-SA"/>
              </w:rPr>
              <w:t>进行声环境影响预测分析。</w:t>
            </w:r>
          </w:p>
          <w:p w14:paraId="01A4DC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cs="Times New Roman"/>
                <w:b/>
                <w:bCs w:val="0"/>
                <w:color w:val="auto"/>
                <w:kern w:val="0"/>
                <w:sz w:val="24"/>
                <w:szCs w:val="24"/>
                <w:highlight w:val="none"/>
                <w:lang w:val="en-US" w:eastAsia="zh-CN" w:bidi="ar-SA"/>
              </w:rPr>
            </w:pPr>
            <w:r>
              <w:rPr>
                <w:rFonts w:hint="default" w:ascii="Times New Roman" w:hAnsi="Times New Roman" w:cs="Times New Roman"/>
                <w:b/>
                <w:bCs w:val="0"/>
                <w:color w:val="auto"/>
                <w:kern w:val="0"/>
                <w:sz w:val="24"/>
                <w:szCs w:val="24"/>
                <w:highlight w:val="none"/>
                <w:lang w:val="en-US" w:eastAsia="zh-CN" w:bidi="ar-SA"/>
              </w:rPr>
              <w:t>2.1预测模式</w:t>
            </w:r>
          </w:p>
          <w:p w14:paraId="42F9C2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根据《环境影响评价技术导则-声环境》（HJ2.4-2021）规定，本次评价的项目区属于声环境功能区2类区，升压站区外200m范围内无居民，无受噪声影响的人口。</w:t>
            </w:r>
          </w:p>
          <w:p w14:paraId="55CFB1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噪声从声源传播到受声点，受传播距离、空气吸收、阻挡物的反射与屏蔽等因素的影响，声级产生衰减。</w:t>
            </w:r>
          </w:p>
          <w:p w14:paraId="611081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根据《环境影响评价技术导则-声环境》（HJ2.4-2021），评价步骤为：</w:t>
            </w:r>
          </w:p>
          <w:p w14:paraId="5999D2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①建立坐标系，确定各声源坐标和预测点坐标，并根据声源性质以及预测点与声源之间的距离等情况，把声源简化成点声源、线声源、或者面声源。</w:t>
            </w:r>
          </w:p>
          <w:p w14:paraId="328903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②根据已获得的声源源强的数据和各声源到预测点的声波传播等条件资料，计算出噪声从各声源传播到预测点的声衰减量，由此计算各声源单独作用在预测点时产生的A声级。</w:t>
            </w:r>
          </w:p>
          <w:p w14:paraId="0566AE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③模式基本计算公式</w:t>
            </w:r>
          </w:p>
          <w:p w14:paraId="47B567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户外声传播衰减包括几何发散（div A）、大气吸收（atm A）、地面效应（gr A）、屏障屏蔽（bar A）、其他多方面效应（misc A）引起的衰减。</w:t>
            </w:r>
          </w:p>
          <w:p w14:paraId="231C39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（1）户外点声源计算基本公式</w:t>
            </w:r>
          </w:p>
          <w:p w14:paraId="1AB3B1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a）根据声源声功率级或参考位置处的声压级、户外声传播衰减，计算预测点的声级，分别按式（A-1）或式（A-2）计算：</w:t>
            </w:r>
          </w:p>
          <w:p w14:paraId="77A0F4D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840" w:firstLineChars="400"/>
              <w:jc w:val="right"/>
              <w:textAlignment w:val="auto"/>
              <w:rPr>
                <w:rFonts w:hint="default" w:ascii="Times New Roman" w:hAnsi="Times New Roman" w:eastAsia="宋体" w:cs="Times New Roman"/>
                <w:b w:val="0"/>
                <w:bCs/>
                <w:color w:val="0000FF"/>
                <w:kern w:val="0"/>
                <w:sz w:val="24"/>
                <w:szCs w:val="24"/>
                <w:highlight w:val="none"/>
                <w:lang w:val="en-US" w:eastAsia="zh-CN" w:bidi="ar-SA"/>
              </w:rPr>
            </w:pPr>
            <w:r>
              <w:rPr>
                <w:rFonts w:hint="default" w:ascii="Times New Roman" w:hAnsi="Times New Roman" w:cs="Times New Roman"/>
              </w:rPr>
              <w:drawing>
                <wp:inline distT="0" distB="0" distL="114300" distR="114300">
                  <wp:extent cx="3571875" cy="252095"/>
                  <wp:effectExtent l="0" t="0" r="9525" b="14605"/>
                  <wp:docPr id="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pic:cNvPicPr>
                            <a:picLocks noChangeAspect="1"/>
                          </pic:cNvPicPr>
                        </pic:nvPicPr>
                        <pic:blipFill>
                          <a:blip r:embed="rId27"/>
                          <a:stretch>
                            <a:fillRect/>
                          </a:stretch>
                        </pic:blipFill>
                        <pic:spPr>
                          <a:xfrm>
                            <a:off x="0" y="0"/>
                            <a:ext cx="3571875" cy="252095"/>
                          </a:xfrm>
                          <a:prstGeom prst="rect">
                            <a:avLst/>
                          </a:prstGeom>
                          <a:noFill/>
                          <a:ln>
                            <a:noFill/>
                          </a:ln>
                        </pic:spPr>
                      </pic:pic>
                    </a:graphicData>
                  </a:graphic>
                </wp:inline>
              </w:drawing>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 A-1 </w:t>
            </w:r>
            <w:r>
              <w:rPr>
                <w:rFonts w:hint="default" w:ascii="Times New Roman" w:hAnsi="Times New Roman" w:cs="Times New Roman"/>
                <w:color w:val="0000FF"/>
                <w:sz w:val="24"/>
                <w:szCs w:val="24"/>
                <w:highlight w:val="none"/>
                <w:lang w:val="en-US" w:eastAsia="zh-CN"/>
              </w:rPr>
              <w:t xml:space="preserve"> </w:t>
            </w:r>
          </w:p>
          <w:p w14:paraId="552E37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式中：L</w:t>
            </w:r>
            <w:r>
              <w:rPr>
                <w:rFonts w:hint="default" w:ascii="Times New Roman" w:hAnsi="Times New Roman" w:cs="Times New Roman"/>
                <w:b w:val="0"/>
                <w:bCs/>
                <w:color w:val="auto"/>
                <w:kern w:val="0"/>
                <w:sz w:val="24"/>
                <w:szCs w:val="24"/>
                <w:highlight w:val="none"/>
                <w:vertAlign w:val="subscript"/>
                <w:lang w:val="en-US" w:eastAsia="zh-CN" w:bidi="ar-SA"/>
              </w:rPr>
              <w:t>p</w:t>
            </w:r>
            <w:r>
              <w:rPr>
                <w:rFonts w:hint="default" w:ascii="Times New Roman" w:hAnsi="Times New Roman" w:cs="Times New Roman"/>
                <w:b w:val="0"/>
                <w:bCs/>
                <w:color w:val="auto"/>
                <w:kern w:val="0"/>
                <w:sz w:val="24"/>
                <w:szCs w:val="24"/>
                <w:highlight w:val="none"/>
                <w:lang w:val="en-US" w:eastAsia="zh-CN" w:bidi="ar-SA"/>
              </w:rPr>
              <w:t xml:space="preserve">（r）--预测点处声压级，dB； </w:t>
            </w:r>
          </w:p>
          <w:p w14:paraId="6BC857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L</w:t>
            </w:r>
            <w:r>
              <w:rPr>
                <w:rFonts w:hint="default" w:ascii="Times New Roman" w:hAnsi="Times New Roman" w:eastAsia="宋体" w:cs="Times New Roman"/>
                <w:b w:val="0"/>
                <w:bCs/>
                <w:color w:val="auto"/>
                <w:kern w:val="0"/>
                <w:sz w:val="24"/>
                <w:szCs w:val="24"/>
                <w:highlight w:val="none"/>
                <w:vertAlign w:val="subscript"/>
                <w:lang w:val="en-US" w:eastAsia="zh-CN" w:bidi="ar-SA"/>
              </w:rPr>
              <w:t>w</w:t>
            </w:r>
            <w:r>
              <w:rPr>
                <w:rFonts w:hint="default" w:ascii="Times New Roman" w:hAnsi="Times New Roman" w:cs="Times New Roman"/>
                <w:b w:val="0"/>
                <w:bCs/>
                <w:color w:val="auto"/>
                <w:kern w:val="0"/>
                <w:sz w:val="24"/>
                <w:szCs w:val="24"/>
                <w:highlight w:val="none"/>
                <w:lang w:val="en-US" w:eastAsia="zh-CN" w:bidi="ar-SA"/>
              </w:rPr>
              <w:t xml:space="preserve">--由点声源产生的声功率级（A 计权或倍频带），dB； </w:t>
            </w:r>
          </w:p>
          <w:p w14:paraId="6ABA74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D</w:t>
            </w:r>
            <w:r>
              <w:rPr>
                <w:rFonts w:hint="default" w:ascii="Times New Roman" w:hAnsi="Times New Roman" w:eastAsia="宋体" w:cs="Times New Roman"/>
                <w:b w:val="0"/>
                <w:bCs/>
                <w:color w:val="auto"/>
                <w:kern w:val="0"/>
                <w:sz w:val="24"/>
                <w:szCs w:val="24"/>
                <w:highlight w:val="none"/>
                <w:vertAlign w:val="subscript"/>
                <w:lang w:val="en-US" w:eastAsia="zh-CN" w:bidi="ar-SA"/>
              </w:rPr>
              <w:t>C</w:t>
            </w:r>
            <w:r>
              <w:rPr>
                <w:rFonts w:hint="default" w:ascii="Times New Roman" w:hAnsi="Times New Roman" w:cs="Times New Roman"/>
                <w:b w:val="0"/>
                <w:bCs/>
                <w:color w:val="auto"/>
                <w:kern w:val="0"/>
                <w:sz w:val="24"/>
                <w:szCs w:val="24"/>
                <w:highlight w:val="none"/>
                <w:lang w:val="en-US" w:eastAsia="zh-CN" w:bidi="ar-SA"/>
              </w:rPr>
              <w:t xml:space="preserve">--指向性校正，它描述点声源的等效连续声压级与产生声功率级Lw的全向点声源在规定方向的声级的偏差程度，dB； </w:t>
            </w:r>
          </w:p>
          <w:p w14:paraId="3FF739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w:t>
            </w:r>
            <w:r>
              <w:rPr>
                <w:rFonts w:hint="default" w:ascii="Times New Roman" w:hAnsi="Times New Roman" w:eastAsia="宋体" w:cs="Times New Roman"/>
                <w:b w:val="0"/>
                <w:bCs/>
                <w:color w:val="auto"/>
                <w:kern w:val="0"/>
                <w:sz w:val="24"/>
                <w:szCs w:val="24"/>
                <w:highlight w:val="none"/>
                <w:vertAlign w:val="subscript"/>
                <w:lang w:val="en-US" w:eastAsia="zh-CN" w:bidi="ar-SA"/>
              </w:rPr>
              <w:t>div</w:t>
            </w:r>
            <w:r>
              <w:rPr>
                <w:rFonts w:hint="default" w:ascii="Times New Roman" w:hAnsi="Times New Roman" w:cs="Times New Roman"/>
                <w:b w:val="0"/>
                <w:bCs/>
                <w:color w:val="auto"/>
                <w:kern w:val="0"/>
                <w:sz w:val="24"/>
                <w:szCs w:val="24"/>
                <w:highlight w:val="none"/>
                <w:lang w:val="en-US" w:eastAsia="zh-CN" w:bidi="ar-SA"/>
              </w:rPr>
              <w:t xml:space="preserve">--几何发散引起的衰减，dB； </w:t>
            </w:r>
          </w:p>
          <w:p w14:paraId="7EEB50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w:t>
            </w:r>
            <w:r>
              <w:rPr>
                <w:rFonts w:hint="default" w:ascii="Times New Roman" w:hAnsi="Times New Roman" w:eastAsia="宋体" w:cs="Times New Roman"/>
                <w:b w:val="0"/>
                <w:bCs/>
                <w:color w:val="auto"/>
                <w:kern w:val="0"/>
                <w:sz w:val="24"/>
                <w:szCs w:val="24"/>
                <w:highlight w:val="none"/>
                <w:vertAlign w:val="subscript"/>
                <w:lang w:val="en-US" w:eastAsia="zh-CN" w:bidi="ar-SA"/>
              </w:rPr>
              <w:t>atm</w:t>
            </w:r>
            <w:r>
              <w:rPr>
                <w:rFonts w:hint="default" w:ascii="Times New Roman" w:hAnsi="Times New Roman" w:cs="Times New Roman"/>
                <w:b w:val="0"/>
                <w:bCs/>
                <w:color w:val="auto"/>
                <w:kern w:val="0"/>
                <w:sz w:val="24"/>
                <w:szCs w:val="24"/>
                <w:highlight w:val="none"/>
                <w:lang w:val="en-US" w:eastAsia="zh-CN" w:bidi="ar-SA"/>
              </w:rPr>
              <w:t xml:space="preserve">--大气吸收引起的衰减，dB； </w:t>
            </w:r>
          </w:p>
          <w:p w14:paraId="39E81D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w:t>
            </w:r>
            <w:r>
              <w:rPr>
                <w:rFonts w:hint="default" w:ascii="Times New Roman" w:hAnsi="Times New Roman" w:eastAsia="宋体" w:cs="Times New Roman"/>
                <w:b w:val="0"/>
                <w:bCs/>
                <w:color w:val="auto"/>
                <w:kern w:val="0"/>
                <w:sz w:val="24"/>
                <w:szCs w:val="24"/>
                <w:highlight w:val="none"/>
                <w:vertAlign w:val="subscript"/>
                <w:lang w:val="en-US" w:eastAsia="zh-CN" w:bidi="ar-SA"/>
              </w:rPr>
              <w:t>gr</w:t>
            </w:r>
            <w:r>
              <w:rPr>
                <w:rFonts w:hint="default" w:ascii="Times New Roman" w:hAnsi="Times New Roman" w:cs="Times New Roman"/>
                <w:b w:val="0"/>
                <w:bCs/>
                <w:color w:val="auto"/>
                <w:kern w:val="0"/>
                <w:sz w:val="24"/>
                <w:szCs w:val="24"/>
                <w:highlight w:val="none"/>
                <w:lang w:val="en-US" w:eastAsia="zh-CN" w:bidi="ar-SA"/>
              </w:rPr>
              <w:t xml:space="preserve">--地面效应引起的衰减，dB； </w:t>
            </w:r>
          </w:p>
          <w:p w14:paraId="17A1F9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w:t>
            </w:r>
            <w:r>
              <w:rPr>
                <w:rFonts w:hint="default" w:ascii="Times New Roman" w:hAnsi="Times New Roman" w:eastAsia="宋体" w:cs="Times New Roman"/>
                <w:b w:val="0"/>
                <w:bCs/>
                <w:color w:val="auto"/>
                <w:kern w:val="0"/>
                <w:sz w:val="24"/>
                <w:szCs w:val="24"/>
                <w:highlight w:val="none"/>
                <w:vertAlign w:val="subscript"/>
                <w:lang w:val="en-US" w:eastAsia="zh-CN" w:bidi="ar-SA"/>
              </w:rPr>
              <w:t>bar</w:t>
            </w:r>
            <w:r>
              <w:rPr>
                <w:rFonts w:hint="default" w:ascii="Times New Roman" w:hAnsi="Times New Roman" w:cs="Times New Roman"/>
                <w:b w:val="0"/>
                <w:bCs/>
                <w:color w:val="auto"/>
                <w:kern w:val="0"/>
                <w:sz w:val="24"/>
                <w:szCs w:val="24"/>
                <w:highlight w:val="none"/>
                <w:lang w:val="en-US" w:eastAsia="zh-CN" w:bidi="ar-SA"/>
              </w:rPr>
              <w:t xml:space="preserve">--障碍物屏蔽引起的衰减，dB； </w:t>
            </w:r>
          </w:p>
          <w:p w14:paraId="4F3C36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w:t>
            </w:r>
            <w:r>
              <w:rPr>
                <w:rFonts w:hint="default" w:ascii="Times New Roman" w:hAnsi="Times New Roman" w:eastAsia="宋体" w:cs="Times New Roman"/>
                <w:b w:val="0"/>
                <w:bCs/>
                <w:color w:val="auto"/>
                <w:kern w:val="0"/>
                <w:sz w:val="24"/>
                <w:szCs w:val="24"/>
                <w:highlight w:val="none"/>
                <w:vertAlign w:val="subscript"/>
                <w:lang w:val="en-US" w:eastAsia="zh-CN" w:bidi="ar-SA"/>
              </w:rPr>
              <w:t>misc</w:t>
            </w:r>
            <w:r>
              <w:rPr>
                <w:rFonts w:hint="default" w:ascii="Times New Roman" w:hAnsi="Times New Roman" w:cs="Times New Roman"/>
                <w:b w:val="0"/>
                <w:bCs/>
                <w:color w:val="auto"/>
                <w:kern w:val="0"/>
                <w:sz w:val="24"/>
                <w:szCs w:val="24"/>
                <w:highlight w:val="none"/>
                <w:lang w:val="en-US" w:eastAsia="zh-CN" w:bidi="ar-SA"/>
              </w:rPr>
              <w:t xml:space="preserve">--其他多方面效应引起的衰减，dB。 </w:t>
            </w:r>
          </w:p>
          <w:p w14:paraId="2C8CE53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840" w:firstLineChars="400"/>
              <w:jc w:val="right"/>
              <w:textAlignment w:val="auto"/>
              <w:rPr>
                <w:rFonts w:hint="default" w:ascii="Times New Roman" w:hAnsi="Times New Roman" w:eastAsia="宋体" w:cs="Times New Roman"/>
                <w:b w:val="0"/>
                <w:bCs/>
                <w:color w:val="0000FF"/>
                <w:kern w:val="0"/>
                <w:sz w:val="24"/>
                <w:szCs w:val="24"/>
                <w:highlight w:val="none"/>
                <w:lang w:val="en-US" w:eastAsia="zh-CN" w:bidi="ar-SA"/>
              </w:rPr>
            </w:pPr>
            <w:r>
              <w:rPr>
                <w:rFonts w:hint="default" w:ascii="Times New Roman" w:hAnsi="Times New Roman" w:cs="Times New Roman"/>
              </w:rPr>
              <w:drawing>
                <wp:inline distT="0" distB="0" distL="114300" distR="114300">
                  <wp:extent cx="3529330" cy="252095"/>
                  <wp:effectExtent l="0" t="0" r="13970" b="14605"/>
                  <wp:docPr id="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1"/>
                          </pic:cNvPicPr>
                        </pic:nvPicPr>
                        <pic:blipFill>
                          <a:blip r:embed="rId28"/>
                          <a:stretch>
                            <a:fillRect/>
                          </a:stretch>
                        </pic:blipFill>
                        <pic:spPr>
                          <a:xfrm>
                            <a:off x="0" y="0"/>
                            <a:ext cx="3529330" cy="252095"/>
                          </a:xfrm>
                          <a:prstGeom prst="rect">
                            <a:avLst/>
                          </a:prstGeom>
                          <a:noFill/>
                          <a:ln>
                            <a:noFill/>
                          </a:ln>
                        </pic:spPr>
                      </pic:pic>
                    </a:graphicData>
                  </a:graphic>
                </wp:inline>
              </w:drawing>
            </w:r>
            <w:r>
              <w:rPr>
                <w:rFonts w:hint="default" w:ascii="Times New Roman" w:hAnsi="Times New Roman" w:cs="Times New Roman"/>
                <w:color w:val="auto"/>
                <w:highlight w:val="none"/>
                <w:lang w:val="en-US" w:eastAsia="zh-CN"/>
              </w:rPr>
              <w:t xml:space="preserve">            A-2 </w:t>
            </w:r>
            <w:r>
              <w:rPr>
                <w:rFonts w:hint="default" w:ascii="Times New Roman" w:hAnsi="Times New Roman" w:cs="Times New Roman"/>
                <w:color w:val="0000FF"/>
                <w:highlight w:val="none"/>
                <w:lang w:val="en-US" w:eastAsia="zh-CN"/>
              </w:rPr>
              <w:t xml:space="preserve"> </w:t>
            </w:r>
          </w:p>
          <w:p w14:paraId="5194EA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式中：L</w:t>
            </w:r>
            <w:r>
              <w:rPr>
                <w:rFonts w:hint="default" w:ascii="Times New Roman" w:hAnsi="Times New Roman" w:cs="Times New Roman"/>
                <w:b w:val="0"/>
                <w:bCs/>
                <w:color w:val="auto"/>
                <w:kern w:val="0"/>
                <w:sz w:val="24"/>
                <w:szCs w:val="24"/>
                <w:highlight w:val="none"/>
                <w:vertAlign w:val="subscript"/>
                <w:lang w:val="en-US" w:eastAsia="zh-CN" w:bidi="ar-SA"/>
              </w:rPr>
              <w:t>p</w:t>
            </w:r>
            <w:r>
              <w:rPr>
                <w:rFonts w:hint="default" w:ascii="Times New Roman" w:hAnsi="Times New Roman" w:cs="Times New Roman"/>
                <w:b w:val="0"/>
                <w:bCs/>
                <w:color w:val="auto"/>
                <w:kern w:val="0"/>
                <w:sz w:val="24"/>
                <w:szCs w:val="24"/>
                <w:highlight w:val="none"/>
                <w:lang w:val="en-US" w:eastAsia="zh-CN" w:bidi="ar-SA"/>
              </w:rPr>
              <w:t xml:space="preserve">（r）--预测点处声压级，dB； </w:t>
            </w:r>
          </w:p>
          <w:p w14:paraId="2175C0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L</w:t>
            </w:r>
            <w:r>
              <w:rPr>
                <w:rFonts w:hint="default" w:ascii="Times New Roman" w:hAnsi="Times New Roman" w:eastAsia="宋体" w:cs="Times New Roman"/>
                <w:b w:val="0"/>
                <w:bCs/>
                <w:color w:val="auto"/>
                <w:kern w:val="0"/>
                <w:sz w:val="24"/>
                <w:szCs w:val="24"/>
                <w:highlight w:val="none"/>
                <w:vertAlign w:val="subscript"/>
                <w:lang w:val="en-US" w:eastAsia="zh-CN" w:bidi="ar-SA"/>
              </w:rPr>
              <w:t>p</w:t>
            </w:r>
            <w:r>
              <w:rPr>
                <w:rFonts w:hint="default" w:ascii="Times New Roman" w:hAnsi="Times New Roman" w:cs="Times New Roman"/>
                <w:b w:val="0"/>
                <w:bCs/>
                <w:color w:val="auto"/>
                <w:kern w:val="0"/>
                <w:sz w:val="24"/>
                <w:szCs w:val="24"/>
                <w:highlight w:val="none"/>
                <w:lang w:val="en-US" w:eastAsia="zh-CN" w:bidi="ar-SA"/>
              </w:rPr>
              <w:t>（r</w:t>
            </w:r>
            <w:r>
              <w:rPr>
                <w:rFonts w:hint="default" w:ascii="Times New Roman" w:hAnsi="Times New Roman" w:cs="Times New Roman"/>
                <w:b w:val="0"/>
                <w:bCs/>
                <w:color w:val="auto"/>
                <w:kern w:val="0"/>
                <w:sz w:val="24"/>
                <w:szCs w:val="24"/>
                <w:highlight w:val="none"/>
                <w:vertAlign w:val="subscript"/>
                <w:lang w:val="en-US" w:eastAsia="zh-CN" w:bidi="ar-SA"/>
              </w:rPr>
              <w:t>0</w:t>
            </w:r>
            <w:r>
              <w:rPr>
                <w:rFonts w:hint="default" w:ascii="Times New Roman" w:hAnsi="Times New Roman" w:cs="Times New Roman"/>
                <w:b w:val="0"/>
                <w:bCs/>
                <w:color w:val="auto"/>
                <w:kern w:val="0"/>
                <w:sz w:val="24"/>
                <w:szCs w:val="24"/>
                <w:highlight w:val="none"/>
                <w:lang w:val="en-US" w:eastAsia="zh-CN" w:bidi="ar-SA"/>
              </w:rPr>
              <w:t>）--参考位置 r</w:t>
            </w:r>
            <w:r>
              <w:rPr>
                <w:rFonts w:hint="default" w:ascii="Times New Roman" w:hAnsi="Times New Roman" w:eastAsia="宋体" w:cs="Times New Roman"/>
                <w:b w:val="0"/>
                <w:bCs/>
                <w:color w:val="auto"/>
                <w:kern w:val="0"/>
                <w:sz w:val="24"/>
                <w:szCs w:val="24"/>
                <w:highlight w:val="none"/>
                <w:vertAlign w:val="subscript"/>
                <w:lang w:val="en-US" w:eastAsia="zh-CN" w:bidi="ar-SA"/>
              </w:rPr>
              <w:t>0</w:t>
            </w:r>
            <w:r>
              <w:rPr>
                <w:rFonts w:hint="default" w:ascii="Times New Roman" w:hAnsi="Times New Roman" w:cs="Times New Roman"/>
                <w:b w:val="0"/>
                <w:bCs/>
                <w:color w:val="auto"/>
                <w:kern w:val="0"/>
                <w:sz w:val="24"/>
                <w:szCs w:val="24"/>
                <w:highlight w:val="none"/>
                <w:lang w:val="en-US" w:eastAsia="zh-CN" w:bidi="ar-SA"/>
              </w:rPr>
              <w:t xml:space="preserve"> 处的声压级，dB； </w:t>
            </w:r>
          </w:p>
          <w:p w14:paraId="674C96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D</w:t>
            </w:r>
            <w:r>
              <w:rPr>
                <w:rFonts w:hint="default" w:ascii="Times New Roman" w:hAnsi="Times New Roman" w:eastAsia="宋体" w:cs="Times New Roman"/>
                <w:b w:val="0"/>
                <w:bCs/>
                <w:color w:val="auto"/>
                <w:kern w:val="0"/>
                <w:sz w:val="24"/>
                <w:szCs w:val="24"/>
                <w:highlight w:val="none"/>
                <w:vertAlign w:val="subscript"/>
                <w:lang w:val="en-US" w:eastAsia="zh-CN" w:bidi="ar-SA"/>
              </w:rPr>
              <w:t>C</w:t>
            </w:r>
            <w:r>
              <w:rPr>
                <w:rFonts w:hint="default" w:ascii="Times New Roman" w:hAnsi="Times New Roman" w:cs="Times New Roman"/>
                <w:b w:val="0"/>
                <w:bCs/>
                <w:color w:val="auto"/>
                <w:kern w:val="0"/>
                <w:sz w:val="24"/>
                <w:szCs w:val="24"/>
                <w:highlight w:val="none"/>
                <w:lang w:val="en-US" w:eastAsia="zh-CN" w:bidi="ar-SA"/>
              </w:rPr>
              <w:t xml:space="preserve">--指向性校正，它描述点声源的等效连续声压级与产生声功率级Lw的全向点声源在规定方向的声级的偏差程度，dB； </w:t>
            </w:r>
          </w:p>
          <w:p w14:paraId="4E299A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w:t>
            </w:r>
            <w:r>
              <w:rPr>
                <w:rFonts w:hint="default" w:ascii="Times New Roman" w:hAnsi="Times New Roman" w:eastAsia="宋体" w:cs="Times New Roman"/>
                <w:b w:val="0"/>
                <w:bCs/>
                <w:color w:val="auto"/>
                <w:kern w:val="0"/>
                <w:sz w:val="24"/>
                <w:szCs w:val="24"/>
                <w:highlight w:val="none"/>
                <w:vertAlign w:val="subscript"/>
                <w:lang w:val="en-US" w:eastAsia="zh-CN" w:bidi="ar-SA"/>
              </w:rPr>
              <w:t>div</w:t>
            </w:r>
            <w:r>
              <w:rPr>
                <w:rFonts w:hint="default" w:ascii="Times New Roman" w:hAnsi="Times New Roman" w:cs="Times New Roman"/>
                <w:b w:val="0"/>
                <w:bCs/>
                <w:color w:val="auto"/>
                <w:kern w:val="0"/>
                <w:sz w:val="24"/>
                <w:szCs w:val="24"/>
                <w:highlight w:val="none"/>
                <w:lang w:val="en-US" w:eastAsia="zh-CN" w:bidi="ar-SA"/>
              </w:rPr>
              <w:t xml:space="preserve">--几何发散引起的衰减，dB； </w:t>
            </w:r>
          </w:p>
          <w:p w14:paraId="688C4D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w:t>
            </w:r>
            <w:r>
              <w:rPr>
                <w:rFonts w:hint="default" w:ascii="Times New Roman" w:hAnsi="Times New Roman" w:eastAsia="宋体" w:cs="Times New Roman"/>
                <w:b w:val="0"/>
                <w:bCs/>
                <w:color w:val="auto"/>
                <w:kern w:val="0"/>
                <w:sz w:val="24"/>
                <w:szCs w:val="24"/>
                <w:highlight w:val="none"/>
                <w:vertAlign w:val="subscript"/>
                <w:lang w:val="en-US" w:eastAsia="zh-CN" w:bidi="ar-SA"/>
              </w:rPr>
              <w:t>atm</w:t>
            </w:r>
            <w:r>
              <w:rPr>
                <w:rFonts w:hint="default" w:ascii="Times New Roman" w:hAnsi="Times New Roman" w:cs="Times New Roman"/>
                <w:b w:val="0"/>
                <w:bCs/>
                <w:color w:val="auto"/>
                <w:kern w:val="0"/>
                <w:sz w:val="24"/>
                <w:szCs w:val="24"/>
                <w:highlight w:val="none"/>
                <w:lang w:val="en-US" w:eastAsia="zh-CN" w:bidi="ar-SA"/>
              </w:rPr>
              <w:t xml:space="preserve">--大气吸收引起的衰减，dB； </w:t>
            </w:r>
          </w:p>
          <w:p w14:paraId="78EC26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w:t>
            </w:r>
            <w:r>
              <w:rPr>
                <w:rFonts w:hint="default" w:ascii="Times New Roman" w:hAnsi="Times New Roman" w:eastAsia="宋体" w:cs="Times New Roman"/>
                <w:b w:val="0"/>
                <w:bCs/>
                <w:color w:val="auto"/>
                <w:kern w:val="0"/>
                <w:sz w:val="24"/>
                <w:szCs w:val="24"/>
                <w:highlight w:val="none"/>
                <w:vertAlign w:val="subscript"/>
                <w:lang w:val="en-US" w:eastAsia="zh-CN" w:bidi="ar-SA"/>
              </w:rPr>
              <w:t>gr</w:t>
            </w:r>
            <w:r>
              <w:rPr>
                <w:rFonts w:hint="default" w:ascii="Times New Roman" w:hAnsi="Times New Roman" w:cs="Times New Roman"/>
                <w:b w:val="0"/>
                <w:bCs/>
                <w:color w:val="auto"/>
                <w:kern w:val="0"/>
                <w:sz w:val="24"/>
                <w:szCs w:val="24"/>
                <w:highlight w:val="none"/>
                <w:lang w:val="en-US" w:eastAsia="zh-CN" w:bidi="ar-SA"/>
              </w:rPr>
              <w:t xml:space="preserve">--地面效应引起的衰减，dB； </w:t>
            </w:r>
          </w:p>
          <w:p w14:paraId="0F2D7F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w:t>
            </w:r>
            <w:r>
              <w:rPr>
                <w:rFonts w:hint="default" w:ascii="Times New Roman" w:hAnsi="Times New Roman" w:eastAsia="宋体" w:cs="Times New Roman"/>
                <w:b w:val="0"/>
                <w:bCs/>
                <w:color w:val="auto"/>
                <w:kern w:val="0"/>
                <w:sz w:val="24"/>
                <w:szCs w:val="24"/>
                <w:highlight w:val="none"/>
                <w:vertAlign w:val="subscript"/>
                <w:lang w:val="en-US" w:eastAsia="zh-CN" w:bidi="ar-SA"/>
              </w:rPr>
              <w:t>bar</w:t>
            </w:r>
            <w:r>
              <w:rPr>
                <w:rFonts w:hint="default" w:ascii="Times New Roman" w:hAnsi="Times New Roman" w:cs="Times New Roman"/>
                <w:b w:val="0"/>
                <w:bCs/>
                <w:color w:val="auto"/>
                <w:kern w:val="0"/>
                <w:sz w:val="24"/>
                <w:szCs w:val="24"/>
                <w:highlight w:val="none"/>
                <w:lang w:val="en-US" w:eastAsia="zh-CN" w:bidi="ar-SA"/>
              </w:rPr>
              <w:t xml:space="preserve">--障碍物屏蔽引起的衰减，dB； </w:t>
            </w:r>
          </w:p>
          <w:p w14:paraId="68F8D5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w:t>
            </w:r>
            <w:r>
              <w:rPr>
                <w:rFonts w:hint="default" w:ascii="Times New Roman" w:hAnsi="Times New Roman" w:eastAsia="宋体" w:cs="Times New Roman"/>
                <w:b w:val="0"/>
                <w:bCs/>
                <w:color w:val="auto"/>
                <w:kern w:val="0"/>
                <w:sz w:val="24"/>
                <w:szCs w:val="24"/>
                <w:highlight w:val="none"/>
                <w:vertAlign w:val="subscript"/>
                <w:lang w:val="en-US" w:eastAsia="zh-CN" w:bidi="ar-SA"/>
              </w:rPr>
              <w:t>misc</w:t>
            </w:r>
            <w:r>
              <w:rPr>
                <w:rFonts w:hint="default" w:ascii="Times New Roman" w:hAnsi="Times New Roman" w:cs="Times New Roman"/>
                <w:b w:val="0"/>
                <w:bCs/>
                <w:color w:val="auto"/>
                <w:kern w:val="0"/>
                <w:sz w:val="24"/>
                <w:szCs w:val="24"/>
                <w:highlight w:val="none"/>
                <w:lang w:val="en-US" w:eastAsia="zh-CN" w:bidi="ar-SA"/>
              </w:rPr>
              <w:t xml:space="preserve">--其他多方面效应引起的衰减，dB。 </w:t>
            </w:r>
          </w:p>
          <w:p w14:paraId="22EF11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b）预测点的A声级L</w:t>
            </w:r>
            <w:r>
              <w:rPr>
                <w:rFonts w:hint="default" w:ascii="Times New Roman" w:hAnsi="Times New Roman" w:eastAsia="宋体" w:cs="Times New Roman"/>
                <w:b w:val="0"/>
                <w:bCs/>
                <w:color w:val="auto"/>
                <w:kern w:val="0"/>
                <w:sz w:val="24"/>
                <w:szCs w:val="24"/>
                <w:highlight w:val="none"/>
                <w:vertAlign w:val="subscript"/>
                <w:lang w:val="en-US" w:eastAsia="zh-CN" w:bidi="ar-SA"/>
              </w:rPr>
              <w:t>A</w:t>
            </w:r>
            <w:r>
              <w:rPr>
                <w:rFonts w:hint="default" w:ascii="Times New Roman" w:hAnsi="Times New Roman" w:eastAsia="宋体" w:cs="Times New Roman"/>
                <w:b w:val="0"/>
                <w:bCs/>
                <w:color w:val="auto"/>
                <w:kern w:val="0"/>
                <w:sz w:val="24"/>
                <w:szCs w:val="24"/>
                <w:highlight w:val="none"/>
                <w:lang w:val="en-US" w:eastAsia="zh-CN" w:bidi="ar-SA"/>
              </w:rPr>
              <w:t>（r）可按式（A</w:t>
            </w:r>
            <w:r>
              <w:rPr>
                <w:rFonts w:hint="default" w:ascii="Times New Roman" w:hAnsi="Times New Roman" w:cs="Times New Roman"/>
                <w:b w:val="0"/>
                <w:bCs/>
                <w:color w:val="auto"/>
                <w:kern w:val="0"/>
                <w:sz w:val="24"/>
                <w:szCs w:val="24"/>
                <w:highlight w:val="none"/>
                <w:lang w:val="en-US" w:eastAsia="zh-CN" w:bidi="ar-SA"/>
              </w:rPr>
              <w:t>-</w:t>
            </w:r>
            <w:r>
              <w:rPr>
                <w:rFonts w:hint="default" w:ascii="Times New Roman" w:hAnsi="Times New Roman" w:eastAsia="宋体" w:cs="Times New Roman"/>
                <w:b w:val="0"/>
                <w:bCs/>
                <w:color w:val="auto"/>
                <w:kern w:val="0"/>
                <w:sz w:val="24"/>
                <w:szCs w:val="24"/>
                <w:highlight w:val="none"/>
                <w:lang w:val="en-US" w:eastAsia="zh-CN" w:bidi="ar-SA"/>
              </w:rPr>
              <w:t>3）计算，即将8个倍频带声压级合成，计算出预测点的A声级[L</w:t>
            </w:r>
            <w:r>
              <w:rPr>
                <w:rFonts w:hint="default" w:ascii="Times New Roman" w:hAnsi="Times New Roman" w:eastAsia="宋体" w:cs="Times New Roman"/>
                <w:b w:val="0"/>
                <w:bCs/>
                <w:color w:val="auto"/>
                <w:kern w:val="0"/>
                <w:sz w:val="24"/>
                <w:szCs w:val="24"/>
                <w:highlight w:val="none"/>
                <w:vertAlign w:val="subscript"/>
                <w:lang w:val="en-US" w:eastAsia="zh-CN" w:bidi="ar-SA"/>
              </w:rPr>
              <w:t>A</w:t>
            </w:r>
            <w:r>
              <w:rPr>
                <w:rFonts w:hint="default" w:ascii="Times New Roman" w:hAnsi="Times New Roman" w:eastAsia="宋体" w:cs="Times New Roman"/>
                <w:b w:val="0"/>
                <w:bCs/>
                <w:color w:val="auto"/>
                <w:kern w:val="0"/>
                <w:sz w:val="24"/>
                <w:szCs w:val="24"/>
                <w:highlight w:val="none"/>
                <w:lang w:val="en-US" w:eastAsia="zh-CN" w:bidi="ar-SA"/>
              </w:rPr>
              <w:t xml:space="preserve">（r）]； </w:t>
            </w:r>
          </w:p>
          <w:p w14:paraId="0F06628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1050" w:firstLineChars="500"/>
              <w:jc w:val="right"/>
              <w:textAlignment w:val="auto"/>
              <w:rPr>
                <w:rFonts w:hint="default" w:ascii="Times New Roman" w:hAnsi="Times New Roman" w:eastAsia="宋体" w:cs="Times New Roman"/>
                <w:b w:val="0"/>
                <w:bCs/>
                <w:color w:val="0000FF"/>
                <w:kern w:val="0"/>
                <w:sz w:val="24"/>
                <w:szCs w:val="24"/>
                <w:highlight w:val="none"/>
                <w:lang w:val="en-US" w:eastAsia="zh-CN" w:bidi="ar-SA"/>
              </w:rPr>
            </w:pPr>
            <w:r>
              <w:rPr>
                <w:rFonts w:hint="default" w:ascii="Times New Roman" w:hAnsi="Times New Roman" w:cs="Times New Roman"/>
              </w:rPr>
              <w:drawing>
                <wp:inline distT="0" distB="0" distL="114300" distR="114300">
                  <wp:extent cx="1964690" cy="504190"/>
                  <wp:effectExtent l="0" t="0" r="16510" b="10160"/>
                  <wp:docPr id="5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
                          <pic:cNvPicPr>
                            <a:picLocks noChangeAspect="1"/>
                          </pic:cNvPicPr>
                        </pic:nvPicPr>
                        <pic:blipFill>
                          <a:blip r:embed="rId29"/>
                          <a:stretch>
                            <a:fillRect/>
                          </a:stretch>
                        </pic:blipFill>
                        <pic:spPr>
                          <a:xfrm>
                            <a:off x="0" y="0"/>
                            <a:ext cx="1964690" cy="504190"/>
                          </a:xfrm>
                          <a:prstGeom prst="rect">
                            <a:avLst/>
                          </a:prstGeom>
                          <a:noFill/>
                          <a:ln>
                            <a:noFill/>
                          </a:ln>
                        </pic:spPr>
                      </pic:pic>
                    </a:graphicData>
                  </a:graphic>
                </wp:inline>
              </w:drawing>
            </w:r>
            <w:r>
              <w:rPr>
                <w:rFonts w:hint="default" w:ascii="Times New Roman" w:hAnsi="Times New Roman" w:cs="Times New Roman"/>
                <w:color w:val="0000FF"/>
                <w:highlight w:val="none"/>
                <w:lang w:val="en-US" w:eastAsia="zh-CN"/>
              </w:rPr>
              <w:t xml:space="preserve">                </w:t>
            </w:r>
            <w:r>
              <w:rPr>
                <w:rFonts w:hint="default" w:ascii="Times New Roman" w:hAnsi="Times New Roman" w:cs="Times New Roman"/>
                <w:color w:val="auto"/>
                <w:highlight w:val="none"/>
                <w:lang w:val="en-US" w:eastAsia="zh-CN"/>
              </w:rPr>
              <w:t xml:space="preserve">        A-3 </w:t>
            </w:r>
            <w:r>
              <w:rPr>
                <w:rFonts w:hint="default" w:ascii="Times New Roman" w:hAnsi="Times New Roman" w:cs="Times New Roman"/>
                <w:color w:val="0000FF"/>
                <w:highlight w:val="none"/>
                <w:lang w:val="en-US" w:eastAsia="zh-CN"/>
              </w:rPr>
              <w:t xml:space="preserve"> </w:t>
            </w:r>
          </w:p>
          <w:p w14:paraId="5C8D38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式中：L</w:t>
            </w:r>
            <w:r>
              <w:rPr>
                <w:rFonts w:hint="default" w:ascii="Times New Roman" w:hAnsi="Times New Roman" w:eastAsia="宋体" w:cs="Times New Roman"/>
                <w:b w:val="0"/>
                <w:bCs/>
                <w:color w:val="auto"/>
                <w:kern w:val="0"/>
                <w:sz w:val="24"/>
                <w:szCs w:val="24"/>
                <w:highlight w:val="none"/>
                <w:vertAlign w:val="subscript"/>
                <w:lang w:val="en-US" w:eastAsia="zh-CN" w:bidi="ar-SA"/>
              </w:rPr>
              <w:t>A</w:t>
            </w:r>
            <w:r>
              <w:rPr>
                <w:rFonts w:hint="default" w:ascii="Times New Roman" w:hAnsi="Times New Roman" w:eastAsia="宋体" w:cs="Times New Roman"/>
                <w:b w:val="0"/>
                <w:bCs/>
                <w:color w:val="auto"/>
                <w:kern w:val="0"/>
                <w:sz w:val="24"/>
                <w:szCs w:val="24"/>
                <w:highlight w:val="none"/>
                <w:lang w:val="en-US" w:eastAsia="zh-CN" w:bidi="ar-SA"/>
              </w:rPr>
              <w:t xml:space="preserve">（r）--距声源r处的A声级，dB（A）； </w:t>
            </w:r>
          </w:p>
          <w:p w14:paraId="5ECC8A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L</w:t>
            </w:r>
            <w:r>
              <w:rPr>
                <w:rFonts w:hint="default" w:ascii="Times New Roman" w:hAnsi="Times New Roman" w:eastAsia="宋体" w:cs="Times New Roman"/>
                <w:b w:val="0"/>
                <w:bCs/>
                <w:color w:val="auto"/>
                <w:kern w:val="0"/>
                <w:sz w:val="24"/>
                <w:szCs w:val="24"/>
                <w:highlight w:val="none"/>
                <w:vertAlign w:val="subscript"/>
                <w:lang w:val="en-US" w:eastAsia="zh-CN" w:bidi="ar-SA"/>
              </w:rPr>
              <w:t>pi</w:t>
            </w:r>
            <w:r>
              <w:rPr>
                <w:rFonts w:hint="default" w:ascii="Times New Roman" w:hAnsi="Times New Roman" w:eastAsia="宋体" w:cs="Times New Roman"/>
                <w:b w:val="0"/>
                <w:bCs/>
                <w:color w:val="auto"/>
                <w:kern w:val="0"/>
                <w:sz w:val="24"/>
                <w:szCs w:val="24"/>
                <w:highlight w:val="none"/>
                <w:lang w:val="en-US" w:eastAsia="zh-CN" w:bidi="ar-SA"/>
              </w:rPr>
              <w:t xml:space="preserve">（r）--预测点（r）处，第i倍频带声压级，dB； </w:t>
            </w:r>
          </w:p>
          <w:p w14:paraId="0E75C1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ΔL</w:t>
            </w:r>
            <w:r>
              <w:rPr>
                <w:rFonts w:hint="default" w:ascii="Times New Roman" w:hAnsi="Times New Roman" w:eastAsia="宋体" w:cs="Times New Roman"/>
                <w:b w:val="0"/>
                <w:bCs/>
                <w:color w:val="auto"/>
                <w:kern w:val="0"/>
                <w:sz w:val="24"/>
                <w:szCs w:val="24"/>
                <w:highlight w:val="none"/>
                <w:vertAlign w:val="subscript"/>
                <w:lang w:val="en-US" w:eastAsia="zh-CN" w:bidi="ar-SA"/>
              </w:rPr>
              <w:t>i</w:t>
            </w:r>
            <w:r>
              <w:rPr>
                <w:rFonts w:hint="default" w:ascii="Times New Roman" w:hAnsi="Times New Roman" w:eastAsia="宋体" w:cs="Times New Roman"/>
                <w:b w:val="0"/>
                <w:bCs/>
                <w:color w:val="auto"/>
                <w:kern w:val="0"/>
                <w:sz w:val="24"/>
                <w:szCs w:val="24"/>
                <w:highlight w:val="none"/>
                <w:lang w:val="en-US" w:eastAsia="zh-CN" w:bidi="ar-SA"/>
              </w:rPr>
              <w:t xml:space="preserve">--第i倍频带的A计权网络修正值，dB。 </w:t>
            </w:r>
          </w:p>
          <w:p w14:paraId="3D36FC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c）在只考虑几何发散衰减时，可按式（A</w:t>
            </w:r>
            <w:r>
              <w:rPr>
                <w:rFonts w:hint="default" w:ascii="Times New Roman" w:hAnsi="Times New Roman" w:cs="Times New Roman"/>
                <w:b w:val="0"/>
                <w:bCs/>
                <w:color w:val="auto"/>
                <w:kern w:val="0"/>
                <w:sz w:val="24"/>
                <w:szCs w:val="24"/>
                <w:highlight w:val="none"/>
                <w:lang w:val="en-US" w:eastAsia="zh-CN" w:bidi="ar-SA"/>
              </w:rPr>
              <w:t>-</w:t>
            </w:r>
            <w:r>
              <w:rPr>
                <w:rFonts w:hint="default" w:ascii="Times New Roman" w:hAnsi="Times New Roman" w:eastAsia="宋体" w:cs="Times New Roman"/>
                <w:b w:val="0"/>
                <w:bCs/>
                <w:color w:val="auto"/>
                <w:kern w:val="0"/>
                <w:sz w:val="24"/>
                <w:szCs w:val="24"/>
                <w:highlight w:val="none"/>
                <w:lang w:val="en-US" w:eastAsia="zh-CN" w:bidi="ar-SA"/>
              </w:rPr>
              <w:t>4）计算。</w:t>
            </w:r>
          </w:p>
          <w:p w14:paraId="71E72DA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1050" w:firstLineChars="500"/>
              <w:jc w:val="right"/>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rPr>
              <w:drawing>
                <wp:inline distT="0" distB="0" distL="114300" distR="114300">
                  <wp:extent cx="1390650" cy="323850"/>
                  <wp:effectExtent l="0" t="0" r="0" b="0"/>
                  <wp:docPr id="5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8"/>
                          <pic:cNvPicPr>
                            <a:picLocks noChangeAspect="1"/>
                          </pic:cNvPicPr>
                        </pic:nvPicPr>
                        <pic:blipFill>
                          <a:blip r:embed="rId30"/>
                          <a:stretch>
                            <a:fillRect/>
                          </a:stretch>
                        </pic:blipFill>
                        <pic:spPr>
                          <a:xfrm>
                            <a:off x="0" y="0"/>
                            <a:ext cx="1390650" cy="323850"/>
                          </a:xfrm>
                          <a:prstGeom prst="rect">
                            <a:avLst/>
                          </a:prstGeom>
                          <a:noFill/>
                          <a:ln>
                            <a:noFill/>
                          </a:ln>
                        </pic:spPr>
                      </pic:pic>
                    </a:graphicData>
                  </a:graphic>
                </wp:inline>
              </w:drawing>
            </w:r>
            <w:r>
              <w:rPr>
                <w:rFonts w:hint="default" w:ascii="Times New Roman" w:hAnsi="Times New Roman" w:cs="Times New Roman"/>
                <w:color w:val="auto"/>
                <w:highlight w:val="none"/>
                <w:lang w:val="en-US" w:eastAsia="zh-CN"/>
              </w:rPr>
              <w:t xml:space="preserve">                          A-4  </w:t>
            </w:r>
          </w:p>
          <w:p w14:paraId="10605C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式中：L</w:t>
            </w:r>
            <w:r>
              <w:rPr>
                <w:rFonts w:hint="default" w:ascii="Times New Roman" w:hAnsi="Times New Roman" w:eastAsia="宋体" w:cs="Times New Roman"/>
                <w:b w:val="0"/>
                <w:bCs/>
                <w:color w:val="auto"/>
                <w:kern w:val="0"/>
                <w:sz w:val="24"/>
                <w:szCs w:val="24"/>
                <w:highlight w:val="none"/>
                <w:vertAlign w:val="subscript"/>
                <w:lang w:val="en-US" w:eastAsia="zh-CN" w:bidi="ar-SA"/>
              </w:rPr>
              <w:t>A</w:t>
            </w:r>
            <w:r>
              <w:rPr>
                <w:rFonts w:hint="default" w:ascii="Times New Roman" w:hAnsi="Times New Roman" w:eastAsia="宋体" w:cs="Times New Roman"/>
                <w:b w:val="0"/>
                <w:bCs/>
                <w:color w:val="auto"/>
                <w:kern w:val="0"/>
                <w:sz w:val="24"/>
                <w:szCs w:val="24"/>
                <w:highlight w:val="none"/>
                <w:lang w:val="en-US" w:eastAsia="zh-CN" w:bidi="ar-SA"/>
              </w:rPr>
              <w:t xml:space="preserve">（r）--距声源r处的A声级，dB（A）； </w:t>
            </w:r>
          </w:p>
          <w:p w14:paraId="335F1A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L</w:t>
            </w:r>
            <w:r>
              <w:rPr>
                <w:rFonts w:hint="default" w:ascii="Times New Roman" w:hAnsi="Times New Roman" w:eastAsia="宋体" w:cs="Times New Roman"/>
                <w:b w:val="0"/>
                <w:bCs/>
                <w:color w:val="auto"/>
                <w:kern w:val="0"/>
                <w:sz w:val="24"/>
                <w:szCs w:val="24"/>
                <w:highlight w:val="none"/>
                <w:vertAlign w:val="subscript"/>
                <w:lang w:val="en-US" w:eastAsia="zh-CN" w:bidi="ar-SA"/>
              </w:rPr>
              <w:t>A</w:t>
            </w:r>
            <w:r>
              <w:rPr>
                <w:rFonts w:hint="default" w:ascii="Times New Roman" w:hAnsi="Times New Roman" w:eastAsia="宋体" w:cs="Times New Roman"/>
                <w:b w:val="0"/>
                <w:bCs/>
                <w:color w:val="auto"/>
                <w:kern w:val="0"/>
                <w:sz w:val="24"/>
                <w:szCs w:val="24"/>
                <w:highlight w:val="none"/>
                <w:lang w:val="en-US" w:eastAsia="zh-CN" w:bidi="ar-SA"/>
              </w:rPr>
              <w:t>（r</w:t>
            </w:r>
            <w:r>
              <w:rPr>
                <w:rFonts w:hint="default" w:ascii="Times New Roman" w:hAnsi="Times New Roman" w:eastAsia="宋体" w:cs="Times New Roman"/>
                <w:b w:val="0"/>
                <w:bCs/>
                <w:color w:val="auto"/>
                <w:kern w:val="0"/>
                <w:sz w:val="24"/>
                <w:szCs w:val="24"/>
                <w:highlight w:val="none"/>
                <w:vertAlign w:val="subscript"/>
                <w:lang w:val="en-US" w:eastAsia="zh-CN" w:bidi="ar-SA"/>
              </w:rPr>
              <w:t>0</w:t>
            </w:r>
            <w:r>
              <w:rPr>
                <w:rFonts w:hint="default" w:ascii="Times New Roman" w:hAnsi="Times New Roman" w:eastAsia="宋体" w:cs="Times New Roman"/>
                <w:b w:val="0"/>
                <w:bCs/>
                <w:color w:val="auto"/>
                <w:kern w:val="0"/>
                <w:sz w:val="24"/>
                <w:szCs w:val="24"/>
                <w:highlight w:val="none"/>
                <w:lang w:val="en-US" w:eastAsia="zh-CN" w:bidi="ar-SA"/>
              </w:rPr>
              <w:t>）--参考位置r</w:t>
            </w:r>
            <w:r>
              <w:rPr>
                <w:rFonts w:hint="default" w:ascii="Times New Roman" w:hAnsi="Times New Roman" w:eastAsia="宋体" w:cs="Times New Roman"/>
                <w:b w:val="0"/>
                <w:bCs/>
                <w:color w:val="auto"/>
                <w:kern w:val="0"/>
                <w:sz w:val="24"/>
                <w:szCs w:val="24"/>
                <w:highlight w:val="none"/>
                <w:vertAlign w:val="subscript"/>
                <w:lang w:val="en-US" w:eastAsia="zh-CN" w:bidi="ar-SA"/>
              </w:rPr>
              <w:t>0</w:t>
            </w:r>
            <w:r>
              <w:rPr>
                <w:rFonts w:hint="default" w:ascii="Times New Roman" w:hAnsi="Times New Roman" w:eastAsia="宋体" w:cs="Times New Roman"/>
                <w:b w:val="0"/>
                <w:bCs/>
                <w:color w:val="auto"/>
                <w:kern w:val="0"/>
                <w:sz w:val="24"/>
                <w:szCs w:val="24"/>
                <w:highlight w:val="none"/>
                <w:lang w:val="en-US" w:eastAsia="zh-CN" w:bidi="ar-SA"/>
              </w:rPr>
              <w:t xml:space="preserve">处的A声级，dB（A）； </w:t>
            </w:r>
          </w:p>
          <w:p w14:paraId="5CBD44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A</w:t>
            </w:r>
            <w:r>
              <w:rPr>
                <w:rFonts w:hint="default" w:ascii="Times New Roman" w:hAnsi="Times New Roman" w:eastAsia="宋体" w:cs="Times New Roman"/>
                <w:b w:val="0"/>
                <w:bCs/>
                <w:color w:val="auto"/>
                <w:kern w:val="0"/>
                <w:sz w:val="24"/>
                <w:szCs w:val="24"/>
                <w:highlight w:val="none"/>
                <w:vertAlign w:val="subscript"/>
                <w:lang w:val="en-US" w:eastAsia="zh-CN" w:bidi="ar-SA"/>
              </w:rPr>
              <w:t>div</w:t>
            </w:r>
            <w:r>
              <w:rPr>
                <w:rFonts w:hint="default" w:ascii="Times New Roman" w:hAnsi="Times New Roman" w:eastAsia="宋体" w:cs="Times New Roman"/>
                <w:b w:val="0"/>
                <w:bCs/>
                <w:color w:val="auto"/>
                <w:kern w:val="0"/>
                <w:sz w:val="24"/>
                <w:szCs w:val="24"/>
                <w:highlight w:val="none"/>
                <w:lang w:val="en-US" w:eastAsia="zh-CN" w:bidi="ar-SA"/>
              </w:rPr>
              <w:t xml:space="preserve">--几何发散引起的衰减，dB。 </w:t>
            </w:r>
          </w:p>
          <w:p w14:paraId="4E2DBA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（2）面声源</w:t>
            </w:r>
            <w:r>
              <w:rPr>
                <w:rFonts w:hint="default" w:ascii="Times New Roman" w:hAnsi="Times New Roman" w:eastAsia="宋体" w:cs="Times New Roman"/>
                <w:b w:val="0"/>
                <w:bCs/>
                <w:color w:val="auto"/>
                <w:kern w:val="0"/>
                <w:sz w:val="24"/>
                <w:szCs w:val="24"/>
                <w:highlight w:val="none"/>
                <w:lang w:val="en-US" w:eastAsia="zh-CN" w:bidi="ar-SA"/>
              </w:rPr>
              <w:t>几何发散衰减（A</w:t>
            </w:r>
            <w:r>
              <w:rPr>
                <w:rFonts w:hint="default" w:ascii="Times New Roman" w:hAnsi="Times New Roman" w:eastAsia="宋体" w:cs="Times New Roman"/>
                <w:b w:val="0"/>
                <w:bCs/>
                <w:color w:val="auto"/>
                <w:kern w:val="0"/>
                <w:sz w:val="24"/>
                <w:szCs w:val="24"/>
                <w:highlight w:val="none"/>
                <w:vertAlign w:val="subscript"/>
                <w:lang w:val="en-US" w:eastAsia="zh-CN" w:bidi="ar-SA"/>
              </w:rPr>
              <w:t>div</w:t>
            </w:r>
            <w:r>
              <w:rPr>
                <w:rFonts w:hint="default" w:ascii="Times New Roman" w:hAnsi="Times New Roman" w:eastAsia="宋体" w:cs="Times New Roman"/>
                <w:b w:val="0"/>
                <w:bCs/>
                <w:color w:val="auto"/>
                <w:kern w:val="0"/>
                <w:sz w:val="24"/>
                <w:szCs w:val="24"/>
                <w:highlight w:val="none"/>
                <w:lang w:val="en-US" w:eastAsia="zh-CN" w:bidi="ar-SA"/>
              </w:rPr>
              <w:t xml:space="preserve">） </w:t>
            </w:r>
          </w:p>
          <w:p w14:paraId="5C0D10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一个大型机器设备的振动表面，车间透声的墙壁，均可以认为是面声源。如果已知面声源单位面积的声功率为W，各面积元噪声的位相是随机的，面声源可看做由无数点声源连续分布组合而成，其合成声级可按能量叠加法求出。</w:t>
            </w:r>
          </w:p>
          <w:p w14:paraId="1BEA37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当预测点和面声源中心距离r处于以下条件时，可按下述方法近似计算：r＜a/π时，几乎不衰减（A</w:t>
            </w:r>
            <w:r>
              <w:rPr>
                <w:rFonts w:hint="default" w:ascii="Times New Roman" w:hAnsi="Times New Roman" w:eastAsia="宋体" w:cs="Times New Roman"/>
                <w:b w:val="0"/>
                <w:bCs/>
                <w:color w:val="auto"/>
                <w:kern w:val="0"/>
                <w:sz w:val="24"/>
                <w:szCs w:val="24"/>
                <w:highlight w:val="none"/>
                <w:vertAlign w:val="subscript"/>
                <w:lang w:val="en-US" w:eastAsia="zh-CN" w:bidi="ar-SA"/>
              </w:rPr>
              <w:t>div</w:t>
            </w:r>
            <w:r>
              <w:rPr>
                <w:rFonts w:hint="default" w:ascii="Times New Roman" w:hAnsi="Times New Roman" w:eastAsia="宋体" w:cs="Times New Roman"/>
                <w:b w:val="0"/>
                <w:bCs/>
                <w:color w:val="auto"/>
                <w:kern w:val="0"/>
                <w:sz w:val="24"/>
                <w:szCs w:val="24"/>
                <w:highlight w:val="none"/>
                <w:lang w:val="en-US" w:eastAsia="zh-CN" w:bidi="ar-SA"/>
              </w:rPr>
              <w:t>≈ 0）；当a/π＜r＜b/π，距离加倍衰减3dB左右，类似线声源衰减特性；当r＞b/π时，距离加倍衰减趋近于6dB，类似点声源衰减特性。其中面声源的b＞a。</w:t>
            </w:r>
          </w:p>
          <w:p w14:paraId="057A94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（3）</w:t>
            </w:r>
            <w:r>
              <w:rPr>
                <w:rFonts w:hint="default" w:ascii="Times New Roman" w:hAnsi="Times New Roman" w:eastAsia="宋体" w:cs="Times New Roman"/>
                <w:b w:val="0"/>
                <w:bCs/>
                <w:color w:val="auto"/>
                <w:kern w:val="0"/>
                <w:sz w:val="24"/>
                <w:szCs w:val="24"/>
                <w:highlight w:val="none"/>
                <w:lang w:val="en-US" w:eastAsia="zh-CN" w:bidi="ar-SA"/>
              </w:rPr>
              <w:t>大气吸收引起的衰减（A</w:t>
            </w:r>
            <w:r>
              <w:rPr>
                <w:rFonts w:hint="default" w:ascii="Times New Roman" w:hAnsi="Times New Roman" w:eastAsia="宋体" w:cs="Times New Roman"/>
                <w:b w:val="0"/>
                <w:bCs/>
                <w:color w:val="auto"/>
                <w:kern w:val="0"/>
                <w:sz w:val="24"/>
                <w:szCs w:val="24"/>
                <w:highlight w:val="none"/>
                <w:vertAlign w:val="subscript"/>
                <w:lang w:val="en-US" w:eastAsia="zh-CN" w:bidi="ar-SA"/>
              </w:rPr>
              <w:t>atm</w:t>
            </w:r>
            <w:r>
              <w:rPr>
                <w:rFonts w:hint="default" w:ascii="Times New Roman" w:hAnsi="Times New Roman" w:eastAsia="宋体" w:cs="Times New Roman"/>
                <w:b w:val="0"/>
                <w:bCs/>
                <w:color w:val="auto"/>
                <w:kern w:val="0"/>
                <w:sz w:val="24"/>
                <w:szCs w:val="24"/>
                <w:highlight w:val="none"/>
                <w:lang w:val="en-US" w:eastAsia="zh-CN" w:bidi="ar-SA"/>
              </w:rPr>
              <w:t xml:space="preserve">） </w:t>
            </w:r>
          </w:p>
          <w:p w14:paraId="6A5A09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大气吸收引起的衰减按下式计算：</w:t>
            </w:r>
          </w:p>
          <w:p w14:paraId="22A1EB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rPr>
              <w:drawing>
                <wp:inline distT="0" distB="0" distL="114300" distR="114300">
                  <wp:extent cx="1393825" cy="504190"/>
                  <wp:effectExtent l="0" t="0" r="15875" b="1016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31"/>
                          <a:stretch>
                            <a:fillRect/>
                          </a:stretch>
                        </pic:blipFill>
                        <pic:spPr>
                          <a:xfrm>
                            <a:off x="0" y="0"/>
                            <a:ext cx="1393825" cy="504190"/>
                          </a:xfrm>
                          <a:prstGeom prst="rect">
                            <a:avLst/>
                          </a:prstGeom>
                          <a:noFill/>
                          <a:ln>
                            <a:noFill/>
                          </a:ln>
                        </pic:spPr>
                      </pic:pic>
                    </a:graphicData>
                  </a:graphic>
                </wp:inline>
              </w:drawing>
            </w:r>
          </w:p>
          <w:p w14:paraId="5137CE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式中：A</w:t>
            </w:r>
            <w:r>
              <w:rPr>
                <w:rFonts w:hint="default" w:ascii="Times New Roman" w:hAnsi="Times New Roman" w:cs="Times New Roman"/>
                <w:b w:val="0"/>
                <w:bCs/>
                <w:color w:val="auto"/>
                <w:kern w:val="0"/>
                <w:sz w:val="24"/>
                <w:szCs w:val="24"/>
                <w:highlight w:val="none"/>
                <w:vertAlign w:val="subscript"/>
                <w:lang w:val="en-US" w:eastAsia="zh-CN" w:bidi="ar-SA"/>
              </w:rPr>
              <w:t>atm</w:t>
            </w:r>
            <w:r>
              <w:rPr>
                <w:rFonts w:hint="default" w:ascii="Times New Roman" w:hAnsi="Times New Roman" w:cs="Times New Roman"/>
                <w:b w:val="0"/>
                <w:bCs/>
                <w:color w:val="auto"/>
                <w:kern w:val="0"/>
                <w:sz w:val="24"/>
                <w:szCs w:val="24"/>
                <w:highlight w:val="none"/>
                <w:lang w:val="en-US" w:eastAsia="zh-CN" w:bidi="ar-SA"/>
              </w:rPr>
              <w:t xml:space="preserve">--大气吸收引起的衰减，dB； </w:t>
            </w:r>
          </w:p>
          <w:p w14:paraId="0E582F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Α--与温度、湿度和声波频率有关的大气吸收衰减系数，预测计算中一般根据建设项目所处区域常年平均气温和湿度选择相应的大气吸收衰减系数（根据 HJ2.4-2021 中表A.2得知）； </w:t>
            </w:r>
          </w:p>
          <w:p w14:paraId="1EA008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R--预测点距声源的距离； </w:t>
            </w:r>
          </w:p>
          <w:p w14:paraId="432563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r</w:t>
            </w:r>
            <w:r>
              <w:rPr>
                <w:rFonts w:hint="default" w:ascii="Times New Roman" w:hAnsi="Times New Roman" w:cs="Times New Roman"/>
                <w:b w:val="0"/>
                <w:bCs/>
                <w:color w:val="auto"/>
                <w:kern w:val="0"/>
                <w:sz w:val="24"/>
                <w:szCs w:val="24"/>
                <w:highlight w:val="none"/>
                <w:vertAlign w:val="subscript"/>
                <w:lang w:val="en-US" w:eastAsia="zh-CN" w:bidi="ar-SA"/>
              </w:rPr>
              <w:t>0</w:t>
            </w:r>
            <w:r>
              <w:rPr>
                <w:rFonts w:hint="default" w:ascii="Times New Roman" w:hAnsi="Times New Roman" w:cs="Times New Roman"/>
                <w:b w:val="0"/>
                <w:bCs/>
                <w:color w:val="auto"/>
                <w:kern w:val="0"/>
                <w:sz w:val="24"/>
                <w:szCs w:val="24"/>
                <w:highlight w:val="none"/>
                <w:lang w:val="en-US" w:eastAsia="zh-CN" w:bidi="ar-SA"/>
              </w:rPr>
              <w:t xml:space="preserve">--参考位置距声源的距离。 </w:t>
            </w:r>
          </w:p>
          <w:p w14:paraId="082EFD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（4）地面效应引起的衰减（Agr） </w:t>
            </w:r>
          </w:p>
          <w:p w14:paraId="501060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声波掠过疏松地面传播时，或大部分为疏松地面的混合地面，在预测点仅计算A声级前提下，地面效应引起的倍频带衰减可用下式计算： </w:t>
            </w:r>
          </w:p>
          <w:p w14:paraId="371C75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rPr>
              <w:drawing>
                <wp:inline distT="0" distB="0" distL="114300" distR="114300">
                  <wp:extent cx="2085975" cy="539750"/>
                  <wp:effectExtent l="0" t="0" r="9525" b="1270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32"/>
                          <a:stretch>
                            <a:fillRect/>
                          </a:stretch>
                        </pic:blipFill>
                        <pic:spPr>
                          <a:xfrm>
                            <a:off x="0" y="0"/>
                            <a:ext cx="2085975" cy="539750"/>
                          </a:xfrm>
                          <a:prstGeom prst="rect">
                            <a:avLst/>
                          </a:prstGeom>
                          <a:noFill/>
                          <a:ln>
                            <a:noFill/>
                          </a:ln>
                        </pic:spPr>
                      </pic:pic>
                    </a:graphicData>
                  </a:graphic>
                </wp:inline>
              </w:drawing>
            </w:r>
          </w:p>
          <w:p w14:paraId="12F634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式中：A</w:t>
            </w:r>
            <w:r>
              <w:rPr>
                <w:rFonts w:hint="default" w:ascii="Times New Roman" w:hAnsi="Times New Roman" w:cs="Times New Roman"/>
                <w:b w:val="0"/>
                <w:bCs/>
                <w:color w:val="auto"/>
                <w:kern w:val="0"/>
                <w:sz w:val="24"/>
                <w:szCs w:val="24"/>
                <w:highlight w:val="none"/>
                <w:vertAlign w:val="subscript"/>
                <w:lang w:val="en-US" w:eastAsia="zh-CN" w:bidi="ar-SA"/>
              </w:rPr>
              <w:t>gr</w:t>
            </w:r>
            <w:r>
              <w:rPr>
                <w:rFonts w:hint="default" w:ascii="Times New Roman" w:hAnsi="Times New Roman" w:cs="Times New Roman"/>
                <w:b w:val="0"/>
                <w:bCs/>
                <w:color w:val="auto"/>
                <w:kern w:val="0"/>
                <w:sz w:val="24"/>
                <w:szCs w:val="24"/>
                <w:highlight w:val="none"/>
                <w:lang w:val="en-US" w:eastAsia="zh-CN" w:bidi="ar-SA"/>
              </w:rPr>
              <w:t xml:space="preserve">--地面效应引起的衰减，dB； </w:t>
            </w:r>
          </w:p>
          <w:p w14:paraId="320FFB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R--预测点距声源的距离，m； </w:t>
            </w:r>
          </w:p>
          <w:p w14:paraId="44BFB5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h</w:t>
            </w:r>
            <w:r>
              <w:rPr>
                <w:rFonts w:hint="default" w:ascii="Times New Roman" w:hAnsi="Times New Roman" w:eastAsia="宋体" w:cs="Times New Roman"/>
                <w:b w:val="0"/>
                <w:bCs/>
                <w:color w:val="auto"/>
                <w:kern w:val="0"/>
                <w:sz w:val="24"/>
                <w:szCs w:val="24"/>
                <w:highlight w:val="none"/>
                <w:vertAlign w:val="subscript"/>
                <w:lang w:val="en-US" w:eastAsia="zh-CN" w:bidi="ar-SA"/>
              </w:rPr>
              <w:t>m</w:t>
            </w:r>
            <w:r>
              <w:rPr>
                <w:rFonts w:hint="default" w:ascii="Times New Roman" w:hAnsi="Times New Roman" w:cs="Times New Roman"/>
                <w:b w:val="0"/>
                <w:bCs/>
                <w:color w:val="auto"/>
                <w:kern w:val="0"/>
                <w:sz w:val="24"/>
                <w:szCs w:val="24"/>
                <w:highlight w:val="none"/>
                <w:lang w:val="en-US" w:eastAsia="zh-CN" w:bidi="ar-SA"/>
              </w:rPr>
              <w:t>--传播路径的平均离地高度，m；</w:t>
            </w:r>
          </w:p>
          <w:p w14:paraId="0DEB84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5、障碍物屏蔽引起的衰减（A</w:t>
            </w:r>
            <w:r>
              <w:rPr>
                <w:rFonts w:hint="default" w:ascii="Times New Roman" w:hAnsi="Times New Roman" w:cs="Times New Roman"/>
                <w:b w:val="0"/>
                <w:bCs/>
                <w:color w:val="auto"/>
                <w:kern w:val="0"/>
                <w:sz w:val="24"/>
                <w:szCs w:val="24"/>
                <w:highlight w:val="none"/>
                <w:vertAlign w:val="subscript"/>
                <w:lang w:val="en-US" w:eastAsia="zh-CN" w:bidi="ar-SA"/>
              </w:rPr>
              <w:t>bar</w:t>
            </w:r>
            <w:r>
              <w:rPr>
                <w:rFonts w:hint="default" w:ascii="Times New Roman" w:hAnsi="Times New Roman" w:cs="Times New Roman"/>
                <w:b w:val="0"/>
                <w:bCs/>
                <w:color w:val="auto"/>
                <w:kern w:val="0"/>
                <w:sz w:val="24"/>
                <w:szCs w:val="24"/>
                <w:highlight w:val="none"/>
                <w:lang w:val="en-US" w:eastAsia="zh-CN" w:bidi="ar-SA"/>
              </w:rPr>
              <w:t xml:space="preserve">） </w:t>
            </w:r>
          </w:p>
          <w:p w14:paraId="43A4D6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位于声源和预测点之间的实体障碍物，如围墙、建筑物、土坡或地堑等起声屏障作用，从而引起声能量的较大衰减。在环境影响评价中，可将各种形式的屏障简化为具有一定高度的薄屏障。 </w:t>
            </w:r>
          </w:p>
          <w:p w14:paraId="575D56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S、O、P三点在同一平面内且垂直于地面。 </w:t>
            </w:r>
          </w:p>
          <w:p w14:paraId="13D994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定义δ＝SO＋OP－SP 为声程差，N＝2δ/λ为菲涅尔数，</w:t>
            </w:r>
            <w:r>
              <w:rPr>
                <w:rFonts w:hint="default" w:ascii="Times New Roman" w:hAnsi="Times New Roman" w:eastAsia="宋体" w:cs="Times New Roman"/>
                <w:b w:val="0"/>
                <w:bCs/>
                <w:color w:val="auto"/>
                <w:kern w:val="0"/>
                <w:sz w:val="24"/>
                <w:szCs w:val="24"/>
                <w:highlight w:val="none"/>
                <w:lang w:val="en-US" w:eastAsia="zh-CN" w:bidi="ar-SA"/>
              </w:rPr>
              <w:t>其中λ为</w:t>
            </w:r>
            <w:r>
              <w:rPr>
                <w:rFonts w:hint="default" w:ascii="Times New Roman" w:hAnsi="Times New Roman" w:cs="Times New Roman"/>
                <w:b w:val="0"/>
                <w:bCs/>
                <w:color w:val="auto"/>
                <w:kern w:val="0"/>
                <w:sz w:val="24"/>
                <w:szCs w:val="24"/>
                <w:highlight w:val="none"/>
                <w:lang w:val="en-US" w:eastAsia="zh-CN" w:bidi="ar-SA"/>
              </w:rPr>
              <w:t xml:space="preserve">声波波长。 </w:t>
            </w:r>
          </w:p>
          <w:p w14:paraId="0D6187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在噪声预测中，声屏障插入损失的计算方法需要根据实际情况作简化处理。 </w:t>
            </w:r>
          </w:p>
          <w:p w14:paraId="0D7277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屏障衰减A</w:t>
            </w:r>
            <w:r>
              <w:rPr>
                <w:rFonts w:hint="default" w:ascii="Times New Roman" w:hAnsi="Times New Roman" w:cs="Times New Roman"/>
                <w:b w:val="0"/>
                <w:bCs/>
                <w:color w:val="auto"/>
                <w:kern w:val="0"/>
                <w:sz w:val="24"/>
                <w:szCs w:val="24"/>
                <w:highlight w:val="none"/>
                <w:vertAlign w:val="subscript"/>
                <w:lang w:val="en-US" w:eastAsia="zh-CN" w:bidi="ar-SA"/>
              </w:rPr>
              <w:t>bar</w:t>
            </w:r>
            <w:r>
              <w:rPr>
                <w:rFonts w:hint="default" w:ascii="Times New Roman" w:hAnsi="Times New Roman" w:cs="Times New Roman"/>
                <w:b w:val="0"/>
                <w:bCs/>
                <w:color w:val="auto"/>
                <w:kern w:val="0"/>
                <w:sz w:val="24"/>
                <w:szCs w:val="24"/>
                <w:highlight w:val="none"/>
                <w:lang w:val="en-US" w:eastAsia="zh-CN" w:bidi="ar-SA"/>
              </w:rPr>
              <w:t xml:space="preserve">在单绕射（即薄屏障）情况，衰减最大取20dB；在双绕射（即厚屏障）情况，衰减最大取25dB。 </w:t>
            </w:r>
          </w:p>
          <w:p w14:paraId="0BE01E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a）首先计算下图所示三个传播途径的声程差δ1，δ2，δ3和相应的菲涅尔数N1、N2、N3。</w:t>
            </w:r>
          </w:p>
          <w:p w14:paraId="1270FC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b）声屏障引起的衰减按下式计算： </w:t>
            </w:r>
          </w:p>
          <w:p w14:paraId="49399A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b w:val="0"/>
                <w:bCs/>
                <w:color w:val="0000FF"/>
                <w:kern w:val="0"/>
                <w:sz w:val="24"/>
                <w:szCs w:val="24"/>
                <w:highlight w:val="none"/>
                <w:lang w:val="en-US" w:eastAsia="zh-CN" w:bidi="ar-SA"/>
              </w:rPr>
            </w:pPr>
            <w:r>
              <w:rPr>
                <w:rFonts w:hint="default" w:ascii="Times New Roman" w:hAnsi="Times New Roman" w:cs="Times New Roman"/>
              </w:rPr>
              <w:drawing>
                <wp:inline distT="0" distB="0" distL="114300" distR="114300">
                  <wp:extent cx="3213100" cy="539750"/>
                  <wp:effectExtent l="0" t="0" r="6350" b="1270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33"/>
                          <a:stretch>
                            <a:fillRect/>
                          </a:stretch>
                        </pic:blipFill>
                        <pic:spPr>
                          <a:xfrm>
                            <a:off x="0" y="0"/>
                            <a:ext cx="3213100" cy="539750"/>
                          </a:xfrm>
                          <a:prstGeom prst="rect">
                            <a:avLst/>
                          </a:prstGeom>
                          <a:noFill/>
                          <a:ln>
                            <a:noFill/>
                          </a:ln>
                        </pic:spPr>
                      </pic:pic>
                    </a:graphicData>
                  </a:graphic>
                </wp:inline>
              </w:drawing>
            </w:r>
          </w:p>
          <w:p w14:paraId="0905BF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式中：A</w:t>
            </w:r>
            <w:r>
              <w:rPr>
                <w:rFonts w:hint="default" w:ascii="Times New Roman" w:hAnsi="Times New Roman" w:cs="Times New Roman"/>
                <w:b w:val="0"/>
                <w:bCs/>
                <w:color w:val="auto"/>
                <w:kern w:val="0"/>
                <w:sz w:val="24"/>
                <w:szCs w:val="24"/>
                <w:highlight w:val="none"/>
                <w:vertAlign w:val="subscript"/>
                <w:lang w:val="en-US" w:eastAsia="zh-CN" w:bidi="ar-SA"/>
              </w:rPr>
              <w:t>bar</w:t>
            </w:r>
            <w:r>
              <w:rPr>
                <w:rFonts w:hint="default" w:ascii="Times New Roman" w:hAnsi="Times New Roman" w:cs="Times New Roman"/>
                <w:b w:val="0"/>
                <w:bCs/>
                <w:color w:val="auto"/>
                <w:kern w:val="0"/>
                <w:sz w:val="24"/>
                <w:szCs w:val="24"/>
                <w:highlight w:val="none"/>
                <w:lang w:val="en-US" w:eastAsia="zh-CN" w:bidi="ar-SA"/>
              </w:rPr>
              <w:t xml:space="preserve">--障碍物屏蔽引起的衰减，dB； </w:t>
            </w:r>
          </w:p>
          <w:p w14:paraId="65DC09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960" w:firstLineChars="4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N1、N2、N3--三个传播途径的声程差δ1，δ2，δ3相应的菲涅尔数。</w:t>
            </w:r>
          </w:p>
          <w:p w14:paraId="1E3F1E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0000FF"/>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当屏障很长（作无限长处理）时，仅可考虑顶端绕射衰减，按下式进行计算：</w:t>
            </w:r>
            <w:r>
              <w:rPr>
                <w:rFonts w:hint="default" w:ascii="Times New Roman" w:hAnsi="Times New Roman" w:cs="Times New Roman"/>
                <w:b w:val="0"/>
                <w:bCs/>
                <w:color w:val="0000FF"/>
                <w:kern w:val="0"/>
                <w:sz w:val="24"/>
                <w:szCs w:val="24"/>
                <w:highlight w:val="none"/>
                <w:lang w:val="en-US" w:eastAsia="zh-CN" w:bidi="ar-SA"/>
              </w:rPr>
              <w:t xml:space="preserve"> </w:t>
            </w:r>
          </w:p>
          <w:p w14:paraId="1F9691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color w:val="auto"/>
              </w:rPr>
              <w:drawing>
                <wp:inline distT="0" distB="0" distL="114300" distR="114300">
                  <wp:extent cx="1624965" cy="539750"/>
                  <wp:effectExtent l="0" t="0" r="13335" b="1270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34"/>
                          <a:stretch>
                            <a:fillRect/>
                          </a:stretch>
                        </pic:blipFill>
                        <pic:spPr>
                          <a:xfrm>
                            <a:off x="0" y="0"/>
                            <a:ext cx="1624965" cy="539750"/>
                          </a:xfrm>
                          <a:prstGeom prst="rect">
                            <a:avLst/>
                          </a:prstGeom>
                          <a:noFill/>
                          <a:ln>
                            <a:noFill/>
                          </a:ln>
                        </pic:spPr>
                      </pic:pic>
                    </a:graphicData>
                  </a:graphic>
                </wp:inline>
              </w:drawing>
            </w:r>
          </w:p>
          <w:p w14:paraId="3E99C0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式中：A</w:t>
            </w:r>
            <w:r>
              <w:rPr>
                <w:rFonts w:hint="default" w:ascii="Times New Roman" w:hAnsi="Times New Roman" w:cs="Times New Roman"/>
                <w:b w:val="0"/>
                <w:bCs/>
                <w:color w:val="auto"/>
                <w:kern w:val="0"/>
                <w:sz w:val="24"/>
                <w:szCs w:val="24"/>
                <w:highlight w:val="none"/>
                <w:vertAlign w:val="subscript"/>
                <w:lang w:val="en-US" w:eastAsia="zh-CN" w:bidi="ar-SA"/>
              </w:rPr>
              <w:t>bar</w:t>
            </w:r>
            <w:r>
              <w:rPr>
                <w:rFonts w:hint="default" w:ascii="Times New Roman" w:hAnsi="Times New Roman" w:cs="Times New Roman"/>
                <w:b w:val="0"/>
                <w:bCs/>
                <w:color w:val="auto"/>
                <w:kern w:val="0"/>
                <w:sz w:val="24"/>
                <w:szCs w:val="24"/>
                <w:highlight w:val="none"/>
                <w:lang w:val="en-US" w:eastAsia="zh-CN" w:bidi="ar-SA"/>
              </w:rPr>
              <w:t xml:space="preserve">--障碍物屏蔽引起的衰减，dB； </w:t>
            </w:r>
          </w:p>
          <w:p w14:paraId="4BC194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1200" w:firstLineChars="5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N</w:t>
            </w:r>
            <w:r>
              <w:rPr>
                <w:rFonts w:hint="default" w:ascii="Times New Roman" w:hAnsi="Times New Roman" w:cs="Times New Roman"/>
                <w:b w:val="0"/>
                <w:bCs/>
                <w:color w:val="auto"/>
                <w:kern w:val="0"/>
                <w:sz w:val="24"/>
                <w:szCs w:val="24"/>
                <w:highlight w:val="none"/>
                <w:vertAlign w:val="subscript"/>
                <w:lang w:val="en-US" w:eastAsia="zh-CN" w:bidi="ar-SA"/>
              </w:rPr>
              <w:t>1</w:t>
            </w:r>
            <w:r>
              <w:rPr>
                <w:rFonts w:hint="default" w:ascii="Times New Roman" w:hAnsi="Times New Roman" w:cs="Times New Roman"/>
                <w:b w:val="0"/>
                <w:bCs/>
                <w:color w:val="auto"/>
                <w:kern w:val="0"/>
                <w:sz w:val="24"/>
                <w:szCs w:val="24"/>
                <w:highlight w:val="none"/>
                <w:lang w:val="en-US" w:eastAsia="zh-CN" w:bidi="ar-SA"/>
              </w:rPr>
              <w:t xml:space="preserve">--顶端绕射的声程差δ1相应的菲涅尔数。 </w:t>
            </w:r>
          </w:p>
          <w:p w14:paraId="3B51A8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b w:val="0"/>
                <w:bCs/>
                <w:color w:val="0000FF"/>
                <w:kern w:val="0"/>
                <w:sz w:val="24"/>
                <w:szCs w:val="24"/>
                <w:highlight w:val="none"/>
                <w:lang w:val="en-US" w:eastAsia="zh-CN" w:bidi="ar-SA"/>
              </w:rPr>
            </w:pPr>
            <w:r>
              <w:rPr>
                <w:rFonts w:hint="default" w:ascii="Times New Roman" w:hAnsi="Times New Roman" w:cs="Times New Roman"/>
                <w:color w:val="0000FF"/>
                <w:highlight w:val="none"/>
              </w:rPr>
              <w:drawing>
                <wp:inline distT="0" distB="0" distL="114300" distR="114300">
                  <wp:extent cx="3333750" cy="1457325"/>
                  <wp:effectExtent l="0" t="0" r="0" b="9525"/>
                  <wp:docPr id="1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4"/>
                          <pic:cNvPicPr>
                            <a:picLocks noChangeAspect="1"/>
                          </pic:cNvPicPr>
                        </pic:nvPicPr>
                        <pic:blipFill>
                          <a:blip r:embed="rId35"/>
                          <a:stretch>
                            <a:fillRect/>
                          </a:stretch>
                        </pic:blipFill>
                        <pic:spPr>
                          <a:xfrm>
                            <a:off x="0" y="0"/>
                            <a:ext cx="3333750" cy="1457325"/>
                          </a:xfrm>
                          <a:prstGeom prst="rect">
                            <a:avLst/>
                          </a:prstGeom>
                          <a:noFill/>
                          <a:ln>
                            <a:noFill/>
                          </a:ln>
                        </pic:spPr>
                      </pic:pic>
                    </a:graphicData>
                  </a:graphic>
                </wp:inline>
              </w:drawing>
            </w:r>
          </w:p>
          <w:p w14:paraId="375E0B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kern w:val="0"/>
                <w:sz w:val="24"/>
                <w:szCs w:val="24"/>
                <w:highlight w:val="none"/>
                <w:lang w:val="en-US" w:eastAsia="zh-CN" w:bidi="ar-SA"/>
              </w:rPr>
            </w:pPr>
            <w:r>
              <w:rPr>
                <w:rFonts w:hint="default" w:ascii="Times New Roman" w:hAnsi="Times New Roman" w:cs="Times New Roman"/>
                <w:b/>
                <w:bCs w:val="0"/>
                <w:color w:val="auto"/>
                <w:kern w:val="0"/>
                <w:sz w:val="24"/>
                <w:szCs w:val="24"/>
                <w:highlight w:val="none"/>
                <w:lang w:val="en-US" w:eastAsia="zh-CN" w:bidi="ar-SA"/>
              </w:rPr>
              <w:t>2.2预测点布置</w:t>
            </w:r>
          </w:p>
          <w:p w14:paraId="63000C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0000FF"/>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升压站对环境有持久影响的噪声为运行噪声。</w:t>
            </w:r>
            <w:r>
              <w:rPr>
                <w:rFonts w:hint="default" w:ascii="Times New Roman" w:hAnsi="Times New Roman" w:cs="Times New Roman"/>
                <w:b w:val="0"/>
                <w:bCs/>
                <w:color w:val="auto"/>
                <w:kern w:val="0"/>
                <w:sz w:val="24"/>
                <w:szCs w:val="24"/>
                <w:highlight w:val="none"/>
                <w:lang w:val="en-US" w:eastAsia="zh-CN" w:bidi="ar-SA"/>
              </w:rPr>
              <w:t>升压</w:t>
            </w:r>
            <w:r>
              <w:rPr>
                <w:rFonts w:hint="default" w:ascii="Times New Roman" w:hAnsi="Times New Roman" w:eastAsia="宋体" w:cs="Times New Roman"/>
                <w:b w:val="0"/>
                <w:bCs/>
                <w:color w:val="auto"/>
                <w:kern w:val="0"/>
                <w:sz w:val="24"/>
                <w:szCs w:val="24"/>
                <w:highlight w:val="none"/>
                <w:lang w:val="en-US" w:eastAsia="zh-CN" w:bidi="ar-SA"/>
              </w:rPr>
              <w:t>站为24h连续运行，噪声源稳定，昼间和夜间产生的噪声水平具有一致性，其对环境噪声的贡献值也昼夜相同。本次预测范围为</w:t>
            </w:r>
            <w:r>
              <w:rPr>
                <w:rFonts w:hint="default" w:ascii="Times New Roman" w:hAnsi="Times New Roman" w:cs="Times New Roman"/>
                <w:b w:val="0"/>
                <w:bCs/>
                <w:color w:val="auto"/>
                <w:kern w:val="0"/>
                <w:sz w:val="24"/>
                <w:szCs w:val="24"/>
                <w:highlight w:val="none"/>
                <w:lang w:val="en-US" w:eastAsia="zh-CN" w:bidi="ar-SA"/>
              </w:rPr>
              <w:t>升压站</w:t>
            </w:r>
            <w:r>
              <w:rPr>
                <w:rFonts w:hint="default" w:ascii="Times New Roman" w:hAnsi="Times New Roman" w:eastAsia="宋体" w:cs="Times New Roman"/>
                <w:b w:val="0"/>
                <w:bCs/>
                <w:color w:val="auto"/>
                <w:kern w:val="0"/>
                <w:sz w:val="24"/>
                <w:szCs w:val="24"/>
                <w:highlight w:val="none"/>
                <w:lang w:val="en-US" w:eastAsia="zh-CN" w:bidi="ar-SA"/>
              </w:rPr>
              <w:t>站界东侧、南侧、西侧、北侧方向外200m的区域。</w:t>
            </w:r>
            <w:r>
              <w:rPr>
                <w:rFonts w:hint="default" w:ascii="Times New Roman" w:hAnsi="Times New Roman" w:eastAsia="宋体" w:cs="Times New Roman"/>
                <w:b w:val="0"/>
                <w:bCs/>
                <w:color w:val="0000FF"/>
                <w:kern w:val="0"/>
                <w:sz w:val="24"/>
                <w:szCs w:val="24"/>
                <w:highlight w:val="none"/>
                <w:lang w:val="en-US" w:eastAsia="zh-CN" w:bidi="ar-SA"/>
              </w:rPr>
              <w:t xml:space="preserve"> </w:t>
            </w:r>
          </w:p>
          <w:p w14:paraId="4FC56E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cs="Times New Roman"/>
                <w:b/>
                <w:bCs w:val="0"/>
                <w:color w:val="auto"/>
                <w:kern w:val="0"/>
                <w:sz w:val="24"/>
                <w:szCs w:val="24"/>
                <w:highlight w:val="none"/>
                <w:lang w:val="en-US" w:eastAsia="zh-CN" w:bidi="ar-SA"/>
              </w:rPr>
            </w:pPr>
            <w:r>
              <w:rPr>
                <w:rFonts w:hint="default" w:ascii="Times New Roman" w:hAnsi="Times New Roman" w:cs="Times New Roman"/>
                <w:b/>
                <w:bCs w:val="0"/>
                <w:color w:val="auto"/>
                <w:kern w:val="0"/>
                <w:sz w:val="24"/>
                <w:szCs w:val="24"/>
                <w:highlight w:val="none"/>
                <w:lang w:val="en-US" w:eastAsia="zh-CN" w:bidi="ar-SA"/>
              </w:rPr>
              <w:t>2.3噪声源</w:t>
            </w:r>
          </w:p>
          <w:p w14:paraId="273CA5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升压站</w:t>
            </w:r>
            <w:r>
              <w:rPr>
                <w:rFonts w:hint="default" w:ascii="Times New Roman" w:hAnsi="Times New Roman" w:eastAsia="宋体" w:cs="Times New Roman"/>
                <w:b w:val="0"/>
                <w:bCs/>
                <w:color w:val="auto"/>
                <w:kern w:val="0"/>
                <w:sz w:val="24"/>
                <w:szCs w:val="24"/>
                <w:highlight w:val="none"/>
                <w:lang w:val="en-US" w:eastAsia="zh-CN" w:bidi="ar-SA"/>
              </w:rPr>
              <w:t>站内电气设备在运行时会产生各种噪声，主要有主变</w:t>
            </w:r>
            <w:r>
              <w:rPr>
                <w:rFonts w:hint="eastAsia" w:cs="Times New Roman"/>
                <w:b w:val="0"/>
                <w:bCs/>
                <w:color w:val="auto"/>
                <w:kern w:val="0"/>
                <w:sz w:val="24"/>
                <w:szCs w:val="24"/>
                <w:highlight w:val="none"/>
                <w:lang w:val="en-US" w:eastAsia="zh-CN" w:bidi="ar-SA"/>
              </w:rPr>
              <w:t>、ＳＶＧ</w:t>
            </w:r>
            <w:r>
              <w:rPr>
                <w:rFonts w:hint="default" w:ascii="Times New Roman" w:hAnsi="Times New Roman" w:eastAsia="宋体" w:cs="Times New Roman"/>
                <w:b w:val="0"/>
                <w:bCs/>
                <w:color w:val="auto"/>
                <w:kern w:val="0"/>
                <w:sz w:val="24"/>
                <w:szCs w:val="24"/>
                <w:highlight w:val="none"/>
                <w:lang w:val="en-US" w:eastAsia="zh-CN" w:bidi="ar-SA"/>
              </w:rPr>
              <w:t xml:space="preserve">等电气设备所产生的电磁噪声，主要以中低频为主。主变压器声功率级选用《变电站噪声控制技术导则》（DL/T1518-2016）中的噪声源强。 </w:t>
            </w:r>
          </w:p>
          <w:p w14:paraId="25D49C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根据《环境影响评价技术导则 声环境》（HJ2.4-2021）附录D中D.1噪声源调查表要求，结合《变电站噪声控制技术导则》(DL/T1518-2016）核实噪声源强。根据建设单位提供资料，</w:t>
            </w:r>
            <w:r>
              <w:rPr>
                <w:rFonts w:hint="default" w:ascii="Times New Roman" w:hAnsi="Times New Roman" w:cs="Times New Roman"/>
                <w:b w:val="0"/>
                <w:bCs/>
                <w:color w:val="auto"/>
                <w:kern w:val="0"/>
                <w:sz w:val="24"/>
                <w:szCs w:val="24"/>
                <w:highlight w:val="none"/>
                <w:lang w:val="en-US" w:eastAsia="zh-CN" w:bidi="ar-SA"/>
              </w:rPr>
              <w:t>升压站</w:t>
            </w:r>
            <w:r>
              <w:rPr>
                <w:rFonts w:hint="default" w:ascii="Times New Roman" w:hAnsi="Times New Roman" w:eastAsia="宋体" w:cs="Times New Roman"/>
                <w:b w:val="0"/>
                <w:bCs/>
                <w:color w:val="auto"/>
                <w:kern w:val="0"/>
                <w:sz w:val="24"/>
                <w:szCs w:val="24"/>
                <w:highlight w:val="none"/>
                <w:lang w:val="en-US" w:eastAsia="zh-CN" w:bidi="ar-SA"/>
              </w:rPr>
              <w:t xml:space="preserve">选用油浸式有载调压变压器，室外声源噪声源强调查清单见下表。 </w:t>
            </w:r>
          </w:p>
          <w:p w14:paraId="52823CE7">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cs="Times New Roman"/>
                <w:b/>
                <w:bCs w:val="0"/>
                <w:color w:val="auto"/>
                <w:sz w:val="21"/>
                <w:szCs w:val="21"/>
                <w:highlight w:val="none"/>
              </w:rPr>
              <w:t>表4-</w:t>
            </w:r>
            <w:r>
              <w:rPr>
                <w:rFonts w:hint="default" w:ascii="Times New Roman" w:hAnsi="Times New Roman" w:cs="Times New Roman"/>
                <w:b/>
                <w:bCs w:val="0"/>
                <w:color w:val="auto"/>
                <w:sz w:val="21"/>
                <w:szCs w:val="21"/>
                <w:highlight w:val="none"/>
                <w:lang w:val="en-US" w:eastAsia="zh-CN"/>
              </w:rPr>
              <w:t>2</w:t>
            </w:r>
            <w:r>
              <w:rPr>
                <w:rFonts w:hint="default" w:ascii="Times New Roman" w:hAnsi="Times New Roman" w:cs="Times New Roman"/>
                <w:b/>
                <w:bCs w:val="0"/>
                <w:color w:val="auto"/>
                <w:sz w:val="21"/>
                <w:szCs w:val="21"/>
                <w:highlight w:val="none"/>
              </w:rPr>
              <w:t xml:space="preserve">   </w:t>
            </w:r>
            <w:r>
              <w:rPr>
                <w:rFonts w:hint="default" w:ascii="Times New Roman" w:hAnsi="Times New Roman" w:cs="Times New Roman"/>
                <w:b/>
                <w:bCs w:val="0"/>
                <w:color w:val="auto"/>
                <w:sz w:val="21"/>
                <w:szCs w:val="21"/>
                <w:highlight w:val="none"/>
                <w:lang w:val="en-US" w:eastAsia="zh-CN"/>
              </w:rPr>
              <w:t>主要噪声源及其声学参数表（室外）调查表</w:t>
            </w:r>
          </w:p>
          <w:tbl>
            <w:tblPr>
              <w:tblStyle w:val="3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1171"/>
              <w:gridCol w:w="1162"/>
              <w:gridCol w:w="855"/>
              <w:gridCol w:w="818"/>
              <w:gridCol w:w="877"/>
              <w:gridCol w:w="1044"/>
              <w:gridCol w:w="946"/>
              <w:gridCol w:w="1003"/>
            </w:tblGrid>
            <w:tr w14:paraId="5BC1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29" w:type="pct"/>
                  <w:vMerge w:val="restart"/>
                  <w:tcBorders>
                    <w:tl2br w:val="nil"/>
                    <w:tr2bl w:val="nil"/>
                  </w:tcBorders>
                  <w:shd w:val="clear" w:color="auto" w:fill="auto"/>
                  <w:vAlign w:val="center"/>
                </w:tcPr>
                <w:p w14:paraId="308AFA6D">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序号</w:t>
                  </w:r>
                </w:p>
              </w:tc>
              <w:tc>
                <w:tcPr>
                  <w:tcW w:w="695" w:type="pct"/>
                  <w:vMerge w:val="restart"/>
                  <w:tcBorders>
                    <w:tl2br w:val="nil"/>
                    <w:tr2bl w:val="nil"/>
                  </w:tcBorders>
                  <w:shd w:val="clear" w:color="auto" w:fill="auto"/>
                  <w:vAlign w:val="center"/>
                </w:tcPr>
                <w:p w14:paraId="56145A3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设备名称</w:t>
                  </w:r>
                </w:p>
              </w:tc>
              <w:tc>
                <w:tcPr>
                  <w:tcW w:w="689" w:type="pct"/>
                  <w:vMerge w:val="restart"/>
                  <w:tcBorders>
                    <w:tl2br w:val="nil"/>
                    <w:tr2bl w:val="nil"/>
                  </w:tcBorders>
                  <w:shd w:val="clear" w:color="auto" w:fill="auto"/>
                  <w:vAlign w:val="center"/>
                </w:tcPr>
                <w:p w14:paraId="548CE578">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型号</w:t>
                  </w:r>
                </w:p>
              </w:tc>
              <w:tc>
                <w:tcPr>
                  <w:tcW w:w="1512" w:type="pct"/>
                  <w:gridSpan w:val="3"/>
                  <w:tcBorders>
                    <w:tl2br w:val="nil"/>
                    <w:tr2bl w:val="nil"/>
                  </w:tcBorders>
                  <w:shd w:val="clear" w:color="auto" w:fill="auto"/>
                  <w:vAlign w:val="center"/>
                </w:tcPr>
                <w:p w14:paraId="6E76C56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空间相对位置/m</w:t>
                  </w:r>
                </w:p>
              </w:tc>
              <w:tc>
                <w:tcPr>
                  <w:tcW w:w="619" w:type="pct"/>
                  <w:tcBorders>
                    <w:tl2br w:val="nil"/>
                    <w:tr2bl w:val="nil"/>
                  </w:tcBorders>
                  <w:shd w:val="clear" w:color="auto" w:fill="auto"/>
                  <w:vAlign w:val="center"/>
                </w:tcPr>
                <w:p w14:paraId="59BB4AD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源强</w:t>
                  </w:r>
                </w:p>
              </w:tc>
              <w:tc>
                <w:tcPr>
                  <w:tcW w:w="561" w:type="pct"/>
                  <w:vMerge w:val="restart"/>
                  <w:tcBorders>
                    <w:tl2br w:val="nil"/>
                    <w:tr2bl w:val="nil"/>
                  </w:tcBorders>
                  <w:shd w:val="clear" w:color="auto" w:fill="auto"/>
                  <w:vAlign w:val="center"/>
                </w:tcPr>
                <w:p w14:paraId="5F5446C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声源控制措施</w:t>
                  </w:r>
                </w:p>
              </w:tc>
              <w:tc>
                <w:tcPr>
                  <w:tcW w:w="592" w:type="pct"/>
                  <w:vMerge w:val="restart"/>
                  <w:tcBorders>
                    <w:tl2br w:val="nil"/>
                    <w:tr2bl w:val="nil"/>
                  </w:tcBorders>
                  <w:shd w:val="clear" w:color="auto" w:fill="auto"/>
                  <w:vAlign w:val="center"/>
                </w:tcPr>
                <w:p w14:paraId="31D1C54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运行时段</w:t>
                  </w:r>
                </w:p>
              </w:tc>
            </w:tr>
            <w:tr w14:paraId="1869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29" w:type="pct"/>
                  <w:vMerge w:val="continue"/>
                  <w:tcBorders>
                    <w:tl2br w:val="nil"/>
                    <w:tr2bl w:val="nil"/>
                  </w:tcBorders>
                  <w:shd w:val="clear" w:color="auto" w:fill="auto"/>
                  <w:vAlign w:val="center"/>
                </w:tcPr>
                <w:p w14:paraId="6243D45D">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p>
              </w:tc>
              <w:tc>
                <w:tcPr>
                  <w:tcW w:w="695" w:type="pct"/>
                  <w:vMerge w:val="continue"/>
                  <w:tcBorders>
                    <w:tl2br w:val="nil"/>
                    <w:tr2bl w:val="nil"/>
                  </w:tcBorders>
                  <w:shd w:val="clear" w:color="auto" w:fill="auto"/>
                  <w:vAlign w:val="center"/>
                </w:tcPr>
                <w:p w14:paraId="619811AD">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p>
              </w:tc>
              <w:tc>
                <w:tcPr>
                  <w:tcW w:w="689" w:type="pct"/>
                  <w:vMerge w:val="continue"/>
                  <w:tcBorders>
                    <w:tl2br w:val="nil"/>
                    <w:tr2bl w:val="nil"/>
                  </w:tcBorders>
                  <w:shd w:val="clear" w:color="auto" w:fill="auto"/>
                  <w:vAlign w:val="center"/>
                </w:tcPr>
                <w:p w14:paraId="39AC3B7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p>
              </w:tc>
              <w:tc>
                <w:tcPr>
                  <w:tcW w:w="507" w:type="pct"/>
                  <w:tcBorders>
                    <w:tl2br w:val="nil"/>
                    <w:tr2bl w:val="nil"/>
                  </w:tcBorders>
                  <w:shd w:val="clear" w:color="auto" w:fill="auto"/>
                  <w:vAlign w:val="center"/>
                </w:tcPr>
                <w:p w14:paraId="718BB49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X</w:t>
                  </w:r>
                </w:p>
              </w:tc>
              <w:tc>
                <w:tcPr>
                  <w:tcW w:w="485" w:type="pct"/>
                  <w:tcBorders>
                    <w:tl2br w:val="nil"/>
                    <w:tr2bl w:val="nil"/>
                  </w:tcBorders>
                  <w:shd w:val="clear" w:color="auto" w:fill="auto"/>
                  <w:vAlign w:val="center"/>
                </w:tcPr>
                <w:p w14:paraId="71F1C61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Y</w:t>
                  </w:r>
                </w:p>
              </w:tc>
              <w:tc>
                <w:tcPr>
                  <w:tcW w:w="518" w:type="pct"/>
                  <w:tcBorders>
                    <w:tl2br w:val="nil"/>
                    <w:tr2bl w:val="nil"/>
                  </w:tcBorders>
                  <w:shd w:val="clear" w:color="auto" w:fill="auto"/>
                  <w:vAlign w:val="center"/>
                </w:tcPr>
                <w:p w14:paraId="554D023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Z</w:t>
                  </w:r>
                </w:p>
              </w:tc>
              <w:tc>
                <w:tcPr>
                  <w:tcW w:w="619" w:type="pct"/>
                  <w:tcBorders>
                    <w:tl2br w:val="nil"/>
                    <w:tr2bl w:val="nil"/>
                  </w:tcBorders>
                  <w:shd w:val="clear" w:color="auto" w:fill="auto"/>
                  <w:vAlign w:val="center"/>
                </w:tcPr>
                <w:p w14:paraId="6EFE403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声功率级dB(A)</w:t>
                  </w:r>
                </w:p>
              </w:tc>
              <w:tc>
                <w:tcPr>
                  <w:tcW w:w="561" w:type="pct"/>
                  <w:vMerge w:val="continue"/>
                  <w:tcBorders>
                    <w:tl2br w:val="nil"/>
                    <w:tr2bl w:val="nil"/>
                  </w:tcBorders>
                  <w:shd w:val="clear" w:color="auto" w:fill="auto"/>
                  <w:vAlign w:val="center"/>
                </w:tcPr>
                <w:p w14:paraId="1151384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highlight w:val="none"/>
                    </w:rPr>
                  </w:pPr>
                </w:p>
              </w:tc>
              <w:tc>
                <w:tcPr>
                  <w:tcW w:w="592" w:type="pct"/>
                  <w:vMerge w:val="continue"/>
                  <w:tcBorders>
                    <w:tl2br w:val="nil"/>
                    <w:tr2bl w:val="nil"/>
                  </w:tcBorders>
                  <w:shd w:val="clear" w:color="auto" w:fill="auto"/>
                  <w:vAlign w:val="center"/>
                </w:tcPr>
                <w:p w14:paraId="5DB8473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highlight w:val="none"/>
                    </w:rPr>
                  </w:pPr>
                </w:p>
              </w:tc>
            </w:tr>
            <w:tr w14:paraId="4051C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329" w:type="pct"/>
                  <w:tcBorders>
                    <w:tl2br w:val="nil"/>
                    <w:tr2bl w:val="nil"/>
                  </w:tcBorders>
                  <w:shd w:val="clear" w:color="auto" w:fill="auto"/>
                  <w:vAlign w:val="center"/>
                </w:tcPr>
                <w:p w14:paraId="1F59566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1</w:t>
                  </w:r>
                </w:p>
              </w:tc>
              <w:tc>
                <w:tcPr>
                  <w:tcW w:w="695" w:type="pct"/>
                  <w:tcBorders>
                    <w:tl2br w:val="nil"/>
                    <w:tr2bl w:val="nil"/>
                  </w:tcBorders>
                  <w:shd w:val="clear" w:color="auto" w:fill="auto"/>
                  <w:vAlign w:val="center"/>
                </w:tcPr>
                <w:p w14:paraId="1519833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主变压器</w:t>
                  </w:r>
                </w:p>
              </w:tc>
              <w:tc>
                <w:tcPr>
                  <w:tcW w:w="689" w:type="pct"/>
                  <w:tcBorders>
                    <w:tl2br w:val="nil"/>
                    <w:tr2bl w:val="nil"/>
                  </w:tcBorders>
                  <w:shd w:val="clear" w:color="auto" w:fill="auto"/>
                  <w:vAlign w:val="center"/>
                </w:tcPr>
                <w:p w14:paraId="0FCA08A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100MVA</w:t>
                  </w:r>
                </w:p>
              </w:tc>
              <w:tc>
                <w:tcPr>
                  <w:tcW w:w="507" w:type="pct"/>
                  <w:tcBorders>
                    <w:tl2br w:val="nil"/>
                    <w:tr2bl w:val="nil"/>
                  </w:tcBorders>
                  <w:shd w:val="clear" w:color="auto" w:fill="auto"/>
                  <w:vAlign w:val="center"/>
                </w:tcPr>
                <w:p w14:paraId="7B04539F">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48</w:t>
                  </w:r>
                </w:p>
              </w:tc>
              <w:tc>
                <w:tcPr>
                  <w:tcW w:w="485" w:type="pct"/>
                  <w:tcBorders>
                    <w:tl2br w:val="nil"/>
                    <w:tr2bl w:val="nil"/>
                  </w:tcBorders>
                  <w:shd w:val="clear" w:color="auto" w:fill="auto"/>
                  <w:vAlign w:val="center"/>
                </w:tcPr>
                <w:p w14:paraId="6F5EED0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80</w:t>
                  </w:r>
                </w:p>
              </w:tc>
              <w:tc>
                <w:tcPr>
                  <w:tcW w:w="518" w:type="pct"/>
                  <w:tcBorders>
                    <w:tl2br w:val="nil"/>
                    <w:tr2bl w:val="nil"/>
                  </w:tcBorders>
                  <w:shd w:val="clear" w:color="auto" w:fill="auto"/>
                  <w:vAlign w:val="center"/>
                </w:tcPr>
                <w:p w14:paraId="2E14D099">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1</w:t>
                  </w:r>
                </w:p>
              </w:tc>
              <w:tc>
                <w:tcPr>
                  <w:tcW w:w="619" w:type="pct"/>
                  <w:tcBorders>
                    <w:tl2br w:val="nil"/>
                    <w:tr2bl w:val="nil"/>
                  </w:tcBorders>
                  <w:shd w:val="clear" w:color="auto" w:fill="auto"/>
                  <w:vAlign w:val="center"/>
                </w:tcPr>
                <w:p w14:paraId="214653CD">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91.2</w:t>
                  </w:r>
                </w:p>
              </w:tc>
              <w:tc>
                <w:tcPr>
                  <w:tcW w:w="561" w:type="pct"/>
                  <w:vMerge w:val="restart"/>
                  <w:tcBorders>
                    <w:tl2br w:val="nil"/>
                    <w:tr2bl w:val="nil"/>
                  </w:tcBorders>
                  <w:shd w:val="clear" w:color="auto" w:fill="auto"/>
                  <w:vAlign w:val="center"/>
                </w:tcPr>
                <w:p w14:paraId="0C926DA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 xml:space="preserve">选用低噪设备，基础减震降噪。 </w:t>
                  </w:r>
                </w:p>
              </w:tc>
              <w:tc>
                <w:tcPr>
                  <w:tcW w:w="592" w:type="pct"/>
                  <w:vMerge w:val="restart"/>
                  <w:tcBorders>
                    <w:tl2br w:val="nil"/>
                    <w:tr2bl w:val="nil"/>
                  </w:tcBorders>
                  <w:shd w:val="clear" w:color="auto" w:fill="auto"/>
                  <w:vAlign w:val="center"/>
                </w:tcPr>
                <w:p w14:paraId="1C6D6F0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 xml:space="preserve">全时段 </w:t>
                  </w:r>
                </w:p>
              </w:tc>
            </w:tr>
            <w:tr w14:paraId="6EE7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329" w:type="pct"/>
                  <w:tcBorders>
                    <w:tl2br w:val="nil"/>
                    <w:tr2bl w:val="nil"/>
                  </w:tcBorders>
                  <w:shd w:val="clear" w:color="auto" w:fill="auto"/>
                  <w:vAlign w:val="center"/>
                </w:tcPr>
                <w:p w14:paraId="351514F3">
                  <w:pPr>
                    <w:pStyle w:val="65"/>
                    <w:keepNext w:val="0"/>
                    <w:keepLines w:val="0"/>
                    <w:suppressLineNumbers w:val="0"/>
                    <w:spacing w:before="0" w:beforeAutospacing="0" w:after="0" w:afterAutospacing="0" w:line="240" w:lineRule="auto"/>
                    <w:ind w:left="0" w:right="0" w:firstLine="0" w:firstLineChars="0"/>
                    <w:jc w:val="center"/>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２</w:t>
                  </w:r>
                </w:p>
              </w:tc>
              <w:tc>
                <w:tcPr>
                  <w:tcW w:w="695" w:type="pct"/>
                  <w:tcBorders>
                    <w:tl2br w:val="nil"/>
                    <w:tr2bl w:val="nil"/>
                  </w:tcBorders>
                  <w:shd w:val="clear" w:color="auto" w:fill="auto"/>
                  <w:vAlign w:val="center"/>
                </w:tcPr>
                <w:p w14:paraId="687FF9E3">
                  <w:pPr>
                    <w:pStyle w:val="65"/>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auto"/>
                      <w:sz w:val="21"/>
                      <w:highlight w:val="none"/>
                      <w:lang w:val="en-US" w:eastAsia="zh-CN"/>
                    </w:rPr>
                  </w:pPr>
                  <w:r>
                    <w:rPr>
                      <w:rFonts w:hint="eastAsia" w:ascii="Times New Roman" w:hAnsi="Times New Roman" w:cs="Times New Roman"/>
                      <w:color w:val="auto"/>
                      <w:sz w:val="21"/>
                      <w:highlight w:val="none"/>
                      <w:lang w:val="en-US" w:eastAsia="zh-CN"/>
                    </w:rPr>
                    <w:t>SVG</w:t>
                  </w:r>
                </w:p>
              </w:tc>
              <w:tc>
                <w:tcPr>
                  <w:tcW w:w="689" w:type="pct"/>
                  <w:tcBorders>
                    <w:tl2br w:val="nil"/>
                    <w:tr2bl w:val="nil"/>
                  </w:tcBorders>
                  <w:shd w:val="clear" w:color="auto" w:fill="auto"/>
                  <w:vAlign w:val="center"/>
                </w:tcPr>
                <w:p w14:paraId="2FDC04CE">
                  <w:pPr>
                    <w:keepNext w:val="0"/>
                    <w:keepLines w:val="0"/>
                    <w:suppressLineNumbers w:val="0"/>
                    <w:spacing w:before="0" w:beforeAutospacing="0" w:after="0" w:afterAutospacing="0"/>
                    <w:ind w:left="0" w:right="0"/>
                    <w:jc w:val="center"/>
                    <w:rPr>
                      <w:rFonts w:hint="eastAsia"/>
                      <w:lang w:val="en-US" w:eastAsia="zh-CN"/>
                    </w:rPr>
                  </w:pPr>
                  <w:r>
                    <w:rPr>
                      <w:rFonts w:hint="eastAsia"/>
                      <w:lang w:val="en-US" w:eastAsia="zh-CN"/>
                    </w:rPr>
                    <w:t>直挂水冷式</w:t>
                  </w:r>
                </w:p>
              </w:tc>
              <w:tc>
                <w:tcPr>
                  <w:tcW w:w="855" w:type="dxa"/>
                  <w:tcBorders>
                    <w:tl2br w:val="nil"/>
                    <w:tr2bl w:val="nil"/>
                  </w:tcBorders>
                  <w:shd w:val="clear" w:color="auto" w:fill="auto"/>
                  <w:vAlign w:val="center"/>
                </w:tcPr>
                <w:p w14:paraId="2B7B864F">
                  <w:pPr>
                    <w:pStyle w:val="65"/>
                    <w:keepNext w:val="0"/>
                    <w:keepLines w:val="0"/>
                    <w:suppressLineNumbers w:val="0"/>
                    <w:spacing w:before="0" w:beforeAutospacing="0" w:after="0" w:afterAutospacing="0" w:line="240" w:lineRule="auto"/>
                    <w:ind w:left="0" w:leftChars="0" w:right="0" w:rightChars="0" w:firstLine="0" w:firstLineChars="0"/>
                    <w:jc w:val="center"/>
                    <w:rPr>
                      <w:rFonts w:hint="eastAsia"/>
                      <w:lang w:val="en-US" w:eastAsia="zh-CN"/>
                    </w:rPr>
                  </w:pPr>
                  <w:r>
                    <w:rPr>
                      <w:rFonts w:hint="default" w:ascii="Times New Roman" w:hAnsi="Times New Roman" w:cs="Times New Roman"/>
                      <w:color w:val="auto"/>
                      <w:sz w:val="21"/>
                      <w:highlight w:val="none"/>
                      <w:lang w:val="en-US" w:eastAsia="zh-CN"/>
                    </w:rPr>
                    <w:t>46</w:t>
                  </w:r>
                </w:p>
              </w:tc>
              <w:tc>
                <w:tcPr>
                  <w:tcW w:w="818" w:type="dxa"/>
                  <w:tcBorders>
                    <w:tl2br w:val="nil"/>
                    <w:tr2bl w:val="nil"/>
                  </w:tcBorders>
                  <w:shd w:val="clear" w:color="auto" w:fill="auto"/>
                  <w:vAlign w:val="center"/>
                </w:tcPr>
                <w:p w14:paraId="0921F531">
                  <w:pPr>
                    <w:pStyle w:val="65"/>
                    <w:keepNext w:val="0"/>
                    <w:keepLines w:val="0"/>
                    <w:suppressLineNumbers w:val="0"/>
                    <w:spacing w:before="0" w:beforeAutospacing="0" w:after="0" w:afterAutospacing="0" w:line="240" w:lineRule="auto"/>
                    <w:ind w:left="0" w:leftChars="0" w:right="0" w:rightChars="0" w:firstLine="0" w:firstLineChars="0"/>
                    <w:jc w:val="center"/>
                    <w:rPr>
                      <w:rFonts w:hint="eastAsia"/>
                      <w:lang w:val="en-US" w:eastAsia="zh-CN"/>
                    </w:rPr>
                  </w:pPr>
                  <w:r>
                    <w:rPr>
                      <w:rFonts w:hint="default" w:ascii="Times New Roman" w:hAnsi="Times New Roman" w:cs="Times New Roman"/>
                      <w:color w:val="auto"/>
                      <w:sz w:val="21"/>
                      <w:highlight w:val="none"/>
                      <w:lang w:val="en-US" w:eastAsia="zh-CN"/>
                    </w:rPr>
                    <w:t>53</w:t>
                  </w:r>
                </w:p>
              </w:tc>
              <w:tc>
                <w:tcPr>
                  <w:tcW w:w="877" w:type="dxa"/>
                  <w:tcBorders>
                    <w:tl2br w:val="nil"/>
                    <w:tr2bl w:val="nil"/>
                  </w:tcBorders>
                  <w:shd w:val="clear" w:color="auto" w:fill="auto"/>
                  <w:vAlign w:val="center"/>
                </w:tcPr>
                <w:p w14:paraId="787DC48D">
                  <w:pPr>
                    <w:pStyle w:val="65"/>
                    <w:keepNext w:val="0"/>
                    <w:keepLines w:val="0"/>
                    <w:suppressLineNumbers w:val="0"/>
                    <w:spacing w:before="0" w:beforeAutospacing="0" w:after="0" w:afterAutospacing="0" w:line="240" w:lineRule="auto"/>
                    <w:ind w:left="0" w:leftChars="0" w:right="0" w:rightChars="0" w:firstLine="0" w:firstLineChars="0"/>
                    <w:jc w:val="center"/>
                    <w:rPr>
                      <w:rFonts w:hint="eastAsia"/>
                      <w:lang w:val="en-US" w:eastAsia="zh-CN"/>
                    </w:rPr>
                  </w:pPr>
                  <w:r>
                    <w:rPr>
                      <w:rFonts w:hint="default" w:ascii="Times New Roman" w:hAnsi="Times New Roman" w:cs="Times New Roman"/>
                      <w:color w:val="auto"/>
                      <w:sz w:val="21"/>
                      <w:highlight w:val="none"/>
                      <w:lang w:val="en-US" w:eastAsia="zh-CN"/>
                    </w:rPr>
                    <w:t>1</w:t>
                  </w:r>
                </w:p>
              </w:tc>
              <w:tc>
                <w:tcPr>
                  <w:tcW w:w="619" w:type="pct"/>
                  <w:tcBorders>
                    <w:tl2br w:val="nil"/>
                    <w:tr2bl w:val="nil"/>
                  </w:tcBorders>
                  <w:shd w:val="clear" w:color="auto" w:fill="auto"/>
                  <w:vAlign w:val="center"/>
                </w:tcPr>
                <w:p w14:paraId="0B555172">
                  <w:pPr>
                    <w:keepNext w:val="0"/>
                    <w:keepLines w:val="0"/>
                    <w:suppressLineNumbers w:val="0"/>
                    <w:spacing w:before="0" w:beforeAutospacing="0" w:after="0" w:afterAutospacing="0"/>
                    <w:ind w:left="0" w:right="0"/>
                    <w:jc w:val="center"/>
                    <w:rPr>
                      <w:rFonts w:hint="default"/>
                      <w:lang w:val="en-US" w:eastAsia="zh-CN"/>
                    </w:rPr>
                  </w:pPr>
                  <w:r>
                    <w:rPr>
                      <w:rFonts w:hint="default"/>
                      <w:lang w:val="en-US" w:eastAsia="zh-CN"/>
                    </w:rPr>
                    <w:t>60</w:t>
                  </w:r>
                </w:p>
              </w:tc>
              <w:tc>
                <w:tcPr>
                  <w:tcW w:w="561" w:type="pct"/>
                  <w:vMerge w:val="continue"/>
                  <w:tcBorders>
                    <w:tl2br w:val="nil"/>
                    <w:tr2bl w:val="nil"/>
                  </w:tcBorders>
                  <w:shd w:val="clear" w:color="auto" w:fill="auto"/>
                  <w:vAlign w:val="center"/>
                </w:tcPr>
                <w:p w14:paraId="51A85E41">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p>
              </w:tc>
              <w:tc>
                <w:tcPr>
                  <w:tcW w:w="592" w:type="pct"/>
                  <w:vMerge w:val="continue"/>
                  <w:tcBorders>
                    <w:tl2br w:val="nil"/>
                    <w:tr2bl w:val="nil"/>
                  </w:tcBorders>
                  <w:shd w:val="clear" w:color="auto" w:fill="auto"/>
                  <w:vAlign w:val="center"/>
                </w:tcPr>
                <w:p w14:paraId="4F8DAD25">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p>
              </w:tc>
            </w:tr>
            <w:tr w14:paraId="2335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9"/>
                  <w:tcBorders>
                    <w:tl2br w:val="nil"/>
                    <w:tr2bl w:val="nil"/>
                  </w:tcBorders>
                  <w:shd w:val="clear" w:color="auto" w:fill="auto"/>
                  <w:vAlign w:val="center"/>
                </w:tcPr>
                <w:p w14:paraId="4D8B8C32">
                  <w:pPr>
                    <w:pStyle w:val="65"/>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备注：1、原点为升压站西南角。</w:t>
                  </w:r>
                </w:p>
                <w:p w14:paraId="7A4D0624">
                  <w:pPr>
                    <w:pStyle w:val="65"/>
                    <w:keepNext w:val="0"/>
                    <w:keepLines w:val="0"/>
                    <w:suppressLineNumbers w:val="0"/>
                    <w:spacing w:before="0" w:beforeAutospacing="0" w:after="0" w:afterAutospacing="0" w:line="240" w:lineRule="auto"/>
                    <w:ind w:left="0" w:right="0" w:firstLine="630" w:firstLineChars="300"/>
                    <w:jc w:val="left"/>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2、主变压器电压等级为220kV，冷却方式采用油浸风冷型，参考《变电站噪声控制技术导则》（DL/T1518-2016）附录B。</w:t>
                  </w:r>
                </w:p>
              </w:tc>
            </w:tr>
          </w:tbl>
          <w:p w14:paraId="2CE2AF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kern w:val="0"/>
                <w:sz w:val="24"/>
                <w:szCs w:val="24"/>
                <w:highlight w:val="none"/>
                <w:lang w:val="en-US" w:eastAsia="zh-CN" w:bidi="ar-SA"/>
              </w:rPr>
            </w:pPr>
            <w:r>
              <w:rPr>
                <w:rFonts w:hint="default" w:ascii="Times New Roman" w:hAnsi="Times New Roman" w:cs="Times New Roman"/>
                <w:b/>
                <w:bCs w:val="0"/>
                <w:color w:val="auto"/>
                <w:kern w:val="0"/>
                <w:sz w:val="24"/>
                <w:szCs w:val="24"/>
                <w:highlight w:val="none"/>
                <w:lang w:val="en-US" w:eastAsia="zh-CN" w:bidi="ar-SA"/>
              </w:rPr>
              <w:t>2</w:t>
            </w:r>
            <w:r>
              <w:rPr>
                <w:rFonts w:hint="default" w:ascii="Times New Roman" w:hAnsi="Times New Roman" w:eastAsia="宋体" w:cs="Times New Roman"/>
                <w:b/>
                <w:bCs w:val="0"/>
                <w:color w:val="auto"/>
                <w:kern w:val="0"/>
                <w:sz w:val="24"/>
                <w:szCs w:val="24"/>
                <w:highlight w:val="none"/>
                <w:lang w:val="en-US" w:eastAsia="zh-CN" w:bidi="ar-SA"/>
              </w:rPr>
              <w:t>.4预测结果</w:t>
            </w:r>
          </w:p>
          <w:p w14:paraId="767876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根据《环境影响评价技术导则 声环境》（HJ2.4-2021）中</w:t>
            </w:r>
            <w:r>
              <w:rPr>
                <w:rFonts w:hint="default" w:ascii="Times New Roman" w:hAnsi="Times New Roman" w:cs="Times New Roman"/>
                <w:b w:val="0"/>
                <w:bCs/>
                <w:color w:val="auto"/>
                <w:kern w:val="0"/>
                <w:sz w:val="24"/>
                <w:szCs w:val="24"/>
                <w:highlight w:val="none"/>
                <w:lang w:val="en-US" w:eastAsia="zh-CN" w:bidi="ar-SA"/>
              </w:rPr>
              <w:t>“</w:t>
            </w:r>
            <w:r>
              <w:rPr>
                <w:rFonts w:hint="default" w:ascii="Times New Roman" w:hAnsi="Times New Roman" w:eastAsia="宋体" w:cs="Times New Roman"/>
                <w:b w:val="0"/>
                <w:bCs/>
                <w:color w:val="auto"/>
                <w:kern w:val="0"/>
                <w:sz w:val="24"/>
                <w:szCs w:val="24"/>
                <w:highlight w:val="none"/>
                <w:lang w:val="en-US" w:eastAsia="zh-CN" w:bidi="ar-SA"/>
              </w:rPr>
              <w:t>8.5预测和评价内容要求：预测建设项目运营期所有声环境保护目标处的噪声贡献值和预测值，评价其超标和达标情况；预测和评价建设项目在运营期厂界（场界、边界）噪声贡献值，评价其超标和达标情况。</w:t>
            </w:r>
            <w:r>
              <w:rPr>
                <w:rFonts w:hint="default" w:ascii="Times New Roman" w:hAnsi="Times New Roman" w:cs="Times New Roman"/>
                <w:b w:val="0"/>
                <w:bCs/>
                <w:color w:val="auto"/>
                <w:kern w:val="0"/>
                <w:sz w:val="24"/>
                <w:szCs w:val="24"/>
                <w:highlight w:val="none"/>
                <w:lang w:val="en-US" w:eastAsia="zh-CN" w:bidi="ar-SA"/>
              </w:rPr>
              <w:t>”</w:t>
            </w:r>
          </w:p>
          <w:p w14:paraId="07B7BF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本项目为新建项目，站内运行过程中主要产噪设备的噪声经选用低噪声设备、四周建有围墙（2.</w:t>
            </w:r>
            <w:r>
              <w:rPr>
                <w:rFonts w:hint="default" w:ascii="Times New Roman" w:hAnsi="Times New Roman" w:cs="Times New Roman"/>
                <w:b w:val="0"/>
                <w:bCs/>
                <w:color w:val="auto"/>
                <w:kern w:val="0"/>
                <w:sz w:val="24"/>
                <w:szCs w:val="24"/>
                <w:highlight w:val="none"/>
                <w:lang w:val="en-US" w:eastAsia="zh-CN" w:bidi="ar-SA"/>
              </w:rPr>
              <w:t>3</w:t>
            </w:r>
            <w:r>
              <w:rPr>
                <w:rFonts w:hint="default" w:ascii="Times New Roman" w:hAnsi="Times New Roman" w:eastAsia="宋体" w:cs="Times New Roman"/>
                <w:b w:val="0"/>
                <w:bCs/>
                <w:color w:val="auto"/>
                <w:kern w:val="0"/>
                <w:sz w:val="24"/>
                <w:szCs w:val="24"/>
                <w:highlight w:val="none"/>
                <w:lang w:val="en-US" w:eastAsia="zh-CN" w:bidi="ar-SA"/>
              </w:rPr>
              <w:t>m高）隔声、距离衰减，对周边声环境影响较小。站址范围内</w:t>
            </w:r>
            <w:r>
              <w:rPr>
                <w:rFonts w:hint="default" w:ascii="Times New Roman" w:hAnsi="Times New Roman" w:cs="Times New Roman"/>
                <w:b w:val="0"/>
                <w:bCs/>
                <w:color w:val="auto"/>
                <w:kern w:val="0"/>
                <w:sz w:val="24"/>
                <w:szCs w:val="24"/>
                <w:highlight w:val="none"/>
                <w:lang w:val="en-US" w:eastAsia="zh-CN" w:bidi="ar-SA"/>
              </w:rPr>
              <w:t>现状</w:t>
            </w:r>
            <w:r>
              <w:rPr>
                <w:rFonts w:hint="default" w:ascii="Times New Roman" w:hAnsi="Times New Roman" w:eastAsia="宋体" w:cs="Times New Roman"/>
                <w:b w:val="0"/>
                <w:bCs/>
                <w:color w:val="auto"/>
                <w:kern w:val="0"/>
                <w:sz w:val="24"/>
                <w:szCs w:val="24"/>
                <w:highlight w:val="none"/>
                <w:lang w:val="en-US" w:eastAsia="zh-CN" w:bidi="ar-SA"/>
              </w:rPr>
              <w:t xml:space="preserve">没有已运营项目，所以本次不叠加现状值预测，仅预测站界噪声的贡献值。升压站站界噪声预测结果与达标分析见下表。 </w:t>
            </w:r>
          </w:p>
          <w:p w14:paraId="32883392">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cs="Times New Roman"/>
                <w:b/>
                <w:bCs w:val="0"/>
                <w:color w:val="auto"/>
                <w:sz w:val="21"/>
                <w:szCs w:val="21"/>
                <w:highlight w:val="none"/>
              </w:rPr>
              <w:t>表4-</w:t>
            </w:r>
            <w:r>
              <w:rPr>
                <w:rFonts w:hint="default" w:ascii="Times New Roman" w:hAnsi="Times New Roman" w:cs="Times New Roman"/>
                <w:b/>
                <w:bCs w:val="0"/>
                <w:color w:val="auto"/>
                <w:sz w:val="21"/>
                <w:szCs w:val="21"/>
                <w:highlight w:val="none"/>
                <w:lang w:val="en-US" w:eastAsia="zh-CN"/>
              </w:rPr>
              <w:t>3</w:t>
            </w:r>
            <w:r>
              <w:rPr>
                <w:rFonts w:hint="default" w:ascii="Times New Roman" w:hAnsi="Times New Roman" w:cs="Times New Roman"/>
                <w:b/>
                <w:bCs w:val="0"/>
                <w:color w:val="auto"/>
                <w:sz w:val="21"/>
                <w:szCs w:val="21"/>
                <w:highlight w:val="none"/>
              </w:rPr>
              <w:t xml:space="preserve">   </w:t>
            </w:r>
            <w:r>
              <w:rPr>
                <w:rFonts w:hint="default" w:ascii="Times New Roman" w:hAnsi="Times New Roman" w:cs="Times New Roman"/>
                <w:b/>
                <w:bCs w:val="0"/>
                <w:color w:val="auto"/>
                <w:sz w:val="21"/>
                <w:szCs w:val="21"/>
                <w:highlight w:val="none"/>
                <w:lang w:val="en-US" w:eastAsia="zh-CN"/>
              </w:rPr>
              <w:t>预测结果一览表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3"/>
              <w:gridCol w:w="1254"/>
              <w:gridCol w:w="1472"/>
              <w:gridCol w:w="1723"/>
              <w:gridCol w:w="1523"/>
            </w:tblGrid>
            <w:tr w14:paraId="288D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blHeader/>
                <w:jc w:val="center"/>
              </w:trPr>
              <w:tc>
                <w:tcPr>
                  <w:tcW w:w="1459" w:type="pct"/>
                  <w:vMerge w:val="restart"/>
                  <w:noWrap w:val="0"/>
                  <w:vAlign w:val="center"/>
                </w:tcPr>
                <w:p w14:paraId="2BAA3F61">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bookmarkStart w:id="18" w:name="_Toc414619492"/>
                  <w:bookmarkStart w:id="19" w:name="_Toc344398208"/>
                  <w:bookmarkStart w:id="20" w:name="_Toc424829745"/>
                  <w:bookmarkStart w:id="21" w:name="_Toc344399944"/>
                  <w:r>
                    <w:rPr>
                      <w:rFonts w:hint="default" w:ascii="Times New Roman" w:hAnsi="Times New Roman" w:cs="Times New Roman"/>
                      <w:color w:val="auto"/>
                      <w:sz w:val="21"/>
                      <w:szCs w:val="21"/>
                      <w:highlight w:val="none"/>
                    </w:rPr>
                    <w:t>预测点</w:t>
                  </w:r>
                  <w:bookmarkEnd w:id="18"/>
                  <w:bookmarkEnd w:id="19"/>
                  <w:bookmarkEnd w:id="20"/>
                  <w:bookmarkEnd w:id="21"/>
                </w:p>
              </w:tc>
              <w:tc>
                <w:tcPr>
                  <w:tcW w:w="743" w:type="pct"/>
                  <w:vMerge w:val="restart"/>
                  <w:noWrap w:val="0"/>
                  <w:vAlign w:val="center"/>
                </w:tcPr>
                <w:p w14:paraId="5A9B248E">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时段</w:t>
                  </w:r>
                </w:p>
              </w:tc>
              <w:tc>
                <w:tcPr>
                  <w:tcW w:w="872" w:type="pct"/>
                  <w:vMerge w:val="restart"/>
                  <w:noWrap w:val="0"/>
                  <w:vAlign w:val="center"/>
                </w:tcPr>
                <w:p w14:paraId="15BA1126">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贡献值</w:t>
                  </w:r>
                  <w:r>
                    <w:rPr>
                      <w:rFonts w:hint="default" w:ascii="Times New Roman" w:hAnsi="Times New Roman" w:cs="Times New Roman"/>
                      <w:color w:val="auto"/>
                      <w:sz w:val="21"/>
                      <w:highlight w:val="none"/>
                      <w:lang w:val="en-US" w:eastAsia="zh-CN"/>
                    </w:rPr>
                    <w:t>dB(A)</w:t>
                  </w:r>
                </w:p>
              </w:tc>
              <w:tc>
                <w:tcPr>
                  <w:tcW w:w="1021" w:type="pct"/>
                  <w:vMerge w:val="restart"/>
                  <w:noWrap w:val="0"/>
                  <w:vAlign w:val="center"/>
                </w:tcPr>
                <w:p w14:paraId="589E75AD">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标准限值</w:t>
                  </w:r>
                  <w:r>
                    <w:rPr>
                      <w:rFonts w:hint="default" w:ascii="Times New Roman" w:hAnsi="Times New Roman" w:cs="Times New Roman"/>
                      <w:color w:val="auto"/>
                      <w:sz w:val="21"/>
                      <w:highlight w:val="none"/>
                      <w:lang w:val="en-US" w:eastAsia="zh-CN"/>
                    </w:rPr>
                    <w:t>dB(A)</w:t>
                  </w:r>
                </w:p>
              </w:tc>
              <w:tc>
                <w:tcPr>
                  <w:tcW w:w="902" w:type="pct"/>
                  <w:vMerge w:val="restart"/>
                  <w:noWrap w:val="0"/>
                  <w:vAlign w:val="center"/>
                </w:tcPr>
                <w:p w14:paraId="2DDBE760">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p w14:paraId="2A8B318C">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情况</w:t>
                  </w:r>
                </w:p>
              </w:tc>
            </w:tr>
            <w:tr w14:paraId="01E1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459" w:type="pct"/>
                  <w:vMerge w:val="continue"/>
                  <w:noWrap w:val="0"/>
                  <w:vAlign w:val="center"/>
                </w:tcPr>
                <w:p w14:paraId="41CFDD39">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p>
              </w:tc>
              <w:tc>
                <w:tcPr>
                  <w:tcW w:w="743" w:type="pct"/>
                  <w:vMerge w:val="continue"/>
                  <w:noWrap w:val="0"/>
                  <w:vAlign w:val="center"/>
                </w:tcPr>
                <w:p w14:paraId="5C1E0638">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p>
              </w:tc>
              <w:tc>
                <w:tcPr>
                  <w:tcW w:w="872" w:type="pct"/>
                  <w:vMerge w:val="continue"/>
                  <w:noWrap w:val="0"/>
                  <w:vAlign w:val="center"/>
                </w:tcPr>
                <w:p w14:paraId="61997918">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p>
              </w:tc>
              <w:tc>
                <w:tcPr>
                  <w:tcW w:w="1021" w:type="pct"/>
                  <w:vMerge w:val="continue"/>
                  <w:noWrap w:val="0"/>
                  <w:vAlign w:val="center"/>
                </w:tcPr>
                <w:p w14:paraId="1D7A046C">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p>
              </w:tc>
              <w:tc>
                <w:tcPr>
                  <w:tcW w:w="902" w:type="pct"/>
                  <w:vMerge w:val="continue"/>
                  <w:noWrap w:val="0"/>
                  <w:vAlign w:val="center"/>
                </w:tcPr>
                <w:p w14:paraId="3E063A02">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cs="Times New Roman"/>
                      <w:color w:val="auto"/>
                      <w:sz w:val="21"/>
                      <w:szCs w:val="21"/>
                      <w:highlight w:val="none"/>
                    </w:rPr>
                  </w:pPr>
                </w:p>
              </w:tc>
            </w:tr>
            <w:tr w14:paraId="2799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1459" w:type="pct"/>
                  <w:vMerge w:val="restart"/>
                  <w:noWrap w:val="0"/>
                  <w:vAlign w:val="center"/>
                </w:tcPr>
                <w:p w14:paraId="605285BE">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bookmarkStart w:id="22" w:name="OLE_LINK65" w:colFirst="2" w:colLast="2"/>
                  <w:r>
                    <w:rPr>
                      <w:rFonts w:hint="default" w:ascii="Times New Roman" w:hAnsi="Times New Roman" w:cs="Times New Roman"/>
                      <w:color w:val="auto"/>
                      <w:sz w:val="21"/>
                      <w:szCs w:val="21"/>
                      <w:highlight w:val="none"/>
                    </w:rPr>
                    <w:t>升压站东侧</w:t>
                  </w:r>
                </w:p>
              </w:tc>
              <w:tc>
                <w:tcPr>
                  <w:tcW w:w="743" w:type="pct"/>
                  <w:noWrap w:val="0"/>
                  <w:vAlign w:val="center"/>
                </w:tcPr>
                <w:p w14:paraId="2D2C06E6">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w:t>
                  </w:r>
                </w:p>
              </w:tc>
              <w:tc>
                <w:tcPr>
                  <w:tcW w:w="872" w:type="pct"/>
                  <w:noWrap w:val="0"/>
                  <w:vAlign w:val="center"/>
                </w:tcPr>
                <w:p w14:paraId="3CC6F7B3">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38</w:t>
                  </w:r>
                </w:p>
              </w:tc>
              <w:tc>
                <w:tcPr>
                  <w:tcW w:w="1021" w:type="pct"/>
                  <w:noWrap w:val="0"/>
                  <w:vAlign w:val="center"/>
                </w:tcPr>
                <w:p w14:paraId="7DD66FDA">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60</w:t>
                  </w:r>
                </w:p>
              </w:tc>
              <w:tc>
                <w:tcPr>
                  <w:tcW w:w="902" w:type="pct"/>
                  <w:vMerge w:val="restart"/>
                  <w:noWrap w:val="0"/>
                  <w:vAlign w:val="center"/>
                </w:tcPr>
                <w:p w14:paraId="478DC2E5">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11424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459" w:type="pct"/>
                  <w:vMerge w:val="continue"/>
                  <w:noWrap w:val="0"/>
                  <w:vAlign w:val="center"/>
                </w:tcPr>
                <w:p w14:paraId="2785AFD9">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p>
              </w:tc>
              <w:tc>
                <w:tcPr>
                  <w:tcW w:w="743" w:type="pct"/>
                  <w:noWrap w:val="0"/>
                  <w:vAlign w:val="center"/>
                </w:tcPr>
                <w:p w14:paraId="191EBC39">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夜间</w:t>
                  </w:r>
                </w:p>
              </w:tc>
              <w:tc>
                <w:tcPr>
                  <w:tcW w:w="872" w:type="pct"/>
                  <w:noWrap w:val="0"/>
                  <w:vAlign w:val="center"/>
                </w:tcPr>
                <w:p w14:paraId="5799EA0D">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38</w:t>
                  </w:r>
                </w:p>
              </w:tc>
              <w:tc>
                <w:tcPr>
                  <w:tcW w:w="1021" w:type="pct"/>
                  <w:noWrap w:val="0"/>
                  <w:vAlign w:val="center"/>
                </w:tcPr>
                <w:p w14:paraId="14C9F0B2">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50</w:t>
                  </w:r>
                </w:p>
              </w:tc>
              <w:tc>
                <w:tcPr>
                  <w:tcW w:w="902" w:type="pct"/>
                  <w:vMerge w:val="continue"/>
                  <w:noWrap w:val="0"/>
                  <w:vAlign w:val="center"/>
                </w:tcPr>
                <w:p w14:paraId="0C2F27FB">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p>
              </w:tc>
            </w:tr>
            <w:tr w14:paraId="4620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459" w:type="pct"/>
                  <w:vMerge w:val="restart"/>
                  <w:noWrap w:val="0"/>
                  <w:vAlign w:val="center"/>
                </w:tcPr>
                <w:p w14:paraId="774916EE">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升压站南侧</w:t>
                  </w:r>
                </w:p>
              </w:tc>
              <w:tc>
                <w:tcPr>
                  <w:tcW w:w="743" w:type="pct"/>
                  <w:noWrap w:val="0"/>
                  <w:vAlign w:val="center"/>
                </w:tcPr>
                <w:p w14:paraId="19BC061D">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w:t>
                  </w:r>
                </w:p>
              </w:tc>
              <w:tc>
                <w:tcPr>
                  <w:tcW w:w="872" w:type="pct"/>
                  <w:noWrap w:val="0"/>
                  <w:vAlign w:val="center"/>
                </w:tcPr>
                <w:p w14:paraId="7A54F84E">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34</w:t>
                  </w:r>
                </w:p>
              </w:tc>
              <w:tc>
                <w:tcPr>
                  <w:tcW w:w="1021" w:type="pct"/>
                  <w:shd w:val="clear" w:color="auto" w:fill="auto"/>
                  <w:noWrap w:val="0"/>
                  <w:vAlign w:val="center"/>
                </w:tcPr>
                <w:p w14:paraId="54A15B05">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60</w:t>
                  </w:r>
                </w:p>
              </w:tc>
              <w:tc>
                <w:tcPr>
                  <w:tcW w:w="902" w:type="pct"/>
                  <w:vMerge w:val="restart"/>
                  <w:noWrap w:val="0"/>
                  <w:vAlign w:val="center"/>
                </w:tcPr>
                <w:p w14:paraId="59B3473E">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01F6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459" w:type="pct"/>
                  <w:vMerge w:val="continue"/>
                  <w:noWrap w:val="0"/>
                  <w:vAlign w:val="center"/>
                </w:tcPr>
                <w:p w14:paraId="35967E47">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p>
              </w:tc>
              <w:tc>
                <w:tcPr>
                  <w:tcW w:w="743" w:type="pct"/>
                  <w:noWrap w:val="0"/>
                  <w:vAlign w:val="center"/>
                </w:tcPr>
                <w:p w14:paraId="1DFEDD4E">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夜间</w:t>
                  </w:r>
                </w:p>
              </w:tc>
              <w:tc>
                <w:tcPr>
                  <w:tcW w:w="872" w:type="pct"/>
                  <w:noWrap w:val="0"/>
                  <w:vAlign w:val="center"/>
                </w:tcPr>
                <w:p w14:paraId="1D796A85">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34</w:t>
                  </w:r>
                </w:p>
              </w:tc>
              <w:tc>
                <w:tcPr>
                  <w:tcW w:w="1021" w:type="pct"/>
                  <w:shd w:val="clear" w:color="auto" w:fill="auto"/>
                  <w:noWrap w:val="0"/>
                  <w:vAlign w:val="center"/>
                </w:tcPr>
                <w:p w14:paraId="59621EFB">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50</w:t>
                  </w:r>
                </w:p>
              </w:tc>
              <w:tc>
                <w:tcPr>
                  <w:tcW w:w="902" w:type="pct"/>
                  <w:vMerge w:val="continue"/>
                  <w:noWrap w:val="0"/>
                  <w:vAlign w:val="center"/>
                </w:tcPr>
                <w:p w14:paraId="2A23D128">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p>
              </w:tc>
            </w:tr>
            <w:tr w14:paraId="7809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59" w:type="pct"/>
                  <w:vMerge w:val="restart"/>
                  <w:noWrap w:val="0"/>
                  <w:vAlign w:val="center"/>
                </w:tcPr>
                <w:p w14:paraId="497F9662">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升压站西侧</w:t>
                  </w:r>
                </w:p>
              </w:tc>
              <w:tc>
                <w:tcPr>
                  <w:tcW w:w="743" w:type="pct"/>
                  <w:noWrap w:val="0"/>
                  <w:vAlign w:val="center"/>
                </w:tcPr>
                <w:p w14:paraId="74A817D8">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w:t>
                  </w:r>
                </w:p>
              </w:tc>
              <w:tc>
                <w:tcPr>
                  <w:tcW w:w="872" w:type="pct"/>
                  <w:noWrap w:val="0"/>
                  <w:vAlign w:val="center"/>
                </w:tcPr>
                <w:p w14:paraId="6BE700AA">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38</w:t>
                  </w:r>
                </w:p>
              </w:tc>
              <w:tc>
                <w:tcPr>
                  <w:tcW w:w="1021" w:type="pct"/>
                  <w:shd w:val="clear" w:color="auto" w:fill="auto"/>
                  <w:noWrap w:val="0"/>
                  <w:vAlign w:val="center"/>
                </w:tcPr>
                <w:p w14:paraId="4DAD2B57">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60</w:t>
                  </w:r>
                </w:p>
              </w:tc>
              <w:tc>
                <w:tcPr>
                  <w:tcW w:w="902" w:type="pct"/>
                  <w:vMerge w:val="restart"/>
                  <w:noWrap w:val="0"/>
                  <w:vAlign w:val="center"/>
                </w:tcPr>
                <w:p w14:paraId="5C12A6B7">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5900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59" w:type="pct"/>
                  <w:vMerge w:val="continue"/>
                  <w:noWrap w:val="0"/>
                  <w:vAlign w:val="center"/>
                </w:tcPr>
                <w:p w14:paraId="71E62D79">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p>
              </w:tc>
              <w:tc>
                <w:tcPr>
                  <w:tcW w:w="743" w:type="pct"/>
                  <w:noWrap w:val="0"/>
                  <w:vAlign w:val="center"/>
                </w:tcPr>
                <w:p w14:paraId="3B182758">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夜间</w:t>
                  </w:r>
                </w:p>
              </w:tc>
              <w:tc>
                <w:tcPr>
                  <w:tcW w:w="872" w:type="pct"/>
                  <w:noWrap w:val="0"/>
                  <w:vAlign w:val="center"/>
                </w:tcPr>
                <w:p w14:paraId="30001832">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38</w:t>
                  </w:r>
                </w:p>
              </w:tc>
              <w:tc>
                <w:tcPr>
                  <w:tcW w:w="1021" w:type="pct"/>
                  <w:shd w:val="clear" w:color="auto" w:fill="auto"/>
                  <w:noWrap w:val="0"/>
                  <w:vAlign w:val="center"/>
                </w:tcPr>
                <w:p w14:paraId="5139EDDB">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50</w:t>
                  </w:r>
                </w:p>
              </w:tc>
              <w:tc>
                <w:tcPr>
                  <w:tcW w:w="902" w:type="pct"/>
                  <w:vMerge w:val="continue"/>
                  <w:noWrap w:val="0"/>
                  <w:vAlign w:val="center"/>
                </w:tcPr>
                <w:p w14:paraId="56D1463F">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p>
              </w:tc>
            </w:tr>
            <w:tr w14:paraId="1E66D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459" w:type="pct"/>
                  <w:vMerge w:val="restart"/>
                  <w:noWrap w:val="0"/>
                  <w:vAlign w:val="center"/>
                </w:tcPr>
                <w:p w14:paraId="385870F7">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升压站北侧</w:t>
                  </w:r>
                </w:p>
              </w:tc>
              <w:tc>
                <w:tcPr>
                  <w:tcW w:w="743" w:type="pct"/>
                  <w:noWrap w:val="0"/>
                  <w:vAlign w:val="center"/>
                </w:tcPr>
                <w:p w14:paraId="3ABED344">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w:t>
                  </w:r>
                </w:p>
              </w:tc>
              <w:tc>
                <w:tcPr>
                  <w:tcW w:w="872" w:type="pct"/>
                  <w:noWrap w:val="0"/>
                  <w:vAlign w:val="center"/>
                </w:tcPr>
                <w:p w14:paraId="005A5992">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42</w:t>
                  </w:r>
                </w:p>
              </w:tc>
              <w:tc>
                <w:tcPr>
                  <w:tcW w:w="1021" w:type="pct"/>
                  <w:shd w:val="clear" w:color="auto" w:fill="auto"/>
                  <w:noWrap w:val="0"/>
                  <w:vAlign w:val="center"/>
                </w:tcPr>
                <w:p w14:paraId="65DF3DE6">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60</w:t>
                  </w:r>
                </w:p>
              </w:tc>
              <w:tc>
                <w:tcPr>
                  <w:tcW w:w="902" w:type="pct"/>
                  <w:vMerge w:val="restart"/>
                  <w:noWrap w:val="0"/>
                  <w:vAlign w:val="center"/>
                </w:tcPr>
                <w:p w14:paraId="753CEE93">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269A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1459" w:type="pct"/>
                  <w:vMerge w:val="continue"/>
                  <w:noWrap w:val="0"/>
                  <w:vAlign w:val="center"/>
                </w:tcPr>
                <w:p w14:paraId="046B9195">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p>
              </w:tc>
              <w:tc>
                <w:tcPr>
                  <w:tcW w:w="743" w:type="pct"/>
                  <w:noWrap w:val="0"/>
                  <w:vAlign w:val="center"/>
                </w:tcPr>
                <w:p w14:paraId="235FD6D5">
                  <w:pPr>
                    <w:pStyle w:val="56"/>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夜间</w:t>
                  </w:r>
                </w:p>
              </w:tc>
              <w:tc>
                <w:tcPr>
                  <w:tcW w:w="872" w:type="pct"/>
                  <w:noWrap w:val="0"/>
                  <w:vAlign w:val="center"/>
                </w:tcPr>
                <w:p w14:paraId="4C52ACD8">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42</w:t>
                  </w:r>
                </w:p>
              </w:tc>
              <w:tc>
                <w:tcPr>
                  <w:tcW w:w="1021" w:type="pct"/>
                  <w:shd w:val="clear" w:color="auto" w:fill="auto"/>
                  <w:noWrap w:val="0"/>
                  <w:vAlign w:val="center"/>
                </w:tcPr>
                <w:p w14:paraId="5D932141">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50</w:t>
                  </w:r>
                </w:p>
              </w:tc>
              <w:tc>
                <w:tcPr>
                  <w:tcW w:w="902" w:type="pct"/>
                  <w:vMerge w:val="continue"/>
                  <w:noWrap w:val="0"/>
                  <w:vAlign w:val="center"/>
                </w:tcPr>
                <w:p w14:paraId="32DB4EF7">
                  <w:pPr>
                    <w:pStyle w:val="108"/>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p>
              </w:tc>
            </w:tr>
            <w:bookmarkEnd w:id="22"/>
          </w:tbl>
          <w:p w14:paraId="187998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color w:val="auto"/>
                <w:sz w:val="24"/>
                <w:szCs w:val="24"/>
                <w:highlight w:val="none"/>
              </w:rPr>
              <w:t>预测结果表明：升压站投入运行后，厂界噪声昼夜间预测值为</w:t>
            </w:r>
            <w:r>
              <w:rPr>
                <w:rFonts w:hint="eastAsia" w:ascii="Times New Roman" w:hAnsi="Times New Roman" w:cs="Times New Roman"/>
                <w:color w:val="auto"/>
                <w:sz w:val="24"/>
                <w:szCs w:val="24"/>
                <w:highlight w:val="none"/>
                <w:lang w:val="en-US" w:eastAsia="zh-CN"/>
              </w:rPr>
              <w:t>33</w:t>
            </w:r>
            <w:r>
              <w:rPr>
                <w:rFonts w:hint="default" w:ascii="Times New Roman" w:hAnsi="Times New Roman" w:cs="Times New Roman"/>
                <w:color w:val="auto"/>
                <w:sz w:val="24"/>
                <w:szCs w:val="24"/>
                <w:highlight w:val="none"/>
              </w:rPr>
              <w:t>dB</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A</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42</w:t>
            </w:r>
            <w:r>
              <w:rPr>
                <w:rFonts w:hint="default" w:ascii="Times New Roman" w:hAnsi="Times New Roman" w:cs="Times New Roman"/>
                <w:color w:val="auto"/>
                <w:sz w:val="24"/>
                <w:szCs w:val="24"/>
                <w:highlight w:val="none"/>
              </w:rPr>
              <w:t>dB</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A</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，升压站厂界各测点的噪声预测值均满足《工业企业厂界环境噪声排放标准》（GB12348-2008）</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类标准要求。</w:t>
            </w:r>
            <w:r>
              <w:rPr>
                <w:rFonts w:hint="default" w:ascii="Times New Roman" w:hAnsi="Times New Roman" w:eastAsia="宋体" w:cs="Times New Roman"/>
                <w:b w:val="0"/>
                <w:bCs/>
                <w:color w:val="auto"/>
                <w:kern w:val="0"/>
                <w:sz w:val="24"/>
                <w:szCs w:val="24"/>
                <w:highlight w:val="none"/>
                <w:lang w:val="en-US" w:eastAsia="zh-CN" w:bidi="ar-SA"/>
              </w:rPr>
              <w:t xml:space="preserve"> </w:t>
            </w:r>
          </w:p>
          <w:p w14:paraId="64C88A62">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val="0"/>
                <w:color w:val="auto"/>
                <w:sz w:val="24"/>
                <w:szCs w:val="24"/>
                <w:highlight w:val="none"/>
                <w:lang w:val="en-US" w:eastAsia="zh-CN"/>
              </w:rPr>
            </w:pPr>
          </w:p>
          <w:p w14:paraId="153EC35A">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3</w:t>
            </w:r>
            <w:r>
              <w:rPr>
                <w:rFonts w:hint="default" w:ascii="Times New Roman" w:hAnsi="Times New Roman" w:eastAsia="宋体" w:cs="Times New Roman"/>
                <w:b/>
                <w:bCs w:val="0"/>
                <w:color w:val="auto"/>
                <w:sz w:val="24"/>
                <w:szCs w:val="24"/>
                <w:highlight w:val="none"/>
                <w:lang w:val="en-US" w:eastAsia="zh-CN"/>
              </w:rPr>
              <w:t>、</w:t>
            </w:r>
            <w:r>
              <w:rPr>
                <w:rFonts w:hint="default" w:ascii="Times New Roman" w:hAnsi="Times New Roman" w:cs="Times New Roman"/>
                <w:b/>
                <w:bCs w:val="0"/>
                <w:color w:val="auto"/>
                <w:sz w:val="24"/>
                <w:szCs w:val="24"/>
                <w:highlight w:val="none"/>
                <w:lang w:val="en-US" w:eastAsia="zh-CN"/>
              </w:rPr>
              <w:t>环境空气</w:t>
            </w:r>
            <w:r>
              <w:rPr>
                <w:rFonts w:hint="default" w:ascii="Times New Roman" w:hAnsi="Times New Roman" w:eastAsia="宋体" w:cs="Times New Roman"/>
                <w:b/>
                <w:bCs w:val="0"/>
                <w:color w:val="auto"/>
                <w:sz w:val="24"/>
                <w:szCs w:val="24"/>
                <w:highlight w:val="none"/>
                <w:lang w:val="en-US" w:eastAsia="zh-CN"/>
              </w:rPr>
              <w:t xml:space="preserve">影响分析 </w:t>
            </w:r>
          </w:p>
          <w:p w14:paraId="67E0EF8F">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val="0"/>
                <w:bCs/>
                <w:color w:val="auto"/>
                <w:kern w:val="0"/>
                <w:sz w:val="24"/>
                <w:szCs w:val="24"/>
                <w:highlight w:val="none"/>
                <w:lang w:val="en-US" w:eastAsia="zh-CN" w:bidi="ar-SA"/>
              </w:rPr>
              <w:t>本项目</w:t>
            </w:r>
            <w:r>
              <w:rPr>
                <w:rFonts w:hint="default" w:ascii="Times New Roman" w:hAnsi="Times New Roman" w:eastAsia="宋体" w:cs="Times New Roman"/>
                <w:b w:val="0"/>
                <w:bCs/>
                <w:color w:val="auto"/>
                <w:kern w:val="0"/>
                <w:sz w:val="24"/>
                <w:szCs w:val="24"/>
                <w:highlight w:val="none"/>
                <w:lang w:val="en-US" w:eastAsia="zh-CN" w:bidi="ar-SA"/>
              </w:rPr>
              <w:t>运营期无</w:t>
            </w:r>
            <w:r>
              <w:rPr>
                <w:rFonts w:hint="default" w:ascii="Times New Roman" w:hAnsi="Times New Roman" w:cs="Times New Roman"/>
                <w:b w:val="0"/>
                <w:bCs/>
                <w:color w:val="auto"/>
                <w:kern w:val="0"/>
                <w:sz w:val="24"/>
                <w:szCs w:val="24"/>
                <w:highlight w:val="none"/>
                <w:lang w:val="en-US" w:eastAsia="zh-CN" w:bidi="ar-SA"/>
              </w:rPr>
              <w:t>废气</w:t>
            </w:r>
            <w:r>
              <w:rPr>
                <w:rFonts w:hint="default" w:ascii="Times New Roman" w:hAnsi="Times New Roman" w:eastAsia="宋体" w:cs="Times New Roman"/>
                <w:b w:val="0"/>
                <w:bCs/>
                <w:color w:val="auto"/>
                <w:kern w:val="0"/>
                <w:sz w:val="24"/>
                <w:szCs w:val="24"/>
                <w:highlight w:val="none"/>
                <w:lang w:val="en-US" w:eastAsia="zh-CN" w:bidi="ar-SA"/>
              </w:rPr>
              <w:t>产生。</w:t>
            </w:r>
          </w:p>
          <w:p w14:paraId="4A47AB02">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4、</w:t>
            </w:r>
            <w:r>
              <w:rPr>
                <w:rFonts w:hint="default" w:ascii="Times New Roman" w:hAnsi="Times New Roman" w:eastAsia="宋体" w:cs="Times New Roman"/>
                <w:b/>
                <w:bCs w:val="0"/>
                <w:color w:val="auto"/>
                <w:sz w:val="24"/>
                <w:szCs w:val="24"/>
                <w:highlight w:val="none"/>
                <w:lang w:val="en-US" w:eastAsia="zh-CN"/>
              </w:rPr>
              <w:t>水环境影响分析与评价</w:t>
            </w:r>
          </w:p>
          <w:p w14:paraId="1243EE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 w:val="0"/>
                <w:bCs w:val="0"/>
                <w:color w:val="auto"/>
                <w:sz w:val="24"/>
                <w:highlight w:val="none"/>
                <w:lang w:eastAsia="zh-CN"/>
              </w:rPr>
            </w:pPr>
            <w:r>
              <w:rPr>
                <w:rFonts w:hint="default" w:ascii="Times New Roman" w:hAnsi="Times New Roman" w:eastAsia="宋体" w:cs="Times New Roman"/>
                <w:b w:val="0"/>
                <w:bCs w:val="0"/>
                <w:color w:val="auto"/>
                <w:sz w:val="24"/>
                <w:highlight w:val="none"/>
              </w:rPr>
              <w:t>本项目运行期产生的废水主要为职工生活污水</w:t>
            </w:r>
            <w:r>
              <w:rPr>
                <w:rFonts w:hint="default" w:ascii="Times New Roman" w:hAnsi="Times New Roman" w:eastAsia="宋体" w:cs="Times New Roman"/>
                <w:b w:val="0"/>
                <w:bCs w:val="0"/>
                <w:color w:val="auto"/>
                <w:sz w:val="24"/>
                <w:highlight w:val="none"/>
                <w:lang w:eastAsia="zh-CN"/>
              </w:rPr>
              <w:t>，本项目定员</w:t>
            </w:r>
            <w:r>
              <w:rPr>
                <w:rFonts w:hint="default" w:ascii="Times New Roman" w:hAnsi="Times New Roman" w:cs="Times New Roman"/>
                <w:b w:val="0"/>
                <w:bCs w:val="0"/>
                <w:color w:val="auto"/>
                <w:sz w:val="24"/>
                <w:highlight w:val="none"/>
                <w:lang w:val="en-US" w:eastAsia="zh-CN"/>
              </w:rPr>
              <w:t>14</w:t>
            </w:r>
            <w:r>
              <w:rPr>
                <w:rFonts w:hint="default" w:ascii="Times New Roman" w:hAnsi="Times New Roman" w:eastAsia="宋体" w:cs="Times New Roman"/>
                <w:b w:val="0"/>
                <w:bCs w:val="0"/>
                <w:color w:val="auto"/>
                <w:sz w:val="24"/>
                <w:highlight w:val="none"/>
                <w:lang w:eastAsia="zh-CN"/>
              </w:rPr>
              <w:t>人，员工均在升压站内食宿，年运行365天。厂区所在地区为农村，根据《行业用水定额》（DB15/T385-2020），生活用水定额取为60L/（人·d）计，则用水量为</w:t>
            </w:r>
            <w:r>
              <w:rPr>
                <w:rFonts w:hint="default" w:ascii="Times New Roman" w:hAnsi="Times New Roman" w:cs="Times New Roman"/>
                <w:b w:val="0"/>
                <w:bCs w:val="0"/>
                <w:color w:val="auto"/>
                <w:sz w:val="24"/>
                <w:highlight w:val="none"/>
                <w:lang w:val="en-US" w:eastAsia="zh-CN"/>
              </w:rPr>
              <w:t>0.84</w:t>
            </w:r>
            <w:r>
              <w:rPr>
                <w:rFonts w:hint="default" w:ascii="Times New Roman" w:hAnsi="Times New Roman" w:eastAsia="宋体" w:cs="Times New Roman"/>
                <w:b w:val="0"/>
                <w:bCs w:val="0"/>
                <w:color w:val="auto"/>
                <w:sz w:val="24"/>
                <w:highlight w:val="none"/>
                <w:lang w:eastAsia="zh-CN"/>
              </w:rPr>
              <w:t>m</w:t>
            </w:r>
            <w:r>
              <w:rPr>
                <w:rFonts w:hint="default" w:ascii="Times New Roman" w:hAnsi="Times New Roman" w:eastAsia="宋体" w:cs="Times New Roman"/>
                <w:b w:val="0"/>
                <w:bCs w:val="0"/>
                <w:color w:val="auto"/>
                <w:sz w:val="24"/>
                <w:highlight w:val="none"/>
                <w:vertAlign w:val="superscript"/>
                <w:lang w:eastAsia="zh-CN"/>
              </w:rPr>
              <w:t>3</w:t>
            </w:r>
            <w:r>
              <w:rPr>
                <w:rFonts w:hint="default" w:ascii="Times New Roman" w:hAnsi="Times New Roman" w:eastAsia="宋体" w:cs="Times New Roman"/>
                <w:b w:val="0"/>
                <w:bCs w:val="0"/>
                <w:color w:val="auto"/>
                <w:sz w:val="24"/>
                <w:highlight w:val="none"/>
                <w:lang w:eastAsia="zh-CN"/>
              </w:rPr>
              <w:t>/d，产污系数按0.8计算，则污水产生量为0.</w:t>
            </w:r>
            <w:r>
              <w:rPr>
                <w:rFonts w:hint="default" w:ascii="Times New Roman" w:hAnsi="Times New Roman" w:cs="Times New Roman"/>
                <w:b w:val="0"/>
                <w:bCs w:val="0"/>
                <w:color w:val="auto"/>
                <w:sz w:val="24"/>
                <w:highlight w:val="none"/>
                <w:lang w:val="en-US" w:eastAsia="zh-CN"/>
              </w:rPr>
              <w:t>672</w:t>
            </w:r>
            <w:r>
              <w:rPr>
                <w:rFonts w:hint="default" w:ascii="Times New Roman" w:hAnsi="Times New Roman" w:eastAsia="宋体" w:cs="Times New Roman"/>
                <w:b w:val="0"/>
                <w:bCs w:val="0"/>
                <w:color w:val="auto"/>
                <w:sz w:val="24"/>
                <w:highlight w:val="none"/>
                <w:lang w:eastAsia="zh-CN"/>
              </w:rPr>
              <w:t>m</w:t>
            </w:r>
            <w:r>
              <w:rPr>
                <w:rFonts w:hint="default" w:ascii="Times New Roman" w:hAnsi="Times New Roman" w:eastAsia="宋体" w:cs="Times New Roman"/>
                <w:b w:val="0"/>
                <w:bCs w:val="0"/>
                <w:color w:val="auto"/>
                <w:sz w:val="24"/>
                <w:highlight w:val="none"/>
                <w:vertAlign w:val="superscript"/>
                <w:lang w:eastAsia="zh-CN"/>
              </w:rPr>
              <w:t>3</w:t>
            </w:r>
            <w:r>
              <w:rPr>
                <w:rFonts w:hint="default" w:ascii="Times New Roman" w:hAnsi="Times New Roman" w:eastAsia="宋体" w:cs="Times New Roman"/>
                <w:b w:val="0"/>
                <w:bCs w:val="0"/>
                <w:color w:val="auto"/>
                <w:sz w:val="24"/>
                <w:highlight w:val="none"/>
                <w:lang w:eastAsia="zh-CN"/>
              </w:rPr>
              <w:t>/d（</w:t>
            </w:r>
            <w:r>
              <w:rPr>
                <w:rFonts w:hint="default" w:ascii="Times New Roman" w:hAnsi="Times New Roman" w:cs="Times New Roman"/>
                <w:b w:val="0"/>
                <w:bCs w:val="0"/>
                <w:color w:val="auto"/>
                <w:sz w:val="24"/>
                <w:highlight w:val="none"/>
                <w:lang w:val="en-US" w:eastAsia="zh-CN"/>
              </w:rPr>
              <w:t>245.28</w:t>
            </w:r>
            <w:r>
              <w:rPr>
                <w:rFonts w:hint="default" w:ascii="Times New Roman" w:hAnsi="Times New Roman" w:eastAsia="宋体" w:cs="Times New Roman"/>
                <w:b w:val="0"/>
                <w:bCs w:val="0"/>
                <w:color w:val="auto"/>
                <w:sz w:val="24"/>
                <w:highlight w:val="none"/>
                <w:lang w:eastAsia="zh-CN"/>
              </w:rPr>
              <w:t>m</w:t>
            </w:r>
            <w:r>
              <w:rPr>
                <w:rFonts w:hint="default" w:ascii="Times New Roman" w:hAnsi="Times New Roman" w:eastAsia="宋体" w:cs="Times New Roman"/>
                <w:b w:val="0"/>
                <w:bCs w:val="0"/>
                <w:color w:val="auto"/>
                <w:sz w:val="24"/>
                <w:highlight w:val="none"/>
                <w:vertAlign w:val="superscript"/>
                <w:lang w:eastAsia="zh-CN"/>
              </w:rPr>
              <w:t>3</w:t>
            </w:r>
            <w:r>
              <w:rPr>
                <w:rFonts w:hint="default" w:ascii="Times New Roman" w:hAnsi="Times New Roman" w:eastAsia="宋体" w:cs="Times New Roman"/>
                <w:b w:val="0"/>
                <w:bCs w:val="0"/>
                <w:color w:val="auto"/>
                <w:sz w:val="24"/>
                <w:highlight w:val="none"/>
                <w:lang w:eastAsia="zh-CN"/>
              </w:rPr>
              <w:t>/a）。</w:t>
            </w:r>
          </w:p>
          <w:p w14:paraId="10A3A4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rPr>
            </w:pPr>
            <w:r>
              <w:rPr>
                <w:rFonts w:hint="default" w:ascii="Times New Roman" w:hAnsi="Times New Roman" w:eastAsia="宋体" w:cs="Times New Roman"/>
                <w:b w:val="0"/>
                <w:bCs w:val="0"/>
                <w:color w:val="auto"/>
                <w:sz w:val="24"/>
                <w:highlight w:val="none"/>
                <w:lang w:eastAsia="zh-CN"/>
              </w:rPr>
              <w:t>本项目拟建1座</w:t>
            </w:r>
            <w:r>
              <w:rPr>
                <w:rFonts w:hint="default" w:ascii="Times New Roman" w:hAnsi="Times New Roman" w:eastAsia="宋体" w:cs="Times New Roman"/>
                <w:b w:val="0"/>
                <w:bCs w:val="0"/>
                <w:color w:val="auto"/>
                <w:sz w:val="24"/>
                <w:highlight w:val="none"/>
                <w:lang w:val="en-US" w:eastAsia="zh-CN"/>
              </w:rPr>
              <w:t>6</w:t>
            </w:r>
            <w:r>
              <w:rPr>
                <w:rFonts w:hint="default" w:ascii="Times New Roman" w:hAnsi="Times New Roman" w:eastAsia="宋体" w:cs="Times New Roman"/>
                <w:b w:val="0"/>
                <w:bCs w:val="0"/>
                <w:color w:val="auto"/>
                <w:sz w:val="24"/>
                <w:highlight w:val="none"/>
                <w:lang w:eastAsia="zh-CN"/>
              </w:rPr>
              <w:t>m</w:t>
            </w:r>
            <w:r>
              <w:rPr>
                <w:rFonts w:hint="default" w:ascii="Times New Roman" w:hAnsi="Times New Roman" w:cs="Times New Roman"/>
                <w:b w:val="0"/>
                <w:bCs w:val="0"/>
                <w:color w:val="auto"/>
                <w:sz w:val="24"/>
                <w:highlight w:val="none"/>
                <w:vertAlign w:val="superscript"/>
                <w:lang w:val="en-US" w:eastAsia="zh-CN"/>
              </w:rPr>
              <w:t>3</w:t>
            </w:r>
            <w:r>
              <w:rPr>
                <w:rFonts w:hint="default" w:ascii="Times New Roman" w:hAnsi="Times New Roman" w:eastAsia="宋体" w:cs="Times New Roman"/>
                <w:b w:val="0"/>
                <w:bCs w:val="0"/>
                <w:color w:val="auto"/>
                <w:sz w:val="24"/>
                <w:highlight w:val="none"/>
                <w:lang w:eastAsia="zh-CN"/>
              </w:rPr>
              <w:t>化粪池，本项目生活废水排放量为</w:t>
            </w:r>
            <w:r>
              <w:rPr>
                <w:rFonts w:hint="default" w:ascii="Times New Roman" w:hAnsi="Times New Roman" w:eastAsia="宋体" w:cs="Times New Roman"/>
                <w:b w:val="0"/>
                <w:bCs w:val="0"/>
                <w:color w:val="auto"/>
                <w:sz w:val="24"/>
                <w:highlight w:val="none"/>
                <w:lang w:val="en-US" w:eastAsia="zh-CN"/>
              </w:rPr>
              <w:t>0.</w:t>
            </w:r>
            <w:r>
              <w:rPr>
                <w:rFonts w:hint="default" w:ascii="Times New Roman" w:hAnsi="Times New Roman" w:cs="Times New Roman"/>
                <w:b w:val="0"/>
                <w:bCs w:val="0"/>
                <w:color w:val="auto"/>
                <w:sz w:val="24"/>
                <w:highlight w:val="none"/>
                <w:lang w:val="en-US" w:eastAsia="zh-CN"/>
              </w:rPr>
              <w:t>672</w:t>
            </w:r>
            <w:r>
              <w:rPr>
                <w:rFonts w:hint="default" w:ascii="Times New Roman" w:hAnsi="Times New Roman" w:eastAsia="宋体" w:cs="Times New Roman"/>
                <w:b w:val="0"/>
                <w:bCs w:val="0"/>
                <w:color w:val="auto"/>
                <w:sz w:val="24"/>
                <w:highlight w:val="none"/>
                <w:lang w:eastAsia="zh-CN"/>
              </w:rPr>
              <w:t>m</w:t>
            </w:r>
            <w:r>
              <w:rPr>
                <w:rFonts w:hint="default" w:ascii="Times New Roman" w:hAnsi="Times New Roman" w:eastAsia="宋体" w:cs="Times New Roman"/>
                <w:b w:val="0"/>
                <w:bCs w:val="0"/>
                <w:color w:val="auto"/>
                <w:sz w:val="24"/>
                <w:highlight w:val="none"/>
                <w:vertAlign w:val="superscript"/>
                <w:lang w:eastAsia="zh-CN"/>
              </w:rPr>
              <w:t>3</w:t>
            </w:r>
            <w:r>
              <w:rPr>
                <w:rFonts w:hint="default" w:ascii="Times New Roman" w:hAnsi="Times New Roman" w:eastAsia="宋体" w:cs="Times New Roman"/>
                <w:b w:val="0"/>
                <w:bCs w:val="0"/>
                <w:color w:val="auto"/>
                <w:sz w:val="24"/>
                <w:highlight w:val="none"/>
                <w:lang w:eastAsia="zh-CN"/>
              </w:rPr>
              <w:t>/d（</w:t>
            </w:r>
            <w:r>
              <w:rPr>
                <w:rFonts w:hint="default" w:ascii="Times New Roman" w:hAnsi="Times New Roman" w:cs="Times New Roman"/>
                <w:b w:val="0"/>
                <w:bCs w:val="0"/>
                <w:color w:val="auto"/>
                <w:sz w:val="24"/>
                <w:highlight w:val="none"/>
                <w:lang w:val="en-US" w:eastAsia="zh-CN"/>
              </w:rPr>
              <w:t>245.28</w:t>
            </w:r>
            <w:r>
              <w:rPr>
                <w:rFonts w:hint="default" w:ascii="Times New Roman" w:hAnsi="Times New Roman" w:eastAsia="宋体" w:cs="Times New Roman"/>
                <w:b w:val="0"/>
                <w:bCs w:val="0"/>
                <w:color w:val="auto"/>
                <w:sz w:val="24"/>
                <w:highlight w:val="none"/>
                <w:lang w:eastAsia="zh-CN"/>
              </w:rPr>
              <w:t>m</w:t>
            </w:r>
            <w:r>
              <w:rPr>
                <w:rFonts w:hint="default" w:ascii="Times New Roman" w:hAnsi="Times New Roman" w:eastAsia="宋体" w:cs="Times New Roman"/>
                <w:b w:val="0"/>
                <w:bCs w:val="0"/>
                <w:color w:val="auto"/>
                <w:sz w:val="24"/>
                <w:highlight w:val="none"/>
                <w:vertAlign w:val="superscript"/>
                <w:lang w:eastAsia="zh-CN"/>
              </w:rPr>
              <w:t>3</w:t>
            </w:r>
            <w:r>
              <w:rPr>
                <w:rFonts w:hint="default" w:ascii="Times New Roman" w:hAnsi="Times New Roman" w:eastAsia="宋体" w:cs="Times New Roman"/>
                <w:b w:val="0"/>
                <w:bCs w:val="0"/>
                <w:color w:val="auto"/>
                <w:sz w:val="24"/>
                <w:highlight w:val="none"/>
                <w:lang w:eastAsia="zh-CN"/>
              </w:rPr>
              <w:t>/a）</w:t>
            </w:r>
            <w:r>
              <w:rPr>
                <w:rFonts w:hint="default" w:ascii="Times New Roman" w:hAnsi="Times New Roman" w:cs="Times New Roman"/>
                <w:b w:val="0"/>
                <w:bCs w:val="0"/>
                <w:color w:val="auto"/>
                <w:sz w:val="24"/>
                <w:highlight w:val="none"/>
                <w:lang w:eastAsia="zh-CN"/>
              </w:rPr>
              <w:t>，因此</w:t>
            </w:r>
            <w:r>
              <w:rPr>
                <w:rFonts w:hint="default" w:ascii="Times New Roman" w:hAnsi="Times New Roman" w:eastAsia="宋体" w:cs="Times New Roman"/>
                <w:b w:val="0"/>
                <w:bCs w:val="0"/>
                <w:color w:val="auto"/>
                <w:sz w:val="24"/>
                <w:highlight w:val="none"/>
                <w:lang w:eastAsia="zh-CN"/>
              </w:rPr>
              <w:t>化粪池的容积能够满足生活废水处理要求，生活污水排入化粪池内，经化粪池预处理后，最终排入一体化污水处理设施处理（</w:t>
            </w:r>
            <w:r>
              <w:rPr>
                <w:rFonts w:hint="default" w:ascii="Times New Roman" w:hAnsi="Times New Roman" w:eastAsia="宋体" w:cs="Times New Roman"/>
                <w:b w:val="0"/>
                <w:bCs w:val="0"/>
                <w:color w:val="auto"/>
                <w:sz w:val="24"/>
                <w:highlight w:val="none"/>
                <w:lang w:val="en-US" w:eastAsia="zh-CN"/>
              </w:rPr>
              <w:t>处理能力1m</w:t>
            </w:r>
            <w:r>
              <w:rPr>
                <w:rFonts w:hint="default" w:ascii="Times New Roman" w:hAnsi="Times New Roman" w:eastAsia="宋体" w:cs="Times New Roman"/>
                <w:b w:val="0"/>
                <w:bCs w:val="0"/>
                <w:color w:val="auto"/>
                <w:sz w:val="24"/>
                <w:highlight w:val="none"/>
                <w:vertAlign w:val="superscript"/>
                <w:lang w:val="en-US" w:eastAsia="zh-CN"/>
              </w:rPr>
              <w:t>3</w:t>
            </w:r>
            <w:r>
              <w:rPr>
                <w:rFonts w:hint="default" w:ascii="Times New Roman" w:hAnsi="Times New Roman" w:eastAsia="宋体" w:cs="Times New Roman"/>
                <w:b w:val="0"/>
                <w:bCs w:val="0"/>
                <w:color w:val="auto"/>
                <w:sz w:val="24"/>
                <w:highlight w:val="none"/>
                <w:vertAlign w:val="baseline"/>
                <w:lang w:val="en-US" w:eastAsia="zh-CN"/>
              </w:rPr>
              <w:t>/h</w:t>
            </w:r>
            <w:r>
              <w:rPr>
                <w:rFonts w:hint="default" w:ascii="Times New Roman" w:hAnsi="Times New Roman" w:eastAsia="宋体" w:cs="Times New Roman"/>
                <w:b w:val="0"/>
                <w:bCs w:val="0"/>
                <w:color w:val="auto"/>
                <w:sz w:val="24"/>
                <w:highlight w:val="none"/>
                <w:lang w:eastAsia="zh-CN"/>
              </w:rPr>
              <w:t>），经处理达到《城市污水再生利用城市杂用水水质》（GB/T18920-2020）中“</w:t>
            </w:r>
            <w:r>
              <w:rPr>
                <w:rFonts w:hint="eastAsia" w:cs="Times New Roman"/>
                <w:b w:val="0"/>
                <w:bCs w:val="0"/>
                <w:color w:val="auto"/>
                <w:sz w:val="24"/>
                <w:highlight w:val="none"/>
                <w:lang w:val="en-US" w:eastAsia="zh-CN"/>
              </w:rPr>
              <w:t>道路清扫</w:t>
            </w:r>
            <w:r>
              <w:rPr>
                <w:rFonts w:hint="default" w:ascii="Times New Roman" w:hAnsi="Times New Roman" w:eastAsia="宋体" w:cs="Times New Roman"/>
                <w:b w:val="0"/>
                <w:bCs w:val="0"/>
                <w:color w:val="auto"/>
                <w:sz w:val="24"/>
                <w:highlight w:val="none"/>
                <w:lang w:eastAsia="zh-CN"/>
              </w:rPr>
              <w:t>”标准要求后，</w:t>
            </w:r>
            <w:r>
              <w:rPr>
                <w:rFonts w:hint="eastAsia" w:cs="Times New Roman"/>
                <w:b w:val="0"/>
                <w:bCs w:val="0"/>
                <w:color w:val="auto"/>
                <w:sz w:val="24"/>
                <w:highlight w:val="none"/>
                <w:lang w:val="en-US" w:eastAsia="zh-CN"/>
              </w:rPr>
              <w:t>用于</w:t>
            </w:r>
            <w:r>
              <w:rPr>
                <w:rFonts w:hint="default" w:ascii="Times New Roman" w:hAnsi="Times New Roman" w:eastAsia="宋体" w:cs="Times New Roman"/>
                <w:b w:val="0"/>
                <w:bCs w:val="0"/>
                <w:color w:val="auto"/>
                <w:sz w:val="24"/>
                <w:highlight w:val="none"/>
                <w:lang w:val="en-US" w:eastAsia="zh-CN"/>
              </w:rPr>
              <w:t>冲洗道路及</w:t>
            </w:r>
            <w:r>
              <w:rPr>
                <w:rFonts w:hint="eastAsia" w:cs="Times New Roman"/>
                <w:b w:val="0"/>
                <w:bCs w:val="0"/>
                <w:color w:val="auto"/>
                <w:sz w:val="24"/>
                <w:highlight w:val="none"/>
                <w:lang w:eastAsia="zh-CN"/>
              </w:rPr>
              <w:t>洒水抑尘</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lang w:eastAsia="zh-CN"/>
              </w:rPr>
              <w:t>新建</w:t>
            </w:r>
            <w:r>
              <w:rPr>
                <w:rFonts w:hint="default" w:ascii="Times New Roman" w:hAnsi="Times New Roman" w:eastAsia="宋体" w:cs="Times New Roman"/>
                <w:b w:val="0"/>
                <w:bCs w:val="0"/>
                <w:color w:val="auto"/>
                <w:sz w:val="24"/>
                <w:highlight w:val="none"/>
                <w:lang w:eastAsia="zh-CN"/>
              </w:rPr>
              <w:t>1个容积为</w:t>
            </w:r>
            <w:r>
              <w:rPr>
                <w:rFonts w:hint="default" w:ascii="Times New Roman" w:hAnsi="Times New Roman" w:eastAsia="宋体" w:cs="Times New Roman"/>
                <w:b w:val="0"/>
                <w:bCs w:val="0"/>
                <w:color w:val="auto"/>
                <w:sz w:val="24"/>
                <w:highlight w:val="none"/>
                <w:lang w:val="en-US" w:eastAsia="zh-CN"/>
              </w:rPr>
              <w:t>20</w:t>
            </w:r>
            <w:r>
              <w:rPr>
                <w:rFonts w:hint="default" w:ascii="Times New Roman" w:hAnsi="Times New Roman" w:eastAsia="宋体" w:cs="Times New Roman"/>
                <w:b w:val="0"/>
                <w:bCs w:val="0"/>
                <w:color w:val="auto"/>
                <w:sz w:val="24"/>
                <w:highlight w:val="none"/>
                <w:lang w:eastAsia="zh-CN"/>
              </w:rPr>
              <w:t>m</w:t>
            </w:r>
            <w:r>
              <w:rPr>
                <w:rFonts w:hint="default" w:ascii="Times New Roman" w:hAnsi="Times New Roman" w:eastAsia="宋体" w:cs="Times New Roman"/>
                <w:b w:val="0"/>
                <w:bCs w:val="0"/>
                <w:color w:val="auto"/>
                <w:sz w:val="24"/>
                <w:highlight w:val="none"/>
                <w:vertAlign w:val="superscript"/>
                <w:lang w:eastAsia="zh-CN"/>
              </w:rPr>
              <w:t>3</w:t>
            </w:r>
            <w:r>
              <w:rPr>
                <w:rFonts w:hint="default" w:ascii="Times New Roman" w:hAnsi="Times New Roman" w:eastAsia="宋体" w:cs="Times New Roman"/>
                <w:b w:val="0"/>
                <w:bCs w:val="0"/>
                <w:color w:val="auto"/>
                <w:sz w:val="24"/>
                <w:highlight w:val="none"/>
                <w:lang w:eastAsia="zh-CN"/>
              </w:rPr>
              <w:t>的中水池，收集</w:t>
            </w:r>
            <w:r>
              <w:rPr>
                <w:rFonts w:hint="default" w:ascii="Times New Roman" w:hAnsi="Times New Roman" w:eastAsia="宋体" w:cs="Times New Roman"/>
                <w:b w:val="0"/>
                <w:bCs w:val="0"/>
                <w:color w:val="auto"/>
                <w:sz w:val="24"/>
                <w:highlight w:val="none"/>
                <w:lang w:val="en-US" w:eastAsia="zh-CN"/>
              </w:rPr>
              <w:t>回用中水，用于冲洗道路及</w:t>
            </w:r>
            <w:r>
              <w:rPr>
                <w:rFonts w:hint="eastAsia" w:cs="Times New Roman"/>
                <w:b w:val="0"/>
                <w:bCs w:val="0"/>
                <w:color w:val="auto"/>
                <w:sz w:val="24"/>
                <w:highlight w:val="none"/>
                <w:lang w:eastAsia="zh-CN"/>
              </w:rPr>
              <w:t>洒水抑尘</w:t>
            </w:r>
            <w:r>
              <w:rPr>
                <w:rFonts w:hint="default" w:ascii="Times New Roman" w:hAnsi="Times New Roman" w:eastAsia="宋体" w:cs="Times New Roman"/>
                <w:b w:val="0"/>
                <w:bCs w:val="0"/>
                <w:color w:val="auto"/>
                <w:sz w:val="24"/>
                <w:highlight w:val="none"/>
                <w:lang w:eastAsia="zh-CN"/>
              </w:rPr>
              <w:t>。</w:t>
            </w:r>
          </w:p>
          <w:p w14:paraId="520BA7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废水污染物达标情况分析：</w:t>
            </w:r>
          </w:p>
          <w:p w14:paraId="0F172D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拟建设一体化污水处理设施，处理能力为</w:t>
            </w:r>
            <w:r>
              <w:rPr>
                <w:rFonts w:hint="default" w:ascii="Times New Roman" w:hAnsi="Times New Roman" w:cs="Times New Roman"/>
                <w:b w:val="0"/>
                <w:bCs/>
                <w:color w:val="auto"/>
                <w:kern w:val="0"/>
                <w:sz w:val="24"/>
                <w:szCs w:val="24"/>
                <w:highlight w:val="none"/>
                <w:lang w:val="en-US" w:eastAsia="zh-CN" w:bidi="ar-SA"/>
              </w:rPr>
              <w:t>1</w:t>
            </w:r>
            <w:r>
              <w:rPr>
                <w:rFonts w:hint="default" w:ascii="Times New Roman" w:hAnsi="Times New Roman" w:eastAsia="宋体" w:cs="Times New Roman"/>
                <w:b w:val="0"/>
                <w:bCs/>
                <w:color w:val="auto"/>
                <w:kern w:val="0"/>
                <w:sz w:val="24"/>
                <w:szCs w:val="24"/>
                <w:highlight w:val="none"/>
                <w:lang w:val="en-US" w:eastAsia="zh-CN" w:bidi="ar-SA"/>
              </w:rPr>
              <w:t>m</w:t>
            </w:r>
            <w:r>
              <w:rPr>
                <w:rFonts w:hint="default" w:ascii="Times New Roman" w:hAnsi="Times New Roman" w:eastAsia="宋体" w:cs="Times New Roman"/>
                <w:b w:val="0"/>
                <w:bCs/>
                <w:color w:val="auto"/>
                <w:kern w:val="0"/>
                <w:sz w:val="24"/>
                <w:szCs w:val="24"/>
                <w:highlight w:val="none"/>
                <w:vertAlign w:val="superscript"/>
                <w:lang w:val="en-US" w:eastAsia="zh-CN" w:bidi="ar-SA"/>
              </w:rPr>
              <w:t>3</w:t>
            </w:r>
            <w:r>
              <w:rPr>
                <w:rFonts w:hint="default" w:ascii="Times New Roman" w:hAnsi="Times New Roman" w:eastAsia="宋体" w:cs="Times New Roman"/>
                <w:b w:val="0"/>
                <w:bCs/>
                <w:color w:val="auto"/>
                <w:kern w:val="0"/>
                <w:sz w:val="24"/>
                <w:szCs w:val="24"/>
                <w:highlight w:val="none"/>
                <w:lang w:val="en-US" w:eastAsia="zh-CN" w:bidi="ar-SA"/>
              </w:rPr>
              <w:t>/h。处理工艺：格栅-调节池（常规预处理）+MBR膜生物反应器（深度处理）+消毒。</w:t>
            </w:r>
          </w:p>
          <w:p w14:paraId="6DCE8A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生物膜反应器处理设施工艺流程：</w:t>
            </w:r>
          </w:p>
          <w:p w14:paraId="313A20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（1）预处理阶段</w:t>
            </w:r>
          </w:p>
          <w:p w14:paraId="2B9C17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生活污水首先进入预处理单元，预处理单元主要包括格栅池、初沉池和调节池。</w:t>
            </w:r>
          </w:p>
          <w:p w14:paraId="1ACD75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（2）生化处理</w:t>
            </w:r>
          </w:p>
          <w:p w14:paraId="4B6724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废水经过预处理后，进入生物反应器（厌氧池、缺氧池和曝气池）。生物反应器中的微生物通过吸附和降解的方式将废水中的有机物质转化为无机物质。生物反应器通常采用曝气式或好氧条件下的膜生物反应器，以提供充足的氧气和养分供给微生物生长。</w:t>
            </w:r>
          </w:p>
          <w:p w14:paraId="7569A3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（3）膜分离阶段</w:t>
            </w:r>
          </w:p>
          <w:p w14:paraId="26E0DF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经过生物反应后的废水进入膜分离装置，如中空纤维或平板膜。膜分离装置通过微孔或超滤作用将微生物和悬浮物与水分离，从而得到净化的水。</w:t>
            </w:r>
          </w:p>
          <w:p w14:paraId="0BAC64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（4）</w:t>
            </w:r>
            <w:r>
              <w:rPr>
                <w:rFonts w:hint="default" w:ascii="Times New Roman" w:hAnsi="Times New Roman" w:cs="Times New Roman"/>
                <w:b w:val="0"/>
                <w:bCs/>
                <w:color w:val="auto"/>
                <w:kern w:val="0"/>
                <w:sz w:val="24"/>
                <w:szCs w:val="24"/>
                <w:highlight w:val="none"/>
                <w:lang w:val="en-US" w:eastAsia="zh-CN" w:bidi="ar-SA"/>
              </w:rPr>
              <w:t>消毒</w:t>
            </w:r>
          </w:p>
          <w:p w14:paraId="6C9A1D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产水进入消毒接触池</w:t>
            </w:r>
            <w:r>
              <w:rPr>
                <w:rFonts w:hint="default" w:ascii="Times New Roman" w:hAnsi="Times New Roman" w:eastAsia="宋体" w:cs="Times New Roman"/>
                <w:sz w:val="24"/>
                <w:szCs w:val="24"/>
              </w:rPr>
              <w:t>，自动投加稀释后的次氯酸钠消毒液</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消毒达标出水自流至</w:t>
            </w:r>
            <w:r>
              <w:rPr>
                <w:rFonts w:hint="default" w:ascii="Times New Roman" w:hAnsi="Times New Roman" w:eastAsia="宋体" w:cs="Times New Roman"/>
                <w:sz w:val="24"/>
                <w:szCs w:val="24"/>
                <w:lang w:val="en-US" w:eastAsia="zh-CN"/>
              </w:rPr>
              <w:t>中水</w:t>
            </w:r>
            <w:r>
              <w:rPr>
                <w:rFonts w:hint="default" w:ascii="Times New Roman" w:hAnsi="Times New Roman" w:eastAsia="宋体" w:cs="Times New Roman"/>
                <w:sz w:val="24"/>
                <w:szCs w:val="24"/>
              </w:rPr>
              <w:t>池，用于场区</w:t>
            </w:r>
            <w:r>
              <w:rPr>
                <w:rFonts w:hint="eastAsia" w:cs="Times New Roman"/>
                <w:sz w:val="24"/>
                <w:szCs w:val="24"/>
                <w:lang w:val="en-US" w:eastAsia="zh-CN"/>
              </w:rPr>
              <w:t>洒水抑尘</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道路</w:t>
            </w:r>
            <w:r>
              <w:rPr>
                <w:rFonts w:hint="default" w:ascii="Times New Roman" w:hAnsi="Times New Roman" w:eastAsia="宋体" w:cs="Times New Roman"/>
                <w:sz w:val="24"/>
                <w:szCs w:val="24"/>
              </w:rPr>
              <w:t>冲洗。</w:t>
            </w:r>
          </w:p>
          <w:p w14:paraId="7AE9716A">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cs="Times New Roman"/>
                <w:color w:val="auto"/>
                <w:spacing w:val="-1"/>
                <w:highlight w:val="none"/>
                <w:lang w:val="en-US" w:eastAsia="zh-CN"/>
              </w:rPr>
            </w:pPr>
            <w:r>
              <w:rPr>
                <w:rFonts w:hint="default" w:ascii="Times New Roman" w:hAnsi="Times New Roman" w:cs="Times New Roman"/>
                <w:color w:val="auto"/>
                <w:spacing w:val="-1"/>
                <w:highlight w:val="none"/>
                <w:lang w:val="en-US" w:eastAsia="zh-CN"/>
              </w:rPr>
              <w:t>类比同类项目，地埋式一体化污水处理设施采用“格栅-调节池（常规预处理）+MBR膜生物反应器（深度处理）+消毒”工艺处理后可达到《城市污水再生利用城市杂用水水质标准》（GB/T18920-2020）中道路清扫标准。</w:t>
            </w:r>
          </w:p>
          <w:p w14:paraId="15FA7DC2">
            <w:pPr>
              <w:pStyle w:val="65"/>
              <w:keepNext w:val="0"/>
              <w:keepLines w:val="0"/>
              <w:suppressLineNumbers w:val="0"/>
              <w:spacing w:before="0" w:beforeAutospacing="0" w:after="0" w:afterAutospacing="0" w:line="240" w:lineRule="auto"/>
              <w:ind w:left="0" w:right="0" w:firstLine="422"/>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表4-</w:t>
            </w:r>
            <w:r>
              <w:rPr>
                <w:rFonts w:hint="default" w:ascii="Times New Roman" w:hAnsi="Times New Roman" w:cs="Times New Roman"/>
                <w:b/>
                <w:bCs w:val="0"/>
                <w:color w:val="auto"/>
                <w:sz w:val="21"/>
                <w:szCs w:val="21"/>
                <w:highlight w:val="none"/>
                <w:lang w:val="en-US" w:eastAsia="zh-CN"/>
              </w:rPr>
              <w:t>4</w:t>
            </w:r>
            <w:r>
              <w:rPr>
                <w:rFonts w:hint="default" w:ascii="Times New Roman" w:hAnsi="Times New Roman" w:eastAsia="宋体" w:cs="Times New Roman"/>
                <w:b/>
                <w:bCs w:val="0"/>
                <w:color w:val="auto"/>
                <w:sz w:val="21"/>
                <w:szCs w:val="21"/>
                <w:highlight w:val="none"/>
                <w:lang w:val="en-US" w:eastAsia="zh-CN"/>
              </w:rPr>
              <w:t xml:space="preserve">   运营期废水产生情况一览表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7"/>
              <w:gridCol w:w="899"/>
              <w:gridCol w:w="529"/>
              <w:gridCol w:w="794"/>
              <w:gridCol w:w="835"/>
              <w:gridCol w:w="782"/>
              <w:gridCol w:w="868"/>
              <w:gridCol w:w="603"/>
              <w:gridCol w:w="907"/>
              <w:gridCol w:w="834"/>
              <w:gridCol w:w="835"/>
            </w:tblGrid>
            <w:tr w14:paraId="7704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 w:type="pct"/>
                  <w:vMerge w:val="restart"/>
                  <w:tcBorders>
                    <w:tl2br w:val="nil"/>
                    <w:tr2bl w:val="nil"/>
                  </w:tcBorders>
                  <w:noWrap w:val="0"/>
                  <w:vAlign w:val="center"/>
                </w:tcPr>
                <w:p w14:paraId="1B9FA7E2">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rPr>
                  </w:pPr>
                  <w:r>
                    <w:rPr>
                      <w:rFonts w:hint="default" w:ascii="Times New Roman" w:hAnsi="Times New Roman" w:eastAsia="宋体" w:cs="Times New Roman"/>
                      <w:b/>
                      <w:bCs/>
                      <w:color w:val="auto"/>
                      <w:sz w:val="21"/>
                      <w:szCs w:val="21"/>
                    </w:rPr>
                    <w:t>污染源</w:t>
                  </w:r>
                </w:p>
              </w:tc>
              <w:tc>
                <w:tcPr>
                  <w:tcW w:w="539" w:type="pct"/>
                  <w:vMerge w:val="restart"/>
                  <w:tcBorders>
                    <w:tl2br w:val="nil"/>
                    <w:tr2bl w:val="nil"/>
                  </w:tcBorders>
                  <w:noWrap w:val="0"/>
                  <w:vAlign w:val="center"/>
                </w:tcPr>
                <w:p w14:paraId="09D70872">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rPr>
                  </w:pPr>
                  <w:r>
                    <w:rPr>
                      <w:rFonts w:hint="default" w:ascii="Times New Roman" w:hAnsi="Times New Roman" w:eastAsia="宋体" w:cs="Times New Roman"/>
                      <w:b/>
                      <w:bCs/>
                      <w:color w:val="auto"/>
                      <w:sz w:val="21"/>
                      <w:szCs w:val="21"/>
                    </w:rPr>
                    <w:t>污染物</w:t>
                  </w:r>
                </w:p>
              </w:tc>
              <w:tc>
                <w:tcPr>
                  <w:tcW w:w="1723" w:type="pct"/>
                  <w:gridSpan w:val="4"/>
                  <w:tcBorders>
                    <w:tl2br w:val="nil"/>
                    <w:tr2bl w:val="nil"/>
                  </w:tcBorders>
                  <w:noWrap w:val="0"/>
                  <w:vAlign w:val="center"/>
                </w:tcPr>
                <w:p w14:paraId="3712F804">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rPr>
                  </w:pPr>
                  <w:r>
                    <w:rPr>
                      <w:rFonts w:hint="default" w:ascii="Times New Roman" w:hAnsi="Times New Roman" w:eastAsia="宋体" w:cs="Times New Roman"/>
                      <w:b/>
                      <w:bCs/>
                      <w:color w:val="auto"/>
                      <w:sz w:val="21"/>
                      <w:szCs w:val="21"/>
                    </w:rPr>
                    <w:t>污染物产生</w:t>
                  </w:r>
                </w:p>
              </w:tc>
              <w:tc>
                <w:tcPr>
                  <w:tcW w:w="521" w:type="pct"/>
                  <w:vMerge w:val="restart"/>
                  <w:tcBorders>
                    <w:tl2br w:val="nil"/>
                    <w:tr2bl w:val="nil"/>
                  </w:tcBorders>
                  <w:noWrap w:val="0"/>
                  <w:vAlign w:val="center"/>
                </w:tcPr>
                <w:p w14:paraId="578AF773">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处理</w:t>
                  </w:r>
                </w:p>
                <w:p w14:paraId="48215AAD">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rPr>
                  </w:pPr>
                  <w:r>
                    <w:rPr>
                      <w:rFonts w:hint="default" w:ascii="Times New Roman" w:hAnsi="Times New Roman" w:eastAsia="宋体" w:cs="Times New Roman"/>
                      <w:b/>
                      <w:bCs/>
                      <w:color w:val="auto"/>
                      <w:sz w:val="21"/>
                      <w:szCs w:val="21"/>
                    </w:rPr>
                    <w:t>措施</w:t>
                  </w:r>
                </w:p>
              </w:tc>
              <w:tc>
                <w:tcPr>
                  <w:tcW w:w="364" w:type="pct"/>
                  <w:vMerge w:val="restart"/>
                  <w:tcBorders>
                    <w:tl2br w:val="nil"/>
                    <w:tr2bl w:val="nil"/>
                  </w:tcBorders>
                  <w:noWrap w:val="0"/>
                  <w:vAlign w:val="center"/>
                </w:tcPr>
                <w:p w14:paraId="3F0CB101">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处理</w:t>
                  </w:r>
                </w:p>
                <w:p w14:paraId="661A53B7">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效率</w:t>
                  </w:r>
                </w:p>
                <w:p w14:paraId="12FF58B7">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rPr>
                    <w:t>%</w:t>
                  </w:r>
                  <w:r>
                    <w:rPr>
                      <w:rFonts w:hint="default" w:ascii="Times New Roman" w:hAnsi="Times New Roman" w:eastAsia="宋体" w:cs="Times New Roman"/>
                      <w:b/>
                      <w:bCs/>
                      <w:color w:val="auto"/>
                      <w:sz w:val="21"/>
                      <w:szCs w:val="21"/>
                      <w:lang w:val="en-US" w:eastAsia="zh-CN"/>
                    </w:rPr>
                    <w:t>)</w:t>
                  </w:r>
                </w:p>
              </w:tc>
              <w:tc>
                <w:tcPr>
                  <w:tcW w:w="1045" w:type="pct"/>
                  <w:gridSpan w:val="2"/>
                  <w:tcBorders>
                    <w:tl2br w:val="nil"/>
                    <w:tr2bl w:val="nil"/>
                  </w:tcBorders>
                  <w:noWrap w:val="0"/>
                  <w:vAlign w:val="center"/>
                </w:tcPr>
                <w:p w14:paraId="1D33B93B">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rPr>
                  </w:pPr>
                  <w:r>
                    <w:rPr>
                      <w:rFonts w:hint="default" w:ascii="Times New Roman" w:hAnsi="Times New Roman" w:eastAsia="宋体" w:cs="Times New Roman"/>
                      <w:b/>
                      <w:bCs/>
                      <w:color w:val="auto"/>
                      <w:sz w:val="21"/>
                      <w:szCs w:val="21"/>
                    </w:rPr>
                    <w:t>处理后污染物产生</w:t>
                  </w:r>
                </w:p>
              </w:tc>
              <w:tc>
                <w:tcPr>
                  <w:tcW w:w="474" w:type="pct"/>
                  <w:vMerge w:val="restart"/>
                  <w:tcBorders>
                    <w:tl2br w:val="nil"/>
                    <w:tr2bl w:val="nil"/>
                  </w:tcBorders>
                  <w:noWrap w:val="0"/>
                  <w:vAlign w:val="center"/>
                </w:tcPr>
                <w:p w14:paraId="50A024BA">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标准</w:t>
                  </w:r>
                </w:p>
                <w:p w14:paraId="3B8C111E">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限值</w:t>
                  </w:r>
                  <w:r>
                    <w:rPr>
                      <w:rFonts w:hint="default"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rPr>
                    <w:t>mg/L</w:t>
                  </w:r>
                  <w:r>
                    <w:rPr>
                      <w:rFonts w:hint="default" w:ascii="Times New Roman" w:hAnsi="Times New Roman" w:eastAsia="宋体" w:cs="Times New Roman"/>
                      <w:b/>
                      <w:bCs/>
                      <w:color w:val="auto"/>
                      <w:sz w:val="21"/>
                      <w:szCs w:val="21"/>
                      <w:lang w:val="en-US" w:eastAsia="zh-CN"/>
                    </w:rPr>
                    <w:t>)</w:t>
                  </w:r>
                </w:p>
              </w:tc>
            </w:tr>
            <w:tr w14:paraId="0DAE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 w:type="pct"/>
                  <w:vMerge w:val="continue"/>
                  <w:tcBorders>
                    <w:tl2br w:val="nil"/>
                    <w:tr2bl w:val="nil"/>
                  </w:tcBorders>
                  <w:noWrap w:val="0"/>
                  <w:vAlign w:val="center"/>
                </w:tcPr>
                <w:p w14:paraId="3FCFD9B0">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539" w:type="pct"/>
                  <w:vMerge w:val="continue"/>
                  <w:tcBorders>
                    <w:tl2br w:val="nil"/>
                    <w:tr2bl w:val="nil"/>
                  </w:tcBorders>
                  <w:noWrap w:val="0"/>
                  <w:vAlign w:val="center"/>
                </w:tcPr>
                <w:p w14:paraId="5F453CB4">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320" w:type="pct"/>
                  <w:tcBorders>
                    <w:tl2br w:val="nil"/>
                    <w:tr2bl w:val="nil"/>
                  </w:tcBorders>
                  <w:noWrap w:val="0"/>
                  <w:vAlign w:val="center"/>
                </w:tcPr>
                <w:p w14:paraId="5CCDC271">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rPr>
                  </w:pPr>
                  <w:r>
                    <w:rPr>
                      <w:rFonts w:hint="default" w:ascii="Times New Roman" w:hAnsi="Times New Roman" w:eastAsia="宋体" w:cs="Times New Roman"/>
                      <w:b/>
                      <w:bCs/>
                      <w:color w:val="auto"/>
                      <w:sz w:val="21"/>
                      <w:szCs w:val="21"/>
                    </w:rPr>
                    <w:t>核算方法</w:t>
                  </w:r>
                </w:p>
              </w:tc>
              <w:tc>
                <w:tcPr>
                  <w:tcW w:w="447" w:type="pct"/>
                  <w:tcBorders>
                    <w:tl2br w:val="nil"/>
                    <w:tr2bl w:val="nil"/>
                  </w:tcBorders>
                  <w:noWrap w:val="0"/>
                  <w:vAlign w:val="center"/>
                </w:tcPr>
                <w:p w14:paraId="577FEE94">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产生废水量</w:t>
                  </w:r>
                  <w:r>
                    <w:rPr>
                      <w:rFonts w:hint="default"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rPr>
                    <w:t>m</w:t>
                  </w:r>
                  <w:r>
                    <w:rPr>
                      <w:rFonts w:hint="default" w:ascii="Times New Roman" w:hAnsi="Times New Roman" w:eastAsia="宋体" w:cs="Times New Roman"/>
                      <w:b/>
                      <w:bCs/>
                      <w:color w:val="auto"/>
                      <w:sz w:val="21"/>
                      <w:szCs w:val="21"/>
                      <w:vertAlign w:val="superscript"/>
                    </w:rPr>
                    <w:t>3</w:t>
                  </w:r>
                  <w:r>
                    <w:rPr>
                      <w:rFonts w:hint="default" w:ascii="Times New Roman" w:hAnsi="Times New Roman" w:eastAsia="宋体" w:cs="Times New Roman"/>
                      <w:b/>
                      <w:bCs/>
                      <w:color w:val="auto"/>
                      <w:sz w:val="21"/>
                      <w:szCs w:val="21"/>
                    </w:rPr>
                    <w:t>/a</w:t>
                  </w:r>
                  <w:r>
                    <w:rPr>
                      <w:rFonts w:hint="default" w:ascii="Times New Roman" w:hAnsi="Times New Roman" w:eastAsia="宋体" w:cs="Times New Roman"/>
                      <w:b/>
                      <w:bCs/>
                      <w:color w:val="auto"/>
                      <w:sz w:val="21"/>
                      <w:szCs w:val="21"/>
                      <w:lang w:val="en-US" w:eastAsia="zh-CN"/>
                    </w:rPr>
                    <w:t>)</w:t>
                  </w:r>
                </w:p>
              </w:tc>
              <w:tc>
                <w:tcPr>
                  <w:tcW w:w="486" w:type="pct"/>
                  <w:tcBorders>
                    <w:tl2br w:val="nil"/>
                    <w:tr2bl w:val="nil"/>
                  </w:tcBorders>
                  <w:noWrap w:val="0"/>
                  <w:vAlign w:val="center"/>
                </w:tcPr>
                <w:p w14:paraId="2FCC2839">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产生浓度</w:t>
                  </w:r>
                  <w:r>
                    <w:rPr>
                      <w:rFonts w:hint="default"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rPr>
                    <w:t>mg/L</w:t>
                  </w:r>
                  <w:r>
                    <w:rPr>
                      <w:rFonts w:hint="default" w:ascii="Times New Roman" w:hAnsi="Times New Roman" w:eastAsia="宋体" w:cs="Times New Roman"/>
                      <w:b/>
                      <w:bCs/>
                      <w:color w:val="auto"/>
                      <w:sz w:val="21"/>
                      <w:szCs w:val="21"/>
                      <w:lang w:val="en-US" w:eastAsia="zh-CN"/>
                    </w:rPr>
                    <w:t>)</w:t>
                  </w:r>
                </w:p>
              </w:tc>
              <w:tc>
                <w:tcPr>
                  <w:tcW w:w="470" w:type="pct"/>
                  <w:tcBorders>
                    <w:tl2br w:val="nil"/>
                    <w:tr2bl w:val="nil"/>
                  </w:tcBorders>
                  <w:noWrap w:val="0"/>
                  <w:vAlign w:val="center"/>
                </w:tcPr>
                <w:p w14:paraId="032138A3">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产生量</w:t>
                  </w:r>
                  <w:r>
                    <w:rPr>
                      <w:rFonts w:hint="default"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rPr>
                    <w:t>t/a</w:t>
                  </w:r>
                  <w:r>
                    <w:rPr>
                      <w:rFonts w:hint="default" w:ascii="Times New Roman" w:hAnsi="Times New Roman" w:eastAsia="宋体" w:cs="Times New Roman"/>
                      <w:b/>
                      <w:bCs/>
                      <w:color w:val="auto"/>
                      <w:sz w:val="21"/>
                      <w:szCs w:val="21"/>
                      <w:lang w:val="en-US" w:eastAsia="zh-CN"/>
                    </w:rPr>
                    <w:t>)</w:t>
                  </w:r>
                </w:p>
              </w:tc>
              <w:tc>
                <w:tcPr>
                  <w:tcW w:w="521" w:type="pct"/>
                  <w:vMerge w:val="continue"/>
                  <w:tcBorders>
                    <w:tl2br w:val="nil"/>
                    <w:tr2bl w:val="nil"/>
                  </w:tcBorders>
                  <w:noWrap w:val="0"/>
                  <w:vAlign w:val="center"/>
                </w:tcPr>
                <w:p w14:paraId="08593B4F">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364" w:type="pct"/>
                  <w:vMerge w:val="continue"/>
                  <w:tcBorders>
                    <w:tl2br w:val="nil"/>
                    <w:tr2bl w:val="nil"/>
                  </w:tcBorders>
                  <w:noWrap w:val="0"/>
                  <w:vAlign w:val="center"/>
                </w:tcPr>
                <w:p w14:paraId="5F84545C">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544" w:type="pct"/>
                  <w:tcBorders>
                    <w:tl2br w:val="nil"/>
                    <w:tr2bl w:val="nil"/>
                  </w:tcBorders>
                  <w:noWrap w:val="0"/>
                  <w:vAlign w:val="center"/>
                </w:tcPr>
                <w:p w14:paraId="667C87BD">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w:t>
                  </w:r>
                </w:p>
                <w:p w14:paraId="6BBCF40D">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浓度</w:t>
                  </w:r>
                  <w:r>
                    <w:rPr>
                      <w:rFonts w:hint="default"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rPr>
                    <w:t>mg/L</w:t>
                  </w:r>
                  <w:r>
                    <w:rPr>
                      <w:rFonts w:hint="default" w:ascii="Times New Roman" w:hAnsi="Times New Roman" w:eastAsia="宋体" w:cs="Times New Roman"/>
                      <w:b/>
                      <w:bCs/>
                      <w:color w:val="auto"/>
                      <w:sz w:val="21"/>
                      <w:szCs w:val="21"/>
                      <w:lang w:val="en-US" w:eastAsia="zh-CN"/>
                    </w:rPr>
                    <w:t>)</w:t>
                  </w:r>
                </w:p>
              </w:tc>
              <w:tc>
                <w:tcPr>
                  <w:tcW w:w="500" w:type="pct"/>
                  <w:tcBorders>
                    <w:tl2br w:val="nil"/>
                    <w:tr2bl w:val="nil"/>
                  </w:tcBorders>
                  <w:noWrap w:val="0"/>
                  <w:vAlign w:val="center"/>
                </w:tcPr>
                <w:p w14:paraId="5782D324">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bCs/>
                      <w:color w:val="auto"/>
                      <w:sz w:val="21"/>
                      <w:szCs w:val="21"/>
                      <w:lang w:val="en-US"/>
                    </w:rPr>
                  </w:pPr>
                  <w:r>
                    <w:rPr>
                      <w:rFonts w:hint="default" w:ascii="Times New Roman" w:hAnsi="Times New Roman" w:eastAsia="宋体" w:cs="Times New Roman"/>
                      <w:b/>
                      <w:bCs/>
                      <w:color w:val="auto"/>
                      <w:sz w:val="21"/>
                      <w:szCs w:val="21"/>
                    </w:rPr>
                    <w:t>产生量</w:t>
                  </w:r>
                  <w:r>
                    <w:rPr>
                      <w:rFonts w:hint="default"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rPr>
                    <w:t>t/a</w:t>
                  </w:r>
                  <w:r>
                    <w:rPr>
                      <w:rFonts w:hint="default" w:ascii="Times New Roman" w:hAnsi="Times New Roman" w:eastAsia="宋体" w:cs="Times New Roman"/>
                      <w:b/>
                      <w:bCs/>
                      <w:color w:val="auto"/>
                      <w:sz w:val="21"/>
                      <w:szCs w:val="21"/>
                      <w:lang w:val="en-US" w:eastAsia="zh-CN"/>
                    </w:rPr>
                    <w:t>)</w:t>
                  </w:r>
                </w:p>
              </w:tc>
              <w:tc>
                <w:tcPr>
                  <w:tcW w:w="474" w:type="pct"/>
                  <w:vMerge w:val="continue"/>
                  <w:tcBorders>
                    <w:tl2br w:val="nil"/>
                    <w:tr2bl w:val="nil"/>
                  </w:tcBorders>
                  <w:noWrap w:val="0"/>
                  <w:vAlign w:val="center"/>
                </w:tcPr>
                <w:p w14:paraId="6CD08300">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rPr>
                  </w:pPr>
                </w:p>
              </w:tc>
            </w:tr>
            <w:tr w14:paraId="7B9A6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 w:type="pct"/>
                  <w:vMerge w:val="restart"/>
                  <w:tcBorders>
                    <w:tl2br w:val="nil"/>
                    <w:tr2bl w:val="nil"/>
                  </w:tcBorders>
                  <w:noWrap w:val="0"/>
                  <w:vAlign w:val="center"/>
                </w:tcPr>
                <w:p w14:paraId="4F6347E9">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b w:val="0"/>
                      <w:bCs w:val="0"/>
                      <w:color w:val="auto"/>
                      <w:sz w:val="21"/>
                      <w:szCs w:val="21"/>
                    </w:rPr>
                    <w:t>生活污水</w:t>
                  </w:r>
                </w:p>
              </w:tc>
              <w:tc>
                <w:tcPr>
                  <w:tcW w:w="539" w:type="pct"/>
                  <w:tcBorders>
                    <w:tl2br w:val="nil"/>
                    <w:tr2bl w:val="nil"/>
                  </w:tcBorders>
                  <w:noWrap w:val="0"/>
                  <w:vAlign w:val="center"/>
                </w:tcPr>
                <w:p w14:paraId="60FAAAD5">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b w:val="0"/>
                      <w:bCs w:val="0"/>
                      <w:color w:val="auto"/>
                      <w:sz w:val="21"/>
                      <w:szCs w:val="21"/>
                    </w:rPr>
                    <w:t>SS</w:t>
                  </w:r>
                </w:p>
              </w:tc>
              <w:tc>
                <w:tcPr>
                  <w:tcW w:w="320" w:type="pct"/>
                  <w:vMerge w:val="restart"/>
                  <w:tcBorders>
                    <w:tl2br w:val="nil"/>
                    <w:tr2bl w:val="nil"/>
                  </w:tcBorders>
                  <w:noWrap w:val="0"/>
                  <w:vAlign w:val="center"/>
                </w:tcPr>
                <w:p w14:paraId="0D8AC959">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b w:val="0"/>
                      <w:bCs w:val="0"/>
                      <w:color w:val="auto"/>
                      <w:sz w:val="21"/>
                      <w:szCs w:val="21"/>
                      <w:lang w:val="en-US"/>
                    </w:rPr>
                    <w:t>类比法</w:t>
                  </w:r>
                </w:p>
              </w:tc>
              <w:tc>
                <w:tcPr>
                  <w:tcW w:w="447" w:type="pct"/>
                  <w:vMerge w:val="restart"/>
                  <w:tcBorders>
                    <w:tl2br w:val="nil"/>
                    <w:tr2bl w:val="nil"/>
                  </w:tcBorders>
                  <w:noWrap w:val="0"/>
                  <w:vAlign w:val="center"/>
                </w:tcPr>
                <w:p w14:paraId="089CF486">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245.28</w:t>
                  </w:r>
                </w:p>
              </w:tc>
              <w:tc>
                <w:tcPr>
                  <w:tcW w:w="486" w:type="pct"/>
                  <w:tcBorders>
                    <w:tl2br w:val="nil"/>
                    <w:tr2bl w:val="nil"/>
                  </w:tcBorders>
                  <w:noWrap w:val="0"/>
                  <w:vAlign w:val="center"/>
                </w:tcPr>
                <w:p w14:paraId="304F7071">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b w:val="0"/>
                      <w:bCs w:val="0"/>
                      <w:color w:val="auto"/>
                      <w:sz w:val="21"/>
                      <w:szCs w:val="21"/>
                      <w:lang w:val="en-US"/>
                    </w:rPr>
                    <w:t>2</w:t>
                  </w:r>
                  <w:r>
                    <w:rPr>
                      <w:rFonts w:hint="default" w:ascii="Times New Roman" w:hAnsi="Times New Roman" w:eastAsia="宋体" w:cs="Times New Roman"/>
                      <w:b w:val="0"/>
                      <w:bCs w:val="0"/>
                      <w:color w:val="auto"/>
                      <w:sz w:val="21"/>
                      <w:szCs w:val="21"/>
                      <w:lang w:val="en-US" w:eastAsia="zh-CN"/>
                    </w:rPr>
                    <w:t>0</w:t>
                  </w:r>
                  <w:r>
                    <w:rPr>
                      <w:rFonts w:hint="default" w:ascii="Times New Roman" w:hAnsi="Times New Roman" w:eastAsia="宋体" w:cs="Times New Roman"/>
                      <w:b w:val="0"/>
                      <w:bCs w:val="0"/>
                      <w:color w:val="auto"/>
                      <w:sz w:val="21"/>
                      <w:szCs w:val="21"/>
                      <w:lang w:val="en-US"/>
                    </w:rPr>
                    <w:t>0</w:t>
                  </w:r>
                </w:p>
              </w:tc>
              <w:tc>
                <w:tcPr>
                  <w:tcW w:w="470" w:type="pct"/>
                  <w:tcBorders>
                    <w:tl2br w:val="nil"/>
                    <w:tr2bl w:val="nil"/>
                  </w:tcBorders>
                  <w:noWrap w:val="0"/>
                  <w:vAlign w:val="center"/>
                </w:tcPr>
                <w:p w14:paraId="51B16F24">
                  <w:pPr>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right="0"/>
                    <w:jc w:val="center"/>
                    <w:textAlignment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0.0</w:t>
                  </w:r>
                  <w:r>
                    <w:rPr>
                      <w:rFonts w:hint="default" w:ascii="Times New Roman" w:hAnsi="Times New Roman" w:cs="Times New Roman"/>
                      <w:b w:val="0"/>
                      <w:bCs w:val="0"/>
                      <w:color w:val="auto"/>
                      <w:sz w:val="21"/>
                      <w:szCs w:val="21"/>
                      <w:lang w:val="en-US" w:eastAsia="zh-CN"/>
                    </w:rPr>
                    <w:t>49</w:t>
                  </w:r>
                </w:p>
              </w:tc>
              <w:tc>
                <w:tcPr>
                  <w:tcW w:w="521" w:type="pct"/>
                  <w:vMerge w:val="restart"/>
                  <w:tcBorders>
                    <w:tl2br w:val="nil"/>
                    <w:tr2bl w:val="nil"/>
                  </w:tcBorders>
                  <w:noWrap w:val="0"/>
                  <w:vAlign w:val="center"/>
                </w:tcPr>
                <w:p w14:paraId="40DF195C">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生活污水一体化处理设备</w:t>
                  </w:r>
                </w:p>
              </w:tc>
              <w:tc>
                <w:tcPr>
                  <w:tcW w:w="364" w:type="pct"/>
                  <w:tcBorders>
                    <w:tl2br w:val="nil"/>
                    <w:tr2bl w:val="nil"/>
                  </w:tcBorders>
                  <w:noWrap w:val="0"/>
                  <w:vAlign w:val="center"/>
                </w:tcPr>
                <w:p w14:paraId="6A15F9F2">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90</w:t>
                  </w:r>
                </w:p>
              </w:tc>
              <w:tc>
                <w:tcPr>
                  <w:tcW w:w="544" w:type="pct"/>
                  <w:tcBorders>
                    <w:tl2br w:val="nil"/>
                    <w:tr2bl w:val="nil"/>
                  </w:tcBorders>
                  <w:noWrap w:val="0"/>
                  <w:vAlign w:val="center"/>
                </w:tcPr>
                <w:p w14:paraId="5D3D19BF">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20</w:t>
                  </w:r>
                </w:p>
              </w:tc>
              <w:tc>
                <w:tcPr>
                  <w:tcW w:w="500" w:type="pct"/>
                  <w:tcBorders>
                    <w:tl2br w:val="nil"/>
                    <w:tr2bl w:val="nil"/>
                  </w:tcBorders>
                  <w:noWrap w:val="0"/>
                  <w:vAlign w:val="center"/>
                </w:tcPr>
                <w:p w14:paraId="24B88AC9">
                  <w:pPr>
                    <w:keepNext w:val="0"/>
                    <w:keepLines w:val="0"/>
                    <w:pageBreakBefore w:val="0"/>
                    <w:widowControl/>
                    <w:suppressLineNumbers w:val="0"/>
                    <w:kinsoku/>
                    <w:wordWrap/>
                    <w:overflowPunct/>
                    <w:autoSpaceDE w:val="0"/>
                    <w:autoSpaceDN w:val="0"/>
                    <w:bidi w:val="0"/>
                    <w:adjustRightInd w:val="0"/>
                    <w:snapToGrid w:val="0"/>
                    <w:spacing w:before="60" w:beforeAutospacing="0" w:after="0" w:afterAutospacing="0"/>
                    <w:ind w:left="0" w:right="0"/>
                    <w:jc w:val="center"/>
                    <w:textAlignment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0.00</w:t>
                  </w:r>
                  <w:r>
                    <w:rPr>
                      <w:rFonts w:hint="default" w:ascii="Times New Roman" w:hAnsi="Times New Roman" w:cs="Times New Roman"/>
                      <w:b w:val="0"/>
                      <w:bCs w:val="0"/>
                      <w:color w:val="auto"/>
                      <w:sz w:val="21"/>
                      <w:szCs w:val="21"/>
                      <w:lang w:val="en-US" w:eastAsia="zh-CN"/>
                    </w:rPr>
                    <w:t>5</w:t>
                  </w:r>
                </w:p>
              </w:tc>
              <w:tc>
                <w:tcPr>
                  <w:tcW w:w="474" w:type="pct"/>
                  <w:tcBorders>
                    <w:tl2br w:val="nil"/>
                    <w:tr2bl w:val="nil"/>
                  </w:tcBorders>
                  <w:noWrap w:val="0"/>
                  <w:vAlign w:val="center"/>
                </w:tcPr>
                <w:p w14:paraId="05AE6C3B">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w:t>
                  </w:r>
                </w:p>
              </w:tc>
            </w:tr>
            <w:tr w14:paraId="7866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 w:type="pct"/>
                  <w:vMerge w:val="continue"/>
                  <w:tcBorders>
                    <w:tl2br w:val="nil"/>
                    <w:tr2bl w:val="nil"/>
                  </w:tcBorders>
                  <w:noWrap w:val="0"/>
                  <w:vAlign w:val="center"/>
                </w:tcPr>
                <w:p w14:paraId="5EA47B73">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539" w:type="pct"/>
                  <w:tcBorders>
                    <w:tl2br w:val="nil"/>
                    <w:tr2bl w:val="nil"/>
                  </w:tcBorders>
                  <w:noWrap w:val="0"/>
                  <w:vAlign w:val="center"/>
                </w:tcPr>
                <w:p w14:paraId="445EEC6E">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b w:val="0"/>
                      <w:bCs w:val="0"/>
                      <w:color w:val="auto"/>
                      <w:sz w:val="21"/>
                      <w:szCs w:val="21"/>
                    </w:rPr>
                    <w:t>BOD</w:t>
                  </w:r>
                  <w:r>
                    <w:rPr>
                      <w:rFonts w:hint="default" w:ascii="Times New Roman" w:hAnsi="Times New Roman" w:eastAsia="宋体" w:cs="Times New Roman"/>
                      <w:b w:val="0"/>
                      <w:bCs w:val="0"/>
                      <w:color w:val="auto"/>
                      <w:sz w:val="21"/>
                      <w:szCs w:val="21"/>
                      <w:vertAlign w:val="subscript"/>
                    </w:rPr>
                    <w:t>5</w:t>
                  </w:r>
                </w:p>
              </w:tc>
              <w:tc>
                <w:tcPr>
                  <w:tcW w:w="320" w:type="pct"/>
                  <w:vMerge w:val="continue"/>
                  <w:tcBorders>
                    <w:tl2br w:val="nil"/>
                    <w:tr2bl w:val="nil"/>
                  </w:tcBorders>
                  <w:noWrap w:val="0"/>
                  <w:vAlign w:val="center"/>
                </w:tcPr>
                <w:p w14:paraId="0C8F809F">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447" w:type="pct"/>
                  <w:vMerge w:val="continue"/>
                  <w:tcBorders>
                    <w:tl2br w:val="nil"/>
                    <w:tr2bl w:val="nil"/>
                  </w:tcBorders>
                  <w:noWrap w:val="0"/>
                  <w:vAlign w:val="center"/>
                </w:tcPr>
                <w:p w14:paraId="2A2E12C0">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486" w:type="pct"/>
                  <w:tcBorders>
                    <w:tl2br w:val="nil"/>
                    <w:tr2bl w:val="nil"/>
                  </w:tcBorders>
                  <w:noWrap w:val="0"/>
                  <w:vAlign w:val="center"/>
                </w:tcPr>
                <w:p w14:paraId="13223E07">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b w:val="0"/>
                      <w:bCs w:val="0"/>
                      <w:color w:val="auto"/>
                      <w:sz w:val="21"/>
                      <w:szCs w:val="21"/>
                      <w:lang w:val="en-US" w:eastAsia="zh-CN"/>
                    </w:rPr>
                    <w:t>18</w:t>
                  </w:r>
                  <w:r>
                    <w:rPr>
                      <w:rFonts w:hint="default" w:ascii="Times New Roman" w:hAnsi="Times New Roman" w:eastAsia="宋体" w:cs="Times New Roman"/>
                      <w:b w:val="0"/>
                      <w:bCs w:val="0"/>
                      <w:color w:val="auto"/>
                      <w:sz w:val="21"/>
                      <w:szCs w:val="21"/>
                      <w:lang w:val="en-US"/>
                    </w:rPr>
                    <w:t>0</w:t>
                  </w:r>
                </w:p>
              </w:tc>
              <w:tc>
                <w:tcPr>
                  <w:tcW w:w="470" w:type="pct"/>
                  <w:tcBorders>
                    <w:tl2br w:val="nil"/>
                    <w:tr2bl w:val="nil"/>
                  </w:tcBorders>
                  <w:noWrap w:val="0"/>
                  <w:vAlign w:val="center"/>
                </w:tcPr>
                <w:p w14:paraId="1F357BB9">
                  <w:pPr>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right="0"/>
                    <w:jc w:val="center"/>
                    <w:textAlignment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0.0</w:t>
                  </w:r>
                  <w:r>
                    <w:rPr>
                      <w:rFonts w:hint="default" w:ascii="Times New Roman" w:hAnsi="Times New Roman" w:cs="Times New Roman"/>
                      <w:b w:val="0"/>
                      <w:bCs w:val="0"/>
                      <w:color w:val="auto"/>
                      <w:sz w:val="21"/>
                      <w:szCs w:val="21"/>
                      <w:lang w:val="en-US" w:eastAsia="zh-CN"/>
                    </w:rPr>
                    <w:t>44</w:t>
                  </w:r>
                </w:p>
              </w:tc>
              <w:tc>
                <w:tcPr>
                  <w:tcW w:w="521" w:type="pct"/>
                  <w:vMerge w:val="continue"/>
                  <w:tcBorders>
                    <w:tl2br w:val="nil"/>
                    <w:tr2bl w:val="nil"/>
                  </w:tcBorders>
                  <w:noWrap w:val="0"/>
                  <w:vAlign w:val="center"/>
                </w:tcPr>
                <w:p w14:paraId="252A54F3">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364" w:type="pct"/>
                  <w:tcBorders>
                    <w:tl2br w:val="nil"/>
                    <w:tr2bl w:val="nil"/>
                  </w:tcBorders>
                  <w:noWrap w:val="0"/>
                  <w:vAlign w:val="center"/>
                </w:tcPr>
                <w:p w14:paraId="3E9008DD">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95</w:t>
                  </w:r>
                </w:p>
              </w:tc>
              <w:tc>
                <w:tcPr>
                  <w:tcW w:w="544" w:type="pct"/>
                  <w:tcBorders>
                    <w:tl2br w:val="nil"/>
                    <w:tr2bl w:val="nil"/>
                  </w:tcBorders>
                  <w:noWrap w:val="0"/>
                  <w:vAlign w:val="center"/>
                </w:tcPr>
                <w:p w14:paraId="411523CC">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9</w:t>
                  </w:r>
                </w:p>
              </w:tc>
              <w:tc>
                <w:tcPr>
                  <w:tcW w:w="500" w:type="pct"/>
                  <w:tcBorders>
                    <w:tl2br w:val="nil"/>
                    <w:tr2bl w:val="nil"/>
                  </w:tcBorders>
                  <w:noWrap w:val="0"/>
                  <w:vAlign w:val="center"/>
                </w:tcPr>
                <w:p w14:paraId="4A1D2078">
                  <w:pPr>
                    <w:keepNext w:val="0"/>
                    <w:keepLines w:val="0"/>
                    <w:pageBreakBefore w:val="0"/>
                    <w:widowControl/>
                    <w:suppressLineNumbers w:val="0"/>
                    <w:kinsoku/>
                    <w:wordWrap/>
                    <w:overflowPunct/>
                    <w:autoSpaceDE w:val="0"/>
                    <w:autoSpaceDN w:val="0"/>
                    <w:bidi w:val="0"/>
                    <w:adjustRightInd w:val="0"/>
                    <w:snapToGrid w:val="0"/>
                    <w:spacing w:before="60" w:beforeAutospacing="0" w:after="0" w:afterAutospacing="0"/>
                    <w:ind w:left="0" w:right="0"/>
                    <w:jc w:val="center"/>
                    <w:textAlignment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0.00</w:t>
                  </w:r>
                  <w:r>
                    <w:rPr>
                      <w:rFonts w:hint="default" w:ascii="Times New Roman" w:hAnsi="Times New Roman" w:cs="Times New Roman"/>
                      <w:b w:val="0"/>
                      <w:bCs w:val="0"/>
                      <w:color w:val="auto"/>
                      <w:sz w:val="21"/>
                      <w:szCs w:val="21"/>
                      <w:lang w:val="en-US" w:eastAsia="zh-CN"/>
                    </w:rPr>
                    <w:t>2</w:t>
                  </w:r>
                </w:p>
              </w:tc>
              <w:tc>
                <w:tcPr>
                  <w:tcW w:w="474" w:type="pct"/>
                  <w:tcBorders>
                    <w:tl2br w:val="nil"/>
                    <w:tr2bl w:val="nil"/>
                  </w:tcBorders>
                  <w:noWrap w:val="0"/>
                  <w:vAlign w:val="center"/>
                </w:tcPr>
                <w:p w14:paraId="7D62FFBD">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10</w:t>
                  </w:r>
                </w:p>
              </w:tc>
            </w:tr>
            <w:tr w14:paraId="6463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 w:type="pct"/>
                  <w:vMerge w:val="continue"/>
                  <w:tcBorders>
                    <w:tl2br w:val="nil"/>
                    <w:tr2bl w:val="nil"/>
                  </w:tcBorders>
                  <w:noWrap w:val="0"/>
                  <w:vAlign w:val="center"/>
                </w:tcPr>
                <w:p w14:paraId="71120E13">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539" w:type="pct"/>
                  <w:tcBorders>
                    <w:tl2br w:val="nil"/>
                    <w:tr2bl w:val="nil"/>
                  </w:tcBorders>
                  <w:noWrap w:val="0"/>
                  <w:vAlign w:val="center"/>
                </w:tcPr>
                <w:p w14:paraId="50655A91">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b w:val="0"/>
                      <w:bCs w:val="0"/>
                      <w:color w:val="auto"/>
                      <w:sz w:val="21"/>
                      <w:szCs w:val="21"/>
                    </w:rPr>
                    <w:t>COD</w:t>
                  </w:r>
                </w:p>
              </w:tc>
              <w:tc>
                <w:tcPr>
                  <w:tcW w:w="320" w:type="pct"/>
                  <w:vMerge w:val="continue"/>
                  <w:tcBorders>
                    <w:tl2br w:val="nil"/>
                    <w:tr2bl w:val="nil"/>
                  </w:tcBorders>
                  <w:noWrap w:val="0"/>
                  <w:vAlign w:val="center"/>
                </w:tcPr>
                <w:p w14:paraId="2B53C0D7">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447" w:type="pct"/>
                  <w:vMerge w:val="continue"/>
                  <w:tcBorders>
                    <w:tl2br w:val="nil"/>
                    <w:tr2bl w:val="nil"/>
                  </w:tcBorders>
                  <w:noWrap w:val="0"/>
                  <w:vAlign w:val="center"/>
                </w:tcPr>
                <w:p w14:paraId="41723622">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486" w:type="pct"/>
                  <w:tcBorders>
                    <w:tl2br w:val="nil"/>
                    <w:tr2bl w:val="nil"/>
                  </w:tcBorders>
                  <w:noWrap w:val="0"/>
                  <w:vAlign w:val="center"/>
                </w:tcPr>
                <w:p w14:paraId="0E4A7B25">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350</w:t>
                  </w:r>
                </w:p>
              </w:tc>
              <w:tc>
                <w:tcPr>
                  <w:tcW w:w="470" w:type="pct"/>
                  <w:tcBorders>
                    <w:tl2br w:val="nil"/>
                    <w:tr2bl w:val="nil"/>
                  </w:tcBorders>
                  <w:noWrap w:val="0"/>
                  <w:vAlign w:val="center"/>
                </w:tcPr>
                <w:p w14:paraId="18580536">
                  <w:pPr>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right="0"/>
                    <w:jc w:val="center"/>
                    <w:textAlignment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0.0</w:t>
                  </w:r>
                  <w:r>
                    <w:rPr>
                      <w:rFonts w:hint="default" w:ascii="Times New Roman" w:hAnsi="Times New Roman" w:cs="Times New Roman"/>
                      <w:b w:val="0"/>
                      <w:bCs w:val="0"/>
                      <w:color w:val="auto"/>
                      <w:sz w:val="21"/>
                      <w:szCs w:val="21"/>
                      <w:lang w:val="en-US" w:eastAsia="zh-CN"/>
                    </w:rPr>
                    <w:t>86</w:t>
                  </w:r>
                </w:p>
              </w:tc>
              <w:tc>
                <w:tcPr>
                  <w:tcW w:w="521" w:type="pct"/>
                  <w:vMerge w:val="continue"/>
                  <w:tcBorders>
                    <w:tl2br w:val="nil"/>
                    <w:tr2bl w:val="nil"/>
                  </w:tcBorders>
                  <w:noWrap w:val="0"/>
                  <w:vAlign w:val="center"/>
                </w:tcPr>
                <w:p w14:paraId="368E92EB">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364" w:type="pct"/>
                  <w:tcBorders>
                    <w:tl2br w:val="nil"/>
                    <w:tr2bl w:val="nil"/>
                  </w:tcBorders>
                  <w:noWrap w:val="0"/>
                  <w:vAlign w:val="center"/>
                </w:tcPr>
                <w:p w14:paraId="6896D010">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85</w:t>
                  </w:r>
                </w:p>
              </w:tc>
              <w:tc>
                <w:tcPr>
                  <w:tcW w:w="544" w:type="pct"/>
                  <w:tcBorders>
                    <w:tl2br w:val="nil"/>
                    <w:tr2bl w:val="nil"/>
                  </w:tcBorders>
                  <w:noWrap w:val="0"/>
                  <w:vAlign w:val="center"/>
                </w:tcPr>
                <w:p w14:paraId="3FD1DE3B">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52.5</w:t>
                  </w:r>
                </w:p>
              </w:tc>
              <w:tc>
                <w:tcPr>
                  <w:tcW w:w="500" w:type="pct"/>
                  <w:tcBorders>
                    <w:tl2br w:val="nil"/>
                    <w:tr2bl w:val="nil"/>
                  </w:tcBorders>
                  <w:noWrap w:val="0"/>
                  <w:vAlign w:val="center"/>
                </w:tcPr>
                <w:p w14:paraId="124D3DF4">
                  <w:pPr>
                    <w:keepNext w:val="0"/>
                    <w:keepLines w:val="0"/>
                    <w:pageBreakBefore w:val="0"/>
                    <w:widowControl/>
                    <w:suppressLineNumbers w:val="0"/>
                    <w:kinsoku/>
                    <w:wordWrap/>
                    <w:overflowPunct/>
                    <w:autoSpaceDE w:val="0"/>
                    <w:autoSpaceDN w:val="0"/>
                    <w:bidi w:val="0"/>
                    <w:adjustRightInd w:val="0"/>
                    <w:snapToGrid w:val="0"/>
                    <w:spacing w:before="60" w:beforeAutospacing="0" w:after="0" w:afterAutospacing="0"/>
                    <w:ind w:left="0" w:right="0"/>
                    <w:jc w:val="center"/>
                    <w:textAlignment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0.0</w:t>
                  </w:r>
                  <w:r>
                    <w:rPr>
                      <w:rFonts w:hint="default" w:ascii="Times New Roman" w:hAnsi="Times New Roman" w:cs="Times New Roman"/>
                      <w:b w:val="0"/>
                      <w:bCs w:val="0"/>
                      <w:color w:val="auto"/>
                      <w:sz w:val="21"/>
                      <w:szCs w:val="21"/>
                      <w:lang w:val="en-US" w:eastAsia="zh-CN"/>
                    </w:rPr>
                    <w:t>13</w:t>
                  </w:r>
                </w:p>
              </w:tc>
              <w:tc>
                <w:tcPr>
                  <w:tcW w:w="474" w:type="pct"/>
                  <w:tcBorders>
                    <w:tl2br w:val="nil"/>
                    <w:tr2bl w:val="nil"/>
                  </w:tcBorders>
                  <w:noWrap w:val="0"/>
                  <w:vAlign w:val="center"/>
                </w:tcPr>
                <w:p w14:paraId="7264E2B4">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w:t>
                  </w:r>
                </w:p>
              </w:tc>
            </w:tr>
            <w:tr w14:paraId="704D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 w:type="pct"/>
                  <w:vMerge w:val="continue"/>
                  <w:tcBorders>
                    <w:tl2br w:val="nil"/>
                    <w:tr2bl w:val="nil"/>
                  </w:tcBorders>
                  <w:noWrap w:val="0"/>
                  <w:vAlign w:val="center"/>
                </w:tcPr>
                <w:p w14:paraId="45F2190B">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539" w:type="pct"/>
                  <w:tcBorders>
                    <w:tl2br w:val="nil"/>
                    <w:tr2bl w:val="nil"/>
                  </w:tcBorders>
                  <w:noWrap w:val="0"/>
                  <w:vAlign w:val="center"/>
                </w:tcPr>
                <w:p w14:paraId="0DCFD3FC">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b w:val="0"/>
                      <w:bCs w:val="0"/>
                      <w:color w:val="auto"/>
                      <w:sz w:val="21"/>
                      <w:szCs w:val="21"/>
                    </w:rPr>
                    <w:t>NH</w:t>
                  </w:r>
                  <w:r>
                    <w:rPr>
                      <w:rFonts w:hint="default" w:ascii="Times New Roman" w:hAnsi="Times New Roman" w:eastAsia="宋体" w:cs="Times New Roman"/>
                      <w:b w:val="0"/>
                      <w:bCs w:val="0"/>
                      <w:color w:val="auto"/>
                      <w:sz w:val="21"/>
                      <w:szCs w:val="21"/>
                      <w:vertAlign w:val="subscript"/>
                    </w:rPr>
                    <w:t>3</w:t>
                  </w:r>
                  <w:r>
                    <w:rPr>
                      <w:rFonts w:hint="default" w:ascii="Times New Roman" w:hAnsi="Times New Roman" w:eastAsia="宋体" w:cs="Times New Roman"/>
                      <w:b w:val="0"/>
                      <w:bCs w:val="0"/>
                      <w:color w:val="auto"/>
                      <w:sz w:val="21"/>
                      <w:szCs w:val="21"/>
                    </w:rPr>
                    <w:t>-N</w:t>
                  </w:r>
                </w:p>
              </w:tc>
              <w:tc>
                <w:tcPr>
                  <w:tcW w:w="320" w:type="pct"/>
                  <w:vMerge w:val="continue"/>
                  <w:tcBorders>
                    <w:tl2br w:val="nil"/>
                    <w:tr2bl w:val="nil"/>
                  </w:tcBorders>
                  <w:noWrap w:val="0"/>
                  <w:vAlign w:val="center"/>
                </w:tcPr>
                <w:p w14:paraId="784AEF88">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447" w:type="pct"/>
                  <w:vMerge w:val="continue"/>
                  <w:tcBorders>
                    <w:tl2br w:val="nil"/>
                    <w:tr2bl w:val="nil"/>
                  </w:tcBorders>
                  <w:noWrap w:val="0"/>
                  <w:vAlign w:val="center"/>
                </w:tcPr>
                <w:p w14:paraId="5C0816CB">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486" w:type="pct"/>
                  <w:tcBorders>
                    <w:tl2br w:val="nil"/>
                    <w:tr2bl w:val="nil"/>
                  </w:tcBorders>
                  <w:noWrap w:val="0"/>
                  <w:vAlign w:val="center"/>
                </w:tcPr>
                <w:p w14:paraId="5787A44B">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30</w:t>
                  </w:r>
                </w:p>
              </w:tc>
              <w:tc>
                <w:tcPr>
                  <w:tcW w:w="470" w:type="pct"/>
                  <w:tcBorders>
                    <w:tl2br w:val="nil"/>
                    <w:tr2bl w:val="nil"/>
                  </w:tcBorders>
                  <w:noWrap w:val="0"/>
                  <w:vAlign w:val="center"/>
                </w:tcPr>
                <w:p w14:paraId="6E4F20A9">
                  <w:pPr>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right="0"/>
                    <w:jc w:val="center"/>
                    <w:textAlignment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0.00</w:t>
                  </w:r>
                  <w:r>
                    <w:rPr>
                      <w:rFonts w:hint="default" w:ascii="Times New Roman" w:hAnsi="Times New Roman" w:cs="Times New Roman"/>
                      <w:b w:val="0"/>
                      <w:bCs w:val="0"/>
                      <w:color w:val="auto"/>
                      <w:sz w:val="21"/>
                      <w:szCs w:val="21"/>
                      <w:lang w:val="en-US" w:eastAsia="zh-CN"/>
                    </w:rPr>
                    <w:t>7</w:t>
                  </w:r>
                </w:p>
              </w:tc>
              <w:tc>
                <w:tcPr>
                  <w:tcW w:w="521" w:type="pct"/>
                  <w:vMerge w:val="continue"/>
                  <w:tcBorders>
                    <w:tl2br w:val="nil"/>
                    <w:tr2bl w:val="nil"/>
                  </w:tcBorders>
                  <w:noWrap w:val="0"/>
                  <w:vAlign w:val="center"/>
                </w:tcPr>
                <w:p w14:paraId="336D32B1">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p>
              </w:tc>
              <w:tc>
                <w:tcPr>
                  <w:tcW w:w="364" w:type="pct"/>
                  <w:tcBorders>
                    <w:tl2br w:val="nil"/>
                    <w:tr2bl w:val="nil"/>
                  </w:tcBorders>
                  <w:noWrap w:val="0"/>
                  <w:vAlign w:val="center"/>
                </w:tcPr>
                <w:p w14:paraId="0805F3A6">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85</w:t>
                  </w:r>
                </w:p>
              </w:tc>
              <w:tc>
                <w:tcPr>
                  <w:tcW w:w="544" w:type="pct"/>
                  <w:tcBorders>
                    <w:tl2br w:val="nil"/>
                    <w:tr2bl w:val="nil"/>
                  </w:tcBorders>
                  <w:noWrap w:val="0"/>
                  <w:vAlign w:val="center"/>
                </w:tcPr>
                <w:p w14:paraId="71731966">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4.5</w:t>
                  </w:r>
                </w:p>
              </w:tc>
              <w:tc>
                <w:tcPr>
                  <w:tcW w:w="500" w:type="pct"/>
                  <w:tcBorders>
                    <w:tl2br w:val="nil"/>
                    <w:tr2bl w:val="nil"/>
                  </w:tcBorders>
                  <w:noWrap w:val="0"/>
                  <w:vAlign w:val="center"/>
                </w:tcPr>
                <w:p w14:paraId="2D8DAC2A">
                  <w:pPr>
                    <w:keepNext w:val="0"/>
                    <w:keepLines w:val="0"/>
                    <w:pageBreakBefore w:val="0"/>
                    <w:widowControl/>
                    <w:suppressLineNumbers w:val="0"/>
                    <w:kinsoku/>
                    <w:wordWrap/>
                    <w:overflowPunct/>
                    <w:autoSpaceDE w:val="0"/>
                    <w:autoSpaceDN w:val="0"/>
                    <w:bidi w:val="0"/>
                    <w:adjustRightInd w:val="0"/>
                    <w:snapToGrid w:val="0"/>
                    <w:spacing w:before="60" w:beforeAutospacing="0" w:after="0" w:afterAutospacing="0"/>
                    <w:ind w:left="0" w:right="0"/>
                    <w:jc w:val="center"/>
                    <w:textAlignment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0.00</w:t>
                  </w:r>
                  <w:r>
                    <w:rPr>
                      <w:rFonts w:hint="default" w:ascii="Times New Roman" w:hAnsi="Times New Roman" w:cs="Times New Roman"/>
                      <w:b w:val="0"/>
                      <w:bCs w:val="0"/>
                      <w:color w:val="auto"/>
                      <w:sz w:val="21"/>
                      <w:szCs w:val="21"/>
                      <w:lang w:val="en-US" w:eastAsia="zh-CN"/>
                    </w:rPr>
                    <w:t>1</w:t>
                  </w:r>
                </w:p>
              </w:tc>
              <w:tc>
                <w:tcPr>
                  <w:tcW w:w="474" w:type="pct"/>
                  <w:tcBorders>
                    <w:tl2br w:val="nil"/>
                    <w:tr2bl w:val="nil"/>
                  </w:tcBorders>
                  <w:noWrap w:val="0"/>
                  <w:vAlign w:val="center"/>
                </w:tcPr>
                <w:p w14:paraId="702620F2">
                  <w:pPr>
                    <w:pStyle w:val="95"/>
                    <w:keepNext w:val="0"/>
                    <w:keepLines w:val="0"/>
                    <w:pageBreakBefore w:val="0"/>
                    <w:widowControl/>
                    <w:suppressLineNumbers w:val="0"/>
                    <w:kinsoku/>
                    <w:wordWrap/>
                    <w:overflowPunct/>
                    <w:topLinePunct/>
                    <w:autoSpaceDE w:val="0"/>
                    <w:autoSpaceDN w:val="0"/>
                    <w:bidi w:val="0"/>
                    <w:adjustRightInd w:val="0"/>
                    <w:snapToGrid w:val="0"/>
                    <w:spacing w:before="6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8</w:t>
                  </w:r>
                </w:p>
              </w:tc>
            </w:tr>
          </w:tbl>
          <w:p w14:paraId="45E1F5E4">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5、</w:t>
            </w:r>
            <w:r>
              <w:rPr>
                <w:rFonts w:hint="default" w:ascii="Times New Roman" w:hAnsi="Times New Roman" w:eastAsia="宋体" w:cs="Times New Roman"/>
                <w:b/>
                <w:bCs w:val="0"/>
                <w:color w:val="auto"/>
                <w:sz w:val="24"/>
                <w:szCs w:val="24"/>
                <w:highlight w:val="none"/>
                <w:lang w:val="en-US" w:eastAsia="zh-CN"/>
              </w:rPr>
              <w:t>固体废物影响分析与评价</w:t>
            </w:r>
          </w:p>
          <w:p w14:paraId="433D04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22</w:t>
            </w:r>
            <w:r>
              <w:rPr>
                <w:rFonts w:hint="default" w:ascii="Times New Roman" w:hAnsi="Times New Roman" w:eastAsia="宋体" w:cs="Times New Roman"/>
                <w:b w:val="0"/>
                <w:bCs/>
                <w:color w:val="auto"/>
                <w:kern w:val="0"/>
                <w:sz w:val="24"/>
                <w:szCs w:val="24"/>
                <w:highlight w:val="none"/>
                <w:lang w:val="en-US" w:eastAsia="zh-CN" w:bidi="ar-SA"/>
              </w:rPr>
              <w:t>0kV升压站运行期的固体废物主要为生活垃圾、</w:t>
            </w:r>
            <w:r>
              <w:rPr>
                <w:rFonts w:hint="default" w:ascii="Times New Roman" w:hAnsi="Times New Roman" w:cs="Times New Roman"/>
                <w:b w:val="0"/>
                <w:bCs/>
                <w:color w:val="auto"/>
                <w:kern w:val="0"/>
                <w:sz w:val="24"/>
                <w:szCs w:val="24"/>
                <w:highlight w:val="none"/>
                <w:lang w:val="en-US" w:eastAsia="zh-CN" w:bidi="ar-SA"/>
              </w:rPr>
              <w:t>水处理设备产生的污泥、</w:t>
            </w:r>
            <w:r>
              <w:rPr>
                <w:rFonts w:hint="default" w:ascii="Times New Roman" w:hAnsi="Times New Roman" w:eastAsia="宋体" w:cs="Times New Roman"/>
                <w:b w:val="0"/>
                <w:bCs/>
                <w:color w:val="auto"/>
                <w:kern w:val="0"/>
                <w:sz w:val="24"/>
                <w:szCs w:val="24"/>
                <w:highlight w:val="none"/>
                <w:lang w:val="en-US" w:eastAsia="zh-CN" w:bidi="ar-SA"/>
              </w:rPr>
              <w:t>主变压器产生的废</w:t>
            </w:r>
            <w:r>
              <w:rPr>
                <w:rFonts w:hint="default" w:ascii="Times New Roman" w:hAnsi="Times New Roman" w:cs="Times New Roman"/>
                <w:b w:val="0"/>
                <w:bCs/>
                <w:color w:val="auto"/>
                <w:kern w:val="0"/>
                <w:sz w:val="24"/>
                <w:szCs w:val="24"/>
                <w:highlight w:val="none"/>
                <w:lang w:val="en-US" w:eastAsia="zh-CN" w:bidi="ar-SA"/>
              </w:rPr>
              <w:t>铅</w:t>
            </w:r>
            <w:r>
              <w:rPr>
                <w:rFonts w:hint="default" w:ascii="Times New Roman" w:hAnsi="Times New Roman" w:eastAsia="宋体" w:cs="Times New Roman"/>
                <w:b w:val="0"/>
                <w:bCs/>
                <w:color w:val="auto"/>
                <w:kern w:val="0"/>
                <w:sz w:val="24"/>
                <w:szCs w:val="24"/>
                <w:highlight w:val="none"/>
                <w:lang w:val="en-US" w:eastAsia="zh-CN" w:bidi="ar-SA"/>
              </w:rPr>
              <w:t>蓄电池</w:t>
            </w:r>
            <w:r>
              <w:rPr>
                <w:rFonts w:hint="default" w:ascii="Times New Roman" w:hAnsi="Times New Roman" w:cs="Times New Roman"/>
                <w:b w:val="0"/>
                <w:bCs/>
                <w:color w:val="auto"/>
                <w:kern w:val="0"/>
                <w:sz w:val="24"/>
                <w:szCs w:val="24"/>
                <w:highlight w:val="none"/>
                <w:lang w:val="en-US" w:eastAsia="zh-CN" w:bidi="ar-SA"/>
              </w:rPr>
              <w:t>、</w:t>
            </w:r>
            <w:r>
              <w:rPr>
                <w:rFonts w:hint="default" w:ascii="Times New Roman" w:hAnsi="Times New Roman" w:eastAsia="宋体" w:cs="Times New Roman"/>
                <w:b w:val="0"/>
                <w:bCs/>
                <w:color w:val="auto"/>
                <w:kern w:val="0"/>
                <w:sz w:val="24"/>
                <w:szCs w:val="24"/>
                <w:highlight w:val="none"/>
                <w:lang w:val="en-US" w:eastAsia="zh-CN" w:bidi="ar-SA"/>
              </w:rPr>
              <w:t>沾染油污的油布废手套等检修废物、废润滑油、废润滑油桶、主变压器事故状态下产生的变压器油。</w:t>
            </w:r>
          </w:p>
          <w:p w14:paraId="6AD98B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（1）生活垃圾</w:t>
            </w:r>
          </w:p>
          <w:p w14:paraId="220E0EC2">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cs="Times New Roman"/>
                <w:i w:val="0"/>
                <w:iCs w:val="0"/>
                <w:color w:val="auto"/>
                <w:spacing w:val="-1"/>
                <w:highlight w:val="none"/>
                <w:vertAlign w:val="baseline"/>
                <w:lang w:val="en-US" w:eastAsia="zh-CN"/>
              </w:rPr>
            </w:pPr>
            <w:r>
              <w:rPr>
                <w:rFonts w:hint="default" w:ascii="Times New Roman" w:hAnsi="Times New Roman" w:cs="Times New Roman"/>
                <w:i w:val="0"/>
                <w:iCs w:val="0"/>
                <w:color w:val="auto"/>
                <w:spacing w:val="-1"/>
                <w:highlight w:val="none"/>
                <w:vertAlign w:val="baseline"/>
                <w:lang w:val="en-US" w:eastAsia="zh-CN"/>
              </w:rPr>
              <w:t>运营期工作人员为14人，生活垃圾产生量按每人0.5kg/d，则生活垃圾年产生2.6t/a，运营期产生的生活垃圾经站内生活垃圾桶收集后委托环卫部门定期清运。</w:t>
            </w:r>
          </w:p>
          <w:p w14:paraId="122A07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（2）污水处理产生的污泥</w:t>
            </w:r>
          </w:p>
          <w:p w14:paraId="0EA61B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站内地埋式一体化污水处理设备处理生活污水会产生污泥，产生量为</w:t>
            </w:r>
            <w:r>
              <w:rPr>
                <w:rFonts w:hint="default" w:ascii="Times New Roman" w:hAnsi="Times New Roman" w:cs="Times New Roman"/>
                <w:b w:val="0"/>
                <w:bCs/>
                <w:color w:val="auto"/>
                <w:kern w:val="0"/>
                <w:sz w:val="24"/>
                <w:szCs w:val="24"/>
                <w:highlight w:val="none"/>
                <w:lang w:val="en-US" w:eastAsia="zh-CN" w:bidi="ar-SA"/>
              </w:rPr>
              <w:t>75</w:t>
            </w:r>
            <w:r>
              <w:rPr>
                <w:rFonts w:hint="default" w:ascii="Times New Roman" w:hAnsi="Times New Roman" w:eastAsia="宋体" w:cs="Times New Roman"/>
                <w:b w:val="0"/>
                <w:bCs/>
                <w:color w:val="auto"/>
                <w:kern w:val="0"/>
                <w:sz w:val="24"/>
                <w:szCs w:val="24"/>
                <w:highlight w:val="none"/>
                <w:lang w:val="en-US" w:eastAsia="zh-CN" w:bidi="ar-SA"/>
              </w:rPr>
              <w:t>kg/a。根据《一般固体废物分类与代码》（GB/T 39198-2020），其废物类别为Ⅵ非特定行业生产过程中产生的一般固体废物（62），462-001-62：污水处理及其再生利用过程中产生的有机废水污泥。污泥由环卫部门定期清掏后外运。</w:t>
            </w:r>
          </w:p>
          <w:p w14:paraId="4F755B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（3）废铅蓄电池</w:t>
            </w:r>
          </w:p>
          <w:p w14:paraId="5D439B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主变压器配置一套直流系统。蓄电池组采用免维护阀控式铅酸蓄电池，按双组配置，蓄电池使用周期为5年，废铅蓄电池产生量约2.5t/5年。根据《国家危险废物名录》（2025版），产生的废铅蓄电池属于危险废物，其废物类别为HW31：含铅废物，废物代码900-052-31：废铅蓄电池及废铅蓄电池拆解过程中产生的废铅板、废铅膏和酸液。废铅蓄电池经专用容器集中收集后，暂存在危废暂存间内，委托有资质单位定期拉运进行处理。危废暂存间参照《危险废物贮存污染控制标准》（GB18597-2023），防渗材料至少为2mm高密度聚乙烯（渗透系数≤10</w:t>
            </w:r>
            <w:r>
              <w:rPr>
                <w:rFonts w:hint="default" w:ascii="Times New Roman" w:hAnsi="Times New Roman" w:cs="Times New Roman"/>
                <w:b w:val="0"/>
                <w:bCs/>
                <w:color w:val="auto"/>
                <w:kern w:val="0"/>
                <w:sz w:val="24"/>
                <w:szCs w:val="24"/>
                <w:highlight w:val="none"/>
                <w:vertAlign w:val="superscript"/>
                <w:lang w:val="en-US" w:eastAsia="zh-CN" w:bidi="ar-SA"/>
              </w:rPr>
              <w:t>-10</w:t>
            </w:r>
            <w:r>
              <w:rPr>
                <w:rFonts w:hint="default" w:ascii="Times New Roman" w:hAnsi="Times New Roman" w:cs="Times New Roman"/>
                <w:b w:val="0"/>
                <w:bCs/>
                <w:color w:val="auto"/>
                <w:kern w:val="0"/>
                <w:sz w:val="24"/>
                <w:szCs w:val="24"/>
                <w:highlight w:val="none"/>
                <w:lang w:val="en-US" w:eastAsia="zh-CN" w:bidi="ar-SA"/>
              </w:rPr>
              <w:t>cm/s）或其他人工防渗材料相当的要求进行防渗。</w:t>
            </w:r>
          </w:p>
          <w:p w14:paraId="680D157A">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cs="Times New Roman"/>
                <w:i w:val="0"/>
                <w:iCs w:val="0"/>
                <w:color w:val="auto"/>
                <w:spacing w:val="-1"/>
                <w:highlight w:val="none"/>
                <w:vertAlign w:val="baseline"/>
                <w:lang w:val="en-US" w:eastAsia="zh-CN"/>
              </w:rPr>
            </w:pPr>
            <w:r>
              <w:rPr>
                <w:rFonts w:hint="default" w:ascii="Times New Roman" w:hAnsi="Times New Roman" w:cs="Times New Roman"/>
                <w:i w:val="0"/>
                <w:iCs w:val="0"/>
                <w:color w:val="auto"/>
                <w:spacing w:val="-1"/>
                <w:highlight w:val="none"/>
                <w:vertAlign w:val="baseline"/>
                <w:lang w:val="en-US" w:eastAsia="zh-CN"/>
              </w:rPr>
              <w:t>（4）沾染废矿物油的抹布、废手套等检修垃圾</w:t>
            </w:r>
          </w:p>
          <w:p w14:paraId="0BDA49DA">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cs="Times New Roman"/>
                <w:i w:val="0"/>
                <w:iCs w:val="0"/>
                <w:color w:val="auto"/>
                <w:spacing w:val="-1"/>
                <w:highlight w:val="none"/>
                <w:vertAlign w:val="baseline"/>
                <w:lang w:val="en-US" w:eastAsia="zh-CN"/>
              </w:rPr>
            </w:pPr>
            <w:r>
              <w:rPr>
                <w:rFonts w:hint="default" w:ascii="Times New Roman" w:hAnsi="Times New Roman" w:cs="Times New Roman"/>
                <w:i w:val="0"/>
                <w:iCs w:val="0"/>
                <w:color w:val="auto"/>
                <w:spacing w:val="-1"/>
                <w:highlight w:val="none"/>
                <w:vertAlign w:val="baseline"/>
                <w:lang w:val="en-US" w:eastAsia="zh-CN"/>
              </w:rPr>
              <w:t>站内设备定期检修，需使用抹布、手套擦拭设备表面油污与灰尘，作业后抹布、手套因沾染废矿物油（变压器油、机械润滑油等）成为检修垃圾。沾染废矿物油的抹布、废手套等检修垃圾产生量为0.1t/a。属于危险废物，根据《国家危险废物名录》（2025版），其属于危险废物，废物类别为HW49：其他废物，废物代码900-041-49：含有或者沾染毒性、感染性危险废物的废弃的包装物、容器、过滤吸附介质。经专用容器集中收集后，暂存于站内危废暂存间，定期由有资质单位处置。</w:t>
            </w:r>
          </w:p>
          <w:p w14:paraId="4A5B1574">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cs="Times New Roman"/>
                <w:i w:val="0"/>
                <w:iCs w:val="0"/>
                <w:color w:val="auto"/>
                <w:spacing w:val="-1"/>
                <w:highlight w:val="none"/>
                <w:vertAlign w:val="baseline"/>
                <w:lang w:val="en-US" w:eastAsia="zh-CN"/>
              </w:rPr>
            </w:pPr>
            <w:r>
              <w:rPr>
                <w:rFonts w:hint="default" w:ascii="Times New Roman" w:hAnsi="Times New Roman" w:cs="Times New Roman"/>
                <w:i w:val="0"/>
                <w:iCs w:val="0"/>
                <w:color w:val="auto"/>
                <w:spacing w:val="-1"/>
                <w:highlight w:val="none"/>
                <w:vertAlign w:val="baseline"/>
                <w:lang w:val="en-US" w:eastAsia="zh-CN"/>
              </w:rPr>
              <w:t>（5）废润滑油</w:t>
            </w:r>
          </w:p>
          <w:p w14:paraId="6EB23DAB">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cs="Times New Roman"/>
                <w:i w:val="0"/>
                <w:iCs w:val="0"/>
                <w:color w:val="auto"/>
                <w:spacing w:val="-1"/>
                <w:highlight w:val="none"/>
                <w:vertAlign w:val="baseline"/>
                <w:lang w:val="en-US" w:eastAsia="zh-CN"/>
              </w:rPr>
            </w:pPr>
            <w:r>
              <w:rPr>
                <w:rFonts w:hint="default" w:ascii="Times New Roman" w:hAnsi="Times New Roman" w:cs="Times New Roman"/>
                <w:i w:val="0"/>
                <w:iCs w:val="0"/>
                <w:color w:val="auto"/>
                <w:spacing w:val="-1"/>
                <w:highlight w:val="none"/>
                <w:vertAlign w:val="baseline"/>
                <w:lang w:val="en-US" w:eastAsia="zh-CN"/>
              </w:rPr>
              <w:t>站内在主变等设备的附属机械部件中需用到少量专用润滑介质，即润滑油。附属机械设备运行中需定期更换润滑油，会产生废润滑油。类比同类项目，废润滑油年产生量为0.1t/a。根据《国家危险废物名录》（2025版），产生的废润滑油属于危险废物，其废物类别为HW08：废矿物油与含矿物油废物，废物代码900-214-08：使用工业齿轮油进行机械设备润滑过程中产生的废润滑油。经专用容器集中收集后，暂存于站内危废暂存间，委托有资质单位定期拉运进行处理。</w:t>
            </w:r>
          </w:p>
          <w:p w14:paraId="03F8A3DD">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cs="Times New Roman"/>
                <w:i w:val="0"/>
                <w:iCs w:val="0"/>
                <w:color w:val="auto"/>
                <w:spacing w:val="-1"/>
                <w:highlight w:val="none"/>
                <w:vertAlign w:val="baseline"/>
                <w:lang w:val="en-US" w:eastAsia="zh-CN"/>
              </w:rPr>
            </w:pPr>
            <w:r>
              <w:rPr>
                <w:rFonts w:hint="default" w:ascii="Times New Roman" w:hAnsi="Times New Roman" w:cs="Times New Roman"/>
                <w:i w:val="0"/>
                <w:iCs w:val="0"/>
                <w:color w:val="auto"/>
                <w:spacing w:val="-1"/>
                <w:highlight w:val="none"/>
                <w:vertAlign w:val="baseline"/>
                <w:lang w:val="en-US" w:eastAsia="zh-CN"/>
              </w:rPr>
              <w:t>（6）废润滑油桶</w:t>
            </w:r>
          </w:p>
          <w:p w14:paraId="288DE63D">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cs="Times New Roman"/>
                <w:i w:val="0"/>
                <w:iCs w:val="0"/>
                <w:color w:val="auto"/>
                <w:spacing w:val="-1"/>
                <w:highlight w:val="none"/>
                <w:vertAlign w:val="baseline"/>
                <w:lang w:val="en-US" w:eastAsia="zh-CN"/>
              </w:rPr>
            </w:pPr>
            <w:r>
              <w:rPr>
                <w:rFonts w:hint="default" w:ascii="Times New Roman" w:hAnsi="Times New Roman" w:cs="Times New Roman"/>
                <w:i w:val="0"/>
                <w:iCs w:val="0"/>
                <w:color w:val="auto"/>
                <w:spacing w:val="-1"/>
                <w:highlight w:val="none"/>
                <w:vertAlign w:val="baseline"/>
                <w:lang w:val="en-US" w:eastAsia="zh-CN"/>
              </w:rPr>
              <w:t>站内附属机械部件维护用到润滑油，因此会产生废润滑油桶，结合站内润滑油用量，废润滑油桶年产生量约为0.05t/a。根据《国家危险废物名录》（2025版），废润滑油桶属于危险废物，其废物类别为HW08：废矿物油与含矿物油废物，废物代码900-249-08：车辆、轮船及其它机械维修过程中产生的废发动机油、制动器油、自动变速器油、齿轮油等废润滑油。集中收集后，暂存于站内危废暂存间，定期由有资质单位处置。</w:t>
            </w:r>
          </w:p>
          <w:p w14:paraId="6AFF5D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（7）主变压器事故状态下的变压器油</w:t>
            </w:r>
          </w:p>
          <w:p w14:paraId="068208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主变压器正常运行时不产生废油，发生事故主变压器泄漏于主变内下方的油坑内，从贮油坑流入事故油池。变压器油为石油类废矿物油，根据《国家危险废物名录》（2025版），事故废油属于危险废物，废物类别为HW08：废矿物油与含矿物油废物，废物代码900-220-08：变压器维护、更换和拆解过程中产生的废变压器油。变压器单台主变油量约为</w:t>
            </w:r>
            <w:r>
              <w:rPr>
                <w:rFonts w:hint="default" w:ascii="Times New Roman" w:hAnsi="Times New Roman" w:cs="Times New Roman"/>
                <w:b w:val="0"/>
                <w:bCs/>
                <w:color w:val="auto"/>
                <w:kern w:val="0"/>
                <w:sz w:val="24"/>
                <w:szCs w:val="24"/>
                <w:highlight w:val="none"/>
                <w:lang w:val="en-US" w:eastAsia="zh-CN" w:bidi="ar-SA"/>
              </w:rPr>
              <w:t>27</w:t>
            </w:r>
            <w:r>
              <w:rPr>
                <w:rFonts w:hint="default" w:ascii="Times New Roman" w:hAnsi="Times New Roman" w:eastAsia="宋体" w:cs="Times New Roman"/>
                <w:b w:val="0"/>
                <w:bCs/>
                <w:color w:val="auto"/>
                <w:kern w:val="0"/>
                <w:sz w:val="24"/>
                <w:szCs w:val="24"/>
                <w:highlight w:val="none"/>
                <w:lang w:val="en-US" w:eastAsia="zh-CN" w:bidi="ar-SA"/>
              </w:rPr>
              <w:t>t，变压器油密度取0.895kg/m</w:t>
            </w:r>
            <w:r>
              <w:rPr>
                <w:rFonts w:hint="default" w:ascii="Times New Roman" w:hAnsi="Times New Roman" w:eastAsia="宋体" w:cs="Times New Roman"/>
                <w:b w:val="0"/>
                <w:bCs/>
                <w:color w:val="auto"/>
                <w:kern w:val="0"/>
                <w:sz w:val="24"/>
                <w:szCs w:val="24"/>
                <w:highlight w:val="none"/>
                <w:vertAlign w:val="superscript"/>
                <w:lang w:val="en-US" w:eastAsia="zh-CN" w:bidi="ar-SA"/>
              </w:rPr>
              <w:t>3</w:t>
            </w:r>
            <w:r>
              <w:rPr>
                <w:rFonts w:hint="default" w:ascii="Times New Roman" w:hAnsi="Times New Roman" w:eastAsia="宋体" w:cs="Times New Roman"/>
                <w:b w:val="0"/>
                <w:bCs/>
                <w:color w:val="auto"/>
                <w:kern w:val="0"/>
                <w:sz w:val="24"/>
                <w:szCs w:val="24"/>
                <w:highlight w:val="none"/>
                <w:lang w:val="en-US" w:eastAsia="zh-CN" w:bidi="ar-SA"/>
              </w:rPr>
              <w:t>（依据《电力变压器用绝缘油选用导则》</w:t>
            </w:r>
            <w:r>
              <w:rPr>
                <w:rFonts w:hint="default" w:ascii="Times New Roman" w:hAnsi="Times New Roman" w:cs="Times New Roman"/>
                <w:b w:val="0"/>
                <w:bCs/>
                <w:color w:val="auto"/>
                <w:kern w:val="0"/>
                <w:sz w:val="24"/>
                <w:szCs w:val="24"/>
                <w:highlight w:val="none"/>
                <w:lang w:val="en-US" w:eastAsia="zh-CN" w:bidi="ar-SA"/>
              </w:rPr>
              <w:t>（</w:t>
            </w:r>
            <w:r>
              <w:rPr>
                <w:rFonts w:hint="default" w:ascii="Times New Roman" w:hAnsi="Times New Roman" w:eastAsia="宋体" w:cs="Times New Roman"/>
                <w:b w:val="0"/>
                <w:bCs/>
                <w:color w:val="auto"/>
                <w:kern w:val="0"/>
                <w:sz w:val="24"/>
                <w:szCs w:val="24"/>
                <w:highlight w:val="none"/>
                <w:lang w:val="en-US" w:eastAsia="zh-CN" w:bidi="ar-SA"/>
              </w:rPr>
              <w:t>DL∕T 1094-2018</w:t>
            </w:r>
            <w:r>
              <w:rPr>
                <w:rFonts w:hint="default" w:ascii="Times New Roman" w:hAnsi="Times New Roman" w:cs="Times New Roman"/>
                <w:b w:val="0"/>
                <w:bCs/>
                <w:color w:val="auto"/>
                <w:kern w:val="0"/>
                <w:sz w:val="24"/>
                <w:szCs w:val="24"/>
                <w:highlight w:val="none"/>
                <w:lang w:val="en-US" w:eastAsia="zh-CN" w:bidi="ar-SA"/>
              </w:rPr>
              <w:t>）</w:t>
            </w:r>
            <w:r>
              <w:rPr>
                <w:rFonts w:hint="default" w:ascii="Times New Roman" w:hAnsi="Times New Roman" w:eastAsia="宋体" w:cs="Times New Roman"/>
                <w:b w:val="0"/>
                <w:bCs/>
                <w:color w:val="auto"/>
                <w:kern w:val="0"/>
                <w:sz w:val="24"/>
                <w:szCs w:val="24"/>
                <w:highlight w:val="none"/>
                <w:lang w:val="en-US" w:eastAsia="zh-CN" w:bidi="ar-SA"/>
              </w:rPr>
              <w:t>，20℃时变压器绝缘油密度最大值为895kg/m</w:t>
            </w:r>
            <w:r>
              <w:rPr>
                <w:rFonts w:hint="default" w:ascii="Times New Roman" w:hAnsi="Times New Roman" w:eastAsia="宋体" w:cs="Times New Roman"/>
                <w:b w:val="0"/>
                <w:bCs/>
                <w:color w:val="auto"/>
                <w:kern w:val="0"/>
                <w:sz w:val="24"/>
                <w:szCs w:val="24"/>
                <w:highlight w:val="none"/>
                <w:vertAlign w:val="superscript"/>
                <w:lang w:val="en-US" w:eastAsia="zh-CN" w:bidi="ar-SA"/>
              </w:rPr>
              <w:t>3</w:t>
            </w:r>
            <w:r>
              <w:rPr>
                <w:rFonts w:hint="default" w:ascii="Times New Roman" w:hAnsi="Times New Roman" w:eastAsia="宋体" w:cs="Times New Roman"/>
                <w:b w:val="0"/>
                <w:bCs/>
                <w:color w:val="auto"/>
                <w:kern w:val="0"/>
                <w:sz w:val="24"/>
                <w:szCs w:val="24"/>
                <w:highlight w:val="none"/>
                <w:lang w:val="en-US" w:eastAsia="zh-CN" w:bidi="ar-SA"/>
              </w:rPr>
              <w:t>，按最不利工况取值）。根据密度公式计算最大单台变压器油的体积：</w:t>
            </w:r>
          </w:p>
          <w:p w14:paraId="36177C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油体积（V油）=油质量（m）÷油密度（ρ）</w:t>
            </w:r>
          </w:p>
          <w:p w14:paraId="057D04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0000FF"/>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代入数据，油体积为</w:t>
            </w:r>
            <w:r>
              <w:rPr>
                <w:rFonts w:hint="default" w:ascii="Times New Roman" w:hAnsi="Times New Roman" w:cs="Times New Roman"/>
                <w:b w:val="0"/>
                <w:bCs/>
                <w:color w:val="auto"/>
                <w:kern w:val="0"/>
                <w:sz w:val="24"/>
                <w:szCs w:val="24"/>
                <w:highlight w:val="none"/>
                <w:lang w:val="en-US" w:eastAsia="zh-CN" w:bidi="ar-SA"/>
              </w:rPr>
              <w:t>30.2</w:t>
            </w:r>
            <w:r>
              <w:rPr>
                <w:rFonts w:hint="default" w:ascii="Times New Roman" w:hAnsi="Times New Roman" w:eastAsia="宋体" w:cs="Times New Roman"/>
                <w:b w:val="0"/>
                <w:bCs/>
                <w:color w:val="auto"/>
                <w:kern w:val="0"/>
                <w:sz w:val="24"/>
                <w:szCs w:val="24"/>
                <w:highlight w:val="none"/>
                <w:lang w:val="en-US" w:eastAsia="zh-CN" w:bidi="ar-SA"/>
              </w:rPr>
              <w:t>m</w:t>
            </w:r>
            <w:r>
              <w:rPr>
                <w:rFonts w:hint="default" w:ascii="Times New Roman" w:hAnsi="Times New Roman" w:eastAsia="宋体" w:cs="Times New Roman"/>
                <w:b w:val="0"/>
                <w:bCs/>
                <w:color w:val="auto"/>
                <w:kern w:val="0"/>
                <w:sz w:val="24"/>
                <w:szCs w:val="24"/>
                <w:highlight w:val="none"/>
                <w:vertAlign w:val="superscript"/>
                <w:lang w:val="en-US" w:eastAsia="zh-CN" w:bidi="ar-SA"/>
              </w:rPr>
              <w:t>3</w:t>
            </w:r>
            <w:r>
              <w:rPr>
                <w:rFonts w:hint="default" w:ascii="Times New Roman" w:hAnsi="Times New Roman" w:eastAsia="宋体" w:cs="Times New Roman"/>
                <w:b w:val="0"/>
                <w:bCs/>
                <w:color w:val="auto"/>
                <w:kern w:val="0"/>
                <w:sz w:val="24"/>
                <w:szCs w:val="24"/>
                <w:highlight w:val="none"/>
                <w:lang w:val="en-US" w:eastAsia="zh-CN" w:bidi="ar-SA"/>
              </w:rPr>
              <w:t>，考虑工程冗余量（按《变电站事故油池规范要求》预留5%冗余），实际设计容积取</w:t>
            </w:r>
            <w:r>
              <w:rPr>
                <w:rFonts w:hint="default" w:ascii="Times New Roman" w:hAnsi="Times New Roman" w:cs="Times New Roman"/>
                <w:b w:val="0"/>
                <w:bCs/>
                <w:color w:val="auto"/>
                <w:kern w:val="0"/>
                <w:sz w:val="24"/>
                <w:szCs w:val="24"/>
                <w:highlight w:val="none"/>
                <w:lang w:val="en-US" w:eastAsia="zh-CN" w:bidi="ar-SA"/>
              </w:rPr>
              <w:t>31.8m</w:t>
            </w:r>
            <w:r>
              <w:rPr>
                <w:rFonts w:hint="default" w:ascii="Times New Roman" w:hAnsi="Times New Roman" w:cs="Times New Roman"/>
                <w:b w:val="0"/>
                <w:bCs/>
                <w:color w:val="auto"/>
                <w:kern w:val="0"/>
                <w:sz w:val="24"/>
                <w:szCs w:val="24"/>
                <w:highlight w:val="none"/>
                <w:vertAlign w:val="superscript"/>
                <w:lang w:val="en-US" w:eastAsia="zh-CN" w:bidi="ar-SA"/>
              </w:rPr>
              <w:t>3</w:t>
            </w:r>
            <w:r>
              <w:rPr>
                <w:rFonts w:hint="default" w:ascii="Times New Roman" w:hAnsi="Times New Roman" w:eastAsia="宋体" w:cs="Times New Roman"/>
                <w:b w:val="0"/>
                <w:bCs/>
                <w:color w:val="auto"/>
                <w:kern w:val="0"/>
                <w:sz w:val="24"/>
                <w:szCs w:val="24"/>
                <w:highlight w:val="none"/>
                <w:lang w:val="en-US" w:eastAsia="zh-CN" w:bidi="ar-SA"/>
              </w:rPr>
              <w:t>。站内工程规划建设一座</w:t>
            </w:r>
            <w:r>
              <w:rPr>
                <w:rFonts w:hint="eastAsia" w:cs="Times New Roman"/>
                <w:b w:val="0"/>
                <w:bCs/>
                <w:color w:val="auto"/>
                <w:kern w:val="0"/>
                <w:sz w:val="24"/>
                <w:szCs w:val="24"/>
                <w:highlight w:val="none"/>
                <w:lang w:val="en-US" w:eastAsia="zh-CN" w:bidi="ar-SA"/>
              </w:rPr>
              <w:t>100</w:t>
            </w:r>
            <w:r>
              <w:rPr>
                <w:rFonts w:hint="default" w:ascii="Times New Roman" w:hAnsi="Times New Roman" w:eastAsia="宋体" w:cs="Times New Roman"/>
                <w:b w:val="0"/>
                <w:bCs/>
                <w:color w:val="auto"/>
                <w:kern w:val="0"/>
                <w:sz w:val="24"/>
                <w:szCs w:val="24"/>
                <w:highlight w:val="none"/>
                <w:lang w:val="en-US" w:eastAsia="zh-CN" w:bidi="ar-SA"/>
              </w:rPr>
              <w:t>m</w:t>
            </w:r>
            <w:r>
              <w:rPr>
                <w:rFonts w:hint="default" w:ascii="Times New Roman" w:hAnsi="Times New Roman" w:eastAsia="宋体" w:cs="Times New Roman"/>
                <w:b w:val="0"/>
                <w:bCs/>
                <w:color w:val="auto"/>
                <w:kern w:val="0"/>
                <w:sz w:val="24"/>
                <w:szCs w:val="24"/>
                <w:highlight w:val="none"/>
                <w:vertAlign w:val="superscript"/>
                <w:lang w:val="en-US" w:eastAsia="zh-CN" w:bidi="ar-SA"/>
              </w:rPr>
              <w:t>3</w:t>
            </w:r>
            <w:r>
              <w:rPr>
                <w:rFonts w:hint="default" w:ascii="Times New Roman" w:hAnsi="Times New Roman" w:eastAsia="宋体" w:cs="Times New Roman"/>
                <w:b w:val="0"/>
                <w:bCs/>
                <w:color w:val="auto"/>
                <w:kern w:val="0"/>
                <w:sz w:val="24"/>
                <w:szCs w:val="24"/>
                <w:highlight w:val="none"/>
                <w:lang w:val="en-US" w:eastAsia="zh-CN" w:bidi="ar-SA"/>
              </w:rPr>
              <w:t>的事故油池，可以满足最大单台设备油量100%的处置要求，满足《火力发电厂与变电站设计防火规范》（GB50229-2019）要求，符合现行国家及行业规范，环境风险可控。同时根据《危险废物贮存污染控制标准》（GB18597-2023）要求，事故油池应进行基础防渗，防渗层为至少1m厚黏土层（渗透系数不大于1</w:t>
            </w:r>
            <w:r>
              <w:rPr>
                <w:rFonts w:hint="default" w:ascii="Times New Roman" w:hAnsi="Times New Roman" w:eastAsia="宋体" w:cs="Times New Roman"/>
                <w:b w:val="0"/>
                <w:bCs/>
                <w:color w:val="auto"/>
                <w:kern w:val="0"/>
                <w:sz w:val="24"/>
                <w:szCs w:val="24"/>
                <w:highlight w:val="none"/>
                <w:vertAlign w:val="baseline"/>
                <w:lang w:val="en-US" w:eastAsia="zh-CN" w:bidi="ar-SA"/>
              </w:rPr>
              <w:t>0</w:t>
            </w:r>
            <w:r>
              <w:rPr>
                <w:rFonts w:hint="default" w:ascii="Times New Roman" w:hAnsi="Times New Roman" w:eastAsia="宋体" w:cs="Times New Roman"/>
                <w:b w:val="0"/>
                <w:bCs/>
                <w:color w:val="auto"/>
                <w:kern w:val="0"/>
                <w:sz w:val="24"/>
                <w:szCs w:val="24"/>
                <w:highlight w:val="none"/>
                <w:vertAlign w:val="superscript"/>
                <w:lang w:val="en-US" w:eastAsia="zh-CN" w:bidi="ar-SA"/>
              </w:rPr>
              <w:t>-7</w:t>
            </w:r>
            <w:r>
              <w:rPr>
                <w:rFonts w:hint="default" w:ascii="Times New Roman" w:hAnsi="Times New Roman" w:eastAsia="宋体" w:cs="Times New Roman"/>
                <w:b w:val="0"/>
                <w:bCs/>
                <w:color w:val="auto"/>
                <w:kern w:val="0"/>
                <w:sz w:val="24"/>
                <w:szCs w:val="24"/>
                <w:highlight w:val="none"/>
                <w:lang w:val="en-US" w:eastAsia="zh-CN" w:bidi="ar-SA"/>
              </w:rPr>
              <w:t>cm/s），或至少2mm厚高密度聚乙烯膜等人工防渗材料（渗透系数不大于10</w:t>
            </w:r>
            <w:r>
              <w:rPr>
                <w:rFonts w:hint="default" w:ascii="Times New Roman" w:hAnsi="Times New Roman" w:eastAsia="宋体" w:cs="Times New Roman"/>
                <w:b w:val="0"/>
                <w:bCs/>
                <w:color w:val="auto"/>
                <w:kern w:val="0"/>
                <w:sz w:val="24"/>
                <w:szCs w:val="24"/>
                <w:highlight w:val="none"/>
                <w:vertAlign w:val="superscript"/>
                <w:lang w:val="en-US" w:eastAsia="zh-CN" w:bidi="ar-SA"/>
              </w:rPr>
              <w:t>-10</w:t>
            </w:r>
            <w:r>
              <w:rPr>
                <w:rFonts w:hint="default" w:ascii="Times New Roman" w:hAnsi="Times New Roman" w:eastAsia="宋体" w:cs="Times New Roman"/>
                <w:b w:val="0"/>
                <w:bCs/>
                <w:color w:val="auto"/>
                <w:kern w:val="0"/>
                <w:sz w:val="24"/>
                <w:szCs w:val="24"/>
                <w:highlight w:val="none"/>
                <w:lang w:val="en-US" w:eastAsia="zh-CN" w:bidi="ar-SA"/>
              </w:rPr>
              <w:t>cm/s），或其他防渗性能等效的材料。管接口处使用密封材料，确保整体具备防水、防渗漏功能。因此，事故油池为地下钢筋混凝土箱型结构，结构基础为400mm厚筏板</w:t>
            </w:r>
            <w:r>
              <w:rPr>
                <w:rFonts w:hint="default" w:ascii="Times New Roman" w:hAnsi="Times New Roman" w:cs="Times New Roman"/>
                <w:b w:val="0"/>
                <w:bCs/>
                <w:color w:val="auto"/>
                <w:kern w:val="0"/>
                <w:sz w:val="24"/>
                <w:szCs w:val="24"/>
                <w:highlight w:val="none"/>
                <w:lang w:val="en-US" w:eastAsia="zh-CN" w:bidi="ar-SA"/>
              </w:rPr>
              <w:t>，</w:t>
            </w:r>
            <w:r>
              <w:rPr>
                <w:rFonts w:hint="default" w:ascii="Times New Roman" w:hAnsi="Times New Roman" w:eastAsia="宋体" w:cs="Times New Roman"/>
                <w:b w:val="0"/>
                <w:bCs/>
                <w:color w:val="auto"/>
                <w:kern w:val="0"/>
                <w:sz w:val="24"/>
                <w:szCs w:val="24"/>
                <w:highlight w:val="none"/>
                <w:lang w:val="en-US" w:eastAsia="zh-CN" w:bidi="ar-SA"/>
              </w:rPr>
              <w:t>顶板侧壁为300mm厚混凝土，混凝土强度等级：C35P10。防渗层为至少2mm厚高密度聚乙烯膜等人工防渗材料</w:t>
            </w:r>
            <w:r>
              <w:rPr>
                <w:rFonts w:hint="default" w:ascii="Times New Roman" w:hAnsi="Times New Roman" w:cs="Times New Roman"/>
                <w:b w:val="0"/>
                <w:bCs/>
                <w:color w:val="auto"/>
                <w:kern w:val="0"/>
                <w:sz w:val="24"/>
                <w:szCs w:val="24"/>
                <w:highlight w:val="none"/>
                <w:lang w:val="en-US" w:eastAsia="zh-CN" w:bidi="ar-SA"/>
              </w:rPr>
              <w:t>（</w:t>
            </w:r>
            <w:r>
              <w:rPr>
                <w:rFonts w:hint="default" w:ascii="Times New Roman" w:hAnsi="Times New Roman" w:eastAsia="宋体" w:cs="Times New Roman"/>
                <w:b w:val="0"/>
                <w:bCs/>
                <w:color w:val="auto"/>
                <w:kern w:val="0"/>
                <w:sz w:val="24"/>
                <w:szCs w:val="24"/>
                <w:highlight w:val="none"/>
                <w:lang w:val="en-US" w:eastAsia="zh-CN" w:bidi="ar-SA"/>
              </w:rPr>
              <w:t>渗透系数不大于10</w:t>
            </w:r>
            <w:r>
              <w:rPr>
                <w:rFonts w:hint="default" w:ascii="Times New Roman" w:hAnsi="Times New Roman" w:eastAsia="宋体" w:cs="Times New Roman"/>
                <w:b w:val="0"/>
                <w:bCs/>
                <w:color w:val="auto"/>
                <w:kern w:val="0"/>
                <w:sz w:val="24"/>
                <w:szCs w:val="24"/>
                <w:highlight w:val="none"/>
                <w:vertAlign w:val="superscript"/>
                <w:lang w:val="en-US" w:eastAsia="zh-CN" w:bidi="ar-SA"/>
              </w:rPr>
              <w:t>-10</w:t>
            </w:r>
            <w:r>
              <w:rPr>
                <w:rFonts w:hint="default" w:ascii="Times New Roman" w:hAnsi="Times New Roman" w:eastAsia="宋体" w:cs="Times New Roman"/>
                <w:b w:val="0"/>
                <w:bCs/>
                <w:color w:val="auto"/>
                <w:kern w:val="0"/>
                <w:sz w:val="24"/>
                <w:szCs w:val="24"/>
                <w:highlight w:val="none"/>
                <w:lang w:val="en-US" w:eastAsia="zh-CN" w:bidi="ar-SA"/>
              </w:rPr>
              <w:t>cm</w:t>
            </w:r>
            <w:r>
              <w:rPr>
                <w:rFonts w:hint="default" w:ascii="Times New Roman" w:hAnsi="Times New Roman" w:cs="Times New Roman"/>
                <w:b w:val="0"/>
                <w:bCs/>
                <w:color w:val="auto"/>
                <w:kern w:val="0"/>
                <w:sz w:val="24"/>
                <w:szCs w:val="24"/>
                <w:highlight w:val="none"/>
                <w:lang w:val="en-US" w:eastAsia="zh-CN" w:bidi="ar-SA"/>
              </w:rPr>
              <w:t>/</w:t>
            </w:r>
            <w:r>
              <w:rPr>
                <w:rFonts w:hint="default" w:ascii="Times New Roman" w:hAnsi="Times New Roman" w:eastAsia="宋体" w:cs="Times New Roman"/>
                <w:b w:val="0"/>
                <w:bCs/>
                <w:color w:val="auto"/>
                <w:kern w:val="0"/>
                <w:sz w:val="24"/>
                <w:szCs w:val="24"/>
                <w:highlight w:val="none"/>
                <w:lang w:val="en-US" w:eastAsia="zh-CN" w:bidi="ar-SA"/>
              </w:rPr>
              <w:t>s</w:t>
            </w:r>
            <w:r>
              <w:rPr>
                <w:rFonts w:hint="default" w:ascii="Times New Roman" w:hAnsi="Times New Roman" w:cs="Times New Roman"/>
                <w:b w:val="0"/>
                <w:bCs/>
                <w:color w:val="auto"/>
                <w:kern w:val="0"/>
                <w:sz w:val="24"/>
                <w:szCs w:val="24"/>
                <w:highlight w:val="none"/>
                <w:lang w:val="en-US" w:eastAsia="zh-CN" w:bidi="ar-SA"/>
              </w:rPr>
              <w:t>）</w:t>
            </w:r>
            <w:r>
              <w:rPr>
                <w:rFonts w:hint="default" w:ascii="Times New Roman" w:hAnsi="Times New Roman" w:eastAsia="宋体" w:cs="Times New Roman"/>
                <w:b w:val="0"/>
                <w:bCs/>
                <w:color w:val="auto"/>
                <w:kern w:val="0"/>
                <w:sz w:val="24"/>
                <w:szCs w:val="24"/>
                <w:highlight w:val="none"/>
                <w:lang w:val="en-US" w:eastAsia="zh-CN" w:bidi="ar-SA"/>
              </w:rPr>
              <w:t>，或其他防渗性能等效的材料。事故废油进入事故油池内暂存后委托有资质的单位及时拉运处置。</w:t>
            </w:r>
          </w:p>
          <w:p w14:paraId="7282B8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升压站运营期固体废物产生情况见下表。</w:t>
            </w:r>
          </w:p>
          <w:p w14:paraId="0D5409E2">
            <w:pPr>
              <w:pStyle w:val="105"/>
              <w:keepNext w:val="0"/>
              <w:keepLines w:val="0"/>
              <w:suppressLineNumbers w:val="0"/>
              <w:spacing w:before="181" w:beforeAutospacing="0" w:after="0" w:afterAutospacing="0" w:line="215" w:lineRule="auto"/>
              <w:ind w:left="0" w:right="0"/>
              <w:jc w:val="center"/>
              <w:rPr>
                <w:rFonts w:hint="default" w:ascii="Times New Roman" w:hAnsi="Times New Roman" w:cs="Times New Roman"/>
                <w:b/>
                <w:bCs/>
                <w:color w:val="auto"/>
                <w:spacing w:val="-5"/>
                <w:sz w:val="21"/>
                <w:szCs w:val="21"/>
                <w:lang w:val="en-US" w:eastAsia="zh-CN"/>
              </w:rPr>
            </w:pPr>
            <w:r>
              <w:rPr>
                <w:rFonts w:hint="default" w:ascii="Times New Roman" w:hAnsi="Times New Roman" w:cs="Times New Roman"/>
                <w:b/>
                <w:bCs/>
                <w:color w:val="auto"/>
                <w:spacing w:val="-5"/>
                <w:sz w:val="21"/>
                <w:szCs w:val="21"/>
                <w:lang w:val="en-US" w:eastAsia="zh-CN"/>
              </w:rPr>
              <w:t>表4-5运营期固体废物产生情况表</w:t>
            </w:r>
          </w:p>
          <w:tbl>
            <w:tblPr>
              <w:tblStyle w:val="106"/>
              <w:tblW w:w="83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36"/>
              <w:gridCol w:w="1154"/>
              <w:gridCol w:w="2092"/>
              <w:gridCol w:w="2116"/>
              <w:gridCol w:w="904"/>
              <w:gridCol w:w="1884"/>
            </w:tblGrid>
            <w:tr w14:paraId="535AE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4" w:type="pct"/>
                  <w:tcBorders>
                    <w:tl2br w:val="nil"/>
                    <w:tr2bl w:val="nil"/>
                  </w:tcBorders>
                  <w:vAlign w:val="center"/>
                </w:tcPr>
                <w:p w14:paraId="5FEF6F6F">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right="0" w:firstLine="0"/>
                    <w:jc w:val="center"/>
                    <w:textAlignment w:val="baseline"/>
                    <w:rPr>
                      <w:rFonts w:hint="default" w:ascii="Times New Roman" w:hAnsi="Times New Roman" w:cs="Times New Roman"/>
                      <w:b/>
                      <w:bCs/>
                      <w:color w:val="auto"/>
                      <w:spacing w:val="2"/>
                      <w:sz w:val="21"/>
                      <w:szCs w:val="21"/>
                      <w:highlight w:val="none"/>
                      <w:lang w:val="en-US" w:eastAsia="zh-CN"/>
                    </w:rPr>
                  </w:pPr>
                  <w:r>
                    <w:rPr>
                      <w:rFonts w:hint="default" w:ascii="Times New Roman" w:hAnsi="Times New Roman" w:cs="Times New Roman"/>
                      <w:b/>
                      <w:bCs/>
                      <w:color w:val="auto"/>
                      <w:spacing w:val="2"/>
                      <w:sz w:val="21"/>
                      <w:szCs w:val="21"/>
                      <w:highlight w:val="none"/>
                      <w:lang w:val="en-US" w:eastAsia="zh-CN"/>
                    </w:rPr>
                    <w:t>废物</w:t>
                  </w:r>
                </w:p>
                <w:p w14:paraId="3696B711">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right="0" w:firstLine="0"/>
                    <w:jc w:val="center"/>
                    <w:textAlignment w:val="baseline"/>
                    <w:rPr>
                      <w:rFonts w:hint="default" w:ascii="Times New Roman" w:hAnsi="Times New Roman" w:eastAsia="宋体" w:cs="Times New Roman"/>
                      <w:b/>
                      <w:bCs/>
                      <w:color w:val="auto"/>
                      <w:spacing w:val="2"/>
                      <w:sz w:val="21"/>
                      <w:szCs w:val="21"/>
                      <w:highlight w:val="none"/>
                      <w:lang w:val="en-US" w:eastAsia="zh-CN"/>
                    </w:rPr>
                  </w:pPr>
                  <w:r>
                    <w:rPr>
                      <w:rFonts w:hint="default" w:ascii="Times New Roman" w:hAnsi="Times New Roman" w:cs="Times New Roman"/>
                      <w:b/>
                      <w:bCs/>
                      <w:color w:val="auto"/>
                      <w:spacing w:val="2"/>
                      <w:sz w:val="21"/>
                      <w:szCs w:val="21"/>
                      <w:highlight w:val="none"/>
                      <w:lang w:val="en-US" w:eastAsia="zh-CN"/>
                    </w:rPr>
                    <w:t>类别</w:t>
                  </w:r>
                </w:p>
              </w:tc>
              <w:tc>
                <w:tcPr>
                  <w:tcW w:w="813" w:type="pct"/>
                  <w:tcBorders>
                    <w:tl2br w:val="nil"/>
                    <w:tr2bl w:val="nil"/>
                  </w:tcBorders>
                  <w:vAlign w:val="center"/>
                </w:tcPr>
                <w:p w14:paraId="4958EA54">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right="0" w:firstLine="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pacing w:val="2"/>
                      <w:sz w:val="21"/>
                      <w:szCs w:val="21"/>
                      <w:highlight w:val="none"/>
                    </w:rPr>
                    <w:t>固废名称</w:t>
                  </w:r>
                </w:p>
              </w:tc>
              <w:tc>
                <w:tcPr>
                  <w:tcW w:w="2011" w:type="pct"/>
                  <w:gridSpan w:val="2"/>
                  <w:tcBorders>
                    <w:tl2br w:val="nil"/>
                    <w:tr2bl w:val="nil"/>
                  </w:tcBorders>
                  <w:vAlign w:val="center"/>
                </w:tcPr>
                <w:p w14:paraId="6EE346D8">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right="0" w:firstLine="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pacing w:val="7"/>
                      <w:sz w:val="21"/>
                      <w:szCs w:val="21"/>
                      <w:highlight w:val="none"/>
                    </w:rPr>
                    <w:t>废物类别</w:t>
                  </w:r>
                </w:p>
              </w:tc>
              <w:tc>
                <w:tcPr>
                  <w:tcW w:w="663" w:type="pct"/>
                  <w:tcBorders>
                    <w:tl2br w:val="nil"/>
                    <w:tr2bl w:val="nil"/>
                  </w:tcBorders>
                  <w:vAlign w:val="center"/>
                </w:tcPr>
                <w:p w14:paraId="6531953A">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right="0" w:firstLine="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pacing w:val="6"/>
                      <w:sz w:val="21"/>
                      <w:szCs w:val="21"/>
                      <w:highlight w:val="none"/>
                    </w:rPr>
                    <w:t>产生量</w:t>
                  </w:r>
                </w:p>
              </w:tc>
              <w:tc>
                <w:tcPr>
                  <w:tcW w:w="1247" w:type="pct"/>
                  <w:tcBorders>
                    <w:tl2br w:val="nil"/>
                    <w:tr2bl w:val="nil"/>
                  </w:tcBorders>
                  <w:vAlign w:val="center"/>
                </w:tcPr>
                <w:p w14:paraId="3E442EBD">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right="0" w:firstLine="0"/>
                    <w:jc w:val="center"/>
                    <w:textAlignment w:val="baseline"/>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pacing w:val="6"/>
                      <w:sz w:val="21"/>
                      <w:szCs w:val="21"/>
                      <w:highlight w:val="none"/>
                    </w:rPr>
                    <w:t>处理措施</w:t>
                  </w:r>
                </w:p>
              </w:tc>
            </w:tr>
            <w:tr w14:paraId="2434E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4" w:type="pct"/>
                  <w:vMerge w:val="restart"/>
                  <w:tcBorders>
                    <w:tl2br w:val="nil"/>
                    <w:tr2bl w:val="nil"/>
                  </w:tcBorders>
                  <w:vAlign w:val="center"/>
                </w:tcPr>
                <w:p w14:paraId="3934A7D3">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leftChars="0" w:right="0" w:rightChars="0" w:firstLine="0" w:firstLineChars="0"/>
                    <w:jc w:val="center"/>
                    <w:textAlignment w:val="baseline"/>
                    <w:rPr>
                      <w:rFonts w:hint="default" w:ascii="Times New Roman" w:hAnsi="Times New Roman" w:cs="Times New Roman"/>
                      <w:color w:val="auto"/>
                      <w:spacing w:val="8"/>
                      <w:sz w:val="21"/>
                      <w:szCs w:val="21"/>
                      <w:highlight w:val="none"/>
                      <w:lang w:val="en-US" w:eastAsia="zh-CN"/>
                    </w:rPr>
                  </w:pPr>
                  <w:r>
                    <w:rPr>
                      <w:rFonts w:hint="default" w:ascii="Times New Roman" w:hAnsi="Times New Roman" w:cs="Times New Roman"/>
                      <w:color w:val="auto"/>
                      <w:spacing w:val="8"/>
                      <w:sz w:val="21"/>
                      <w:szCs w:val="21"/>
                      <w:highlight w:val="none"/>
                      <w:lang w:val="en-US" w:eastAsia="zh-CN"/>
                    </w:rPr>
                    <w:t>一般</w:t>
                  </w:r>
                </w:p>
                <w:p w14:paraId="71015233">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leftChars="0" w:right="0" w:rightChars="0" w:firstLine="0" w:firstLineChars="0"/>
                    <w:jc w:val="center"/>
                    <w:textAlignment w:val="baseline"/>
                    <w:rPr>
                      <w:rFonts w:hint="default" w:ascii="Times New Roman" w:hAnsi="Times New Roman" w:cs="Times New Roman"/>
                      <w:color w:val="auto"/>
                      <w:spacing w:val="8"/>
                      <w:sz w:val="21"/>
                      <w:szCs w:val="21"/>
                      <w:highlight w:val="none"/>
                      <w:lang w:val="en-US" w:eastAsia="zh-CN"/>
                    </w:rPr>
                  </w:pPr>
                  <w:r>
                    <w:rPr>
                      <w:rFonts w:hint="default" w:ascii="Times New Roman" w:hAnsi="Times New Roman" w:cs="Times New Roman"/>
                      <w:color w:val="auto"/>
                      <w:spacing w:val="8"/>
                      <w:sz w:val="21"/>
                      <w:szCs w:val="21"/>
                      <w:highlight w:val="none"/>
                      <w:lang w:val="en-US" w:eastAsia="zh-CN"/>
                    </w:rPr>
                    <w:t>固废</w:t>
                  </w:r>
                </w:p>
              </w:tc>
              <w:tc>
                <w:tcPr>
                  <w:tcW w:w="813" w:type="pct"/>
                  <w:tcBorders>
                    <w:tl2br w:val="nil"/>
                    <w:tr2bl w:val="nil"/>
                  </w:tcBorders>
                  <w:vAlign w:val="center"/>
                </w:tcPr>
                <w:p w14:paraId="774FA6EC">
                  <w:pPr>
                    <w:pStyle w:val="105"/>
                    <w:keepNext w:val="0"/>
                    <w:keepLines w:val="0"/>
                    <w:pageBreakBefore w:val="0"/>
                    <w:widowControl/>
                    <w:kinsoku/>
                    <w:wordWrap/>
                    <w:overflowPunct/>
                    <w:topLinePunct w:val="0"/>
                    <w:autoSpaceDE/>
                    <w:autoSpaceDN/>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8"/>
                      <w:sz w:val="21"/>
                      <w:szCs w:val="21"/>
                      <w:highlight w:val="none"/>
                      <w:lang w:val="en-US" w:eastAsia="zh-CN"/>
                    </w:rPr>
                  </w:pPr>
                  <w:r>
                    <w:rPr>
                      <w:rFonts w:hint="default" w:ascii="Times New Roman" w:hAnsi="Times New Roman" w:cs="Times New Roman"/>
                      <w:color w:val="auto"/>
                      <w:spacing w:val="8"/>
                      <w:sz w:val="21"/>
                      <w:szCs w:val="21"/>
                      <w:highlight w:val="none"/>
                      <w:lang w:val="en-US" w:eastAsia="zh-CN"/>
                    </w:rPr>
                    <w:t>生活垃圾</w:t>
                  </w:r>
                </w:p>
              </w:tc>
              <w:tc>
                <w:tcPr>
                  <w:tcW w:w="626" w:type="pct"/>
                  <w:vMerge w:val="restart"/>
                  <w:tcBorders>
                    <w:tl2br w:val="nil"/>
                    <w:tr2bl w:val="nil"/>
                  </w:tcBorders>
                  <w:vAlign w:val="center"/>
                </w:tcPr>
                <w:p w14:paraId="51A57E41">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7"/>
                      <w:sz w:val="21"/>
                      <w:szCs w:val="21"/>
                      <w:highlight w:val="none"/>
                      <w:lang w:val="en-US" w:eastAsia="zh-CN"/>
                    </w:rPr>
                  </w:pPr>
                  <w:r>
                    <w:rPr>
                      <w:rFonts w:hint="default" w:ascii="Times New Roman" w:hAnsi="Times New Roman" w:eastAsia="宋体" w:cs="Times New Roman"/>
                      <w:color w:val="auto"/>
                      <w:spacing w:val="7"/>
                      <w:sz w:val="21"/>
                      <w:szCs w:val="21"/>
                      <w:highlight w:val="none"/>
                      <w:lang w:val="en-US" w:eastAsia="zh-CN"/>
                    </w:rPr>
                    <w:t>《一般固体废物分类与代码》（GB/T39198-2020）</w:t>
                  </w:r>
                </w:p>
              </w:tc>
              <w:tc>
                <w:tcPr>
                  <w:tcW w:w="1385" w:type="pct"/>
                  <w:tcBorders>
                    <w:tl2br w:val="nil"/>
                    <w:tr2bl w:val="nil"/>
                  </w:tcBorders>
                  <w:vAlign w:val="center"/>
                </w:tcPr>
                <w:p w14:paraId="265A294E">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11"/>
                      <w:sz w:val="21"/>
                      <w:szCs w:val="21"/>
                      <w:highlight w:val="none"/>
                    </w:rPr>
                  </w:pPr>
                  <w:r>
                    <w:rPr>
                      <w:rFonts w:hint="default" w:ascii="Times New Roman" w:hAnsi="Times New Roman" w:eastAsia="宋体" w:cs="Times New Roman"/>
                      <w:color w:val="auto"/>
                      <w:spacing w:val="11"/>
                      <w:sz w:val="21"/>
                      <w:szCs w:val="21"/>
                      <w:highlight w:val="none"/>
                    </w:rPr>
                    <w:t>未明确分类的其他生活垃圾</w:t>
                  </w:r>
                  <w:r>
                    <w:rPr>
                      <w:rFonts w:hint="default" w:ascii="Times New Roman" w:hAnsi="Times New Roman" w:eastAsia="Arial" w:cs="Times New Roman"/>
                      <w:i w:val="0"/>
                      <w:iCs w:val="0"/>
                      <w:caps w:val="0"/>
                      <w:color w:val="auto"/>
                      <w:spacing w:val="0"/>
                      <w:sz w:val="21"/>
                      <w:szCs w:val="21"/>
                      <w:shd w:val="clear" w:fill="FFFFFF"/>
                    </w:rPr>
                    <w:t>‌</w:t>
                  </w:r>
                  <w:r>
                    <w:rPr>
                      <w:rFonts w:hint="default" w:ascii="Times New Roman" w:hAnsi="Times New Roman" w:cs="Times New Roman"/>
                      <w:color w:val="auto"/>
                      <w:spacing w:val="7"/>
                      <w:sz w:val="21"/>
                      <w:szCs w:val="21"/>
                      <w:highlight w:val="none"/>
                      <w:lang w:val="en-US" w:eastAsia="zh-CN"/>
                    </w:rPr>
                    <w:t>‌</w:t>
                  </w:r>
                </w:p>
              </w:tc>
              <w:tc>
                <w:tcPr>
                  <w:tcW w:w="663" w:type="pct"/>
                  <w:tcBorders>
                    <w:tl2br w:val="nil"/>
                    <w:tr2bl w:val="nil"/>
                  </w:tcBorders>
                  <w:vAlign w:val="center"/>
                </w:tcPr>
                <w:p w14:paraId="42ADD898">
                  <w:pPr>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2.6</w:t>
                  </w:r>
                  <w:r>
                    <w:rPr>
                      <w:rFonts w:hint="default" w:ascii="Times New Roman" w:hAnsi="Times New Roman" w:eastAsia="宋体" w:cs="Times New Roman"/>
                      <w:b w:val="0"/>
                      <w:bCs w:val="0"/>
                      <w:color w:val="auto"/>
                      <w:sz w:val="21"/>
                      <w:szCs w:val="21"/>
                      <w:highlight w:val="none"/>
                    </w:rPr>
                    <w:t>t/a</w:t>
                  </w:r>
                </w:p>
              </w:tc>
              <w:tc>
                <w:tcPr>
                  <w:tcW w:w="1247" w:type="pct"/>
                  <w:tcBorders>
                    <w:tl2br w:val="nil"/>
                    <w:tr2bl w:val="nil"/>
                  </w:tcBorders>
                  <w:vAlign w:val="center"/>
                </w:tcPr>
                <w:p w14:paraId="61E06DD3">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both"/>
                    <w:textAlignment w:val="baseline"/>
                    <w:rPr>
                      <w:rFonts w:hint="default" w:ascii="Times New Roman" w:hAnsi="Times New Roman" w:eastAsia="宋体" w:cs="Times New Roman"/>
                      <w:color w:val="auto"/>
                      <w:spacing w:val="11"/>
                      <w:sz w:val="21"/>
                      <w:szCs w:val="21"/>
                      <w:highlight w:val="none"/>
                      <w:lang w:eastAsia="zh-CN"/>
                    </w:rPr>
                  </w:pPr>
                  <w:r>
                    <w:rPr>
                      <w:rFonts w:hint="default" w:ascii="Times New Roman" w:hAnsi="Times New Roman" w:eastAsia="宋体" w:cs="Times New Roman"/>
                      <w:color w:val="auto"/>
                      <w:spacing w:val="11"/>
                      <w:sz w:val="21"/>
                      <w:szCs w:val="21"/>
                      <w:highlight w:val="none"/>
                    </w:rPr>
                    <w:t>生活垃圾经站内生活垃圾桶收集后委托环卫部门定期清运</w:t>
                  </w:r>
                  <w:r>
                    <w:rPr>
                      <w:rFonts w:hint="default" w:ascii="Times New Roman" w:hAnsi="Times New Roman" w:cs="Times New Roman"/>
                      <w:color w:val="auto"/>
                      <w:spacing w:val="11"/>
                      <w:sz w:val="21"/>
                      <w:szCs w:val="21"/>
                      <w:highlight w:val="none"/>
                      <w:lang w:eastAsia="zh-CN"/>
                    </w:rPr>
                    <w:t>。</w:t>
                  </w:r>
                </w:p>
              </w:tc>
            </w:tr>
            <w:tr w14:paraId="43C1A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4" w:type="pct"/>
                  <w:vMerge w:val="continue"/>
                  <w:tcBorders>
                    <w:tl2br w:val="nil"/>
                    <w:tr2bl w:val="nil"/>
                  </w:tcBorders>
                  <w:vAlign w:val="center"/>
                </w:tcPr>
                <w:p w14:paraId="4D0B7F60">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leftChars="0" w:right="0" w:rightChars="0" w:firstLine="0" w:firstLineChars="0"/>
                    <w:jc w:val="center"/>
                    <w:textAlignment w:val="baseline"/>
                    <w:rPr>
                      <w:rFonts w:hint="default" w:ascii="Times New Roman" w:hAnsi="Times New Roman" w:cs="Times New Roman"/>
                      <w:color w:val="auto"/>
                      <w:spacing w:val="8"/>
                      <w:sz w:val="21"/>
                      <w:szCs w:val="21"/>
                      <w:highlight w:val="none"/>
                      <w:lang w:val="en-US" w:eastAsia="zh-CN"/>
                    </w:rPr>
                  </w:pPr>
                </w:p>
              </w:tc>
              <w:tc>
                <w:tcPr>
                  <w:tcW w:w="813" w:type="pct"/>
                  <w:tcBorders>
                    <w:tl2br w:val="nil"/>
                    <w:tr2bl w:val="nil"/>
                  </w:tcBorders>
                  <w:vAlign w:val="center"/>
                </w:tcPr>
                <w:p w14:paraId="204C09F6">
                  <w:pPr>
                    <w:pStyle w:val="105"/>
                    <w:keepNext w:val="0"/>
                    <w:keepLines w:val="0"/>
                    <w:pageBreakBefore w:val="0"/>
                    <w:widowControl/>
                    <w:kinsoku/>
                    <w:wordWrap/>
                    <w:overflowPunct/>
                    <w:topLinePunct w:val="0"/>
                    <w:autoSpaceDE/>
                    <w:autoSpaceDN/>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cs="Times New Roman"/>
                      <w:color w:val="auto"/>
                      <w:spacing w:val="8"/>
                      <w:sz w:val="21"/>
                      <w:szCs w:val="21"/>
                      <w:highlight w:val="none"/>
                      <w:lang w:val="en-US" w:eastAsia="zh-CN"/>
                    </w:rPr>
                  </w:pPr>
                  <w:r>
                    <w:rPr>
                      <w:rFonts w:hint="default" w:ascii="Times New Roman" w:hAnsi="Times New Roman" w:cs="Times New Roman"/>
                      <w:color w:val="auto"/>
                      <w:spacing w:val="8"/>
                      <w:sz w:val="21"/>
                      <w:szCs w:val="21"/>
                      <w:highlight w:val="none"/>
                      <w:lang w:val="en-US" w:eastAsia="zh-CN"/>
                    </w:rPr>
                    <w:t>水处理设备产生的污泥</w:t>
                  </w:r>
                </w:p>
              </w:tc>
              <w:tc>
                <w:tcPr>
                  <w:tcW w:w="626" w:type="pct"/>
                  <w:vMerge w:val="continue"/>
                  <w:tcBorders>
                    <w:tl2br w:val="nil"/>
                    <w:tr2bl w:val="nil"/>
                  </w:tcBorders>
                  <w:vAlign w:val="center"/>
                </w:tcPr>
                <w:p w14:paraId="08B865B8">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11"/>
                      <w:sz w:val="21"/>
                      <w:szCs w:val="21"/>
                      <w:highlight w:val="none"/>
                    </w:rPr>
                  </w:pPr>
                </w:p>
              </w:tc>
              <w:tc>
                <w:tcPr>
                  <w:tcW w:w="1385" w:type="pct"/>
                  <w:tcBorders>
                    <w:tl2br w:val="nil"/>
                    <w:tr2bl w:val="nil"/>
                  </w:tcBorders>
                  <w:vAlign w:val="center"/>
                </w:tcPr>
                <w:p w14:paraId="469CCB57">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11"/>
                      <w:sz w:val="21"/>
                      <w:szCs w:val="21"/>
                      <w:highlight w:val="none"/>
                    </w:rPr>
                  </w:pPr>
                  <w:r>
                    <w:rPr>
                      <w:rFonts w:hint="default" w:ascii="Times New Roman" w:hAnsi="Times New Roman" w:eastAsia="宋体" w:cs="Times New Roman"/>
                      <w:color w:val="auto"/>
                      <w:spacing w:val="11"/>
                      <w:sz w:val="21"/>
                      <w:szCs w:val="21"/>
                      <w:highlight w:val="none"/>
                    </w:rPr>
                    <w:t>Ⅵ非特定行业生产过程中产生的一般固体废物（62）</w:t>
                  </w:r>
                  <w:r>
                    <w:rPr>
                      <w:rFonts w:hint="default" w:ascii="Times New Roman" w:hAnsi="Times New Roman" w:cs="Times New Roman"/>
                      <w:color w:val="auto"/>
                      <w:spacing w:val="11"/>
                      <w:sz w:val="21"/>
                      <w:szCs w:val="21"/>
                      <w:highlight w:val="none"/>
                      <w:lang w:eastAsia="zh-CN"/>
                    </w:rPr>
                    <w:t>：</w:t>
                  </w:r>
                  <w:r>
                    <w:rPr>
                      <w:rFonts w:hint="default" w:ascii="Times New Roman" w:hAnsi="Times New Roman" w:eastAsia="宋体" w:cs="Times New Roman"/>
                      <w:color w:val="auto"/>
                      <w:spacing w:val="11"/>
                      <w:sz w:val="21"/>
                      <w:szCs w:val="21"/>
                      <w:highlight w:val="none"/>
                    </w:rPr>
                    <w:t>462-001-62</w:t>
                  </w:r>
                </w:p>
              </w:tc>
              <w:tc>
                <w:tcPr>
                  <w:tcW w:w="663" w:type="pct"/>
                  <w:tcBorders>
                    <w:tl2br w:val="nil"/>
                    <w:tr2bl w:val="nil"/>
                  </w:tcBorders>
                  <w:vAlign w:val="center"/>
                </w:tcPr>
                <w:p w14:paraId="7102C65A">
                  <w:pPr>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cs="Times New Roman"/>
                      <w:color w:val="auto"/>
                      <w:spacing w:val="2"/>
                      <w:sz w:val="21"/>
                      <w:szCs w:val="21"/>
                      <w:highlight w:val="none"/>
                      <w:lang w:val="en-US" w:eastAsia="zh-CN"/>
                    </w:rPr>
                  </w:pPr>
                  <w:r>
                    <w:rPr>
                      <w:rFonts w:hint="default" w:ascii="Times New Roman" w:hAnsi="Times New Roman" w:cs="Times New Roman"/>
                      <w:color w:val="auto"/>
                      <w:spacing w:val="2"/>
                      <w:sz w:val="21"/>
                      <w:szCs w:val="21"/>
                      <w:highlight w:val="none"/>
                      <w:lang w:val="en-US" w:eastAsia="zh-CN"/>
                    </w:rPr>
                    <w:t>0.075t/a</w:t>
                  </w:r>
                </w:p>
              </w:tc>
              <w:tc>
                <w:tcPr>
                  <w:tcW w:w="1247" w:type="pct"/>
                  <w:tcBorders>
                    <w:tl2br w:val="nil"/>
                    <w:tr2bl w:val="nil"/>
                  </w:tcBorders>
                  <w:vAlign w:val="center"/>
                </w:tcPr>
                <w:p w14:paraId="0594B54C">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both"/>
                    <w:textAlignment w:val="baseline"/>
                    <w:rPr>
                      <w:rFonts w:hint="default" w:ascii="Times New Roman" w:hAnsi="Times New Roman" w:eastAsia="宋体" w:cs="Times New Roman"/>
                      <w:color w:val="auto"/>
                      <w:spacing w:val="11"/>
                      <w:sz w:val="21"/>
                      <w:szCs w:val="21"/>
                      <w:highlight w:val="none"/>
                    </w:rPr>
                  </w:pPr>
                  <w:r>
                    <w:rPr>
                      <w:rFonts w:hint="default" w:ascii="Times New Roman" w:hAnsi="Times New Roman" w:eastAsia="宋体" w:cs="Times New Roman"/>
                      <w:color w:val="auto"/>
                      <w:spacing w:val="11"/>
                      <w:sz w:val="21"/>
                      <w:szCs w:val="21"/>
                      <w:highlight w:val="none"/>
                    </w:rPr>
                    <w:t>由环卫部门定期清掏后外运。</w:t>
                  </w:r>
                </w:p>
              </w:tc>
            </w:tr>
            <w:tr w14:paraId="0D617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4" w:type="pct"/>
                  <w:vMerge w:val="restart"/>
                  <w:tcBorders>
                    <w:tl2br w:val="nil"/>
                    <w:tr2bl w:val="nil"/>
                  </w:tcBorders>
                  <w:vAlign w:val="center"/>
                </w:tcPr>
                <w:p w14:paraId="05B5A272">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leftChars="0" w:right="0" w:rightChars="0" w:firstLine="0" w:firstLineChars="0"/>
                    <w:jc w:val="center"/>
                    <w:textAlignment w:val="baseline"/>
                    <w:rPr>
                      <w:rFonts w:hint="default" w:ascii="Times New Roman" w:hAnsi="Times New Roman" w:cs="Times New Roman"/>
                      <w:color w:val="auto"/>
                      <w:spacing w:val="8"/>
                      <w:sz w:val="21"/>
                      <w:szCs w:val="21"/>
                      <w:highlight w:val="none"/>
                      <w:lang w:val="en-US" w:eastAsia="zh-CN"/>
                    </w:rPr>
                  </w:pPr>
                  <w:r>
                    <w:rPr>
                      <w:rFonts w:hint="default" w:ascii="Times New Roman" w:hAnsi="Times New Roman" w:cs="Times New Roman"/>
                      <w:color w:val="auto"/>
                      <w:spacing w:val="8"/>
                      <w:sz w:val="21"/>
                      <w:szCs w:val="21"/>
                      <w:highlight w:val="none"/>
                      <w:lang w:val="en-US" w:eastAsia="zh-CN"/>
                    </w:rPr>
                    <w:t>危险废物</w:t>
                  </w:r>
                </w:p>
              </w:tc>
              <w:tc>
                <w:tcPr>
                  <w:tcW w:w="813" w:type="pct"/>
                  <w:tcBorders>
                    <w:tl2br w:val="nil"/>
                    <w:tr2bl w:val="nil"/>
                  </w:tcBorders>
                  <w:vAlign w:val="center"/>
                </w:tcPr>
                <w:p w14:paraId="654A154C">
                  <w:pPr>
                    <w:pStyle w:val="105"/>
                    <w:keepNext w:val="0"/>
                    <w:keepLines w:val="0"/>
                    <w:pageBreakBefore w:val="0"/>
                    <w:widowControl/>
                    <w:kinsoku/>
                    <w:wordWrap/>
                    <w:overflowPunct/>
                    <w:topLinePunct w:val="0"/>
                    <w:autoSpaceDE/>
                    <w:autoSpaceDN/>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8"/>
                      <w:sz w:val="21"/>
                      <w:szCs w:val="21"/>
                      <w:highlight w:val="none"/>
                      <w:lang w:val="en-US" w:eastAsia="zh-CN"/>
                    </w:rPr>
                  </w:pPr>
                  <w:r>
                    <w:rPr>
                      <w:rFonts w:hint="default" w:ascii="Times New Roman" w:hAnsi="Times New Roman" w:cs="Times New Roman"/>
                      <w:color w:val="auto"/>
                      <w:spacing w:val="8"/>
                      <w:sz w:val="21"/>
                      <w:szCs w:val="21"/>
                      <w:highlight w:val="none"/>
                      <w:lang w:val="en-US" w:eastAsia="zh-CN"/>
                    </w:rPr>
                    <w:t>废铅蓄电池</w:t>
                  </w:r>
                </w:p>
              </w:tc>
              <w:tc>
                <w:tcPr>
                  <w:tcW w:w="626" w:type="pct"/>
                  <w:vMerge w:val="restart"/>
                  <w:tcBorders>
                    <w:tl2br w:val="nil"/>
                    <w:tr2bl w:val="nil"/>
                  </w:tcBorders>
                  <w:vAlign w:val="center"/>
                </w:tcPr>
                <w:p w14:paraId="34AB3B41">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《国家危险废物名录》（2025版）</w:t>
                  </w:r>
                </w:p>
              </w:tc>
              <w:tc>
                <w:tcPr>
                  <w:tcW w:w="1385" w:type="pct"/>
                  <w:tcBorders>
                    <w:tl2br w:val="nil"/>
                    <w:tr2bl w:val="nil"/>
                  </w:tcBorders>
                  <w:vAlign w:val="center"/>
                </w:tcPr>
                <w:p w14:paraId="78AD004F">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废物</w:t>
                  </w:r>
                  <w:r>
                    <w:rPr>
                      <w:rFonts w:hint="default" w:ascii="Times New Roman" w:hAnsi="Times New Roman" w:cs="Times New Roman"/>
                      <w:color w:val="auto"/>
                      <w:spacing w:val="7"/>
                      <w:sz w:val="21"/>
                      <w:szCs w:val="21"/>
                      <w:highlight w:val="none"/>
                      <w:lang w:val="en-US" w:eastAsia="zh-CN"/>
                    </w:rPr>
                    <w:t>类别</w:t>
                  </w:r>
                  <w:r>
                    <w:rPr>
                      <w:rFonts w:hint="default" w:ascii="Times New Roman" w:hAnsi="Times New Roman" w:eastAsia="宋体" w:cs="Times New Roman"/>
                      <w:color w:val="auto"/>
                      <w:sz w:val="21"/>
                      <w:szCs w:val="21"/>
                      <w:highlight w:val="none"/>
                    </w:rPr>
                    <w:t>HW</w:t>
                  </w:r>
                  <w:r>
                    <w:rPr>
                      <w:rFonts w:hint="default" w:ascii="Times New Roman" w:hAnsi="Times New Roman" w:eastAsia="宋体" w:cs="Times New Roman"/>
                      <w:color w:val="auto"/>
                      <w:spacing w:val="7"/>
                      <w:sz w:val="21"/>
                      <w:szCs w:val="21"/>
                      <w:highlight w:val="none"/>
                    </w:rPr>
                    <w:t>31</w:t>
                  </w:r>
                  <w:r>
                    <w:rPr>
                      <w:rFonts w:hint="default" w:ascii="Times New Roman" w:hAnsi="Times New Roman" w:cs="Times New Roman"/>
                      <w:color w:val="auto"/>
                      <w:spacing w:val="8"/>
                      <w:sz w:val="21"/>
                      <w:szCs w:val="21"/>
                      <w:highlight w:val="none"/>
                      <w:lang w:eastAsia="zh-CN"/>
                    </w:rPr>
                    <w:t>：</w:t>
                  </w:r>
                  <w:r>
                    <w:rPr>
                      <w:rFonts w:hint="default" w:ascii="Times New Roman" w:hAnsi="Times New Roman" w:eastAsia="宋体" w:cs="Times New Roman"/>
                      <w:color w:val="auto"/>
                      <w:spacing w:val="8"/>
                      <w:sz w:val="21"/>
                      <w:szCs w:val="21"/>
                      <w:highlight w:val="none"/>
                    </w:rPr>
                    <w:t>废物代码</w:t>
                  </w:r>
                  <w:r>
                    <w:rPr>
                      <w:rFonts w:hint="default" w:ascii="Times New Roman" w:hAnsi="Times New Roman" w:eastAsia="宋体" w:cs="Times New Roman"/>
                      <w:color w:val="auto"/>
                      <w:spacing w:val="3"/>
                      <w:sz w:val="21"/>
                      <w:szCs w:val="21"/>
                      <w:highlight w:val="none"/>
                    </w:rPr>
                    <w:t>900-052-31</w:t>
                  </w:r>
                </w:p>
              </w:tc>
              <w:tc>
                <w:tcPr>
                  <w:tcW w:w="663" w:type="pct"/>
                  <w:tcBorders>
                    <w:tl2br w:val="nil"/>
                    <w:tr2bl w:val="nil"/>
                  </w:tcBorders>
                  <w:vAlign w:val="center"/>
                </w:tcPr>
                <w:p w14:paraId="671FDDA2">
                  <w:pPr>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cs="Times New Roman"/>
                      <w:color w:val="auto"/>
                      <w:spacing w:val="2"/>
                      <w:sz w:val="21"/>
                      <w:szCs w:val="21"/>
                      <w:highlight w:val="none"/>
                      <w:lang w:val="en-US" w:eastAsia="zh-CN"/>
                    </w:rPr>
                    <w:t>2.5t/5a</w:t>
                  </w:r>
                </w:p>
              </w:tc>
              <w:tc>
                <w:tcPr>
                  <w:tcW w:w="1247" w:type="pct"/>
                  <w:vMerge w:val="restart"/>
                  <w:tcBorders>
                    <w:tl2br w:val="nil"/>
                    <w:tr2bl w:val="nil"/>
                  </w:tcBorders>
                  <w:vAlign w:val="center"/>
                </w:tcPr>
                <w:p w14:paraId="3427135D">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both"/>
                    <w:textAlignment w:val="baseline"/>
                    <w:rPr>
                      <w:rFonts w:hint="default" w:ascii="Times New Roman" w:hAnsi="Times New Roman" w:eastAsia="宋体" w:cs="Times New Roman"/>
                      <w:color w:val="auto"/>
                      <w:spacing w:val="11"/>
                      <w:sz w:val="21"/>
                      <w:szCs w:val="21"/>
                      <w:highlight w:val="none"/>
                    </w:rPr>
                  </w:pPr>
                  <w:r>
                    <w:rPr>
                      <w:rFonts w:hint="default" w:ascii="Times New Roman" w:hAnsi="Times New Roman" w:eastAsia="宋体" w:cs="Times New Roman"/>
                      <w:color w:val="auto"/>
                      <w:spacing w:val="11"/>
                      <w:sz w:val="21"/>
                      <w:szCs w:val="21"/>
                      <w:highlight w:val="none"/>
                    </w:rPr>
                    <w:t>经专用容器集中收集后，暂存于危废暂存间，定期由有资质单位处置。</w:t>
                  </w:r>
                </w:p>
              </w:tc>
            </w:tr>
            <w:tr w14:paraId="6FB4E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4" w:type="pct"/>
                  <w:vMerge w:val="continue"/>
                  <w:tcBorders>
                    <w:tl2br w:val="nil"/>
                    <w:tr2bl w:val="nil"/>
                  </w:tcBorders>
                  <w:vAlign w:val="center"/>
                </w:tcPr>
                <w:p w14:paraId="07CED7BD">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right="0" w:firstLine="0"/>
                    <w:jc w:val="center"/>
                    <w:textAlignment w:val="baseline"/>
                    <w:rPr>
                      <w:rFonts w:hint="default" w:ascii="Times New Roman" w:hAnsi="Times New Roman" w:eastAsia="宋体" w:cs="Times New Roman"/>
                      <w:color w:val="auto"/>
                      <w:spacing w:val="7"/>
                      <w:sz w:val="21"/>
                      <w:szCs w:val="21"/>
                      <w:highlight w:val="none"/>
                    </w:rPr>
                  </w:pPr>
                </w:p>
              </w:tc>
              <w:tc>
                <w:tcPr>
                  <w:tcW w:w="813" w:type="pct"/>
                  <w:tcBorders>
                    <w:tl2br w:val="nil"/>
                    <w:tr2bl w:val="nil"/>
                  </w:tcBorders>
                  <w:vAlign w:val="center"/>
                </w:tcPr>
                <w:p w14:paraId="50D324CE">
                  <w:pPr>
                    <w:pStyle w:val="105"/>
                    <w:keepNext w:val="0"/>
                    <w:keepLines w:val="0"/>
                    <w:pageBreakBefore w:val="0"/>
                    <w:widowControl/>
                    <w:kinsoku/>
                    <w:wordWrap/>
                    <w:overflowPunct/>
                    <w:topLinePunct w:val="0"/>
                    <w:autoSpaceDE/>
                    <w:autoSpaceDN/>
                    <w:bidi w:val="0"/>
                    <w:adjustRightInd w:val="0"/>
                    <w:snapToGrid w:val="0"/>
                    <w:spacing w:before="60" w:line="240" w:lineRule="auto"/>
                    <w:ind w:left="21" w:leftChars="10" w:right="21" w:rightChars="10" w:firstLine="0"/>
                    <w:jc w:val="center"/>
                    <w:textAlignment w:val="baseline"/>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废润滑油</w:t>
                  </w:r>
                </w:p>
              </w:tc>
              <w:tc>
                <w:tcPr>
                  <w:tcW w:w="626" w:type="pct"/>
                  <w:vMerge w:val="continue"/>
                  <w:tcBorders>
                    <w:tl2br w:val="nil"/>
                    <w:tr2bl w:val="nil"/>
                  </w:tcBorders>
                  <w:vAlign w:val="center"/>
                </w:tcPr>
                <w:p w14:paraId="7682645B">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jc w:val="center"/>
                    <w:textAlignment w:val="baseline"/>
                    <w:rPr>
                      <w:rFonts w:hint="default" w:ascii="Times New Roman" w:hAnsi="Times New Roman" w:eastAsia="宋体" w:cs="Times New Roman"/>
                      <w:color w:val="auto"/>
                      <w:sz w:val="21"/>
                      <w:szCs w:val="21"/>
                      <w:highlight w:val="none"/>
                    </w:rPr>
                  </w:pPr>
                </w:p>
              </w:tc>
              <w:tc>
                <w:tcPr>
                  <w:tcW w:w="1385" w:type="pct"/>
                  <w:tcBorders>
                    <w:tl2br w:val="nil"/>
                    <w:tr2bl w:val="nil"/>
                  </w:tcBorders>
                  <w:vAlign w:val="center"/>
                </w:tcPr>
                <w:p w14:paraId="29828341">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废物</w:t>
                  </w:r>
                  <w:r>
                    <w:rPr>
                      <w:rFonts w:hint="default" w:ascii="Times New Roman" w:hAnsi="Times New Roman" w:cs="Times New Roman"/>
                      <w:color w:val="auto"/>
                      <w:spacing w:val="7"/>
                      <w:sz w:val="21"/>
                      <w:szCs w:val="21"/>
                      <w:highlight w:val="none"/>
                      <w:lang w:val="en-US" w:eastAsia="zh-CN"/>
                    </w:rPr>
                    <w:t>类别</w:t>
                  </w:r>
                  <w:r>
                    <w:rPr>
                      <w:rFonts w:hint="default" w:ascii="Times New Roman" w:hAnsi="Times New Roman" w:eastAsia="宋体" w:cs="Times New Roman"/>
                      <w:color w:val="auto"/>
                      <w:sz w:val="21"/>
                      <w:szCs w:val="21"/>
                      <w:highlight w:val="none"/>
                    </w:rPr>
                    <w:t>HW08</w:t>
                  </w:r>
                  <w:r>
                    <w:rPr>
                      <w:rFonts w:hint="default" w:ascii="Times New Roman" w:hAnsi="Times New Roman" w:eastAsia="宋体" w:cs="Times New Roman"/>
                      <w:color w:val="auto"/>
                      <w:spacing w:val="8"/>
                      <w:sz w:val="21"/>
                      <w:szCs w:val="21"/>
                      <w:highlight w:val="none"/>
                      <w:lang w:eastAsia="zh-CN"/>
                    </w:rPr>
                    <w:t>：</w:t>
                  </w:r>
                  <w:r>
                    <w:rPr>
                      <w:rFonts w:hint="default" w:ascii="Times New Roman" w:hAnsi="Times New Roman" w:eastAsia="宋体" w:cs="Times New Roman"/>
                      <w:color w:val="auto"/>
                      <w:spacing w:val="8"/>
                      <w:sz w:val="21"/>
                      <w:szCs w:val="21"/>
                      <w:highlight w:val="none"/>
                    </w:rPr>
                    <w:t>废物代码</w:t>
                  </w:r>
                  <w:r>
                    <w:rPr>
                      <w:rFonts w:hint="default" w:ascii="Times New Roman" w:hAnsi="Times New Roman" w:eastAsia="宋体" w:cs="Times New Roman"/>
                      <w:color w:val="auto"/>
                      <w:spacing w:val="3"/>
                      <w:sz w:val="21"/>
                      <w:szCs w:val="21"/>
                      <w:highlight w:val="none"/>
                    </w:rPr>
                    <w:t>900-214-08</w:t>
                  </w:r>
                </w:p>
              </w:tc>
              <w:tc>
                <w:tcPr>
                  <w:tcW w:w="663" w:type="pct"/>
                  <w:tcBorders>
                    <w:tl2br w:val="nil"/>
                    <w:tr2bl w:val="nil"/>
                  </w:tcBorders>
                  <w:vAlign w:val="center"/>
                </w:tcPr>
                <w:p w14:paraId="291054D5">
                  <w:pPr>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0.1t/a</w:t>
                  </w:r>
                </w:p>
              </w:tc>
              <w:tc>
                <w:tcPr>
                  <w:tcW w:w="1247" w:type="pct"/>
                  <w:vMerge w:val="continue"/>
                  <w:tcBorders>
                    <w:tl2br w:val="nil"/>
                    <w:tr2bl w:val="nil"/>
                  </w:tcBorders>
                  <w:vAlign w:val="center"/>
                </w:tcPr>
                <w:p w14:paraId="69B9C1B2">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jc w:val="both"/>
                    <w:textAlignment w:val="baseline"/>
                    <w:rPr>
                      <w:rFonts w:hint="default" w:ascii="Times New Roman" w:hAnsi="Times New Roman" w:eastAsia="宋体" w:cs="Times New Roman"/>
                      <w:color w:val="auto"/>
                      <w:sz w:val="21"/>
                      <w:szCs w:val="21"/>
                      <w:highlight w:val="none"/>
                    </w:rPr>
                  </w:pPr>
                </w:p>
              </w:tc>
            </w:tr>
            <w:tr w14:paraId="3DEB5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4" w:type="pct"/>
                  <w:vMerge w:val="continue"/>
                  <w:tcBorders>
                    <w:tl2br w:val="nil"/>
                    <w:tr2bl w:val="nil"/>
                  </w:tcBorders>
                  <w:vAlign w:val="center"/>
                </w:tcPr>
                <w:p w14:paraId="663B3E8F">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leftChars="0" w:right="0" w:rightChars="0" w:firstLine="0" w:firstLineChars="0"/>
                    <w:jc w:val="center"/>
                    <w:textAlignment w:val="baseline"/>
                    <w:rPr>
                      <w:rFonts w:hint="default" w:ascii="Times New Roman" w:hAnsi="Times New Roman" w:cs="Times New Roman"/>
                      <w:color w:val="auto"/>
                      <w:sz w:val="21"/>
                      <w:szCs w:val="21"/>
                      <w:highlight w:val="none"/>
                      <w:lang w:val="en-US" w:eastAsia="zh-CN"/>
                    </w:rPr>
                  </w:pPr>
                </w:p>
              </w:tc>
              <w:tc>
                <w:tcPr>
                  <w:tcW w:w="813" w:type="pct"/>
                  <w:tcBorders>
                    <w:tl2br w:val="nil"/>
                    <w:tr2bl w:val="nil"/>
                  </w:tcBorders>
                  <w:vAlign w:val="center"/>
                </w:tcPr>
                <w:p w14:paraId="2CCC45E6">
                  <w:pPr>
                    <w:pStyle w:val="105"/>
                    <w:keepNext w:val="0"/>
                    <w:keepLines w:val="0"/>
                    <w:pageBreakBefore w:val="0"/>
                    <w:widowControl/>
                    <w:kinsoku/>
                    <w:wordWrap/>
                    <w:overflowPunct/>
                    <w:topLinePunct w:val="0"/>
                    <w:autoSpaceDE/>
                    <w:autoSpaceDN/>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cs="Times New Roman"/>
                      <w:color w:val="auto"/>
                      <w:spacing w:val="8"/>
                      <w:sz w:val="21"/>
                      <w:szCs w:val="21"/>
                      <w:highlight w:val="none"/>
                      <w:lang w:val="en-US" w:eastAsia="zh-CN"/>
                    </w:rPr>
                  </w:pPr>
                  <w:r>
                    <w:rPr>
                      <w:rFonts w:hint="default" w:ascii="Times New Roman" w:hAnsi="Times New Roman" w:cs="Times New Roman"/>
                      <w:color w:val="auto"/>
                      <w:spacing w:val="8"/>
                      <w:sz w:val="21"/>
                      <w:szCs w:val="21"/>
                      <w:highlight w:val="none"/>
                      <w:lang w:val="en-US" w:eastAsia="zh-CN"/>
                    </w:rPr>
                    <w:t>废润滑油桶</w:t>
                  </w:r>
                </w:p>
              </w:tc>
              <w:tc>
                <w:tcPr>
                  <w:tcW w:w="626" w:type="pct"/>
                  <w:vMerge w:val="continue"/>
                  <w:tcBorders>
                    <w:tl2br w:val="nil"/>
                    <w:tr2bl w:val="nil"/>
                  </w:tcBorders>
                  <w:vAlign w:val="center"/>
                </w:tcPr>
                <w:p w14:paraId="4738B6E1">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z w:val="21"/>
                      <w:szCs w:val="21"/>
                      <w:highlight w:val="none"/>
                    </w:rPr>
                  </w:pPr>
                </w:p>
              </w:tc>
              <w:tc>
                <w:tcPr>
                  <w:tcW w:w="1385" w:type="pct"/>
                  <w:tcBorders>
                    <w:tl2br w:val="nil"/>
                    <w:tr2bl w:val="nil"/>
                  </w:tcBorders>
                  <w:vAlign w:val="center"/>
                </w:tcPr>
                <w:p w14:paraId="5D440E33">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废物</w:t>
                  </w:r>
                  <w:r>
                    <w:rPr>
                      <w:rFonts w:hint="default" w:ascii="Times New Roman" w:hAnsi="Times New Roman" w:cs="Times New Roman"/>
                      <w:color w:val="auto"/>
                      <w:spacing w:val="7"/>
                      <w:sz w:val="21"/>
                      <w:szCs w:val="21"/>
                      <w:highlight w:val="none"/>
                      <w:lang w:val="en-US" w:eastAsia="zh-CN"/>
                    </w:rPr>
                    <w:t>类别</w:t>
                  </w:r>
                  <w:r>
                    <w:rPr>
                      <w:rFonts w:hint="default" w:ascii="Times New Roman" w:hAnsi="Times New Roman" w:eastAsia="宋体" w:cs="Times New Roman"/>
                      <w:color w:val="auto"/>
                      <w:sz w:val="21"/>
                      <w:szCs w:val="21"/>
                      <w:highlight w:val="none"/>
                    </w:rPr>
                    <w:t>HW08</w:t>
                  </w:r>
                  <w:r>
                    <w:rPr>
                      <w:rFonts w:hint="default" w:ascii="Times New Roman" w:hAnsi="Times New Roman" w:eastAsia="宋体" w:cs="Times New Roman"/>
                      <w:color w:val="auto"/>
                      <w:spacing w:val="8"/>
                      <w:sz w:val="21"/>
                      <w:szCs w:val="21"/>
                      <w:highlight w:val="none"/>
                      <w:lang w:eastAsia="zh-CN"/>
                    </w:rPr>
                    <w:t>：</w:t>
                  </w:r>
                  <w:r>
                    <w:rPr>
                      <w:rFonts w:hint="default" w:ascii="Times New Roman" w:hAnsi="Times New Roman" w:eastAsia="宋体" w:cs="Times New Roman"/>
                      <w:color w:val="auto"/>
                      <w:spacing w:val="8"/>
                      <w:sz w:val="21"/>
                      <w:szCs w:val="21"/>
                      <w:highlight w:val="none"/>
                    </w:rPr>
                    <w:t>废物代码</w:t>
                  </w:r>
                  <w:r>
                    <w:rPr>
                      <w:rFonts w:hint="default" w:ascii="Times New Roman" w:hAnsi="Times New Roman" w:eastAsia="宋体" w:cs="Times New Roman"/>
                      <w:color w:val="auto"/>
                      <w:spacing w:val="3"/>
                      <w:sz w:val="21"/>
                      <w:szCs w:val="21"/>
                      <w:highlight w:val="none"/>
                    </w:rPr>
                    <w:t>900-2</w:t>
                  </w:r>
                  <w:r>
                    <w:rPr>
                      <w:rFonts w:hint="default" w:ascii="Times New Roman" w:hAnsi="Times New Roman" w:eastAsia="宋体" w:cs="Times New Roman"/>
                      <w:color w:val="auto"/>
                      <w:spacing w:val="3"/>
                      <w:sz w:val="21"/>
                      <w:szCs w:val="21"/>
                      <w:highlight w:val="none"/>
                      <w:lang w:val="en-US" w:eastAsia="zh-CN"/>
                    </w:rPr>
                    <w:t>49</w:t>
                  </w:r>
                  <w:r>
                    <w:rPr>
                      <w:rFonts w:hint="default" w:ascii="Times New Roman" w:hAnsi="Times New Roman" w:eastAsia="宋体" w:cs="Times New Roman"/>
                      <w:color w:val="auto"/>
                      <w:spacing w:val="3"/>
                      <w:sz w:val="21"/>
                      <w:szCs w:val="21"/>
                      <w:highlight w:val="none"/>
                    </w:rPr>
                    <w:t>-08</w:t>
                  </w:r>
                </w:p>
              </w:tc>
              <w:tc>
                <w:tcPr>
                  <w:tcW w:w="663" w:type="pct"/>
                  <w:tcBorders>
                    <w:tl2br w:val="nil"/>
                    <w:tr2bl w:val="nil"/>
                  </w:tcBorders>
                  <w:vAlign w:val="center"/>
                </w:tcPr>
                <w:p w14:paraId="4A48A7EF">
                  <w:pPr>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6"/>
                      <w:sz w:val="21"/>
                      <w:szCs w:val="21"/>
                      <w:highlight w:val="none"/>
                      <w:lang w:val="en-US" w:eastAsia="zh-CN"/>
                    </w:rPr>
                    <w:t>0.</w:t>
                  </w:r>
                  <w:r>
                    <w:rPr>
                      <w:rFonts w:hint="default" w:ascii="Times New Roman" w:hAnsi="Times New Roman" w:cs="Times New Roman"/>
                      <w:color w:val="auto"/>
                      <w:spacing w:val="6"/>
                      <w:sz w:val="21"/>
                      <w:szCs w:val="21"/>
                      <w:highlight w:val="none"/>
                      <w:lang w:val="en-US" w:eastAsia="zh-CN"/>
                    </w:rPr>
                    <w:t>05</w:t>
                  </w:r>
                  <w:r>
                    <w:rPr>
                      <w:rFonts w:hint="default" w:ascii="Times New Roman" w:hAnsi="Times New Roman" w:eastAsia="宋体" w:cs="Times New Roman"/>
                      <w:color w:val="auto"/>
                      <w:spacing w:val="6"/>
                      <w:sz w:val="21"/>
                      <w:szCs w:val="21"/>
                      <w:highlight w:val="none"/>
                      <w:lang w:val="en-US" w:eastAsia="zh-CN"/>
                    </w:rPr>
                    <w:t>t/a</w:t>
                  </w:r>
                </w:p>
              </w:tc>
              <w:tc>
                <w:tcPr>
                  <w:tcW w:w="1247" w:type="pct"/>
                  <w:vMerge w:val="continue"/>
                  <w:tcBorders>
                    <w:tl2br w:val="nil"/>
                    <w:tr2bl w:val="nil"/>
                  </w:tcBorders>
                  <w:vAlign w:val="center"/>
                </w:tcPr>
                <w:p w14:paraId="2DA89B68">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jc w:val="both"/>
                    <w:textAlignment w:val="baseline"/>
                    <w:rPr>
                      <w:rFonts w:hint="default" w:ascii="Times New Roman" w:hAnsi="Times New Roman" w:eastAsia="宋体" w:cs="Times New Roman"/>
                      <w:color w:val="auto"/>
                      <w:spacing w:val="4"/>
                      <w:sz w:val="21"/>
                      <w:szCs w:val="21"/>
                      <w:highlight w:val="none"/>
                      <w:lang w:val="en-US" w:eastAsia="zh-CN"/>
                    </w:rPr>
                  </w:pPr>
                </w:p>
              </w:tc>
            </w:tr>
            <w:tr w14:paraId="2D952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4" w:type="pct"/>
                  <w:vMerge w:val="continue"/>
                  <w:tcBorders>
                    <w:tl2br w:val="nil"/>
                    <w:tr2bl w:val="nil"/>
                  </w:tcBorders>
                  <w:vAlign w:val="center"/>
                </w:tcPr>
                <w:p w14:paraId="335F279A">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leftChars="0" w:right="0" w:rightChars="0" w:firstLine="0" w:firstLineChars="0"/>
                    <w:jc w:val="center"/>
                    <w:textAlignment w:val="baseline"/>
                    <w:rPr>
                      <w:rFonts w:hint="default" w:ascii="Times New Roman" w:hAnsi="Times New Roman" w:cs="Times New Roman"/>
                      <w:color w:val="auto"/>
                      <w:sz w:val="21"/>
                      <w:szCs w:val="21"/>
                      <w:highlight w:val="none"/>
                      <w:lang w:val="en-US" w:eastAsia="zh-CN"/>
                    </w:rPr>
                  </w:pPr>
                </w:p>
              </w:tc>
              <w:tc>
                <w:tcPr>
                  <w:tcW w:w="813" w:type="pct"/>
                  <w:tcBorders>
                    <w:tl2br w:val="nil"/>
                    <w:tr2bl w:val="nil"/>
                  </w:tcBorders>
                  <w:vAlign w:val="center"/>
                </w:tcPr>
                <w:p w14:paraId="785227C6">
                  <w:pPr>
                    <w:pStyle w:val="105"/>
                    <w:keepNext w:val="0"/>
                    <w:keepLines w:val="0"/>
                    <w:pageBreakBefore w:val="0"/>
                    <w:widowControl/>
                    <w:kinsoku/>
                    <w:wordWrap/>
                    <w:overflowPunct/>
                    <w:topLinePunct w:val="0"/>
                    <w:autoSpaceDE/>
                    <w:autoSpaceDN/>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pacing w:val="7"/>
                      <w:sz w:val="21"/>
                      <w:szCs w:val="21"/>
                      <w:highlight w:val="none"/>
                    </w:rPr>
                    <w:t>沾染油污的油</w:t>
                  </w:r>
                  <w:r>
                    <w:rPr>
                      <w:rFonts w:hint="default" w:ascii="Times New Roman" w:hAnsi="Times New Roman" w:eastAsia="宋体" w:cs="Times New Roman"/>
                      <w:color w:val="auto"/>
                      <w:spacing w:val="8"/>
                      <w:sz w:val="21"/>
                      <w:szCs w:val="21"/>
                      <w:highlight w:val="none"/>
                    </w:rPr>
                    <w:t>布、废手套等</w:t>
                  </w:r>
                  <w:r>
                    <w:rPr>
                      <w:rFonts w:hint="default" w:ascii="Times New Roman" w:hAnsi="Times New Roman" w:eastAsia="宋体" w:cs="Times New Roman"/>
                      <w:color w:val="auto"/>
                      <w:spacing w:val="7"/>
                      <w:sz w:val="21"/>
                      <w:szCs w:val="21"/>
                      <w:highlight w:val="none"/>
                    </w:rPr>
                    <w:t>检修</w:t>
                  </w:r>
                  <w:r>
                    <w:rPr>
                      <w:rFonts w:hint="default" w:ascii="Times New Roman" w:hAnsi="Times New Roman" w:cs="Times New Roman"/>
                      <w:color w:val="auto"/>
                      <w:spacing w:val="7"/>
                      <w:sz w:val="21"/>
                      <w:szCs w:val="21"/>
                      <w:highlight w:val="none"/>
                      <w:lang w:val="en-US" w:eastAsia="zh-CN"/>
                    </w:rPr>
                    <w:t>废物</w:t>
                  </w:r>
                </w:p>
              </w:tc>
              <w:tc>
                <w:tcPr>
                  <w:tcW w:w="626" w:type="pct"/>
                  <w:vMerge w:val="continue"/>
                  <w:tcBorders>
                    <w:tl2br w:val="nil"/>
                    <w:tr2bl w:val="nil"/>
                  </w:tcBorders>
                  <w:vAlign w:val="center"/>
                </w:tcPr>
                <w:p w14:paraId="23116AD9">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z w:val="21"/>
                      <w:szCs w:val="21"/>
                      <w:highlight w:val="none"/>
                    </w:rPr>
                  </w:pPr>
                </w:p>
              </w:tc>
              <w:tc>
                <w:tcPr>
                  <w:tcW w:w="1385" w:type="pct"/>
                  <w:tcBorders>
                    <w:tl2br w:val="nil"/>
                    <w:tr2bl w:val="nil"/>
                  </w:tcBorders>
                  <w:vAlign w:val="center"/>
                </w:tcPr>
                <w:p w14:paraId="0CB48E8C">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废物</w:t>
                  </w:r>
                  <w:r>
                    <w:rPr>
                      <w:rFonts w:hint="default" w:ascii="Times New Roman" w:hAnsi="Times New Roman" w:cs="Times New Roman"/>
                      <w:color w:val="auto"/>
                      <w:spacing w:val="7"/>
                      <w:sz w:val="21"/>
                      <w:szCs w:val="21"/>
                      <w:highlight w:val="none"/>
                      <w:lang w:val="en-US" w:eastAsia="zh-CN"/>
                    </w:rPr>
                    <w:t>类别</w:t>
                  </w:r>
                  <w:r>
                    <w:rPr>
                      <w:rFonts w:hint="default" w:ascii="Times New Roman" w:hAnsi="Times New Roman" w:eastAsia="宋体" w:cs="Times New Roman"/>
                      <w:color w:val="auto"/>
                      <w:sz w:val="21"/>
                      <w:szCs w:val="21"/>
                      <w:highlight w:val="none"/>
                    </w:rPr>
                    <w:t>HW</w:t>
                  </w:r>
                  <w:r>
                    <w:rPr>
                      <w:rFonts w:hint="default" w:ascii="Times New Roman" w:hAnsi="Times New Roman" w:eastAsia="宋体" w:cs="Times New Roman"/>
                      <w:color w:val="auto"/>
                      <w:spacing w:val="7"/>
                      <w:sz w:val="21"/>
                      <w:szCs w:val="21"/>
                      <w:highlight w:val="none"/>
                    </w:rPr>
                    <w:t>49</w:t>
                  </w:r>
                  <w:r>
                    <w:rPr>
                      <w:rFonts w:hint="default" w:ascii="Times New Roman" w:hAnsi="Times New Roman" w:eastAsia="宋体" w:cs="Times New Roman"/>
                      <w:color w:val="auto"/>
                      <w:spacing w:val="8"/>
                      <w:sz w:val="21"/>
                      <w:szCs w:val="21"/>
                      <w:highlight w:val="none"/>
                      <w:lang w:eastAsia="zh-CN"/>
                    </w:rPr>
                    <w:t>：</w:t>
                  </w:r>
                  <w:r>
                    <w:rPr>
                      <w:rFonts w:hint="default" w:ascii="Times New Roman" w:hAnsi="Times New Roman" w:eastAsia="宋体" w:cs="Times New Roman"/>
                      <w:color w:val="auto"/>
                      <w:spacing w:val="8"/>
                      <w:sz w:val="21"/>
                      <w:szCs w:val="21"/>
                      <w:highlight w:val="none"/>
                    </w:rPr>
                    <w:t>废物代码</w:t>
                  </w:r>
                  <w:r>
                    <w:rPr>
                      <w:rFonts w:hint="default" w:ascii="Times New Roman" w:hAnsi="Times New Roman" w:eastAsia="宋体" w:cs="Times New Roman"/>
                      <w:color w:val="auto"/>
                      <w:spacing w:val="3"/>
                      <w:sz w:val="21"/>
                      <w:szCs w:val="21"/>
                      <w:highlight w:val="none"/>
                    </w:rPr>
                    <w:t>900-041-049</w:t>
                  </w:r>
                </w:p>
              </w:tc>
              <w:tc>
                <w:tcPr>
                  <w:tcW w:w="663" w:type="pct"/>
                  <w:tcBorders>
                    <w:tl2br w:val="nil"/>
                    <w:tr2bl w:val="nil"/>
                  </w:tcBorders>
                  <w:vAlign w:val="center"/>
                </w:tcPr>
                <w:p w14:paraId="558D9FCF">
                  <w:pPr>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0.</w:t>
                  </w:r>
                  <w:r>
                    <w:rPr>
                      <w:rFonts w:hint="default" w:ascii="Times New Roman" w:hAnsi="Times New Roman" w:cs="Times New Roman"/>
                      <w:color w:val="auto"/>
                      <w:spacing w:val="2"/>
                      <w:sz w:val="21"/>
                      <w:szCs w:val="21"/>
                      <w:highlight w:val="none"/>
                      <w:lang w:val="en-US" w:eastAsia="zh-CN"/>
                    </w:rPr>
                    <w:t>1</w:t>
                  </w:r>
                  <w:r>
                    <w:rPr>
                      <w:rFonts w:hint="default" w:ascii="Times New Roman" w:hAnsi="Times New Roman" w:eastAsia="宋体" w:cs="Times New Roman"/>
                      <w:b w:val="0"/>
                      <w:bCs w:val="0"/>
                      <w:color w:val="auto"/>
                      <w:sz w:val="21"/>
                      <w:szCs w:val="21"/>
                      <w:highlight w:val="none"/>
                    </w:rPr>
                    <w:t>t/a</w:t>
                  </w:r>
                </w:p>
              </w:tc>
              <w:tc>
                <w:tcPr>
                  <w:tcW w:w="1247" w:type="pct"/>
                  <w:vMerge w:val="continue"/>
                  <w:tcBorders>
                    <w:tl2br w:val="nil"/>
                    <w:tr2bl w:val="nil"/>
                  </w:tcBorders>
                  <w:vAlign w:val="center"/>
                </w:tcPr>
                <w:p w14:paraId="7C3A776F">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both"/>
                    <w:textAlignment w:val="baseline"/>
                    <w:rPr>
                      <w:rFonts w:hint="default" w:ascii="Times New Roman" w:hAnsi="Times New Roman" w:cs="Times New Roman"/>
                      <w:color w:val="auto"/>
                      <w:spacing w:val="4"/>
                      <w:sz w:val="21"/>
                      <w:szCs w:val="21"/>
                      <w:highlight w:val="none"/>
                      <w:lang w:val="en-US" w:eastAsia="zh-CN"/>
                    </w:rPr>
                  </w:pPr>
                </w:p>
              </w:tc>
            </w:tr>
            <w:tr w14:paraId="4B552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4" w:type="pct"/>
                  <w:vMerge w:val="continue"/>
                  <w:tcBorders>
                    <w:tl2br w:val="nil"/>
                    <w:tr2bl w:val="nil"/>
                  </w:tcBorders>
                  <w:vAlign w:val="center"/>
                </w:tcPr>
                <w:p w14:paraId="0841C222">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0" w:leftChars="0" w:right="0" w:rightChars="0" w:firstLine="0" w:firstLineChars="0"/>
                    <w:jc w:val="center"/>
                    <w:textAlignment w:val="baseline"/>
                    <w:rPr>
                      <w:rFonts w:hint="default" w:ascii="Times New Roman" w:hAnsi="Times New Roman" w:cs="Times New Roman"/>
                      <w:color w:val="auto"/>
                      <w:sz w:val="21"/>
                      <w:szCs w:val="21"/>
                      <w:highlight w:val="none"/>
                      <w:lang w:val="en-US" w:eastAsia="zh-CN"/>
                    </w:rPr>
                  </w:pPr>
                </w:p>
              </w:tc>
              <w:tc>
                <w:tcPr>
                  <w:tcW w:w="813" w:type="pct"/>
                  <w:tcBorders>
                    <w:tl2br w:val="nil"/>
                    <w:tr2bl w:val="nil"/>
                  </w:tcBorders>
                  <w:vAlign w:val="center"/>
                </w:tcPr>
                <w:p w14:paraId="3AFF59B7">
                  <w:pPr>
                    <w:pStyle w:val="105"/>
                    <w:keepNext w:val="0"/>
                    <w:keepLines w:val="0"/>
                    <w:pageBreakBefore w:val="0"/>
                    <w:widowControl/>
                    <w:kinsoku/>
                    <w:wordWrap/>
                    <w:overflowPunct/>
                    <w:topLinePunct w:val="0"/>
                    <w:autoSpaceDE/>
                    <w:autoSpaceDN/>
                    <w:bidi w:val="0"/>
                    <w:adjustRightInd w:val="0"/>
                    <w:snapToGrid w:val="0"/>
                    <w:spacing w:before="60" w:line="240" w:lineRule="auto"/>
                    <w:ind w:left="21" w:leftChars="10" w:right="21" w:rightChars="10" w:firstLine="0"/>
                    <w:jc w:val="center"/>
                    <w:textAlignment w:val="baseline"/>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主变压器事故油</w:t>
                  </w:r>
                </w:p>
              </w:tc>
              <w:tc>
                <w:tcPr>
                  <w:tcW w:w="626" w:type="pct"/>
                  <w:vMerge w:val="continue"/>
                  <w:tcBorders>
                    <w:tl2br w:val="nil"/>
                    <w:tr2bl w:val="nil"/>
                  </w:tcBorders>
                  <w:vAlign w:val="center"/>
                </w:tcPr>
                <w:p w14:paraId="05F59C3C">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z w:val="21"/>
                      <w:szCs w:val="21"/>
                      <w:highlight w:val="none"/>
                    </w:rPr>
                  </w:pPr>
                </w:p>
              </w:tc>
              <w:tc>
                <w:tcPr>
                  <w:tcW w:w="1385" w:type="pct"/>
                  <w:tcBorders>
                    <w:tl2br w:val="nil"/>
                    <w:tr2bl w:val="nil"/>
                  </w:tcBorders>
                  <w:vAlign w:val="center"/>
                </w:tcPr>
                <w:p w14:paraId="57F7990E">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7"/>
                      <w:sz w:val="21"/>
                      <w:szCs w:val="21"/>
                      <w:highlight w:val="none"/>
                    </w:rPr>
                  </w:pPr>
                  <w:r>
                    <w:rPr>
                      <w:rFonts w:hint="default" w:ascii="Times New Roman" w:hAnsi="Times New Roman" w:eastAsia="宋体" w:cs="Times New Roman"/>
                      <w:color w:val="auto"/>
                      <w:spacing w:val="7"/>
                      <w:sz w:val="21"/>
                      <w:szCs w:val="21"/>
                      <w:highlight w:val="none"/>
                    </w:rPr>
                    <w:t>废物</w:t>
                  </w:r>
                  <w:r>
                    <w:rPr>
                      <w:rFonts w:hint="default" w:ascii="Times New Roman" w:hAnsi="Times New Roman" w:cs="Times New Roman"/>
                      <w:color w:val="auto"/>
                      <w:spacing w:val="7"/>
                      <w:sz w:val="21"/>
                      <w:szCs w:val="21"/>
                      <w:highlight w:val="none"/>
                      <w:lang w:val="en-US" w:eastAsia="zh-CN"/>
                    </w:rPr>
                    <w:t>类别</w:t>
                  </w:r>
                  <w:r>
                    <w:rPr>
                      <w:rFonts w:hint="default" w:ascii="Times New Roman" w:hAnsi="Times New Roman" w:eastAsia="宋体" w:cs="Times New Roman"/>
                      <w:color w:val="auto"/>
                      <w:sz w:val="21"/>
                      <w:szCs w:val="21"/>
                      <w:highlight w:val="none"/>
                    </w:rPr>
                    <w:t>HW</w:t>
                  </w:r>
                  <w:r>
                    <w:rPr>
                      <w:rFonts w:hint="default" w:ascii="Times New Roman" w:hAnsi="Times New Roman" w:eastAsia="宋体" w:cs="Times New Roman"/>
                      <w:color w:val="auto"/>
                      <w:spacing w:val="7"/>
                      <w:sz w:val="21"/>
                      <w:szCs w:val="21"/>
                      <w:highlight w:val="none"/>
                    </w:rPr>
                    <w:t>08</w:t>
                  </w:r>
                  <w:r>
                    <w:rPr>
                      <w:rFonts w:hint="default" w:ascii="Times New Roman" w:hAnsi="Times New Roman" w:eastAsia="宋体" w:cs="Times New Roman"/>
                      <w:color w:val="auto"/>
                      <w:spacing w:val="8"/>
                      <w:sz w:val="21"/>
                      <w:szCs w:val="21"/>
                      <w:highlight w:val="none"/>
                      <w:lang w:eastAsia="zh-CN"/>
                    </w:rPr>
                    <w:t>：</w:t>
                  </w:r>
                  <w:r>
                    <w:rPr>
                      <w:rFonts w:hint="default" w:ascii="Times New Roman" w:hAnsi="Times New Roman" w:eastAsia="宋体" w:cs="Times New Roman"/>
                      <w:color w:val="auto"/>
                      <w:spacing w:val="8"/>
                      <w:sz w:val="21"/>
                      <w:szCs w:val="21"/>
                      <w:highlight w:val="none"/>
                    </w:rPr>
                    <w:t>废物代</w:t>
                  </w:r>
                  <w:r>
                    <w:rPr>
                      <w:rFonts w:hint="default" w:ascii="Times New Roman" w:hAnsi="Times New Roman" w:eastAsia="宋体" w:cs="Times New Roman"/>
                      <w:color w:val="auto"/>
                      <w:spacing w:val="4"/>
                      <w:sz w:val="21"/>
                      <w:szCs w:val="21"/>
                      <w:highlight w:val="none"/>
                    </w:rPr>
                    <w:t>码900-220-08</w:t>
                  </w:r>
                </w:p>
              </w:tc>
              <w:tc>
                <w:tcPr>
                  <w:tcW w:w="663" w:type="pct"/>
                  <w:tcBorders>
                    <w:tl2br w:val="nil"/>
                    <w:tr2bl w:val="nil"/>
                  </w:tcBorders>
                  <w:vAlign w:val="center"/>
                </w:tcPr>
                <w:p w14:paraId="6702ED9E">
                  <w:pPr>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center"/>
                    <w:textAlignment w:val="baseline"/>
                    <w:rPr>
                      <w:rFonts w:hint="default" w:ascii="Times New Roman" w:hAnsi="Times New Roman" w:eastAsia="宋体" w:cs="Times New Roman"/>
                      <w:color w:val="auto"/>
                      <w:spacing w:val="6"/>
                      <w:sz w:val="21"/>
                      <w:szCs w:val="21"/>
                      <w:highlight w:val="none"/>
                      <w:lang w:val="en-US" w:eastAsia="zh-CN"/>
                    </w:rPr>
                  </w:pPr>
                  <w:r>
                    <w:rPr>
                      <w:rFonts w:hint="default" w:ascii="Times New Roman" w:hAnsi="Times New Roman" w:cs="Times New Roman"/>
                      <w:color w:val="auto"/>
                      <w:spacing w:val="6"/>
                      <w:sz w:val="21"/>
                      <w:szCs w:val="21"/>
                      <w:highlight w:val="none"/>
                      <w:lang w:val="en-US" w:eastAsia="zh-CN"/>
                    </w:rPr>
                    <w:t>27</w:t>
                  </w:r>
                  <w:r>
                    <w:rPr>
                      <w:rFonts w:hint="default" w:ascii="Times New Roman" w:hAnsi="Times New Roman" w:eastAsia="宋体" w:cs="Times New Roman"/>
                      <w:color w:val="auto"/>
                      <w:spacing w:val="6"/>
                      <w:sz w:val="21"/>
                      <w:szCs w:val="21"/>
                      <w:highlight w:val="none"/>
                      <w:lang w:val="en-US" w:eastAsia="zh-CN"/>
                    </w:rPr>
                    <w:t>t</w:t>
                  </w:r>
                </w:p>
              </w:tc>
              <w:tc>
                <w:tcPr>
                  <w:tcW w:w="1247" w:type="pct"/>
                  <w:tcBorders>
                    <w:tl2br w:val="nil"/>
                    <w:tr2bl w:val="nil"/>
                  </w:tcBorders>
                  <w:vAlign w:val="center"/>
                </w:tcPr>
                <w:p w14:paraId="0923149C">
                  <w:pPr>
                    <w:pStyle w:val="105"/>
                    <w:keepNext w:val="0"/>
                    <w:keepLines w:val="0"/>
                    <w:pageBreakBefore w:val="0"/>
                    <w:widowControl/>
                    <w:kinsoku w:val="0"/>
                    <w:wordWrap/>
                    <w:overflowPunct/>
                    <w:topLinePunct w:val="0"/>
                    <w:autoSpaceDE w:val="0"/>
                    <w:autoSpaceDN w:val="0"/>
                    <w:bidi w:val="0"/>
                    <w:adjustRightInd w:val="0"/>
                    <w:snapToGrid w:val="0"/>
                    <w:spacing w:before="60" w:line="240" w:lineRule="auto"/>
                    <w:ind w:left="21" w:leftChars="10" w:right="21" w:rightChars="10" w:firstLine="0" w:firstLineChars="0"/>
                    <w:jc w:val="both"/>
                    <w:textAlignment w:val="baseline"/>
                    <w:rPr>
                      <w:rFonts w:hint="default" w:ascii="Times New Roman" w:hAnsi="Times New Roman" w:cs="Times New Roman"/>
                      <w:color w:val="auto"/>
                      <w:spacing w:val="4"/>
                      <w:sz w:val="21"/>
                      <w:szCs w:val="21"/>
                      <w:highlight w:val="none"/>
                      <w:lang w:val="en-US" w:eastAsia="zh-CN"/>
                    </w:rPr>
                  </w:pPr>
                  <w:r>
                    <w:rPr>
                      <w:rFonts w:hint="default" w:ascii="Times New Roman" w:hAnsi="Times New Roman" w:cs="Times New Roman"/>
                      <w:color w:val="auto"/>
                      <w:spacing w:val="4"/>
                      <w:sz w:val="21"/>
                      <w:szCs w:val="21"/>
                      <w:highlight w:val="none"/>
                      <w:lang w:val="en-US" w:eastAsia="zh-CN"/>
                    </w:rPr>
                    <w:t>通过贮油坑进入</w:t>
                  </w:r>
                  <w:r>
                    <w:rPr>
                      <w:rFonts w:hint="eastAsia" w:ascii="Times New Roman" w:hAnsi="Times New Roman" w:cs="Times New Roman"/>
                      <w:color w:val="auto"/>
                      <w:spacing w:val="4"/>
                      <w:sz w:val="21"/>
                      <w:szCs w:val="21"/>
                      <w:highlight w:val="none"/>
                      <w:lang w:val="en-US" w:eastAsia="zh-CN"/>
                    </w:rPr>
                    <w:t>100</w:t>
                  </w:r>
                  <w:r>
                    <w:rPr>
                      <w:rFonts w:hint="default" w:ascii="Times New Roman" w:hAnsi="Times New Roman" w:cs="Times New Roman"/>
                      <w:color w:val="auto"/>
                      <w:spacing w:val="4"/>
                      <w:sz w:val="21"/>
                      <w:szCs w:val="21"/>
                      <w:highlight w:val="none"/>
                      <w:lang w:val="en-US" w:eastAsia="zh-CN"/>
                    </w:rPr>
                    <w:t>m</w:t>
                  </w:r>
                  <w:r>
                    <w:rPr>
                      <w:rFonts w:hint="default" w:ascii="Times New Roman" w:hAnsi="Times New Roman" w:cs="Times New Roman"/>
                      <w:color w:val="auto"/>
                      <w:spacing w:val="4"/>
                      <w:sz w:val="21"/>
                      <w:szCs w:val="21"/>
                      <w:highlight w:val="none"/>
                      <w:vertAlign w:val="superscript"/>
                      <w:lang w:val="en-US" w:eastAsia="zh-CN"/>
                    </w:rPr>
                    <w:t>3</w:t>
                  </w:r>
                  <w:r>
                    <w:rPr>
                      <w:rFonts w:hint="default" w:ascii="Times New Roman" w:hAnsi="Times New Roman" w:cs="Times New Roman"/>
                      <w:color w:val="auto"/>
                      <w:spacing w:val="4"/>
                      <w:sz w:val="21"/>
                      <w:szCs w:val="21"/>
                      <w:highlight w:val="none"/>
                      <w:lang w:val="en-US" w:eastAsia="zh-CN"/>
                    </w:rPr>
                    <w:t>事故油池暂存后委托有资质单位进行处置。</w:t>
                  </w:r>
                </w:p>
              </w:tc>
            </w:tr>
          </w:tbl>
          <w:p w14:paraId="0D5F84EF">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6、环境风险分析与评价</w:t>
            </w:r>
          </w:p>
          <w:p w14:paraId="6593CA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①环境风险源 </w:t>
            </w:r>
          </w:p>
          <w:p w14:paraId="110D9B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0000FF"/>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根据《环境影响评价技术导则 输变电》（HJ24-2020）、《国家危险废物名录（2025年）》（生态环境部令第36号），本工程运行过程主变压器等含油设备发生事故时产生的变压器油类别为废矿物油与含矿物油废物（废物类别为HW08，废物代码为900-220-08），本工程可能产生环境风险的主要是变压器油。</w:t>
            </w:r>
            <w:r>
              <w:rPr>
                <w:rFonts w:hint="default" w:ascii="Times New Roman" w:hAnsi="Times New Roman" w:cs="Times New Roman"/>
                <w:b w:val="0"/>
                <w:bCs/>
                <w:color w:val="0000FF"/>
                <w:kern w:val="0"/>
                <w:sz w:val="24"/>
                <w:szCs w:val="24"/>
                <w:highlight w:val="none"/>
                <w:lang w:val="en-US" w:eastAsia="zh-CN" w:bidi="ar-SA"/>
              </w:rPr>
              <w:t xml:space="preserve"> </w:t>
            </w:r>
          </w:p>
          <w:p w14:paraId="79EAFA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②变压器油的特性 </w:t>
            </w:r>
          </w:p>
          <w:p w14:paraId="5A54E7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目前变压器普遍使用KI25X/45X变压器油，KI25X/45X变压器油是采用克拉玛依低凝环烷基原油为原料经过深度精制而成的基础油，再加入优质抗氧复合添加剂调制生产的高级别变压器油。KI25X/45X变压器油闪点143℃（加热到油蒸汽与火焰接触发生瞬间闪火时的最低温度），不属于易燃物质，也不易爆炸。 </w:t>
            </w:r>
          </w:p>
          <w:p w14:paraId="67ED93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③变压器油可能产生的环境影响 </w:t>
            </w:r>
          </w:p>
          <w:p w14:paraId="651EA5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变压器油注入变压器后，不用更新，使用寿命与设备同步。一般情况下，由专业人员按相关规定定期对电气设备内的变压器油抽样检测。根据检测结果，再决定是否需做过滤或增补变压器油，整个过程无漏油、跑油现象，亦无弃油产生。但在设备发生事故时，有可能造成变压器油泄漏，如果泄漏到外环境则可能造成污染。 </w:t>
            </w:r>
          </w:p>
          <w:p w14:paraId="3FFEDC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④预防和处置措施 </w:t>
            </w:r>
          </w:p>
          <w:p w14:paraId="77FC9B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温度保护装置：主变压器设有油面温度计等温度检测和控制装置，温度保护设定在80~85℃，小于KI25X/45X变压器油闪点50℃以上。 </w:t>
            </w:r>
          </w:p>
          <w:p w14:paraId="0D077A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消防设施：按照《火力发电厂与变电站设计防火标准》（GB50229-2019）的规定，主变压器设置排油充氮装置，在主变附近设消防棚，其内放置移动式灭火器等消防器材，并设沙箱；站内建筑物内配置移动式灭火器。 </w:t>
            </w:r>
          </w:p>
          <w:p w14:paraId="3B2F96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事故油池：事故油池容积需满足《火力发电厂与变电站设计防火标准》（GB50229-2019）中规定：总事故贮油池的容量参照燃煤发电厂部分，按100%的油量确定；防渗措施需满足《危险废物贮存污染控制标准》（GB18597-2023）规定：防渗层为至少1m厚黏土层（渗透系数不大于10</w:t>
            </w:r>
            <w:r>
              <w:rPr>
                <w:rFonts w:hint="default" w:ascii="Times New Roman" w:hAnsi="Times New Roman" w:cs="Times New Roman"/>
                <w:b w:val="0"/>
                <w:bCs/>
                <w:color w:val="auto"/>
                <w:kern w:val="0"/>
                <w:sz w:val="24"/>
                <w:szCs w:val="24"/>
                <w:highlight w:val="none"/>
                <w:vertAlign w:val="superscript"/>
                <w:lang w:val="en-US" w:eastAsia="zh-CN" w:bidi="ar-SA"/>
              </w:rPr>
              <w:t>-7</w:t>
            </w:r>
            <w:r>
              <w:rPr>
                <w:rFonts w:hint="default" w:ascii="Times New Roman" w:hAnsi="Times New Roman" w:cs="Times New Roman"/>
                <w:b w:val="0"/>
                <w:bCs/>
                <w:color w:val="auto"/>
                <w:kern w:val="0"/>
                <w:sz w:val="24"/>
                <w:szCs w:val="24"/>
                <w:highlight w:val="none"/>
                <w:lang w:val="en-US" w:eastAsia="zh-CN" w:bidi="ar-SA"/>
              </w:rPr>
              <w:t>cm/s），或至少2mm厚高密度聚乙烯膜等人工防渗材料（渗透系数不大于10</w:t>
            </w:r>
            <w:r>
              <w:rPr>
                <w:rFonts w:hint="default" w:ascii="Times New Roman" w:hAnsi="Times New Roman" w:cs="Times New Roman"/>
                <w:b w:val="0"/>
                <w:bCs/>
                <w:color w:val="auto"/>
                <w:kern w:val="0"/>
                <w:sz w:val="24"/>
                <w:szCs w:val="24"/>
                <w:highlight w:val="none"/>
                <w:vertAlign w:val="superscript"/>
                <w:lang w:val="en-US" w:eastAsia="zh-CN" w:bidi="ar-SA"/>
              </w:rPr>
              <w:t>-10</w:t>
            </w:r>
            <w:r>
              <w:rPr>
                <w:rFonts w:hint="default" w:ascii="Times New Roman" w:hAnsi="Times New Roman" w:cs="Times New Roman"/>
                <w:b w:val="0"/>
                <w:bCs/>
                <w:color w:val="auto"/>
                <w:kern w:val="0"/>
                <w:sz w:val="24"/>
                <w:szCs w:val="24"/>
                <w:highlight w:val="none"/>
                <w:lang w:val="en-US" w:eastAsia="zh-CN" w:bidi="ar-SA"/>
              </w:rPr>
              <w:t xml:space="preserve">cm/s）。 </w:t>
            </w:r>
          </w:p>
          <w:p w14:paraId="02C2B4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升压站的变压器一般只有主变压器发生事故时才会排油。当升压站变压器发生事故时，变压器油将通过主变下方的事故油坑和排油管道进入事故油池。本工程事故油池有效容积</w:t>
            </w:r>
            <w:r>
              <w:rPr>
                <w:rFonts w:hint="eastAsia" w:cs="Times New Roman"/>
                <w:b w:val="0"/>
                <w:bCs/>
                <w:color w:val="auto"/>
                <w:kern w:val="0"/>
                <w:sz w:val="24"/>
                <w:szCs w:val="24"/>
                <w:highlight w:val="none"/>
                <w:lang w:val="en-US" w:eastAsia="zh-CN" w:bidi="ar-SA"/>
              </w:rPr>
              <w:t>100</w:t>
            </w:r>
            <w:r>
              <w:rPr>
                <w:rFonts w:hint="default" w:ascii="Times New Roman" w:hAnsi="Times New Roman" w:cs="Times New Roman"/>
                <w:b w:val="0"/>
                <w:bCs/>
                <w:color w:val="auto"/>
                <w:kern w:val="0"/>
                <w:sz w:val="24"/>
                <w:szCs w:val="24"/>
                <w:highlight w:val="none"/>
                <w:lang w:val="en-US" w:eastAsia="zh-CN" w:bidi="ar-SA"/>
              </w:rPr>
              <w:t>m</w:t>
            </w:r>
            <w:r>
              <w:rPr>
                <w:rFonts w:hint="default" w:ascii="Times New Roman" w:hAnsi="Times New Roman" w:cs="Times New Roman"/>
                <w:b w:val="0"/>
                <w:bCs/>
                <w:color w:val="auto"/>
                <w:kern w:val="0"/>
                <w:sz w:val="24"/>
                <w:szCs w:val="24"/>
                <w:highlight w:val="none"/>
                <w:vertAlign w:val="superscript"/>
                <w:lang w:val="en-US" w:eastAsia="zh-CN" w:bidi="ar-SA"/>
              </w:rPr>
              <w:t>3</w:t>
            </w:r>
            <w:r>
              <w:rPr>
                <w:rFonts w:hint="default" w:ascii="Times New Roman" w:hAnsi="Times New Roman" w:cs="Times New Roman"/>
                <w:b w:val="0"/>
                <w:bCs/>
                <w:color w:val="auto"/>
                <w:kern w:val="0"/>
                <w:sz w:val="24"/>
                <w:szCs w:val="24"/>
                <w:highlight w:val="none"/>
                <w:lang w:val="en-US" w:eastAsia="zh-CN" w:bidi="ar-SA"/>
              </w:rPr>
              <w:t>，严格按照《危险废物贮存污染控制标准》（GB18597-2023）中相关规定要求建设。升压站选用的150MVA主变型号油重约27吨，主变油密度为895kg/m</w:t>
            </w:r>
            <w:r>
              <w:rPr>
                <w:rFonts w:hint="default" w:ascii="Times New Roman" w:hAnsi="Times New Roman" w:cs="Times New Roman"/>
                <w:b w:val="0"/>
                <w:bCs/>
                <w:color w:val="auto"/>
                <w:kern w:val="0"/>
                <w:sz w:val="24"/>
                <w:szCs w:val="24"/>
                <w:highlight w:val="none"/>
                <w:vertAlign w:val="superscript"/>
                <w:lang w:val="en-US" w:eastAsia="zh-CN" w:bidi="ar-SA"/>
              </w:rPr>
              <w:t>3</w:t>
            </w:r>
            <w:r>
              <w:rPr>
                <w:rFonts w:hint="default" w:ascii="Times New Roman" w:hAnsi="Times New Roman" w:cs="Times New Roman"/>
                <w:b w:val="0"/>
                <w:bCs/>
                <w:color w:val="auto"/>
                <w:kern w:val="0"/>
                <w:sz w:val="24"/>
                <w:szCs w:val="24"/>
                <w:highlight w:val="none"/>
                <w:lang w:val="en-US" w:eastAsia="zh-CN" w:bidi="ar-SA"/>
              </w:rPr>
              <w:t>，折合体积约为30.2m</w:t>
            </w:r>
            <w:r>
              <w:rPr>
                <w:rFonts w:hint="default" w:ascii="Times New Roman" w:hAnsi="Times New Roman" w:cs="Times New Roman"/>
                <w:b w:val="0"/>
                <w:bCs/>
                <w:color w:val="auto"/>
                <w:kern w:val="0"/>
                <w:sz w:val="24"/>
                <w:szCs w:val="24"/>
                <w:highlight w:val="none"/>
                <w:vertAlign w:val="superscript"/>
                <w:lang w:val="en-US" w:eastAsia="zh-CN" w:bidi="ar-SA"/>
              </w:rPr>
              <w:t>3</w:t>
            </w:r>
            <w:r>
              <w:rPr>
                <w:rFonts w:hint="default" w:ascii="Times New Roman" w:hAnsi="Times New Roman" w:cs="Times New Roman"/>
                <w:b w:val="0"/>
                <w:bCs/>
                <w:color w:val="auto"/>
                <w:kern w:val="0"/>
                <w:sz w:val="24"/>
                <w:szCs w:val="24"/>
                <w:highlight w:val="none"/>
                <w:lang w:val="en-US" w:eastAsia="zh-CN" w:bidi="ar-SA"/>
              </w:rPr>
              <w:t>，满足最大油量100%变压器事故情况贮存量的容积要求。变压器下铺设卵石层，四周设有排油槽并与集油池相连。变压器排油时，所有的油水混合物将渗过卵石层并通过排油槽到达集油池，在此过程卵石层起到冷却油的作用，不易发生火灾。由有资质的单位对油全部回收处理利用，不外排。</w:t>
            </w:r>
          </w:p>
          <w:p w14:paraId="4E77A2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 xml:space="preserve">综上所述，本工程运行后潜在的环境风险是可控的。 </w:t>
            </w:r>
          </w:p>
          <w:p w14:paraId="0D59D71D">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auto"/>
                <w:spacing w:val="-10"/>
                <w:sz w:val="24"/>
                <w:szCs w:val="24"/>
                <w:highlight w:val="none"/>
                <w:lang w:val="en-US" w:eastAsia="zh-CN"/>
              </w:rPr>
            </w:pPr>
            <w:r>
              <w:rPr>
                <w:rFonts w:hint="default" w:ascii="Times New Roman" w:hAnsi="Times New Roman" w:cs="Times New Roman"/>
                <w:b/>
                <w:bCs/>
                <w:color w:val="auto"/>
                <w:spacing w:val="-10"/>
                <w:sz w:val="24"/>
                <w:szCs w:val="24"/>
                <w:highlight w:val="none"/>
                <w:lang w:val="en-US" w:eastAsia="zh-CN"/>
              </w:rPr>
              <w:t xml:space="preserve">7、生态环境影响分析 </w:t>
            </w:r>
          </w:p>
          <w:p w14:paraId="307D37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工程建成运行后，施工对周围生态环境造成的影响基本得到消除。可能造成生态影响主要包括工程永久占地</w:t>
            </w:r>
            <w:r>
              <w:rPr>
                <w:rFonts w:hint="default" w:ascii="Times New Roman" w:hAnsi="Times New Roman" w:cs="Times New Roman"/>
                <w:b w:val="0"/>
                <w:bCs/>
                <w:color w:val="auto"/>
                <w:kern w:val="0"/>
                <w:sz w:val="24"/>
                <w:szCs w:val="24"/>
                <w:highlight w:val="none"/>
                <w:lang w:val="en-US" w:eastAsia="zh-CN" w:bidi="ar-SA"/>
              </w:rPr>
              <w:t>、临时占地的</w:t>
            </w:r>
            <w:r>
              <w:rPr>
                <w:rFonts w:hint="default" w:ascii="Times New Roman" w:hAnsi="Times New Roman" w:eastAsia="宋体" w:cs="Times New Roman"/>
                <w:b w:val="0"/>
                <w:bCs/>
                <w:color w:val="auto"/>
                <w:kern w:val="0"/>
                <w:sz w:val="24"/>
                <w:szCs w:val="24"/>
                <w:highlight w:val="none"/>
                <w:lang w:val="en-US" w:eastAsia="zh-CN" w:bidi="ar-SA"/>
              </w:rPr>
              <w:t>影响。</w:t>
            </w:r>
            <w:r>
              <w:rPr>
                <w:rFonts w:hint="default" w:ascii="Times New Roman" w:hAnsi="Times New Roman" w:cs="Times New Roman"/>
                <w:b w:val="0"/>
                <w:bCs/>
                <w:color w:val="auto"/>
                <w:kern w:val="0"/>
                <w:sz w:val="24"/>
                <w:szCs w:val="24"/>
                <w:highlight w:val="none"/>
                <w:lang w:val="en-US" w:eastAsia="zh-CN" w:bidi="ar-SA"/>
              </w:rPr>
              <w:t>施工后</w:t>
            </w:r>
            <w:r>
              <w:rPr>
                <w:rFonts w:hint="default" w:ascii="Times New Roman" w:hAnsi="Times New Roman" w:eastAsia="宋体" w:cs="Times New Roman"/>
                <w:b w:val="0"/>
                <w:bCs/>
                <w:color w:val="auto"/>
                <w:kern w:val="0"/>
                <w:sz w:val="24"/>
                <w:szCs w:val="24"/>
                <w:highlight w:val="none"/>
                <w:lang w:val="en-US" w:eastAsia="zh-CN" w:bidi="ar-SA"/>
              </w:rPr>
              <w:t>对施工扰动区及时恢复原有地貌；运营期不再增加临时用地面积，同时对于施工便道等他临时占地均恢复原有土地使用功能。因此，对周围土地的影响范围和程度有限，对土地影响较小。</w:t>
            </w:r>
          </w:p>
          <w:p w14:paraId="14DA1E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升压站施工临时占地经过植被</w:t>
            </w:r>
            <w:r>
              <w:rPr>
                <w:rFonts w:hint="default" w:ascii="Times New Roman" w:hAnsi="Times New Roman" w:cs="Times New Roman"/>
                <w:b w:val="0"/>
                <w:bCs/>
                <w:color w:val="auto"/>
                <w:kern w:val="0"/>
                <w:sz w:val="24"/>
                <w:szCs w:val="24"/>
                <w:highlight w:val="none"/>
                <w:lang w:val="en-US" w:eastAsia="zh-CN" w:bidi="ar-SA"/>
              </w:rPr>
              <w:t>恢复</w:t>
            </w:r>
            <w:r>
              <w:rPr>
                <w:rFonts w:hint="default" w:ascii="Times New Roman" w:hAnsi="Times New Roman" w:eastAsia="宋体" w:cs="Times New Roman"/>
                <w:b w:val="0"/>
                <w:bCs/>
                <w:color w:val="auto"/>
                <w:kern w:val="0"/>
                <w:sz w:val="24"/>
                <w:szCs w:val="24"/>
                <w:highlight w:val="none"/>
                <w:lang w:val="en-US" w:eastAsia="zh-CN" w:bidi="ar-SA"/>
              </w:rPr>
              <w:t>等措施后，该区域的生态环境可以得到一定程度的改善，其对生物量减少的影响也将消失。</w:t>
            </w:r>
          </w:p>
          <w:p w14:paraId="166521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0000FF"/>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对草原动物的影响以局部行为改变、短期回避为主，整体影响程度有限，范围集中在站区及周边200 m以内。通过落实噪声控制、电磁场屏蔽、动植物误触防控等减缓措施，可进一步降低不利影响，并促进区域生态快速恢复与适应。</w:t>
            </w:r>
          </w:p>
        </w:tc>
      </w:tr>
      <w:tr w14:paraId="69A158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55" w:type="dxa"/>
            <w:noWrap w:val="0"/>
            <w:tcMar>
              <w:left w:w="28" w:type="dxa"/>
              <w:right w:w="28" w:type="dxa"/>
            </w:tcMar>
            <w:vAlign w:val="center"/>
          </w:tcPr>
          <w:p w14:paraId="339E9B9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FF"/>
                <w:sz w:val="24"/>
                <w:szCs w:val="24"/>
                <w:highlight w:val="none"/>
                <w:lang w:val="en-US" w:eastAsia="zh-CN"/>
              </w:rPr>
            </w:pPr>
            <w:r>
              <w:rPr>
                <w:rFonts w:hint="default" w:ascii="Times New Roman" w:hAnsi="Times New Roman" w:cs="Times New Roman"/>
                <w:bCs/>
                <w:color w:val="auto"/>
                <w:sz w:val="24"/>
                <w:szCs w:val="24"/>
                <w:highlight w:val="none"/>
                <w:lang w:val="en-US" w:eastAsia="zh-CN"/>
              </w:rPr>
              <w:t>选址选线环境和理性分析</w:t>
            </w:r>
          </w:p>
        </w:tc>
        <w:tc>
          <w:tcPr>
            <w:tcW w:w="8053" w:type="dxa"/>
            <w:noWrap w:val="0"/>
            <w:vAlign w:val="center"/>
          </w:tcPr>
          <w:p w14:paraId="66F4CB09">
            <w:pPr>
              <w:pStyle w:val="10"/>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w:t>
            </w:r>
            <w:r>
              <w:rPr>
                <w:rFonts w:hint="default" w:ascii="Times New Roman" w:hAnsi="Times New Roman" w:cs="Times New Roman"/>
                <w:b/>
                <w:bCs/>
                <w:color w:val="auto"/>
                <w:sz w:val="24"/>
                <w:szCs w:val="24"/>
                <w:highlight w:val="none"/>
                <w:lang w:val="en-US" w:eastAsia="zh-CN"/>
              </w:rPr>
              <w:t>、</w:t>
            </w:r>
            <w:r>
              <w:rPr>
                <w:rFonts w:hint="default" w:ascii="Times New Roman" w:hAnsi="Times New Roman" w:cs="Times New Roman"/>
                <w:b/>
                <w:bCs/>
                <w:color w:val="auto"/>
                <w:kern w:val="0"/>
                <w:sz w:val="24"/>
                <w:szCs w:val="24"/>
                <w:highlight w:val="none"/>
                <w:lang w:val="en-US" w:eastAsia="zh-CN"/>
              </w:rPr>
              <w:t>选址合理性分析</w:t>
            </w:r>
          </w:p>
          <w:p w14:paraId="4D8085BC">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就整体风场布局而言，升压站设于风场中部，既可优化各风机集电线路走向、缩短线缆长度、降低线路损耗，又能减少土地征占，节约用地。从电网输送角度，中心布局可有效衔接场内全部集电回路，集中汇集全场电能，并就近接入外部送出线路，提升并网效率与供电可靠性。拟建升压站场址地质条件稳定，无滑坡、崩塌、泥石流等不良地质现象，工程建设适宜性良好；周边交通运输便捷，便于施工及后期运维。本项目选址属于支持风电开发的范围，占地及评价范围不涉及生态保护红线、基本农田、公益林、饮用水水源保护区等生态敏感区域，周边无自然保护区、风景名胜区、文物保护单位及重要环境敏感目标。</w:t>
            </w:r>
          </w:p>
          <w:p w14:paraId="6F330DAD">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综上，本项目符合交通运输、电网接入、生态管控及用地政策等条件，本项目选址合理。</w:t>
            </w:r>
          </w:p>
          <w:p w14:paraId="314094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kern w:val="0"/>
                <w:sz w:val="24"/>
                <w:szCs w:val="24"/>
                <w:highlight w:val="none"/>
                <w:lang w:val="en-US" w:eastAsia="zh-CN" w:bidi="ar-SA"/>
              </w:rPr>
            </w:pPr>
            <w:r>
              <w:rPr>
                <w:rFonts w:hint="eastAsia" w:cs="Times New Roman"/>
                <w:b/>
                <w:bCs w:val="0"/>
                <w:color w:val="auto"/>
                <w:kern w:val="0"/>
                <w:sz w:val="24"/>
                <w:szCs w:val="24"/>
                <w:highlight w:val="none"/>
                <w:lang w:val="en-US" w:eastAsia="zh-CN" w:bidi="ar-SA"/>
              </w:rPr>
              <w:t>2</w:t>
            </w:r>
            <w:r>
              <w:rPr>
                <w:rFonts w:hint="default" w:ascii="Times New Roman" w:hAnsi="Times New Roman" w:cs="Times New Roman"/>
                <w:b/>
                <w:bCs w:val="0"/>
                <w:color w:val="auto"/>
                <w:kern w:val="0"/>
                <w:sz w:val="24"/>
                <w:szCs w:val="24"/>
                <w:highlight w:val="none"/>
                <w:lang w:val="en-US" w:eastAsia="zh-CN" w:bidi="ar-SA"/>
              </w:rPr>
              <w:t>、本项目与</w:t>
            </w:r>
            <w:r>
              <w:rPr>
                <w:rFonts w:hint="default" w:ascii="Times New Roman" w:hAnsi="Times New Roman" w:cs="Times New Roman"/>
                <w:b/>
                <w:bCs w:val="0"/>
                <w:color w:val="auto"/>
                <w:sz w:val="24"/>
                <w:szCs w:val="24"/>
                <w:highlight w:val="none"/>
              </w:rPr>
              <w:t>《输变电建设项目环境保护技术要求》（HJ1113-2020）</w:t>
            </w:r>
            <w:r>
              <w:rPr>
                <w:rFonts w:hint="default" w:ascii="Times New Roman" w:hAnsi="Times New Roman" w:cs="Times New Roman"/>
                <w:b/>
                <w:bCs w:val="0"/>
                <w:color w:val="auto"/>
                <w:sz w:val="24"/>
                <w:szCs w:val="24"/>
                <w:highlight w:val="none"/>
                <w:lang w:val="en-US" w:eastAsia="zh-CN"/>
              </w:rPr>
              <w:t>符合性分析</w:t>
            </w:r>
          </w:p>
          <w:p w14:paraId="279A90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根据《输变电建设项目环境保护技术要求》（HJ1113-2020）中相关要求进行选址选线符合性分析：</w:t>
            </w:r>
          </w:p>
          <w:p w14:paraId="0C8780B9">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b/>
                <w:bCs w:val="0"/>
                <w:color w:val="auto"/>
                <w:sz w:val="21"/>
                <w:szCs w:val="21"/>
                <w:highlight w:val="none"/>
              </w:rPr>
            </w:pPr>
          </w:p>
          <w:p w14:paraId="49A60FEB">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b/>
                <w:bCs w:val="0"/>
                <w:color w:val="auto"/>
                <w:sz w:val="21"/>
                <w:szCs w:val="21"/>
                <w:highlight w:val="none"/>
                <w:lang w:val="en-US" w:eastAsia="zh-CN"/>
              </w:rPr>
            </w:pPr>
            <w:r>
              <w:rPr>
                <w:rFonts w:hint="default" w:ascii="Times New Roman" w:hAnsi="Times New Roman" w:cs="Times New Roman"/>
                <w:b/>
                <w:bCs w:val="0"/>
                <w:color w:val="auto"/>
                <w:sz w:val="21"/>
                <w:szCs w:val="21"/>
                <w:highlight w:val="none"/>
              </w:rPr>
              <w:t>表4-</w:t>
            </w:r>
            <w:r>
              <w:rPr>
                <w:rFonts w:hint="default" w:ascii="Times New Roman" w:hAnsi="Times New Roman" w:cs="Times New Roman"/>
                <w:b/>
                <w:bCs w:val="0"/>
                <w:color w:val="auto"/>
                <w:sz w:val="21"/>
                <w:szCs w:val="21"/>
                <w:highlight w:val="none"/>
                <w:lang w:val="en-US" w:eastAsia="zh-CN"/>
              </w:rPr>
              <w:t xml:space="preserve">6  </w:t>
            </w:r>
            <w:r>
              <w:rPr>
                <w:rFonts w:hint="default" w:ascii="Times New Roman" w:hAnsi="Times New Roman" w:cs="Times New Roman"/>
                <w:b/>
                <w:bCs w:val="0"/>
                <w:color w:val="auto"/>
                <w:sz w:val="21"/>
                <w:szCs w:val="21"/>
                <w:highlight w:val="none"/>
              </w:rPr>
              <w:t>《输变电建设项目环境保护技术要求》（HJ1113-2020）符合性分析</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3748"/>
              <w:gridCol w:w="2962"/>
              <w:gridCol w:w="1015"/>
            </w:tblGrid>
            <w:tr w14:paraId="38F1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21" w:type="pct"/>
                  <w:tcBorders>
                    <w:tl2br w:val="nil"/>
                    <w:tr2bl w:val="nil"/>
                  </w:tcBorders>
                  <w:shd w:val="clear" w:color="auto" w:fill="auto"/>
                  <w:vAlign w:val="center"/>
                </w:tcPr>
                <w:p w14:paraId="778A6D78">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序号</w:t>
                  </w:r>
                </w:p>
              </w:tc>
              <w:tc>
                <w:tcPr>
                  <w:tcW w:w="2221" w:type="pct"/>
                  <w:tcBorders>
                    <w:tl2br w:val="nil"/>
                    <w:tr2bl w:val="nil"/>
                  </w:tcBorders>
                  <w:shd w:val="clear" w:color="auto" w:fill="auto"/>
                  <w:vAlign w:val="center"/>
                </w:tcPr>
                <w:p w14:paraId="48B53E26">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内容</w:t>
                  </w:r>
                </w:p>
              </w:tc>
              <w:tc>
                <w:tcPr>
                  <w:tcW w:w="1755" w:type="pct"/>
                  <w:tcBorders>
                    <w:tl2br w:val="nil"/>
                    <w:tr2bl w:val="nil"/>
                  </w:tcBorders>
                  <w:shd w:val="clear" w:color="auto" w:fill="auto"/>
                  <w:vAlign w:val="center"/>
                </w:tcPr>
                <w:p w14:paraId="22D30286">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本项目</w:t>
                  </w:r>
                </w:p>
              </w:tc>
              <w:tc>
                <w:tcPr>
                  <w:tcW w:w="601" w:type="pct"/>
                  <w:tcBorders>
                    <w:tl2br w:val="nil"/>
                    <w:tr2bl w:val="nil"/>
                  </w:tcBorders>
                  <w:shd w:val="clear" w:color="auto" w:fill="auto"/>
                  <w:vAlign w:val="center"/>
                </w:tcPr>
                <w:p w14:paraId="46F4BDB7">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符合性</w:t>
                  </w:r>
                </w:p>
              </w:tc>
            </w:tr>
            <w:tr w14:paraId="7D19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21" w:type="pct"/>
                  <w:tcBorders>
                    <w:tl2br w:val="nil"/>
                    <w:tr2bl w:val="nil"/>
                  </w:tcBorders>
                  <w:vAlign w:val="center"/>
                </w:tcPr>
                <w:p w14:paraId="3AE93B65">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1</w:t>
                  </w:r>
                </w:p>
              </w:tc>
              <w:tc>
                <w:tcPr>
                  <w:tcW w:w="2221" w:type="pct"/>
                  <w:tcBorders>
                    <w:tl2br w:val="nil"/>
                    <w:tr2bl w:val="nil"/>
                  </w:tcBorders>
                  <w:vAlign w:val="center"/>
                </w:tcPr>
                <w:p w14:paraId="6AD38E08">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工程选址选线应符合规划环境影响评价文件的要求。</w:t>
                  </w:r>
                </w:p>
              </w:tc>
              <w:tc>
                <w:tcPr>
                  <w:tcW w:w="1755" w:type="pct"/>
                  <w:tcBorders>
                    <w:tl2br w:val="nil"/>
                    <w:tr2bl w:val="nil"/>
                  </w:tcBorders>
                  <w:vAlign w:val="center"/>
                </w:tcPr>
                <w:p w14:paraId="4883B99F">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本项目符合《阿拉善盟额济纳旗国土空间总体规划（2021-2035年）》中的要求。</w:t>
                  </w:r>
                </w:p>
              </w:tc>
              <w:tc>
                <w:tcPr>
                  <w:tcW w:w="601" w:type="pct"/>
                  <w:tcBorders>
                    <w:tl2br w:val="nil"/>
                    <w:tr2bl w:val="nil"/>
                  </w:tcBorders>
                  <w:vAlign w:val="center"/>
                </w:tcPr>
                <w:p w14:paraId="50F13471">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符合</w:t>
                  </w:r>
                </w:p>
              </w:tc>
            </w:tr>
            <w:tr w14:paraId="2B75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421" w:type="pct"/>
                  <w:tcBorders>
                    <w:tl2br w:val="nil"/>
                    <w:tr2bl w:val="nil"/>
                  </w:tcBorders>
                  <w:vAlign w:val="center"/>
                </w:tcPr>
                <w:p w14:paraId="504F4348">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2</w:t>
                  </w:r>
                </w:p>
              </w:tc>
              <w:tc>
                <w:tcPr>
                  <w:tcW w:w="2221" w:type="pct"/>
                  <w:tcBorders>
                    <w:tl2br w:val="nil"/>
                    <w:tr2bl w:val="nil"/>
                  </w:tcBorders>
                  <w:vAlign w:val="center"/>
                </w:tcPr>
                <w:p w14:paraId="34F5BDD3">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zh-CN" w:eastAsia="zh-CN"/>
                    </w:rPr>
                  </w:pPr>
                  <w:r>
                    <w:rPr>
                      <w:rFonts w:hint="default" w:ascii="Times New Roman" w:hAnsi="Times New Roman" w:cs="Times New Roman"/>
                      <w:b w:val="0"/>
                      <w:color w:val="auto"/>
                      <w:sz w:val="21"/>
                      <w:szCs w:val="21"/>
                      <w:highlight w:val="none"/>
                      <w:lang w:val="en-US" w:eastAsia="zh-CN"/>
                    </w:rPr>
                    <w:t>输变电建设项目选址选线应符合生态保护红线管控要求，避让自然保护区、饮用水水源保护区等环境敏感区。确实因自然条件等因素限制无法避让自然保护区实验区、饮用水水源二级保护区等环境敏感区的输电线路，应在满足相关法律法规及管理要求的前提下对线路方案进行唯一性论证，并采取无害化方式通过。</w:t>
                  </w:r>
                </w:p>
              </w:tc>
              <w:tc>
                <w:tcPr>
                  <w:tcW w:w="1755" w:type="pct"/>
                  <w:tcBorders>
                    <w:tl2br w:val="nil"/>
                    <w:tr2bl w:val="nil"/>
                  </w:tcBorders>
                  <w:vAlign w:val="center"/>
                </w:tcPr>
                <w:p w14:paraId="3CB17B9F">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本项目不涉及自然保护区、饮用水水源地保护区等环境敏感区。符合生态保护红线管控要求。</w:t>
                  </w:r>
                </w:p>
              </w:tc>
              <w:tc>
                <w:tcPr>
                  <w:tcW w:w="601" w:type="pct"/>
                  <w:tcBorders>
                    <w:tl2br w:val="nil"/>
                    <w:tr2bl w:val="nil"/>
                  </w:tcBorders>
                  <w:vAlign w:val="center"/>
                </w:tcPr>
                <w:p w14:paraId="69A13F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符合</w:t>
                  </w:r>
                </w:p>
              </w:tc>
            </w:tr>
            <w:tr w14:paraId="6BA0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1" w:type="pct"/>
                  <w:tcBorders>
                    <w:tl2br w:val="nil"/>
                    <w:tr2bl w:val="nil"/>
                  </w:tcBorders>
                  <w:vAlign w:val="center"/>
                </w:tcPr>
                <w:p w14:paraId="53135AFA">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3</w:t>
                  </w:r>
                </w:p>
              </w:tc>
              <w:tc>
                <w:tcPr>
                  <w:tcW w:w="2221" w:type="pct"/>
                  <w:tcBorders>
                    <w:tl2br w:val="nil"/>
                    <w:tr2bl w:val="nil"/>
                  </w:tcBorders>
                  <w:vAlign w:val="center"/>
                </w:tcPr>
                <w:p w14:paraId="1CF3ED57">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变电工程在选址时应按终期规模综合考虑进出线走廊规划，避免进出线进入自然保护区、饮用水水源保护区等环境敏感区。</w:t>
                  </w:r>
                </w:p>
              </w:tc>
              <w:tc>
                <w:tcPr>
                  <w:tcW w:w="1755" w:type="pct"/>
                  <w:tcBorders>
                    <w:tl2br w:val="nil"/>
                    <w:tr2bl w:val="nil"/>
                  </w:tcBorders>
                  <w:vAlign w:val="center"/>
                </w:tcPr>
                <w:p w14:paraId="2C861208">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变电工程在选址时已综合考虑进出线走廊规划，不涉及自然保护区、饮用水水源保护区等环境敏感区。</w:t>
                  </w:r>
                </w:p>
              </w:tc>
              <w:tc>
                <w:tcPr>
                  <w:tcW w:w="601" w:type="pct"/>
                  <w:tcBorders>
                    <w:tl2br w:val="nil"/>
                    <w:tr2bl w:val="nil"/>
                  </w:tcBorders>
                  <w:vAlign w:val="center"/>
                </w:tcPr>
                <w:p w14:paraId="72E3C6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符合</w:t>
                  </w:r>
                </w:p>
              </w:tc>
            </w:tr>
            <w:tr w14:paraId="3B312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1" w:type="pct"/>
                  <w:tcBorders>
                    <w:tl2br w:val="nil"/>
                    <w:tr2bl w:val="nil"/>
                  </w:tcBorders>
                  <w:vAlign w:val="center"/>
                </w:tcPr>
                <w:p w14:paraId="37A578D4">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4</w:t>
                  </w:r>
                </w:p>
              </w:tc>
              <w:tc>
                <w:tcPr>
                  <w:tcW w:w="2221" w:type="pct"/>
                  <w:tcBorders>
                    <w:tl2br w:val="nil"/>
                    <w:tr2bl w:val="nil"/>
                  </w:tcBorders>
                  <w:vAlign w:val="center"/>
                </w:tcPr>
                <w:p w14:paraId="4495A299">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户外变电工程及规划架空进出线选址选线时，应关注以居住、医疗卫生、文化教育、科研、行政办公等为主要功能的区域，采取综合措施，减少电磁和声环境影响。</w:t>
                  </w:r>
                </w:p>
              </w:tc>
              <w:tc>
                <w:tcPr>
                  <w:tcW w:w="1755" w:type="pct"/>
                  <w:tcBorders>
                    <w:tl2br w:val="nil"/>
                    <w:tr2bl w:val="nil"/>
                  </w:tcBorders>
                  <w:vAlign w:val="center"/>
                </w:tcPr>
                <w:p w14:paraId="21192819">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本项目评价范围内无环境敏感目标。</w:t>
                  </w:r>
                </w:p>
              </w:tc>
              <w:tc>
                <w:tcPr>
                  <w:tcW w:w="601" w:type="pct"/>
                  <w:tcBorders>
                    <w:tl2br w:val="nil"/>
                    <w:tr2bl w:val="nil"/>
                  </w:tcBorders>
                  <w:vAlign w:val="center"/>
                </w:tcPr>
                <w:p w14:paraId="1319D3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符合</w:t>
                  </w:r>
                </w:p>
              </w:tc>
            </w:tr>
            <w:tr w14:paraId="7F1D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1" w:type="pct"/>
                  <w:tcBorders>
                    <w:tl2br w:val="nil"/>
                    <w:tr2bl w:val="nil"/>
                  </w:tcBorders>
                  <w:vAlign w:val="center"/>
                </w:tcPr>
                <w:p w14:paraId="192ACBAE">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5</w:t>
                  </w:r>
                </w:p>
              </w:tc>
              <w:tc>
                <w:tcPr>
                  <w:tcW w:w="2221" w:type="pct"/>
                  <w:tcBorders>
                    <w:tl2br w:val="nil"/>
                    <w:tr2bl w:val="nil"/>
                  </w:tcBorders>
                  <w:vAlign w:val="center"/>
                </w:tcPr>
                <w:p w14:paraId="0F8163CF">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同一走廊内的多回输电线路，宜采取同塔多回架设、并行架设等形式，减少新开辟走廊，优化线路走廊间距，降低环境影响。</w:t>
                  </w:r>
                </w:p>
              </w:tc>
              <w:tc>
                <w:tcPr>
                  <w:tcW w:w="1755" w:type="pct"/>
                  <w:tcBorders>
                    <w:tl2br w:val="nil"/>
                    <w:tr2bl w:val="nil"/>
                  </w:tcBorders>
                  <w:vAlign w:val="center"/>
                </w:tcPr>
                <w:p w14:paraId="05A519A4">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本项目为变电工程，不涉及线路工程</w:t>
                  </w:r>
                </w:p>
              </w:tc>
              <w:tc>
                <w:tcPr>
                  <w:tcW w:w="601" w:type="pct"/>
                  <w:tcBorders>
                    <w:tl2br w:val="nil"/>
                    <w:tr2bl w:val="nil"/>
                  </w:tcBorders>
                  <w:vAlign w:val="center"/>
                </w:tcPr>
                <w:p w14:paraId="52C3BB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符合</w:t>
                  </w:r>
                </w:p>
              </w:tc>
            </w:tr>
            <w:tr w14:paraId="6A39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1" w:type="pct"/>
                  <w:tcBorders>
                    <w:tl2br w:val="nil"/>
                    <w:tr2bl w:val="nil"/>
                  </w:tcBorders>
                  <w:vAlign w:val="center"/>
                </w:tcPr>
                <w:p w14:paraId="52E27388">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6</w:t>
                  </w:r>
                </w:p>
              </w:tc>
              <w:tc>
                <w:tcPr>
                  <w:tcW w:w="2221" w:type="pct"/>
                  <w:tcBorders>
                    <w:tl2br w:val="nil"/>
                    <w:tr2bl w:val="nil"/>
                  </w:tcBorders>
                  <w:vAlign w:val="center"/>
                </w:tcPr>
                <w:p w14:paraId="52584267">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原则上避免在0类声环境功能区建设变电工程。</w:t>
                  </w:r>
                </w:p>
              </w:tc>
              <w:tc>
                <w:tcPr>
                  <w:tcW w:w="1755" w:type="pct"/>
                  <w:tcBorders>
                    <w:tl2br w:val="nil"/>
                    <w:tr2bl w:val="nil"/>
                  </w:tcBorders>
                  <w:vAlign w:val="center"/>
                </w:tcPr>
                <w:p w14:paraId="3E691769">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本项目不涉及0类声环境功能区。</w:t>
                  </w:r>
                </w:p>
              </w:tc>
              <w:tc>
                <w:tcPr>
                  <w:tcW w:w="601" w:type="pct"/>
                  <w:tcBorders>
                    <w:tl2br w:val="nil"/>
                    <w:tr2bl w:val="nil"/>
                  </w:tcBorders>
                  <w:vAlign w:val="center"/>
                </w:tcPr>
                <w:p w14:paraId="2E5DB0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符合</w:t>
                  </w:r>
                </w:p>
              </w:tc>
            </w:tr>
            <w:tr w14:paraId="494C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1" w:type="pct"/>
                  <w:tcBorders>
                    <w:tl2br w:val="nil"/>
                    <w:tr2bl w:val="nil"/>
                  </w:tcBorders>
                  <w:vAlign w:val="center"/>
                </w:tcPr>
                <w:p w14:paraId="1E69D3DA">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7</w:t>
                  </w:r>
                </w:p>
              </w:tc>
              <w:tc>
                <w:tcPr>
                  <w:tcW w:w="2221" w:type="pct"/>
                  <w:tcBorders>
                    <w:tl2br w:val="nil"/>
                    <w:tr2bl w:val="nil"/>
                  </w:tcBorders>
                  <w:vAlign w:val="center"/>
                </w:tcPr>
                <w:p w14:paraId="4867FD58">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变电工程选址时，应综合考虑减少土地占用、植被砍伐和弃土弃渣等，以减少对生态环境的不利影响。</w:t>
                  </w:r>
                </w:p>
              </w:tc>
              <w:tc>
                <w:tcPr>
                  <w:tcW w:w="1755" w:type="pct"/>
                  <w:tcBorders>
                    <w:tl2br w:val="nil"/>
                    <w:tr2bl w:val="nil"/>
                  </w:tcBorders>
                  <w:shd w:val="clear" w:color="auto" w:fill="auto"/>
                  <w:vAlign w:val="center"/>
                </w:tcPr>
                <w:p w14:paraId="246C96BB">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eastAsia="宋体" w:cs="Times New Roman"/>
                      <w:b w:val="0"/>
                      <w:color w:val="auto"/>
                      <w:kern w:val="0"/>
                      <w:sz w:val="21"/>
                      <w:szCs w:val="21"/>
                      <w:highlight w:val="none"/>
                      <w:lang w:val="en-US" w:eastAsia="zh-CN" w:bidi="ar-SA"/>
                    </w:rPr>
                  </w:pPr>
                  <w:r>
                    <w:rPr>
                      <w:rFonts w:hint="default" w:ascii="Times New Roman" w:hAnsi="Times New Roman" w:cs="Times New Roman"/>
                      <w:b w:val="0"/>
                      <w:color w:val="auto"/>
                      <w:sz w:val="21"/>
                      <w:szCs w:val="21"/>
                      <w:highlight w:val="none"/>
                      <w:lang w:val="en-US" w:eastAsia="zh-CN"/>
                    </w:rPr>
                    <w:t>选址已综合考虑减少土地占用，同时无弃土弃渣。</w:t>
                  </w:r>
                </w:p>
              </w:tc>
              <w:tc>
                <w:tcPr>
                  <w:tcW w:w="601" w:type="pct"/>
                  <w:tcBorders>
                    <w:tl2br w:val="nil"/>
                    <w:tr2bl w:val="nil"/>
                  </w:tcBorders>
                  <w:vAlign w:val="center"/>
                </w:tcPr>
                <w:p w14:paraId="2AA3D9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符合</w:t>
                  </w:r>
                </w:p>
              </w:tc>
            </w:tr>
            <w:tr w14:paraId="520D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1" w:type="pct"/>
                  <w:tcBorders>
                    <w:tl2br w:val="nil"/>
                    <w:tr2bl w:val="nil"/>
                  </w:tcBorders>
                  <w:vAlign w:val="center"/>
                </w:tcPr>
                <w:p w14:paraId="59DF399E">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8</w:t>
                  </w:r>
                </w:p>
              </w:tc>
              <w:tc>
                <w:tcPr>
                  <w:tcW w:w="2221" w:type="pct"/>
                  <w:tcBorders>
                    <w:tl2br w:val="nil"/>
                    <w:tr2bl w:val="nil"/>
                  </w:tcBorders>
                  <w:vAlign w:val="center"/>
                </w:tcPr>
                <w:p w14:paraId="63AF5A43">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输电线路宜避让集中林区，以减少林木砍伐，保护生态环境。</w:t>
                  </w:r>
                </w:p>
              </w:tc>
              <w:tc>
                <w:tcPr>
                  <w:tcW w:w="1755" w:type="pct"/>
                  <w:tcBorders>
                    <w:tl2br w:val="nil"/>
                    <w:tr2bl w:val="nil"/>
                  </w:tcBorders>
                  <w:vAlign w:val="center"/>
                </w:tcPr>
                <w:p w14:paraId="5E338B13">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本本项目为变电工程，不涉及线路工程</w:t>
                  </w:r>
                </w:p>
              </w:tc>
              <w:tc>
                <w:tcPr>
                  <w:tcW w:w="601" w:type="pct"/>
                  <w:tcBorders>
                    <w:tl2br w:val="nil"/>
                    <w:tr2bl w:val="nil"/>
                  </w:tcBorders>
                  <w:vAlign w:val="center"/>
                </w:tcPr>
                <w:p w14:paraId="037B1F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符合</w:t>
                  </w:r>
                </w:p>
              </w:tc>
            </w:tr>
            <w:tr w14:paraId="3F76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1" w:type="pct"/>
                  <w:tcBorders>
                    <w:tl2br w:val="nil"/>
                    <w:tr2bl w:val="nil"/>
                  </w:tcBorders>
                  <w:vAlign w:val="center"/>
                </w:tcPr>
                <w:p w14:paraId="3CF13E28">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9</w:t>
                  </w:r>
                </w:p>
              </w:tc>
              <w:tc>
                <w:tcPr>
                  <w:tcW w:w="2221" w:type="pct"/>
                  <w:tcBorders>
                    <w:tl2br w:val="nil"/>
                    <w:tr2bl w:val="nil"/>
                  </w:tcBorders>
                  <w:vAlign w:val="center"/>
                </w:tcPr>
                <w:p w14:paraId="64319A91">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进入自然保护区的输电线路，应按照HJ19的要求开展生态现状调查，避让保护对象的集中分布区。</w:t>
                  </w:r>
                </w:p>
              </w:tc>
              <w:tc>
                <w:tcPr>
                  <w:tcW w:w="1755" w:type="pct"/>
                  <w:tcBorders>
                    <w:tl2br w:val="nil"/>
                    <w:tr2bl w:val="nil"/>
                  </w:tcBorders>
                  <w:vAlign w:val="center"/>
                </w:tcPr>
                <w:p w14:paraId="3D1C48CB">
                  <w:pPr>
                    <w:pStyle w:val="86"/>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本项目不涉及自然保护区等环境敏感区。</w:t>
                  </w:r>
                </w:p>
              </w:tc>
              <w:tc>
                <w:tcPr>
                  <w:tcW w:w="601" w:type="pct"/>
                  <w:tcBorders>
                    <w:tl2br w:val="nil"/>
                    <w:tr2bl w:val="nil"/>
                  </w:tcBorders>
                  <w:vAlign w:val="center"/>
                </w:tcPr>
                <w:p w14:paraId="68CDEB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tLeast"/>
                    <w:ind w:left="0" w:leftChars="0" w:right="0" w:rightChars="0" w:firstLine="0" w:firstLineChars="0"/>
                    <w:jc w:val="center"/>
                    <w:textAlignment w:val="auto"/>
                    <w:outlineLvl w:val="9"/>
                    <w:rPr>
                      <w:rFonts w:hint="default" w:ascii="Times New Roman" w:hAnsi="Times New Roman" w:cs="Times New Roman"/>
                      <w:b w:val="0"/>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符合</w:t>
                  </w:r>
                </w:p>
              </w:tc>
            </w:tr>
          </w:tbl>
          <w:p w14:paraId="2FBF09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val="0"/>
                <w:color w:val="auto"/>
                <w:kern w:val="0"/>
                <w:sz w:val="24"/>
                <w:szCs w:val="24"/>
                <w:highlight w:val="none"/>
                <w:lang w:val="en-US" w:eastAsia="zh-CN" w:bidi="ar-SA"/>
              </w:rPr>
            </w:pPr>
            <w:r>
              <w:rPr>
                <w:rFonts w:hint="eastAsia" w:cs="Times New Roman"/>
                <w:b/>
                <w:bCs w:val="0"/>
                <w:color w:val="auto"/>
                <w:kern w:val="0"/>
                <w:sz w:val="24"/>
                <w:szCs w:val="24"/>
                <w:highlight w:val="none"/>
                <w:lang w:val="en-US" w:eastAsia="zh-CN" w:bidi="ar-SA"/>
              </w:rPr>
              <w:t>3</w:t>
            </w:r>
            <w:r>
              <w:rPr>
                <w:rFonts w:hint="default" w:ascii="Times New Roman" w:hAnsi="Times New Roman" w:eastAsia="宋体" w:cs="Times New Roman"/>
                <w:b/>
                <w:bCs w:val="0"/>
                <w:color w:val="auto"/>
                <w:kern w:val="0"/>
                <w:sz w:val="24"/>
                <w:szCs w:val="24"/>
                <w:highlight w:val="none"/>
                <w:lang w:val="en-US" w:eastAsia="zh-CN" w:bidi="ar-SA"/>
              </w:rPr>
              <w:t>、相关行政主管部门对本项目选址意见</w:t>
            </w:r>
          </w:p>
          <w:p w14:paraId="4A0A54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本项目</w:t>
            </w:r>
            <w:r>
              <w:rPr>
                <w:rFonts w:hint="default" w:ascii="Times New Roman" w:hAnsi="Times New Roman" w:cs="Times New Roman"/>
                <w:b w:val="0"/>
                <w:bCs/>
                <w:color w:val="auto"/>
                <w:kern w:val="0"/>
                <w:sz w:val="24"/>
                <w:szCs w:val="24"/>
                <w:highlight w:val="none"/>
                <w:lang w:val="en-US" w:eastAsia="zh-CN" w:bidi="ar-SA"/>
              </w:rPr>
              <w:t>选址</w:t>
            </w:r>
            <w:r>
              <w:rPr>
                <w:rFonts w:hint="default" w:ascii="Times New Roman" w:hAnsi="Times New Roman" w:eastAsia="宋体" w:cs="Times New Roman"/>
                <w:color w:val="auto"/>
                <w:sz w:val="24"/>
                <w:szCs w:val="24"/>
                <w:highlight w:val="none"/>
              </w:rPr>
              <w:t>设计时已充分听取当地自然资源局等部门的意见，并已取得各单位的书面意见，</w:t>
            </w:r>
            <w:r>
              <w:rPr>
                <w:rFonts w:hint="eastAsia" w:cs="Times New Roman"/>
                <w:b w:val="0"/>
                <w:bCs/>
                <w:color w:val="auto"/>
                <w:kern w:val="0"/>
                <w:sz w:val="24"/>
                <w:szCs w:val="24"/>
                <w:highlight w:val="none"/>
                <w:lang w:val="en-US" w:eastAsia="zh-CN" w:bidi="ar-SA"/>
              </w:rPr>
              <w:t>站址</w:t>
            </w:r>
            <w:r>
              <w:rPr>
                <w:rFonts w:hint="default" w:ascii="Times New Roman" w:hAnsi="Times New Roman" w:eastAsia="宋体" w:cs="Times New Roman"/>
                <w:b w:val="0"/>
                <w:bCs/>
                <w:color w:val="auto"/>
                <w:kern w:val="0"/>
                <w:sz w:val="24"/>
                <w:szCs w:val="24"/>
                <w:highlight w:val="none"/>
                <w:lang w:val="en-US" w:eastAsia="zh-CN" w:bidi="ar-SA"/>
              </w:rPr>
              <w:t>征询相关单位意见落实情况见下表。</w:t>
            </w:r>
          </w:p>
          <w:p w14:paraId="51D1032A">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b/>
                <w:bCs w:val="0"/>
                <w:color w:val="auto"/>
                <w:sz w:val="21"/>
                <w:szCs w:val="21"/>
                <w:highlight w:val="none"/>
                <w:lang w:val="zh-CN" w:eastAsia="zh-CN"/>
              </w:rPr>
            </w:pPr>
            <w:r>
              <w:rPr>
                <w:rFonts w:hint="default" w:ascii="Times New Roman" w:hAnsi="Times New Roman" w:cs="Times New Roman"/>
                <w:b/>
                <w:bCs w:val="0"/>
                <w:color w:val="auto"/>
                <w:sz w:val="21"/>
                <w:szCs w:val="21"/>
                <w:highlight w:val="none"/>
                <w:lang w:val="en-US" w:eastAsia="zh-CN"/>
              </w:rPr>
              <w:t xml:space="preserve">表4-7 </w:t>
            </w:r>
            <w:r>
              <w:rPr>
                <w:rFonts w:hint="eastAsia" w:ascii="Times New Roman" w:cs="Times New Roman"/>
                <w:b/>
                <w:bCs w:val="0"/>
                <w:color w:val="auto"/>
                <w:sz w:val="21"/>
                <w:szCs w:val="21"/>
                <w:highlight w:val="none"/>
                <w:lang w:val="en-US" w:eastAsia="zh-CN"/>
              </w:rPr>
              <w:t>站址</w:t>
            </w:r>
            <w:r>
              <w:rPr>
                <w:rFonts w:hint="default" w:ascii="Times New Roman" w:hAnsi="Times New Roman" w:cs="Times New Roman"/>
                <w:b/>
                <w:bCs w:val="0"/>
                <w:color w:val="auto"/>
                <w:sz w:val="21"/>
                <w:szCs w:val="21"/>
                <w:highlight w:val="none"/>
                <w:lang w:val="en-US" w:eastAsia="zh-CN"/>
              </w:rPr>
              <w:t>协议统计表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425"/>
              <w:gridCol w:w="2010"/>
              <w:gridCol w:w="1327"/>
              <w:gridCol w:w="3172"/>
            </w:tblGrid>
            <w:tr w14:paraId="07BC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297" w:type="pct"/>
                  <w:tcBorders>
                    <w:tl2br w:val="nil"/>
                    <w:tr2bl w:val="nil"/>
                  </w:tcBorders>
                  <w:shd w:val="clear" w:color="auto" w:fill="auto"/>
                  <w:vAlign w:val="center"/>
                </w:tcPr>
                <w:p w14:paraId="6750DB7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4"/>
                      <w:highlight w:val="none"/>
                      <w:lang w:val="en-US" w:eastAsia="zh-CN"/>
                    </w:rPr>
                  </w:pPr>
                  <w:r>
                    <w:rPr>
                      <w:rFonts w:hint="default" w:ascii="Times New Roman" w:hAnsi="Times New Roman" w:eastAsia="宋体" w:cs="Times New Roman"/>
                      <w:color w:val="auto"/>
                      <w:sz w:val="21"/>
                      <w:szCs w:val="24"/>
                      <w:highlight w:val="none"/>
                    </w:rPr>
                    <w:t>序号</w:t>
                  </w:r>
                </w:p>
              </w:tc>
              <w:tc>
                <w:tcPr>
                  <w:tcW w:w="844" w:type="pct"/>
                  <w:tcBorders>
                    <w:tl2br w:val="nil"/>
                    <w:tr2bl w:val="nil"/>
                  </w:tcBorders>
                  <w:shd w:val="clear" w:color="auto" w:fill="auto"/>
                  <w:vAlign w:val="center"/>
                </w:tcPr>
                <w:p w14:paraId="5AB9C39A">
                  <w:pPr>
                    <w:keepNext w:val="0"/>
                    <w:keepLines w:val="0"/>
                    <w:widowControl w:val="0"/>
                    <w:suppressLineNumbers w:val="0"/>
                    <w:kinsoku/>
                    <w:autoSpaceDE/>
                    <w:snapToGrid/>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zh-CN" w:eastAsia="zh-CN" w:bidi="ar-SA"/>
                    </w:rPr>
                  </w:pPr>
                  <w:r>
                    <w:rPr>
                      <w:rFonts w:hint="default" w:ascii="Times New Roman" w:hAnsi="Times New Roman" w:cs="Times New Roman" w:eastAsiaTheme="minorEastAsia"/>
                      <w:color w:val="auto"/>
                      <w:highlight w:val="none"/>
                      <w:lang w:val="zh-CN" w:eastAsia="zh-CN" w:bidi="ar"/>
                    </w:rPr>
                    <w:t>审批单位</w:t>
                  </w:r>
                </w:p>
              </w:tc>
              <w:tc>
                <w:tcPr>
                  <w:tcW w:w="1191" w:type="pct"/>
                  <w:tcBorders>
                    <w:tl2br w:val="nil"/>
                    <w:tr2bl w:val="nil"/>
                  </w:tcBorders>
                  <w:shd w:val="clear" w:color="auto" w:fill="auto"/>
                  <w:vAlign w:val="center"/>
                </w:tcPr>
                <w:p w14:paraId="26738EA6">
                  <w:pPr>
                    <w:keepNext w:val="0"/>
                    <w:keepLines w:val="0"/>
                    <w:widowControl w:val="0"/>
                    <w:suppressLineNumbers w:val="0"/>
                    <w:kinsoku/>
                    <w:autoSpaceDE/>
                    <w:snapToGrid/>
                    <w:spacing w:before="0" w:beforeAutospacing="0" w:after="0" w:afterAutospacing="0"/>
                    <w:ind w:left="0" w:right="0"/>
                    <w:jc w:val="center"/>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文件名</w:t>
                  </w:r>
                </w:p>
              </w:tc>
              <w:tc>
                <w:tcPr>
                  <w:tcW w:w="786" w:type="pct"/>
                  <w:tcBorders>
                    <w:tl2br w:val="nil"/>
                    <w:tr2bl w:val="nil"/>
                  </w:tcBorders>
                  <w:shd w:val="clear" w:color="auto" w:fill="auto"/>
                  <w:vAlign w:val="center"/>
                </w:tcPr>
                <w:p w14:paraId="25CBFD40">
                  <w:pPr>
                    <w:keepNext w:val="0"/>
                    <w:keepLines w:val="0"/>
                    <w:widowControl w:val="0"/>
                    <w:suppressLineNumbers w:val="0"/>
                    <w:kinsoku/>
                    <w:autoSpaceDE/>
                    <w:snapToGrid/>
                    <w:spacing w:before="0" w:beforeAutospacing="0" w:after="0" w:afterAutospacing="0"/>
                    <w:ind w:left="0" w:right="0"/>
                    <w:jc w:val="center"/>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文件号</w:t>
                  </w:r>
                </w:p>
              </w:tc>
              <w:tc>
                <w:tcPr>
                  <w:tcW w:w="1879" w:type="pct"/>
                  <w:tcBorders>
                    <w:tl2br w:val="nil"/>
                    <w:tr2bl w:val="nil"/>
                  </w:tcBorders>
                  <w:shd w:val="clear" w:color="auto" w:fill="auto"/>
                  <w:vAlign w:val="center"/>
                </w:tcPr>
                <w:p w14:paraId="4585E459">
                  <w:pPr>
                    <w:keepNext w:val="0"/>
                    <w:keepLines w:val="0"/>
                    <w:widowControl w:val="0"/>
                    <w:suppressLineNumbers w:val="0"/>
                    <w:kinsoku/>
                    <w:autoSpaceDE/>
                    <w:snapToGrid/>
                    <w:spacing w:before="0" w:beforeAutospacing="0" w:after="0" w:afterAutospacing="0"/>
                    <w:ind w:left="0" w:right="0"/>
                    <w:jc w:val="center"/>
                    <w:rPr>
                      <w:rFonts w:hint="default" w:ascii="Times New Roman" w:hAnsi="Times New Roman" w:cs="Times New Roman" w:eastAsiaTheme="minorEastAsia"/>
                      <w:color w:val="auto"/>
                      <w:kern w:val="2"/>
                      <w:sz w:val="21"/>
                      <w:szCs w:val="21"/>
                      <w:highlight w:val="none"/>
                      <w:lang w:val="zh-CN" w:eastAsia="zh-CN" w:bidi="ar-SA"/>
                    </w:rPr>
                  </w:pPr>
                  <w:r>
                    <w:rPr>
                      <w:rFonts w:hint="default" w:ascii="Times New Roman" w:hAnsi="Times New Roman" w:cs="Times New Roman" w:eastAsiaTheme="minorEastAsia"/>
                      <w:color w:val="auto"/>
                      <w:highlight w:val="none"/>
                      <w:lang w:val="zh-CN" w:eastAsia="zh-CN" w:bidi="ar"/>
                    </w:rPr>
                    <w:t>批复意见</w:t>
                  </w:r>
                </w:p>
              </w:tc>
            </w:tr>
            <w:tr w14:paraId="06B3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97" w:type="pct"/>
                  <w:tcBorders>
                    <w:tl2br w:val="nil"/>
                    <w:tr2bl w:val="nil"/>
                  </w:tcBorders>
                  <w:shd w:val="clear" w:color="auto" w:fill="auto"/>
                  <w:vAlign w:val="center"/>
                </w:tcPr>
                <w:p w14:paraId="499F9BC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1</w:t>
                  </w:r>
                </w:p>
              </w:tc>
              <w:tc>
                <w:tcPr>
                  <w:tcW w:w="844" w:type="pct"/>
                  <w:tcBorders>
                    <w:tl2br w:val="nil"/>
                    <w:tr2bl w:val="nil"/>
                  </w:tcBorders>
                  <w:shd w:val="clear" w:color="auto" w:fill="auto"/>
                  <w:vAlign w:val="center"/>
                </w:tcPr>
                <w:p w14:paraId="5EC3B9B1">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阿拉善盟能源局</w:t>
                  </w:r>
                </w:p>
              </w:tc>
              <w:tc>
                <w:tcPr>
                  <w:tcW w:w="1191" w:type="pct"/>
                  <w:tcBorders>
                    <w:tl2br w:val="nil"/>
                    <w:tr2bl w:val="nil"/>
                  </w:tcBorders>
                  <w:shd w:val="clear" w:color="auto" w:fill="auto"/>
                  <w:vAlign w:val="center"/>
                </w:tcPr>
                <w:p w14:paraId="5E01195B">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《阿拉善盟能源局关于核准华润新能源额济纳旗100兆瓦风电项目的通知》</w:t>
                  </w:r>
                </w:p>
              </w:tc>
              <w:tc>
                <w:tcPr>
                  <w:tcW w:w="786" w:type="pct"/>
                  <w:tcBorders>
                    <w:tl2br w:val="nil"/>
                    <w:tr2bl w:val="nil"/>
                  </w:tcBorders>
                  <w:shd w:val="clear" w:color="auto" w:fill="auto"/>
                  <w:vAlign w:val="center"/>
                </w:tcPr>
                <w:p w14:paraId="65319EA3">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eastAsia="zh-CN" w:bidi="ar"/>
                    </w:rPr>
                  </w:pPr>
                  <w:r>
                    <w:rPr>
                      <w:rFonts w:hint="default" w:ascii="Times New Roman" w:hAnsi="Times New Roman" w:cs="Times New Roman" w:eastAsiaTheme="minorEastAsia"/>
                      <w:color w:val="auto"/>
                      <w:highlight w:val="none"/>
                      <w:lang w:eastAsia="zh-CN" w:bidi="ar"/>
                    </w:rPr>
                    <w:t>阿能源发[2026]15号</w:t>
                  </w:r>
                </w:p>
              </w:tc>
              <w:tc>
                <w:tcPr>
                  <w:tcW w:w="1879" w:type="pct"/>
                  <w:tcBorders>
                    <w:tl2br w:val="nil"/>
                    <w:tr2bl w:val="nil"/>
                  </w:tcBorders>
                  <w:shd w:val="clear" w:color="auto" w:fill="auto"/>
                  <w:vAlign w:val="center"/>
                </w:tcPr>
                <w:p w14:paraId="7708D90B">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eastAsia="zh-CN" w:bidi="ar"/>
                    </w:rPr>
                  </w:pPr>
                  <w:r>
                    <w:rPr>
                      <w:rFonts w:hint="default" w:ascii="Times New Roman" w:hAnsi="Times New Roman" w:cs="Times New Roman" w:eastAsiaTheme="minorEastAsia"/>
                      <w:color w:val="auto"/>
                      <w:highlight w:val="none"/>
                      <w:lang w:eastAsia="zh-CN" w:bidi="ar"/>
                    </w:rPr>
                    <w:t>鉴于该项目已取得核准所需支持性文件，具备项目核准条件，经研究，同意该项目核准</w:t>
                  </w:r>
                  <w:r>
                    <w:rPr>
                      <w:rFonts w:hint="eastAsia" w:cs="Times New Roman" w:eastAsiaTheme="minorEastAsia"/>
                      <w:color w:val="auto"/>
                      <w:highlight w:val="none"/>
                      <w:lang w:eastAsia="zh-CN" w:bidi="ar"/>
                    </w:rPr>
                    <w:t>。</w:t>
                  </w:r>
                </w:p>
              </w:tc>
            </w:tr>
            <w:tr w14:paraId="11FD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97" w:type="pct"/>
                  <w:tcBorders>
                    <w:tl2br w:val="nil"/>
                    <w:tr2bl w:val="nil"/>
                  </w:tcBorders>
                  <w:shd w:val="clear" w:color="auto" w:fill="auto"/>
                  <w:vAlign w:val="center"/>
                </w:tcPr>
                <w:p w14:paraId="25F65B1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2</w:t>
                  </w:r>
                </w:p>
              </w:tc>
              <w:tc>
                <w:tcPr>
                  <w:tcW w:w="844" w:type="pct"/>
                  <w:tcBorders>
                    <w:tl2br w:val="nil"/>
                    <w:tr2bl w:val="nil"/>
                  </w:tcBorders>
                  <w:shd w:val="clear" w:color="auto" w:fill="auto"/>
                  <w:vAlign w:val="center"/>
                </w:tcPr>
                <w:p w14:paraId="2CEED2EB">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阿拉善盟自然资源局</w:t>
                  </w:r>
                </w:p>
              </w:tc>
              <w:tc>
                <w:tcPr>
                  <w:tcW w:w="1191" w:type="pct"/>
                  <w:tcBorders>
                    <w:tl2br w:val="nil"/>
                    <w:tr2bl w:val="nil"/>
                  </w:tcBorders>
                  <w:shd w:val="clear" w:color="auto" w:fill="auto"/>
                  <w:vAlign w:val="center"/>
                </w:tcPr>
                <w:p w14:paraId="7A70620E">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eastAsia="zh-CN" w:bidi="ar"/>
                    </w:rPr>
                  </w:pPr>
                  <w:r>
                    <w:rPr>
                      <w:rFonts w:hint="default" w:ascii="Times New Roman" w:hAnsi="Times New Roman" w:cs="Times New Roman" w:eastAsiaTheme="minorEastAsia"/>
                      <w:color w:val="auto"/>
                      <w:highlight w:val="none"/>
                      <w:lang w:eastAsia="zh-CN" w:bidi="ar"/>
                    </w:rPr>
                    <w:t>《</w:t>
                  </w:r>
                  <w:r>
                    <w:rPr>
                      <w:rFonts w:hint="default" w:ascii="Times New Roman" w:hAnsi="Times New Roman" w:cs="Times New Roman" w:eastAsiaTheme="minorEastAsia"/>
                      <w:color w:val="auto"/>
                      <w:highlight w:val="none"/>
                      <w:lang w:val="en-US" w:eastAsia="zh-CN" w:bidi="ar"/>
                    </w:rPr>
                    <w:t>关于内蒙古华润新能源额济纳旗100兆瓦风电项目用地预审与选址意见书的批复</w:t>
                  </w:r>
                  <w:r>
                    <w:rPr>
                      <w:rFonts w:hint="default" w:ascii="Times New Roman" w:hAnsi="Times New Roman" w:cs="Times New Roman" w:eastAsiaTheme="minorEastAsia"/>
                      <w:color w:val="auto"/>
                      <w:highlight w:val="none"/>
                      <w:lang w:eastAsia="zh-CN" w:bidi="ar"/>
                    </w:rPr>
                    <w:t>》</w:t>
                  </w:r>
                </w:p>
              </w:tc>
              <w:tc>
                <w:tcPr>
                  <w:tcW w:w="786" w:type="pct"/>
                  <w:tcBorders>
                    <w:tl2br w:val="nil"/>
                    <w:tr2bl w:val="nil"/>
                  </w:tcBorders>
                  <w:shd w:val="clear" w:color="auto" w:fill="auto"/>
                  <w:vAlign w:val="center"/>
                </w:tcPr>
                <w:p w14:paraId="4BE0DC20">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阿自然资预审字[2026]10号</w:t>
                  </w:r>
                </w:p>
              </w:tc>
              <w:tc>
                <w:tcPr>
                  <w:tcW w:w="1879" w:type="pct"/>
                  <w:tcBorders>
                    <w:tl2br w:val="nil"/>
                    <w:tr2bl w:val="nil"/>
                  </w:tcBorders>
                  <w:shd w:val="clear" w:color="auto" w:fill="auto"/>
                  <w:vAlign w:val="center"/>
                </w:tcPr>
                <w:p w14:paraId="3B8823F3">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eastAsia="zh-CN" w:bidi="ar"/>
                    </w:rPr>
                  </w:pPr>
                  <w:r>
                    <w:rPr>
                      <w:rFonts w:hint="default" w:ascii="Times New Roman" w:hAnsi="Times New Roman" w:cs="Times New Roman" w:eastAsiaTheme="minorEastAsia"/>
                      <w:color w:val="auto"/>
                      <w:highlight w:val="none"/>
                      <w:lang w:val="en-US" w:eastAsia="zh-CN" w:bidi="ar"/>
                    </w:rPr>
                    <w:t>该项目(项目代码:2605-152923-60-01-657370)已纳入自治区能源局《关于公布自治区2025年第一批上网消纳风电竞争性配置项目的公告》(内能源公告[2026]4号.)，同意开展前期工作。该项目对加快发展可再生能源、实施可再生能源替代计划具有重要意义，符合国家产业政策和土地供应政策。该项目属于《土地管理法》规定的允许修改国土空间总体规划的情形，建设地点位于额济纳旗温图高勒苏木，同意核发用地预审与选址意见书。</w:t>
                  </w:r>
                </w:p>
              </w:tc>
            </w:tr>
            <w:tr w14:paraId="43B5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97" w:type="pct"/>
                  <w:tcBorders>
                    <w:tl2br w:val="nil"/>
                    <w:tr2bl w:val="nil"/>
                  </w:tcBorders>
                  <w:shd w:val="clear" w:color="auto" w:fill="auto"/>
                  <w:vAlign w:val="center"/>
                </w:tcPr>
                <w:p w14:paraId="270956E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3</w:t>
                  </w:r>
                </w:p>
              </w:tc>
              <w:tc>
                <w:tcPr>
                  <w:tcW w:w="844" w:type="pct"/>
                  <w:tcBorders>
                    <w:tl2br w:val="nil"/>
                    <w:tr2bl w:val="nil"/>
                  </w:tcBorders>
                  <w:shd w:val="clear" w:color="auto" w:fill="auto"/>
                  <w:vAlign w:val="center"/>
                </w:tcPr>
                <w:p w14:paraId="787D9B7A">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额济纳旗文化旅游广电局</w:t>
                  </w:r>
                </w:p>
              </w:tc>
              <w:tc>
                <w:tcPr>
                  <w:tcW w:w="1191" w:type="pct"/>
                  <w:tcBorders>
                    <w:tl2br w:val="nil"/>
                    <w:tr2bl w:val="nil"/>
                  </w:tcBorders>
                  <w:shd w:val="clear" w:color="auto" w:fill="auto"/>
                  <w:vAlign w:val="center"/>
                </w:tcPr>
                <w:p w14:paraId="3BCECFD2">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《额济纳旗文化旅游广电局关于核查华润新能源额济纳旗100兆瓦风电项目选址坐标范围是否涉及限制因素的复函》</w:t>
                  </w:r>
                </w:p>
              </w:tc>
              <w:tc>
                <w:tcPr>
                  <w:tcW w:w="786" w:type="pct"/>
                  <w:tcBorders>
                    <w:tl2br w:val="nil"/>
                    <w:tr2bl w:val="nil"/>
                  </w:tcBorders>
                  <w:shd w:val="clear" w:color="auto" w:fill="auto"/>
                  <w:vAlign w:val="center"/>
                </w:tcPr>
                <w:p w14:paraId="08B4E9D1">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额文旅广函〔2026〕84 号</w:t>
                  </w:r>
                </w:p>
                <w:p w14:paraId="6DC344B7">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p>
              </w:tc>
              <w:tc>
                <w:tcPr>
                  <w:tcW w:w="1879" w:type="pct"/>
                  <w:tcBorders>
                    <w:tl2br w:val="nil"/>
                    <w:tr2bl w:val="nil"/>
                  </w:tcBorders>
                  <w:shd w:val="clear" w:color="auto" w:fill="auto"/>
                  <w:vAlign w:val="center"/>
                </w:tcPr>
                <w:p w14:paraId="37EFA044">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我单位原则同意此项目办理前期手续，项目应严格遵守在核准的用地范围内办理相关手续。</w:t>
                  </w:r>
                </w:p>
              </w:tc>
            </w:tr>
            <w:tr w14:paraId="682C9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97" w:type="pct"/>
                  <w:tcBorders>
                    <w:tl2br w:val="nil"/>
                    <w:tr2bl w:val="nil"/>
                  </w:tcBorders>
                  <w:shd w:val="clear" w:color="auto" w:fill="auto"/>
                  <w:vAlign w:val="center"/>
                </w:tcPr>
                <w:p w14:paraId="0AD0838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4</w:t>
                  </w:r>
                </w:p>
              </w:tc>
              <w:tc>
                <w:tcPr>
                  <w:tcW w:w="844" w:type="pct"/>
                  <w:tcBorders>
                    <w:tl2br w:val="nil"/>
                    <w:tr2bl w:val="nil"/>
                  </w:tcBorders>
                  <w:shd w:val="clear" w:color="auto" w:fill="auto"/>
                  <w:vAlign w:val="center"/>
                </w:tcPr>
                <w:p w14:paraId="6C396063">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阿拉善盟生态环境局额济纳旗分局</w:t>
                  </w:r>
                </w:p>
              </w:tc>
              <w:tc>
                <w:tcPr>
                  <w:tcW w:w="1191" w:type="pct"/>
                  <w:tcBorders>
                    <w:tl2br w:val="nil"/>
                    <w:tr2bl w:val="nil"/>
                  </w:tcBorders>
                  <w:shd w:val="clear" w:color="auto" w:fill="auto"/>
                  <w:vAlign w:val="center"/>
                </w:tcPr>
                <w:p w14:paraId="0951A7AF">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eastAsia="zh-CN" w:bidi="ar"/>
                    </w:rPr>
                  </w:pPr>
                  <w:r>
                    <w:rPr>
                      <w:rFonts w:hint="default" w:ascii="Times New Roman" w:hAnsi="Times New Roman" w:cs="Times New Roman" w:eastAsiaTheme="minorEastAsia"/>
                      <w:color w:val="auto"/>
                      <w:highlight w:val="none"/>
                      <w:lang w:eastAsia="zh-CN" w:bidi="ar"/>
                    </w:rPr>
                    <w:t>《</w:t>
                  </w:r>
                  <w:r>
                    <w:rPr>
                      <w:rFonts w:hint="default" w:ascii="Times New Roman" w:hAnsi="Times New Roman" w:cs="Times New Roman" w:eastAsiaTheme="minorEastAsia"/>
                      <w:color w:val="auto"/>
                      <w:highlight w:val="none"/>
                      <w:lang w:val="en-US" w:eastAsia="zh-CN" w:bidi="ar"/>
                    </w:rPr>
                    <w:t>阿拉善盟生态环境局额济纳旗分局关于协助查询华润新能源额济纳旗100兆瓦风电项目选址坐标范围内限制因素情况的复函</w:t>
                  </w:r>
                  <w:r>
                    <w:rPr>
                      <w:rFonts w:hint="default" w:ascii="Times New Roman" w:hAnsi="Times New Roman" w:cs="Times New Roman" w:eastAsiaTheme="minorEastAsia"/>
                      <w:color w:val="auto"/>
                      <w:highlight w:val="none"/>
                      <w:lang w:eastAsia="zh-CN" w:bidi="ar"/>
                    </w:rPr>
                    <w:t>》</w:t>
                  </w:r>
                </w:p>
              </w:tc>
              <w:tc>
                <w:tcPr>
                  <w:tcW w:w="786" w:type="pct"/>
                  <w:tcBorders>
                    <w:tl2br w:val="nil"/>
                    <w:tr2bl w:val="nil"/>
                  </w:tcBorders>
                  <w:shd w:val="clear" w:color="auto" w:fill="auto"/>
                  <w:vAlign w:val="center"/>
                </w:tcPr>
                <w:p w14:paraId="0273A98A">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2026年3月4日</w:t>
                  </w:r>
                </w:p>
              </w:tc>
              <w:tc>
                <w:tcPr>
                  <w:tcW w:w="1879" w:type="pct"/>
                  <w:tcBorders>
                    <w:tl2br w:val="nil"/>
                    <w:tr2bl w:val="nil"/>
                  </w:tcBorders>
                  <w:shd w:val="clear" w:color="auto" w:fill="auto"/>
                  <w:vAlign w:val="center"/>
                </w:tcPr>
                <w:p w14:paraId="11436974">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我分局负责核实项目是否涉及水源地保护区。经我分局对项目范围进行调查核实，确认该项目不在集中式饮用水水源地保护区。同时，项目要严格落实“三线一单”分区管控要求，在建设过程中切实加强生态环境保护，建立健全环境保护的各项规章制度，按要求办理相关环保手续。</w:t>
                  </w:r>
                </w:p>
              </w:tc>
            </w:tr>
            <w:tr w14:paraId="746F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97" w:type="pct"/>
                  <w:tcBorders>
                    <w:tl2br w:val="nil"/>
                    <w:tr2bl w:val="nil"/>
                  </w:tcBorders>
                  <w:shd w:val="clear" w:color="auto" w:fill="auto"/>
                  <w:vAlign w:val="center"/>
                </w:tcPr>
                <w:p w14:paraId="5CC9CB09">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5</w:t>
                  </w:r>
                </w:p>
              </w:tc>
              <w:tc>
                <w:tcPr>
                  <w:tcW w:w="844" w:type="pct"/>
                  <w:tcBorders>
                    <w:tl2br w:val="nil"/>
                    <w:tr2bl w:val="nil"/>
                  </w:tcBorders>
                  <w:shd w:val="clear" w:color="auto" w:fill="auto"/>
                  <w:vAlign w:val="center"/>
                </w:tcPr>
                <w:p w14:paraId="6655C389">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额济纳旗交通运输局</w:t>
                  </w:r>
                </w:p>
              </w:tc>
              <w:tc>
                <w:tcPr>
                  <w:tcW w:w="1191" w:type="pct"/>
                  <w:tcBorders>
                    <w:tl2br w:val="nil"/>
                    <w:tr2bl w:val="nil"/>
                  </w:tcBorders>
                  <w:shd w:val="clear" w:color="auto" w:fill="auto"/>
                  <w:vAlign w:val="center"/>
                </w:tcPr>
                <w:p w14:paraId="7C8F7935">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《额济纳旗交通运输局关于协助查询华润新能源额济纳旗100兆瓦风电项目选址坐标范围内限制因素情况的复函》</w:t>
                  </w:r>
                </w:p>
              </w:tc>
              <w:tc>
                <w:tcPr>
                  <w:tcW w:w="786" w:type="pct"/>
                  <w:tcBorders>
                    <w:tl2br w:val="nil"/>
                    <w:tr2bl w:val="nil"/>
                  </w:tcBorders>
                  <w:shd w:val="clear" w:color="auto" w:fill="auto"/>
                  <w:vAlign w:val="center"/>
                </w:tcPr>
                <w:p w14:paraId="02C4680D">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2026年3月4日</w:t>
                  </w:r>
                </w:p>
              </w:tc>
              <w:tc>
                <w:tcPr>
                  <w:tcW w:w="1879" w:type="pct"/>
                  <w:tcBorders>
                    <w:tl2br w:val="nil"/>
                    <w:tr2bl w:val="nil"/>
                  </w:tcBorders>
                  <w:shd w:val="clear" w:color="auto" w:fill="auto"/>
                  <w:vAlign w:val="center"/>
                </w:tcPr>
                <w:p w14:paraId="76F957BE">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经核查该项目未与额济纳旗境现行铁路线、农村公路相交</w:t>
                  </w:r>
                </w:p>
                <w:p w14:paraId="076D6768">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跨。高速公路、国省干线请与盟交通运输局联系核实。</w:t>
                  </w:r>
                </w:p>
              </w:tc>
            </w:tr>
            <w:tr w14:paraId="0683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97" w:type="pct"/>
                  <w:tcBorders>
                    <w:tl2br w:val="nil"/>
                    <w:tr2bl w:val="nil"/>
                  </w:tcBorders>
                  <w:shd w:val="clear" w:color="auto" w:fill="auto"/>
                  <w:vAlign w:val="center"/>
                </w:tcPr>
                <w:p w14:paraId="5B8951F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6</w:t>
                  </w:r>
                </w:p>
              </w:tc>
              <w:tc>
                <w:tcPr>
                  <w:tcW w:w="844" w:type="pct"/>
                  <w:tcBorders>
                    <w:tl2br w:val="nil"/>
                    <w:tr2bl w:val="nil"/>
                  </w:tcBorders>
                  <w:shd w:val="clear" w:color="auto" w:fill="auto"/>
                  <w:vAlign w:val="center"/>
                </w:tcPr>
                <w:p w14:paraId="0513D16A">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eastAsia="zh-CN" w:bidi="ar"/>
                    </w:rPr>
                    <w:t>额济纳旗林业和草原局</w:t>
                  </w:r>
                </w:p>
              </w:tc>
              <w:tc>
                <w:tcPr>
                  <w:tcW w:w="1191" w:type="pct"/>
                  <w:tcBorders>
                    <w:tl2br w:val="nil"/>
                    <w:tr2bl w:val="nil"/>
                  </w:tcBorders>
                  <w:shd w:val="clear" w:color="auto" w:fill="auto"/>
                  <w:vAlign w:val="center"/>
                </w:tcPr>
                <w:p w14:paraId="4FAB5A46">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eastAsia="zh-CN" w:bidi="ar"/>
                    </w:rPr>
                  </w:pPr>
                  <w:r>
                    <w:rPr>
                      <w:rFonts w:hint="default" w:ascii="Times New Roman" w:hAnsi="Times New Roman" w:cs="Times New Roman" w:eastAsiaTheme="minorEastAsia"/>
                      <w:color w:val="auto"/>
                      <w:highlight w:val="none"/>
                      <w:lang w:eastAsia="zh-CN" w:bidi="ar"/>
                    </w:rPr>
                    <w:t>《额济纳旗林业和草原局关于协助查询华润新能源额济纳旗 100 兆瓦风电项目选址坐标范围内限制因素情况的复函》</w:t>
                  </w:r>
                </w:p>
              </w:tc>
              <w:tc>
                <w:tcPr>
                  <w:tcW w:w="786" w:type="pct"/>
                  <w:tcBorders>
                    <w:tl2br w:val="nil"/>
                    <w:tr2bl w:val="nil"/>
                  </w:tcBorders>
                  <w:shd w:val="clear" w:color="auto" w:fill="auto"/>
                  <w:vAlign w:val="center"/>
                </w:tcPr>
                <w:p w14:paraId="318C9BAF">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额林草函发〔2026〕85 号</w:t>
                  </w:r>
                </w:p>
              </w:tc>
              <w:tc>
                <w:tcPr>
                  <w:tcW w:w="1879" w:type="pct"/>
                  <w:tcBorders>
                    <w:tl2br w:val="nil"/>
                    <w:tr2bl w:val="nil"/>
                  </w:tcBorders>
                  <w:shd w:val="clear" w:color="auto" w:fill="auto"/>
                  <w:vAlign w:val="center"/>
                </w:tcPr>
                <w:p w14:paraId="3F55AE11">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项目区选址不涉及湿地、内蒙古额济纳旗马鬃山古生物化石地质遗迹自治区级自然保护区、内蒙古额济纳旗梭梭林旗县级自然保护区、阿拉善沙漠国家地质公园居延园区和沙化封禁土地保护区。不涉及林地，不涉及造林项目。</w:t>
                  </w:r>
                </w:p>
              </w:tc>
            </w:tr>
            <w:tr w14:paraId="7571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97" w:type="pct"/>
                  <w:tcBorders>
                    <w:tl2br w:val="nil"/>
                    <w:tr2bl w:val="nil"/>
                  </w:tcBorders>
                  <w:shd w:val="clear" w:color="auto" w:fill="auto"/>
                  <w:vAlign w:val="center"/>
                </w:tcPr>
                <w:p w14:paraId="1562F6B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7</w:t>
                  </w:r>
                </w:p>
              </w:tc>
              <w:tc>
                <w:tcPr>
                  <w:tcW w:w="844" w:type="pct"/>
                  <w:tcBorders>
                    <w:tl2br w:val="nil"/>
                    <w:tr2bl w:val="nil"/>
                  </w:tcBorders>
                  <w:shd w:val="clear" w:color="auto" w:fill="auto"/>
                  <w:vAlign w:val="center"/>
                </w:tcPr>
                <w:p w14:paraId="6D050A9A">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额额济纳旗水务局</w:t>
                  </w:r>
                </w:p>
              </w:tc>
              <w:tc>
                <w:tcPr>
                  <w:tcW w:w="1191" w:type="pct"/>
                  <w:tcBorders>
                    <w:tl2br w:val="nil"/>
                    <w:tr2bl w:val="nil"/>
                  </w:tcBorders>
                  <w:shd w:val="clear" w:color="auto" w:fill="auto"/>
                  <w:vAlign w:val="center"/>
                </w:tcPr>
                <w:p w14:paraId="5C0F9EEB">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eastAsia="zh-CN" w:bidi="ar"/>
                    </w:rPr>
                  </w:pPr>
                  <w:r>
                    <w:rPr>
                      <w:rFonts w:hint="default" w:ascii="Times New Roman" w:hAnsi="Times New Roman" w:cs="Times New Roman" w:eastAsiaTheme="minorEastAsia"/>
                      <w:color w:val="auto"/>
                      <w:highlight w:val="none"/>
                      <w:lang w:eastAsia="zh-CN" w:bidi="ar"/>
                    </w:rPr>
                    <w:t>《</w:t>
                  </w:r>
                  <w:r>
                    <w:rPr>
                      <w:rFonts w:hint="default" w:ascii="Times New Roman" w:hAnsi="Times New Roman" w:cs="Times New Roman" w:eastAsiaTheme="minorEastAsia"/>
                      <w:color w:val="auto"/>
                      <w:highlight w:val="none"/>
                      <w:lang w:val="en-US" w:eastAsia="zh-CN" w:bidi="ar"/>
                    </w:rPr>
                    <w:t>额额济纳旗水务局关于协助查询华润新能源额济纳旗 100 兆瓦风电项目选址坐标范围内限制因素情况的复函</w:t>
                  </w:r>
                  <w:r>
                    <w:rPr>
                      <w:rFonts w:hint="default" w:ascii="Times New Roman" w:hAnsi="Times New Roman" w:cs="Times New Roman" w:eastAsiaTheme="minorEastAsia"/>
                      <w:color w:val="auto"/>
                      <w:highlight w:val="none"/>
                      <w:lang w:eastAsia="zh-CN" w:bidi="ar"/>
                    </w:rPr>
                    <w:t>》</w:t>
                  </w:r>
                </w:p>
              </w:tc>
              <w:tc>
                <w:tcPr>
                  <w:tcW w:w="786" w:type="pct"/>
                  <w:tcBorders>
                    <w:tl2br w:val="nil"/>
                    <w:tr2bl w:val="nil"/>
                  </w:tcBorders>
                  <w:shd w:val="clear" w:color="auto" w:fill="auto"/>
                  <w:vAlign w:val="center"/>
                </w:tcPr>
                <w:p w14:paraId="7D718DEE">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额水函字〔2026〕61 号</w:t>
                  </w:r>
                </w:p>
              </w:tc>
              <w:tc>
                <w:tcPr>
                  <w:tcW w:w="1879" w:type="pct"/>
                  <w:tcBorders>
                    <w:tl2br w:val="nil"/>
                    <w:tr2bl w:val="nil"/>
                  </w:tcBorders>
                  <w:shd w:val="clear" w:color="auto" w:fill="auto"/>
                  <w:vAlign w:val="center"/>
                </w:tcPr>
                <w:p w14:paraId="430BF65D">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该项目坐标范围涉及苏亥特高勒左沟，原则上同意该项目申报，后续项目需开展洪水影响评价，经水行政主管部门审查同意后方能开工建设。</w:t>
                  </w:r>
                </w:p>
              </w:tc>
            </w:tr>
            <w:tr w14:paraId="4ECBE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97" w:type="pct"/>
                  <w:tcBorders>
                    <w:tl2br w:val="nil"/>
                    <w:tr2bl w:val="nil"/>
                  </w:tcBorders>
                  <w:shd w:val="clear" w:color="auto" w:fill="auto"/>
                  <w:vAlign w:val="center"/>
                </w:tcPr>
                <w:p w14:paraId="5B91586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8</w:t>
                  </w:r>
                </w:p>
              </w:tc>
              <w:tc>
                <w:tcPr>
                  <w:tcW w:w="844" w:type="pct"/>
                  <w:tcBorders>
                    <w:tl2br w:val="nil"/>
                    <w:tr2bl w:val="nil"/>
                  </w:tcBorders>
                  <w:shd w:val="clear" w:color="auto" w:fill="auto"/>
                  <w:vAlign w:val="center"/>
                </w:tcPr>
                <w:p w14:paraId="5AD18D92">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温图高勒苏木人民政府</w:t>
                  </w:r>
                </w:p>
              </w:tc>
              <w:tc>
                <w:tcPr>
                  <w:tcW w:w="1191" w:type="pct"/>
                  <w:tcBorders>
                    <w:tl2br w:val="nil"/>
                    <w:tr2bl w:val="nil"/>
                  </w:tcBorders>
                  <w:shd w:val="clear" w:color="auto" w:fill="auto"/>
                  <w:vAlign w:val="center"/>
                </w:tcPr>
                <w:p w14:paraId="3446B9D7">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eastAsia="zh-CN" w:bidi="ar"/>
                    </w:rPr>
                  </w:pPr>
                  <w:r>
                    <w:rPr>
                      <w:rFonts w:hint="default" w:ascii="Times New Roman" w:hAnsi="Times New Roman" w:cs="Times New Roman" w:eastAsiaTheme="minorEastAsia"/>
                      <w:color w:val="auto"/>
                      <w:highlight w:val="none"/>
                      <w:lang w:eastAsia="zh-CN" w:bidi="ar"/>
                    </w:rPr>
                    <w:t>《温图高勒苏木人民政府关于申请排查华润新能源额济纳旗 100 兆瓦风电项目场区是否涉及限制性因素的复函》</w:t>
                  </w:r>
                </w:p>
              </w:tc>
              <w:tc>
                <w:tcPr>
                  <w:tcW w:w="786" w:type="pct"/>
                  <w:tcBorders>
                    <w:tl2br w:val="nil"/>
                    <w:tr2bl w:val="nil"/>
                  </w:tcBorders>
                  <w:shd w:val="clear" w:color="auto" w:fill="auto"/>
                  <w:vAlign w:val="center"/>
                </w:tcPr>
                <w:p w14:paraId="5EF5C036">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温政函〔2026〕30 号</w:t>
                  </w:r>
                </w:p>
              </w:tc>
              <w:tc>
                <w:tcPr>
                  <w:tcW w:w="1879" w:type="pct"/>
                  <w:tcBorders>
                    <w:tl2br w:val="nil"/>
                    <w:tr2bl w:val="nil"/>
                  </w:tcBorders>
                  <w:shd w:val="clear" w:color="auto" w:fill="auto"/>
                  <w:vAlign w:val="center"/>
                </w:tcPr>
                <w:p w14:paraId="1C0A4F37">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经核查，函中项目涉及我苏木格日勒图嘎查牧民个人草场，原则上同意华润新能源额济纳旗 100 兆瓦风电项目在苏木辖区落地建设。</w:t>
                  </w:r>
                </w:p>
              </w:tc>
            </w:tr>
            <w:tr w14:paraId="5CE3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97" w:type="pct"/>
                  <w:tcBorders>
                    <w:tl2br w:val="nil"/>
                    <w:tr2bl w:val="nil"/>
                  </w:tcBorders>
                  <w:shd w:val="clear" w:color="auto" w:fill="auto"/>
                  <w:vAlign w:val="center"/>
                </w:tcPr>
                <w:p w14:paraId="4C01D34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9</w:t>
                  </w:r>
                </w:p>
              </w:tc>
              <w:tc>
                <w:tcPr>
                  <w:tcW w:w="844" w:type="pct"/>
                  <w:tcBorders>
                    <w:tl2br w:val="nil"/>
                    <w:tr2bl w:val="nil"/>
                  </w:tcBorders>
                  <w:shd w:val="clear" w:color="auto" w:fill="auto"/>
                  <w:vAlign w:val="center"/>
                </w:tcPr>
                <w:p w14:paraId="3BF30E78">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额济纳旗自然资源局</w:t>
                  </w:r>
                </w:p>
              </w:tc>
              <w:tc>
                <w:tcPr>
                  <w:tcW w:w="1191" w:type="pct"/>
                  <w:tcBorders>
                    <w:tl2br w:val="nil"/>
                    <w:tr2bl w:val="nil"/>
                  </w:tcBorders>
                  <w:shd w:val="clear" w:color="auto" w:fill="auto"/>
                  <w:vAlign w:val="center"/>
                </w:tcPr>
                <w:p w14:paraId="69FB7AE0">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eastAsia="zh-CN" w:bidi="ar"/>
                    </w:rPr>
                  </w:pPr>
                  <w:r>
                    <w:rPr>
                      <w:rFonts w:hint="default" w:ascii="Times New Roman" w:hAnsi="Times New Roman" w:cs="Times New Roman" w:eastAsiaTheme="minorEastAsia"/>
                      <w:color w:val="auto"/>
                      <w:highlight w:val="none"/>
                      <w:lang w:eastAsia="zh-CN" w:bidi="ar"/>
                    </w:rPr>
                    <w:t>《</w:t>
                  </w:r>
                  <w:r>
                    <w:rPr>
                      <w:rFonts w:hint="default" w:ascii="Times New Roman" w:hAnsi="Times New Roman" w:cs="Times New Roman" w:eastAsiaTheme="minorEastAsia"/>
                      <w:color w:val="auto"/>
                      <w:highlight w:val="none"/>
                      <w:lang w:val="en-US" w:eastAsia="zh-CN" w:bidi="ar"/>
                    </w:rPr>
                    <w:t>额济纳旗自然资源局关于协助查询华润新能源额济纳旗100 兆瓦风电项目选址坐标范围内限制因素情况的复函</w:t>
                  </w:r>
                  <w:r>
                    <w:rPr>
                      <w:rFonts w:hint="default" w:ascii="Times New Roman" w:hAnsi="Times New Roman" w:cs="Times New Roman" w:eastAsiaTheme="minorEastAsia"/>
                      <w:color w:val="auto"/>
                      <w:highlight w:val="none"/>
                      <w:lang w:eastAsia="zh-CN" w:bidi="ar"/>
                    </w:rPr>
                    <w:t>》</w:t>
                  </w:r>
                </w:p>
              </w:tc>
              <w:tc>
                <w:tcPr>
                  <w:tcW w:w="786" w:type="pct"/>
                  <w:tcBorders>
                    <w:tl2br w:val="nil"/>
                    <w:tr2bl w:val="nil"/>
                  </w:tcBorders>
                  <w:shd w:val="clear" w:color="auto" w:fill="auto"/>
                  <w:vAlign w:val="center"/>
                </w:tcPr>
                <w:p w14:paraId="3934244F">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额自然资函[2026]141 号</w:t>
                  </w:r>
                </w:p>
              </w:tc>
              <w:tc>
                <w:tcPr>
                  <w:tcW w:w="1879" w:type="pct"/>
                  <w:tcBorders>
                    <w:tl2br w:val="nil"/>
                    <w:tr2bl w:val="nil"/>
                  </w:tcBorders>
                  <w:shd w:val="clear" w:color="auto" w:fill="auto"/>
                  <w:vAlign w:val="center"/>
                </w:tcPr>
                <w:p w14:paraId="044C97CD">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选址范围内土地地类为：裸岩石砾地。</w:t>
                  </w:r>
                </w:p>
              </w:tc>
            </w:tr>
            <w:tr w14:paraId="08D1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97" w:type="pct"/>
                  <w:tcBorders>
                    <w:tl2br w:val="nil"/>
                    <w:tr2bl w:val="nil"/>
                  </w:tcBorders>
                  <w:shd w:val="clear" w:color="auto" w:fill="auto"/>
                  <w:vAlign w:val="center"/>
                </w:tcPr>
                <w:p w14:paraId="6A7B1941">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10</w:t>
                  </w:r>
                </w:p>
              </w:tc>
              <w:tc>
                <w:tcPr>
                  <w:tcW w:w="844" w:type="pct"/>
                  <w:tcBorders>
                    <w:tl2br w:val="nil"/>
                    <w:tr2bl w:val="nil"/>
                  </w:tcBorders>
                  <w:shd w:val="clear" w:color="auto" w:fill="auto"/>
                  <w:vAlign w:val="center"/>
                </w:tcPr>
                <w:p w14:paraId="749274E3">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highlight w:val="none"/>
                      <w:lang w:val="en-US" w:eastAsia="zh-CN" w:bidi="ar"/>
                    </w:rPr>
                    <w:t>额济纳旗人民武装部</w:t>
                  </w:r>
                </w:p>
              </w:tc>
              <w:tc>
                <w:tcPr>
                  <w:tcW w:w="1191" w:type="pct"/>
                  <w:tcBorders>
                    <w:tl2br w:val="nil"/>
                    <w:tr2bl w:val="nil"/>
                  </w:tcBorders>
                  <w:shd w:val="clear" w:color="auto" w:fill="auto"/>
                  <w:vAlign w:val="center"/>
                </w:tcPr>
                <w:p w14:paraId="3DBDF030">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eastAsia="zh-CN" w:bidi="ar"/>
                    </w:rPr>
                    <w:t>《</w:t>
                  </w:r>
                  <w:r>
                    <w:rPr>
                      <w:rFonts w:hint="default" w:ascii="Times New Roman" w:hAnsi="Times New Roman" w:cs="Times New Roman" w:eastAsiaTheme="minorEastAsia"/>
                      <w:color w:val="auto"/>
                      <w:highlight w:val="none"/>
                      <w:lang w:val="en-US" w:eastAsia="zh-CN" w:bidi="ar"/>
                    </w:rPr>
                    <w:t>关于《额济纳旗发展和改革委员会关于协助查询华润新能源额济纳旗100兆瓦风电项目选址坐标范围内限制因素情况的函》的复函</w:t>
                  </w:r>
                  <w:r>
                    <w:rPr>
                      <w:rFonts w:hint="default" w:ascii="Times New Roman" w:hAnsi="Times New Roman" w:cs="Times New Roman" w:eastAsiaTheme="minorEastAsia"/>
                      <w:color w:val="auto"/>
                      <w:highlight w:val="none"/>
                      <w:lang w:eastAsia="zh-CN" w:bidi="ar"/>
                    </w:rPr>
                    <w:t>》</w:t>
                  </w:r>
                </w:p>
              </w:tc>
              <w:tc>
                <w:tcPr>
                  <w:tcW w:w="786" w:type="pct"/>
                  <w:tcBorders>
                    <w:tl2br w:val="nil"/>
                    <w:tr2bl w:val="nil"/>
                  </w:tcBorders>
                  <w:shd w:val="clear" w:color="auto" w:fill="auto"/>
                  <w:vAlign w:val="center"/>
                </w:tcPr>
                <w:p w14:paraId="66B03AE0">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eastAsiaTheme="minorEastAsia"/>
                      <w:color w:val="auto"/>
                      <w:highlight w:val="none"/>
                      <w:lang w:val="en-US" w:eastAsia="zh-CN" w:bidi="ar"/>
                    </w:rPr>
                    <w:t>2026年3月20日</w:t>
                  </w:r>
                </w:p>
              </w:tc>
              <w:tc>
                <w:tcPr>
                  <w:tcW w:w="1879" w:type="pct"/>
                  <w:tcBorders>
                    <w:tl2br w:val="nil"/>
                    <w:tr2bl w:val="nil"/>
                  </w:tcBorders>
                  <w:shd w:val="clear" w:color="auto" w:fill="auto"/>
                  <w:vAlign w:val="center"/>
                </w:tcPr>
                <w:p w14:paraId="5AA9A042">
                  <w:pPr>
                    <w:keepNext w:val="0"/>
                    <w:keepLines w:val="0"/>
                    <w:widowControl w:val="0"/>
                    <w:suppressLineNumbers w:val="0"/>
                    <w:kinsoku/>
                    <w:autoSpaceDE/>
                    <w:snapToGrid/>
                    <w:spacing w:before="0" w:beforeAutospacing="0" w:after="0" w:afterAutospacing="0"/>
                    <w:ind w:left="0" w:right="0"/>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该区域不属于军事用地或军事设施保护范围区域，不存在军事设施。此文件不作为项目备案(核准)和企业使用土地的依据，仅用于企业排查拟选场址内限制性因素。</w:t>
                  </w:r>
                </w:p>
              </w:tc>
            </w:tr>
          </w:tbl>
          <w:p w14:paraId="480FA1E3">
            <w:pPr>
              <w:pStyle w:val="66"/>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z w:val="23"/>
                <w:szCs w:val="24"/>
                <w:highlight w:val="none"/>
              </w:rPr>
            </w:pPr>
            <w:r>
              <w:rPr>
                <w:rFonts w:hint="default" w:ascii="Times New Roman" w:hAnsi="Times New Roman" w:cs="Times New Roman"/>
                <w:color w:val="auto"/>
                <w:sz w:val="23"/>
                <w:szCs w:val="24"/>
                <w:highlight w:val="none"/>
                <w:lang w:val="en-US" w:eastAsia="zh-CN"/>
              </w:rPr>
              <w:t>综上，从环境影响角度分析，本项目选址合理</w:t>
            </w:r>
            <w:r>
              <w:rPr>
                <w:rFonts w:hint="default" w:ascii="Times New Roman" w:hAnsi="Times New Roman" w:eastAsia="宋体" w:cs="Times New Roman"/>
                <w:color w:val="auto"/>
                <w:sz w:val="23"/>
                <w:szCs w:val="24"/>
                <w:highlight w:val="none"/>
              </w:rPr>
              <w:t>。</w:t>
            </w:r>
          </w:p>
          <w:p w14:paraId="2B8A714D">
            <w:pPr>
              <w:pStyle w:val="66"/>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z w:val="23"/>
                <w:szCs w:val="24"/>
                <w:highlight w:val="none"/>
              </w:rPr>
            </w:pPr>
          </w:p>
          <w:p w14:paraId="5836437B">
            <w:pPr>
              <w:pStyle w:val="66"/>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z w:val="23"/>
                <w:szCs w:val="24"/>
                <w:highlight w:val="none"/>
              </w:rPr>
            </w:pPr>
          </w:p>
          <w:p w14:paraId="593B90E7">
            <w:pPr>
              <w:pStyle w:val="66"/>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z w:val="23"/>
                <w:szCs w:val="24"/>
                <w:highlight w:val="none"/>
              </w:rPr>
            </w:pPr>
          </w:p>
          <w:p w14:paraId="08A0272A">
            <w:pPr>
              <w:pStyle w:val="66"/>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z w:val="23"/>
                <w:szCs w:val="24"/>
                <w:highlight w:val="none"/>
              </w:rPr>
            </w:pPr>
          </w:p>
          <w:p w14:paraId="48998D1E">
            <w:pPr>
              <w:pStyle w:val="66"/>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z w:val="23"/>
                <w:szCs w:val="24"/>
                <w:highlight w:val="none"/>
              </w:rPr>
            </w:pPr>
          </w:p>
          <w:p w14:paraId="07BAFA87">
            <w:pPr>
              <w:pStyle w:val="66"/>
              <w:keepNext w:val="0"/>
              <w:keepLines w:val="0"/>
              <w:suppressLineNumbers w:val="0"/>
              <w:spacing w:before="0" w:beforeAutospacing="0" w:after="0" w:afterAutospacing="0"/>
              <w:ind w:left="0" w:right="0" w:firstLine="480"/>
              <w:rPr>
                <w:rFonts w:hint="default" w:ascii="Times New Roman" w:hAnsi="Times New Roman" w:eastAsia="宋体" w:cs="Times New Roman"/>
                <w:color w:val="auto"/>
                <w:sz w:val="23"/>
                <w:szCs w:val="24"/>
                <w:highlight w:val="none"/>
              </w:rPr>
            </w:pPr>
          </w:p>
          <w:p w14:paraId="13758CDA">
            <w:pPr>
              <w:pStyle w:val="66"/>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0000FF"/>
                <w:sz w:val="23"/>
                <w:szCs w:val="24"/>
                <w:highlight w:val="none"/>
              </w:rPr>
            </w:pPr>
          </w:p>
        </w:tc>
      </w:tr>
    </w:tbl>
    <w:p w14:paraId="56EA0C24">
      <w:pPr>
        <w:adjustRightInd w:val="0"/>
        <w:snapToGrid w:val="0"/>
        <w:spacing w:line="360" w:lineRule="auto"/>
        <w:rPr>
          <w:rFonts w:hint="default" w:ascii="Times New Roman" w:hAnsi="Times New Roman" w:cs="Times New Roman"/>
          <w:b/>
          <w:color w:val="0000FF"/>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9C97C76">
      <w:pPr>
        <w:pStyle w:val="26"/>
        <w:jc w:val="center"/>
        <w:outlineLvl w:val="0"/>
        <w:rPr>
          <w:rFonts w:hint="default" w:ascii="Times New Roman" w:hAnsi="Times New Roman" w:eastAsia="黑体" w:cs="Times New Roman"/>
          <w:snapToGrid w:val="0"/>
          <w:color w:val="auto"/>
          <w:sz w:val="30"/>
          <w:szCs w:val="30"/>
          <w:highlight w:val="none"/>
          <w:lang w:val="en-US" w:eastAsia="zh-CN"/>
        </w:rPr>
      </w:pPr>
      <w:bookmarkStart w:id="23" w:name="_Toc2922"/>
      <w:r>
        <w:rPr>
          <w:rFonts w:hint="default" w:ascii="Times New Roman" w:hAnsi="Times New Roman" w:eastAsia="黑体" w:cs="Times New Roman"/>
          <w:snapToGrid w:val="0"/>
          <w:color w:val="auto"/>
          <w:sz w:val="30"/>
          <w:szCs w:val="30"/>
          <w:highlight w:val="none"/>
          <w:lang w:val="en-US" w:eastAsia="zh-CN"/>
        </w:rPr>
        <w:t>五、主要生态环境保护措施</w:t>
      </w:r>
      <w:bookmarkEnd w:id="23"/>
    </w:p>
    <w:tbl>
      <w:tblPr>
        <w:tblStyle w:val="30"/>
        <w:tblW w:w="95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8865"/>
      </w:tblGrid>
      <w:tr w14:paraId="43E915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659" w:type="dxa"/>
            <w:noWrap w:val="0"/>
            <w:tcMar>
              <w:left w:w="28" w:type="dxa"/>
              <w:right w:w="28" w:type="dxa"/>
            </w:tcMar>
            <w:vAlign w:val="center"/>
          </w:tcPr>
          <w:p w14:paraId="157F9BCA">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FF"/>
                <w:kern w:val="2"/>
                <w:sz w:val="24"/>
                <w:szCs w:val="24"/>
                <w:highlight w:val="none"/>
              </w:rPr>
            </w:pPr>
            <w:r>
              <w:rPr>
                <w:rFonts w:hint="default" w:ascii="Times New Roman" w:hAnsi="Times New Roman" w:cs="Times New Roman"/>
                <w:color w:val="auto"/>
                <w:kern w:val="2"/>
                <w:sz w:val="24"/>
                <w:szCs w:val="24"/>
                <w:highlight w:val="none"/>
              </w:rPr>
              <w:t>施工期</w:t>
            </w:r>
            <w:r>
              <w:rPr>
                <w:rFonts w:hint="default" w:ascii="Times New Roman" w:hAnsi="Times New Roman" w:cs="Times New Roman"/>
                <w:color w:val="auto"/>
                <w:kern w:val="2"/>
                <w:sz w:val="24"/>
                <w:szCs w:val="24"/>
                <w:highlight w:val="none"/>
                <w:lang w:val="en-US" w:eastAsia="zh-CN"/>
              </w:rPr>
              <w:t>生态</w:t>
            </w:r>
            <w:r>
              <w:rPr>
                <w:rFonts w:hint="default" w:ascii="Times New Roman" w:hAnsi="Times New Roman" w:cs="Times New Roman"/>
                <w:color w:val="auto"/>
                <w:kern w:val="2"/>
                <w:sz w:val="24"/>
                <w:szCs w:val="24"/>
                <w:highlight w:val="none"/>
              </w:rPr>
              <w:t>环境保护措施</w:t>
            </w:r>
          </w:p>
        </w:tc>
        <w:tc>
          <w:tcPr>
            <w:tcW w:w="8865" w:type="dxa"/>
            <w:noWrap w:val="0"/>
            <w:vAlign w:val="center"/>
          </w:tcPr>
          <w:p w14:paraId="374633C5">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10"/>
                <w:sz w:val="24"/>
                <w:szCs w:val="24"/>
                <w:highlight w:val="none"/>
                <w:lang w:val="en-US" w:eastAsia="zh-CN"/>
              </w:rPr>
            </w:pPr>
            <w:r>
              <w:rPr>
                <w:rFonts w:hint="default" w:ascii="Times New Roman" w:hAnsi="Times New Roman" w:eastAsia="宋体" w:cs="Times New Roman"/>
                <w:b/>
                <w:bCs/>
                <w:color w:val="auto"/>
                <w:spacing w:val="-10"/>
                <w:sz w:val="24"/>
                <w:szCs w:val="24"/>
                <w:highlight w:val="none"/>
                <w:lang w:val="en-US" w:eastAsia="zh-CN"/>
              </w:rPr>
              <w:t>1、</w:t>
            </w:r>
            <w:r>
              <w:rPr>
                <w:rFonts w:hint="default" w:ascii="Times New Roman" w:hAnsi="Times New Roman" w:cs="Times New Roman"/>
                <w:b/>
                <w:bCs/>
                <w:color w:val="auto"/>
                <w:spacing w:val="-10"/>
                <w:sz w:val="24"/>
                <w:szCs w:val="24"/>
                <w:highlight w:val="none"/>
                <w:lang w:val="en-US" w:eastAsia="zh-CN"/>
              </w:rPr>
              <w:t>生态</w:t>
            </w:r>
            <w:r>
              <w:rPr>
                <w:rFonts w:hint="default" w:ascii="Times New Roman" w:hAnsi="Times New Roman" w:eastAsia="宋体" w:cs="Times New Roman"/>
                <w:b/>
                <w:bCs/>
                <w:color w:val="auto"/>
                <w:spacing w:val="-10"/>
                <w:sz w:val="24"/>
                <w:szCs w:val="24"/>
                <w:highlight w:val="none"/>
                <w:lang w:val="en-US" w:eastAsia="zh-CN"/>
              </w:rPr>
              <w:t>环境保护措施</w:t>
            </w:r>
          </w:p>
          <w:p w14:paraId="158D5B8E">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（1）土地占用保护措施</w:t>
            </w:r>
          </w:p>
          <w:p w14:paraId="78DD0BB7">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建设单位应以合同形式要求施工单位在施工过程中严格按照设计要求，控制开挖范围及开挖量，将施工活动限制在施工临时占地范围以内，施工过程严格规定施工人员进入项目区的路径及施工机具的放置场地：施工期间，建筑垃圾集中收集后日产日清，不得对施工区域以外的土地造成影响，从面对生态环境产生影响：项目施工区域内不设弃土场，最大限度减小对沙丘扰动。</w:t>
            </w:r>
          </w:p>
          <w:p w14:paraId="3FF3FEBA">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施工过程中需严格限制施工用地，避免随意扩大施工用地。施工完毕后及时清理并进行土地整治。施工期加强管理，临时占地面积要控制在最低限度，尽可能不破坏原有的地表植被和土壤，以免造成土壤与植被的大面积破坏，使原本脆弱的生态系统受到威胁。</w:t>
            </w:r>
          </w:p>
          <w:p w14:paraId="7EA98A5D">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eastAsia="宋体" w:cs="Times New Roman"/>
                <w:color w:val="auto"/>
                <w:spacing w:val="-1"/>
                <w:lang w:val="en-US" w:eastAsia="zh-CN"/>
              </w:rPr>
            </w:pPr>
            <w:r>
              <w:rPr>
                <w:rFonts w:hint="default" w:ascii="Times New Roman" w:hAnsi="Times New Roman" w:eastAsia="宋体" w:cs="Times New Roman"/>
                <w:color w:val="auto"/>
                <w:spacing w:val="-1"/>
                <w:lang w:val="en-US" w:eastAsia="zh-CN"/>
              </w:rPr>
              <w:t>（</w:t>
            </w:r>
            <w:r>
              <w:rPr>
                <w:rFonts w:hint="default" w:ascii="Times New Roman" w:hAnsi="Times New Roman" w:cs="Times New Roman"/>
                <w:color w:val="auto"/>
                <w:spacing w:val="-1"/>
                <w:lang w:val="en-US" w:eastAsia="zh-CN"/>
              </w:rPr>
              <w:t>2</w:t>
            </w:r>
            <w:r>
              <w:rPr>
                <w:rFonts w:hint="default" w:ascii="Times New Roman" w:hAnsi="Times New Roman" w:eastAsia="宋体" w:cs="Times New Roman"/>
                <w:color w:val="auto"/>
                <w:spacing w:val="-1"/>
                <w:lang w:val="en-US" w:eastAsia="zh-CN"/>
              </w:rPr>
              <w:t>）动物资源保护措施</w:t>
            </w:r>
          </w:p>
          <w:p w14:paraId="7E3E5949">
            <w:pPr>
              <w:pStyle w:val="105"/>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①</w:t>
            </w:r>
            <w:r>
              <w:rPr>
                <w:rFonts w:hint="default" w:ascii="Times New Roman" w:hAnsi="Times New Roman" w:cs="Times New Roman"/>
                <w:color w:val="auto"/>
                <w:lang w:eastAsia="zh-CN"/>
              </w:rPr>
              <w:t>加强法制教育和管理，全面贯彻执行《中华人民共和国野生动物保护法》等法律法规，增强施工人员的环境保护意识，严禁非法猎捕珍稀野生动物，禁止施工人员捕食鸟类，以减轻施工对当地野生动物的影响。</w:t>
            </w:r>
          </w:p>
          <w:p w14:paraId="63F3711E">
            <w:pPr>
              <w:pStyle w:val="105"/>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②</w:t>
            </w:r>
            <w:r>
              <w:rPr>
                <w:rFonts w:hint="default" w:ascii="Times New Roman" w:hAnsi="Times New Roman" w:cs="Times New Roman"/>
                <w:color w:val="auto"/>
                <w:lang w:eastAsia="zh-CN"/>
              </w:rPr>
              <w:t>控制和降低施工噪声，尽量降低工程施工对野生动物的影响。</w:t>
            </w:r>
          </w:p>
          <w:p w14:paraId="3B3B96EB">
            <w:pPr>
              <w:pStyle w:val="105"/>
              <w:keepNext w:val="0"/>
              <w:keepLines w:val="0"/>
              <w:suppressLineNumbers w:val="0"/>
              <w:shd w:val="clear" w:color="auto" w:fill="auto"/>
              <w:kinsoku/>
              <w:overflowPunct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pacing w:val="-1"/>
                <w:lang w:val="en-US" w:eastAsia="zh-CN"/>
              </w:rPr>
            </w:pPr>
            <w:r>
              <w:rPr>
                <w:rFonts w:hint="default" w:ascii="Times New Roman" w:hAnsi="Times New Roman" w:cs="Times New Roman"/>
                <w:color w:val="auto"/>
                <w:lang w:val="en-US" w:eastAsia="zh-CN"/>
              </w:rPr>
              <w:t>③</w:t>
            </w:r>
            <w:r>
              <w:rPr>
                <w:rFonts w:hint="default" w:ascii="Times New Roman" w:hAnsi="Times New Roman" w:cs="Times New Roman"/>
                <w:color w:val="auto"/>
                <w:lang w:eastAsia="zh-CN"/>
              </w:rPr>
              <w:t>在野生动物活动较为频繁的季节，观察工程对野生动物的影响，并结</w:t>
            </w:r>
            <w:r>
              <w:rPr>
                <w:rFonts w:hint="default" w:ascii="Times New Roman" w:hAnsi="Times New Roman" w:cs="Times New Roman"/>
                <w:color w:val="auto"/>
                <w:spacing w:val="3"/>
                <w:lang w:eastAsia="zh-CN"/>
              </w:rPr>
              <w:t>合相关生态管理活动的开展，对工程周围区域的动物进行调查，以实时了解工程</w:t>
            </w:r>
            <w:r>
              <w:rPr>
                <w:rFonts w:hint="default" w:ascii="Times New Roman" w:hAnsi="Times New Roman" w:cs="Times New Roman"/>
                <w:color w:val="auto"/>
                <w:spacing w:val="-1"/>
                <w:lang w:eastAsia="zh-CN"/>
              </w:rPr>
              <w:t>对区域生态环境的影响。</w:t>
            </w:r>
          </w:p>
          <w:p w14:paraId="27711070">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（3）植物保护措施</w:t>
            </w:r>
          </w:p>
          <w:p w14:paraId="2772CD36">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在占地范围内进行施工和运行，文明施工，严禁踩踏施工区域外地表植被。严格限制施工范围，应注意保护邻近植被。严格规定施工车辆的行驶路线，防止施工车辆在有植被的地段任意行驶。禁止乱压乱碾，尽可能减少对植被的扰动。施工过程临时表土堆放区、临时挖方堆场均设置在占地范围内，施工便道依托已有道路。只要施工结束，建设单位及时开展生态恢复</w:t>
            </w:r>
            <w:r>
              <w:rPr>
                <w:rFonts w:hint="eastAsia" w:ascii="Times New Roman" w:cs="Times New Roman"/>
                <w:b w:val="0"/>
                <w:bCs/>
                <w:color w:val="auto"/>
                <w:kern w:val="0"/>
                <w:sz w:val="24"/>
                <w:szCs w:val="24"/>
                <w:highlight w:val="none"/>
                <w:lang w:val="en-US" w:eastAsia="zh-CN"/>
              </w:rPr>
              <w:t>，恢复至原状</w:t>
            </w:r>
            <w:r>
              <w:rPr>
                <w:rFonts w:hint="default" w:ascii="Times New Roman" w:hAnsi="Times New Roman" w:eastAsia="宋体" w:cs="Times New Roman"/>
                <w:b w:val="0"/>
                <w:bCs/>
                <w:color w:val="auto"/>
                <w:kern w:val="0"/>
                <w:sz w:val="24"/>
                <w:szCs w:val="24"/>
                <w:highlight w:val="none"/>
                <w:lang w:val="en-US" w:eastAsia="zh-CN"/>
              </w:rPr>
              <w:t>。本项目建设对当地植被的总体影响可控。</w:t>
            </w:r>
          </w:p>
          <w:p w14:paraId="679C1C92">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w:t>
            </w:r>
            <w:r>
              <w:rPr>
                <w:rFonts w:hint="default" w:ascii="Times New Roman" w:hAnsi="Times New Roman" w:cs="Times New Roman"/>
                <w:b w:val="0"/>
                <w:bCs/>
                <w:color w:val="auto"/>
                <w:kern w:val="0"/>
                <w:sz w:val="24"/>
                <w:szCs w:val="24"/>
                <w:highlight w:val="none"/>
                <w:lang w:val="en-US" w:eastAsia="zh-CN"/>
              </w:rPr>
              <w:t>4</w:t>
            </w:r>
            <w:r>
              <w:rPr>
                <w:rFonts w:hint="default" w:ascii="Times New Roman" w:hAnsi="Times New Roman" w:eastAsia="宋体" w:cs="Times New Roman"/>
                <w:b w:val="0"/>
                <w:bCs/>
                <w:color w:val="auto"/>
                <w:kern w:val="0"/>
                <w:sz w:val="24"/>
                <w:szCs w:val="24"/>
                <w:highlight w:val="none"/>
                <w:lang w:val="en-US" w:eastAsia="zh-CN"/>
              </w:rPr>
              <w:t>）水土流失防治措施</w:t>
            </w:r>
          </w:p>
          <w:p w14:paraId="08E3F910">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为了进一步减缓项目的水土流失情况，建设单位采取如下措施：</w:t>
            </w:r>
          </w:p>
          <w:p w14:paraId="304B803E">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①施工期应注意选择适宜的施工季节，尽量避免在雨季施工，并准备一定数量的遮盖物，遇突发雨天、台风天气时遮盖挖填土的作业面；</w:t>
            </w:r>
          </w:p>
          <w:p w14:paraId="418E0687">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②施工单位在施工中应先行修建挡土墙、排水设施等水土保持措施，将生、熟土分开堆放，回填时先回填生土，再将熟土置于表层（有利于施工完成后植被恢复，防止水土流失）；</w:t>
            </w:r>
          </w:p>
          <w:p w14:paraId="68CB6AAC">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③施工时开挖的土石方不允许就地倾倒，应采取回填或异地回填，临时堆土应在表面覆上苫布防治水土流失；</w:t>
            </w:r>
          </w:p>
          <w:p w14:paraId="146482C5">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④加强施工期的施工管理，合理安排施工时序，做好临时堆土的围护拦挡；</w:t>
            </w:r>
          </w:p>
          <w:p w14:paraId="7C2B04C1">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⑤施工区域的可绿化面积应在施工后及时恢复植被</w:t>
            </w:r>
            <w:r>
              <w:rPr>
                <w:rFonts w:hint="eastAsia" w:ascii="Times New Roman" w:cs="Times New Roman"/>
                <w:b w:val="0"/>
                <w:bCs/>
                <w:color w:val="auto"/>
                <w:kern w:val="0"/>
                <w:sz w:val="24"/>
                <w:szCs w:val="24"/>
                <w:highlight w:val="none"/>
                <w:lang w:val="en-US" w:eastAsia="zh-CN"/>
              </w:rPr>
              <w:t>原状</w:t>
            </w:r>
            <w:r>
              <w:rPr>
                <w:rFonts w:hint="default" w:ascii="Times New Roman" w:hAnsi="Times New Roman" w:eastAsia="宋体" w:cs="Times New Roman"/>
                <w:b w:val="0"/>
                <w:bCs/>
                <w:color w:val="auto"/>
                <w:kern w:val="0"/>
                <w:sz w:val="24"/>
                <w:szCs w:val="24"/>
                <w:highlight w:val="none"/>
                <w:lang w:val="en-US" w:eastAsia="zh-CN"/>
              </w:rPr>
              <w:t>，防止水土流失。</w:t>
            </w:r>
          </w:p>
          <w:p w14:paraId="46FCE23F">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通过加强对施工期的管理，并切实落实了以上环保措施，有效地减少了水土流失情况。</w:t>
            </w:r>
          </w:p>
          <w:p w14:paraId="517F1BE9">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10"/>
                <w:sz w:val="24"/>
                <w:szCs w:val="24"/>
                <w:highlight w:val="none"/>
                <w:lang w:val="en-US" w:eastAsia="zh-CN"/>
              </w:rPr>
            </w:pPr>
            <w:r>
              <w:rPr>
                <w:rFonts w:hint="default" w:ascii="Times New Roman" w:hAnsi="Times New Roman" w:eastAsia="宋体" w:cs="Times New Roman"/>
                <w:b/>
                <w:bCs/>
                <w:color w:val="auto"/>
                <w:spacing w:val="-10"/>
                <w:sz w:val="24"/>
                <w:szCs w:val="24"/>
                <w:highlight w:val="none"/>
                <w:lang w:val="en-US" w:eastAsia="zh-CN"/>
              </w:rPr>
              <w:t>2、施工期</w:t>
            </w:r>
            <w:r>
              <w:rPr>
                <w:rFonts w:hint="default" w:ascii="Times New Roman" w:hAnsi="Times New Roman" w:cs="Times New Roman"/>
                <w:b/>
                <w:bCs/>
                <w:color w:val="auto"/>
                <w:spacing w:val="-10"/>
                <w:sz w:val="24"/>
                <w:szCs w:val="24"/>
                <w:highlight w:val="none"/>
                <w:lang w:val="en-US" w:eastAsia="zh-CN"/>
              </w:rPr>
              <w:t>声</w:t>
            </w:r>
            <w:r>
              <w:rPr>
                <w:rFonts w:hint="default" w:ascii="Times New Roman" w:hAnsi="Times New Roman" w:eastAsia="宋体" w:cs="Times New Roman"/>
                <w:b/>
                <w:bCs/>
                <w:color w:val="auto"/>
                <w:spacing w:val="-10"/>
                <w:sz w:val="24"/>
                <w:szCs w:val="24"/>
                <w:highlight w:val="none"/>
                <w:lang w:val="en-US" w:eastAsia="zh-CN"/>
              </w:rPr>
              <w:t>环境保护措施</w:t>
            </w:r>
          </w:p>
          <w:p w14:paraId="030D1EEE">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施工期间，施工机械通常是组合使用的，噪声影响将比预测值大。因此，施工期间必须按《建筑施工噪声排放</w:t>
            </w:r>
            <w:r>
              <w:rPr>
                <w:rFonts w:hint="eastAsia" w:ascii="Times New Roman" w:cs="Times New Roman"/>
                <w:b w:val="0"/>
                <w:bCs/>
                <w:color w:val="auto"/>
                <w:kern w:val="0"/>
                <w:sz w:val="24"/>
                <w:szCs w:val="24"/>
                <w:highlight w:val="none"/>
                <w:lang w:val="en-US" w:eastAsia="zh-CN"/>
              </w:rPr>
              <w:t>标准</w:t>
            </w:r>
            <w:r>
              <w:rPr>
                <w:rFonts w:hint="default" w:ascii="Times New Roman" w:hAnsi="Times New Roman" w:eastAsia="宋体" w:cs="Times New Roman"/>
                <w:b w:val="0"/>
                <w:bCs/>
                <w:color w:val="auto"/>
                <w:kern w:val="0"/>
                <w:sz w:val="24"/>
                <w:szCs w:val="24"/>
                <w:highlight w:val="none"/>
                <w:lang w:val="en-US" w:eastAsia="zh-CN"/>
              </w:rPr>
              <w:t>》（GB12523-2025）的规定，进行施工时段、施工噪声声级的控制。施工单位应落实以下噪声污染防治措施。</w:t>
            </w:r>
          </w:p>
          <w:p w14:paraId="50A96E59">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（1）施工单位应采用噪声水平满足国家相应标准的优质低噪声施工机械设备，加强施工机械的维修、管理，保证施工机械处于低噪声、高效率的良好工作状态。 </w:t>
            </w:r>
          </w:p>
          <w:p w14:paraId="0814FED6">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（2）合理设置施工车辆运输路线，尽量避开居民聚集区。 </w:t>
            </w:r>
          </w:p>
          <w:p w14:paraId="12B7F094">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（3）合理控制施工时间，尽量避免夜间施工作业。 </w:t>
            </w:r>
          </w:p>
          <w:p w14:paraId="55EA6282">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（4）加强施工管理，模板、脚手架等支拆、搬运、修理应轻拿轻放，修理时禁止使用大锤敲打，尽量降低人为产生的噪声等。 </w:t>
            </w:r>
          </w:p>
          <w:p w14:paraId="35642713">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综上所述，本工程施工期的噪声对周边环境的影响能够控制在标准范围之内，并且施工结束后施工噪声影响也随之消失。 </w:t>
            </w:r>
          </w:p>
          <w:p w14:paraId="117AD494">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10"/>
                <w:sz w:val="24"/>
                <w:szCs w:val="24"/>
                <w:highlight w:val="none"/>
                <w:lang w:val="en-US" w:eastAsia="zh-CN"/>
              </w:rPr>
            </w:pPr>
            <w:r>
              <w:rPr>
                <w:rFonts w:hint="default" w:ascii="Times New Roman" w:hAnsi="Times New Roman" w:eastAsia="宋体" w:cs="Times New Roman"/>
                <w:b/>
                <w:bCs/>
                <w:color w:val="auto"/>
                <w:spacing w:val="-10"/>
                <w:sz w:val="24"/>
                <w:szCs w:val="24"/>
                <w:highlight w:val="none"/>
                <w:lang w:val="en-US" w:eastAsia="zh-CN"/>
              </w:rPr>
              <w:t>3、施工期</w:t>
            </w:r>
            <w:r>
              <w:rPr>
                <w:rFonts w:hint="default" w:ascii="Times New Roman" w:hAnsi="Times New Roman" w:cs="Times New Roman"/>
                <w:b/>
                <w:bCs/>
                <w:color w:val="auto"/>
                <w:spacing w:val="-10"/>
                <w:sz w:val="24"/>
                <w:szCs w:val="24"/>
                <w:highlight w:val="none"/>
                <w:lang w:val="en-US" w:eastAsia="zh-CN"/>
              </w:rPr>
              <w:t>水</w:t>
            </w:r>
            <w:r>
              <w:rPr>
                <w:rFonts w:hint="default" w:ascii="Times New Roman" w:hAnsi="Times New Roman" w:eastAsia="宋体" w:cs="Times New Roman"/>
                <w:b/>
                <w:bCs/>
                <w:color w:val="auto"/>
                <w:spacing w:val="-10"/>
                <w:sz w:val="24"/>
                <w:szCs w:val="24"/>
                <w:highlight w:val="none"/>
                <w:lang w:val="en-US" w:eastAsia="zh-CN"/>
              </w:rPr>
              <w:t>环境影响控制措施</w:t>
            </w:r>
          </w:p>
          <w:p w14:paraId="40A9DCFB">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cs="Times New Roman"/>
                <w:b w:val="0"/>
                <w:bCs/>
                <w:color w:val="auto"/>
                <w:kern w:val="0"/>
                <w:sz w:val="24"/>
                <w:szCs w:val="24"/>
                <w:highlight w:val="none"/>
                <w:lang w:eastAsia="zh-CN"/>
              </w:rPr>
              <w:t>（</w:t>
            </w:r>
            <w:r>
              <w:rPr>
                <w:rFonts w:hint="default" w:ascii="Times New Roman" w:hAnsi="Times New Roman" w:cs="Times New Roman"/>
                <w:b w:val="0"/>
                <w:bCs/>
                <w:color w:val="auto"/>
                <w:kern w:val="0"/>
                <w:sz w:val="24"/>
                <w:szCs w:val="24"/>
                <w:highlight w:val="none"/>
                <w:lang w:val="en-US" w:eastAsia="zh-CN"/>
              </w:rPr>
              <w:t>1</w:t>
            </w:r>
            <w:r>
              <w:rPr>
                <w:rFonts w:hint="default" w:ascii="Times New Roman" w:hAnsi="Times New Roman" w:cs="Times New Roman"/>
                <w:b w:val="0"/>
                <w:bCs/>
                <w:color w:val="auto"/>
                <w:kern w:val="0"/>
                <w:sz w:val="24"/>
                <w:szCs w:val="24"/>
                <w:highlight w:val="none"/>
                <w:lang w:eastAsia="zh-CN"/>
              </w:rPr>
              <w:t>）</w:t>
            </w:r>
            <w:r>
              <w:rPr>
                <w:rFonts w:hint="default" w:ascii="Times New Roman" w:hAnsi="Times New Roman" w:eastAsia="宋体" w:cs="Times New Roman"/>
                <w:b w:val="0"/>
                <w:bCs/>
                <w:color w:val="auto"/>
                <w:kern w:val="0"/>
                <w:sz w:val="24"/>
                <w:szCs w:val="24"/>
                <w:highlight w:val="none"/>
                <w:lang w:eastAsia="zh-CN"/>
              </w:rPr>
              <w:t>本项目</w:t>
            </w:r>
            <w:r>
              <w:rPr>
                <w:rFonts w:hint="default" w:ascii="Times New Roman" w:hAnsi="Times New Roman" w:eastAsia="宋体" w:cs="Times New Roman"/>
                <w:b w:val="0"/>
                <w:bCs/>
                <w:color w:val="auto"/>
                <w:kern w:val="0"/>
                <w:sz w:val="24"/>
                <w:szCs w:val="24"/>
                <w:highlight w:val="none"/>
                <w:lang w:val="en-US" w:eastAsia="zh-CN"/>
              </w:rPr>
              <w:t>施工人员生活污水依托风电场施工</w:t>
            </w:r>
            <w:r>
              <w:rPr>
                <w:rFonts w:hint="default" w:ascii="Times New Roman" w:hAnsi="Times New Roman" w:cs="Times New Roman"/>
                <w:b w:val="0"/>
                <w:bCs/>
                <w:color w:val="auto"/>
                <w:kern w:val="0"/>
                <w:sz w:val="24"/>
                <w:szCs w:val="24"/>
                <w:highlight w:val="none"/>
                <w:lang w:val="en-US" w:eastAsia="zh-CN"/>
              </w:rPr>
              <w:t>生产生活区</w:t>
            </w:r>
            <w:r>
              <w:rPr>
                <w:rFonts w:hint="default" w:ascii="Times New Roman" w:hAnsi="Times New Roman" w:eastAsia="宋体" w:cs="Times New Roman"/>
                <w:b w:val="0"/>
                <w:bCs/>
                <w:color w:val="auto"/>
                <w:kern w:val="0"/>
                <w:sz w:val="24"/>
                <w:szCs w:val="24"/>
                <w:highlight w:val="none"/>
                <w:lang w:val="en-US" w:eastAsia="zh-CN"/>
              </w:rPr>
              <w:t>临时厕所处理后，定期委托环卫部门清掏处理</w:t>
            </w:r>
            <w:r>
              <w:rPr>
                <w:rFonts w:hint="default" w:ascii="Times New Roman" w:hAnsi="Times New Roman" w:eastAsia="宋体" w:cs="Times New Roman"/>
                <w:b w:val="0"/>
                <w:bCs/>
                <w:color w:val="auto"/>
                <w:kern w:val="0"/>
                <w:sz w:val="24"/>
                <w:szCs w:val="24"/>
                <w:highlight w:val="none"/>
                <w:lang w:eastAsia="zh-CN"/>
              </w:rPr>
              <w:t>；</w:t>
            </w:r>
          </w:p>
          <w:p w14:paraId="48C7BEA7">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cs="Times New Roman"/>
                <w:b w:val="0"/>
                <w:bCs/>
                <w:color w:val="auto"/>
                <w:kern w:val="0"/>
                <w:sz w:val="24"/>
                <w:szCs w:val="24"/>
                <w:highlight w:val="none"/>
                <w:lang w:eastAsia="zh-CN"/>
              </w:rPr>
              <w:t>（</w:t>
            </w:r>
            <w:r>
              <w:rPr>
                <w:rFonts w:hint="default" w:ascii="Times New Roman" w:hAnsi="Times New Roman" w:cs="Times New Roman"/>
                <w:b w:val="0"/>
                <w:bCs/>
                <w:color w:val="auto"/>
                <w:kern w:val="0"/>
                <w:sz w:val="24"/>
                <w:szCs w:val="24"/>
                <w:highlight w:val="none"/>
                <w:lang w:val="en-US" w:eastAsia="zh-CN"/>
              </w:rPr>
              <w:t>2</w:t>
            </w:r>
            <w:r>
              <w:rPr>
                <w:rFonts w:hint="default" w:ascii="Times New Roman" w:hAnsi="Times New Roman" w:cs="Times New Roman"/>
                <w:b w:val="0"/>
                <w:bCs/>
                <w:color w:val="auto"/>
                <w:kern w:val="0"/>
                <w:sz w:val="24"/>
                <w:szCs w:val="24"/>
                <w:highlight w:val="none"/>
                <w:lang w:eastAsia="zh-CN"/>
              </w:rPr>
              <w:t>）</w:t>
            </w:r>
            <w:r>
              <w:rPr>
                <w:rFonts w:hint="default" w:ascii="Times New Roman" w:hAnsi="Times New Roman" w:cs="Times New Roman"/>
                <w:b w:val="0"/>
                <w:bCs/>
                <w:color w:val="auto"/>
                <w:kern w:val="0"/>
                <w:sz w:val="24"/>
                <w:szCs w:val="24"/>
                <w:highlight w:val="none"/>
                <w:lang w:val="en-US" w:eastAsia="zh-CN"/>
              </w:rPr>
              <w:t>机械冲洗水经移动式油处理设施处理，其他施工废水通过沉淀池处理，处理后回用于施工场地抑尘。</w:t>
            </w:r>
          </w:p>
          <w:p w14:paraId="26380F80">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cs="Times New Roman"/>
                <w:b w:val="0"/>
                <w:bCs/>
                <w:color w:val="auto"/>
                <w:kern w:val="0"/>
                <w:sz w:val="24"/>
                <w:szCs w:val="24"/>
                <w:highlight w:val="none"/>
                <w:lang w:val="en-US" w:eastAsia="zh-CN"/>
              </w:rPr>
            </w:pPr>
            <w:r>
              <w:rPr>
                <w:rFonts w:hint="default" w:ascii="Times New Roman" w:hAnsi="Times New Roman" w:cs="Times New Roman"/>
                <w:b w:val="0"/>
                <w:bCs/>
                <w:color w:val="auto"/>
                <w:kern w:val="0"/>
                <w:sz w:val="24"/>
                <w:szCs w:val="24"/>
                <w:highlight w:val="none"/>
                <w:lang w:val="en-US" w:eastAsia="zh-CN"/>
              </w:rPr>
              <w:t>（3）对临时土方应加遮盖，并避免在大雨天施工，以防止对土方冲刷，引起地表水浑浊。</w:t>
            </w:r>
          </w:p>
          <w:p w14:paraId="33497569">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cs="Times New Roman"/>
                <w:b w:val="0"/>
                <w:bCs/>
                <w:color w:val="auto"/>
                <w:kern w:val="0"/>
                <w:sz w:val="24"/>
                <w:szCs w:val="24"/>
                <w:highlight w:val="none"/>
                <w:lang w:val="en-US" w:eastAsia="zh-CN"/>
              </w:rPr>
            </w:pPr>
            <w:r>
              <w:rPr>
                <w:rFonts w:hint="default" w:ascii="Times New Roman" w:hAnsi="Times New Roman" w:cs="Times New Roman"/>
                <w:b w:val="0"/>
                <w:bCs/>
                <w:color w:val="auto"/>
                <w:kern w:val="0"/>
                <w:sz w:val="24"/>
                <w:szCs w:val="24"/>
                <w:highlight w:val="none"/>
                <w:lang w:val="en-US" w:eastAsia="zh-CN"/>
              </w:rPr>
              <w:t>在做好上述环保措施的基础上，施工过程中产生的废污水不会对周围水环境产生不良影响。</w:t>
            </w:r>
          </w:p>
          <w:p w14:paraId="2D7858F2">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10"/>
                <w:sz w:val="24"/>
                <w:szCs w:val="24"/>
                <w:highlight w:val="none"/>
                <w:lang w:val="en-US" w:eastAsia="zh-CN"/>
              </w:rPr>
            </w:pPr>
            <w:r>
              <w:rPr>
                <w:rFonts w:hint="default" w:ascii="Times New Roman" w:hAnsi="Times New Roman" w:eastAsia="宋体" w:cs="Times New Roman"/>
                <w:b/>
                <w:bCs/>
                <w:color w:val="auto"/>
                <w:spacing w:val="-10"/>
                <w:sz w:val="24"/>
                <w:szCs w:val="24"/>
                <w:highlight w:val="none"/>
                <w:lang w:val="en-US" w:eastAsia="zh-CN"/>
              </w:rPr>
              <w:t>4、施工</w:t>
            </w:r>
            <w:r>
              <w:rPr>
                <w:rFonts w:hint="default" w:ascii="Times New Roman" w:hAnsi="Times New Roman" w:cs="Times New Roman"/>
                <w:b/>
                <w:bCs/>
                <w:color w:val="auto"/>
                <w:spacing w:val="-10"/>
                <w:sz w:val="24"/>
                <w:szCs w:val="24"/>
                <w:highlight w:val="none"/>
                <w:lang w:val="en-US" w:eastAsia="zh-CN"/>
              </w:rPr>
              <w:t>期</w:t>
            </w:r>
            <w:r>
              <w:rPr>
                <w:rFonts w:hint="default" w:ascii="Times New Roman" w:hAnsi="Times New Roman" w:eastAsia="宋体" w:cs="Times New Roman"/>
                <w:b/>
                <w:bCs/>
                <w:color w:val="auto"/>
                <w:spacing w:val="-10"/>
                <w:sz w:val="24"/>
                <w:szCs w:val="24"/>
                <w:highlight w:val="none"/>
                <w:lang w:val="en-US" w:eastAsia="zh-CN"/>
              </w:rPr>
              <w:t>固体废物影响控制措施</w:t>
            </w:r>
          </w:p>
          <w:p w14:paraId="4D660BBA">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eastAsia="宋体" w:cs="Times New Roman"/>
                <w:color w:val="auto"/>
                <w:spacing w:val="-1"/>
                <w:lang w:val="en-US" w:eastAsia="zh-CN"/>
              </w:rPr>
            </w:pPr>
            <w:r>
              <w:rPr>
                <w:rFonts w:hint="default" w:ascii="Times New Roman" w:hAnsi="Times New Roman" w:eastAsia="宋体" w:cs="Times New Roman"/>
                <w:color w:val="auto"/>
                <w:spacing w:val="-1"/>
                <w:lang w:val="en-US" w:eastAsia="zh-CN"/>
              </w:rPr>
              <w:t>（1）项目基础开挖等产生的废土方大部分回填，其余用于道路铺设，无弃土产生，并及时调配用于场内道路修筑、场地平整等进行综合利用。但应采取临时弃土的临时防护措施，如土袋挡护、拍实、表层覆盖草垫或其它覆盖物，待最终完工后进行土地整治利用。</w:t>
            </w:r>
          </w:p>
          <w:p w14:paraId="6D4B659B">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eastAsia="宋体" w:cs="Times New Roman"/>
                <w:color w:val="auto"/>
                <w:spacing w:val="-1"/>
                <w:lang w:val="en-US" w:eastAsia="zh-CN"/>
              </w:rPr>
            </w:pPr>
            <w:r>
              <w:rPr>
                <w:rFonts w:hint="default" w:ascii="Times New Roman" w:hAnsi="Times New Roman" w:eastAsia="宋体" w:cs="Times New Roman"/>
                <w:color w:val="auto"/>
                <w:spacing w:val="-1"/>
                <w:lang w:val="en-US" w:eastAsia="zh-CN"/>
              </w:rPr>
              <w:t>（2）建筑垃圾分类收集暂存，废弃砂石、混凝土优先风电场内综合利用，废包装物交有关部门回收利用。</w:t>
            </w:r>
          </w:p>
          <w:p w14:paraId="76E7A389">
            <w:pPr>
              <w:pStyle w:val="10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42" w:leftChars="20" w:right="42" w:rightChars="20" w:firstLine="476" w:firstLineChars="200"/>
              <w:jc w:val="both"/>
              <w:textAlignment w:val="baseline"/>
              <w:rPr>
                <w:rFonts w:hint="default" w:ascii="Times New Roman" w:hAnsi="Times New Roman" w:eastAsia="宋体" w:cs="Times New Roman"/>
                <w:color w:val="auto"/>
                <w:spacing w:val="-1"/>
                <w:lang w:val="en-US" w:eastAsia="zh-CN"/>
              </w:rPr>
            </w:pPr>
            <w:r>
              <w:rPr>
                <w:rFonts w:hint="default" w:ascii="Times New Roman" w:hAnsi="Times New Roman" w:eastAsia="宋体" w:cs="Times New Roman"/>
                <w:color w:val="auto"/>
                <w:spacing w:val="-1"/>
                <w:lang w:val="en-US" w:eastAsia="zh-CN"/>
              </w:rPr>
              <w:t>（3）施工人员的生活垃圾及时收集到场内指定的垃圾箱（筒）内，并定期清运至当地环卫部门</w:t>
            </w:r>
            <w:r>
              <w:rPr>
                <w:rFonts w:hint="default" w:ascii="Times New Roman" w:hAnsi="Times New Roman" w:cs="Times New Roman"/>
                <w:color w:val="auto"/>
                <w:spacing w:val="-1"/>
                <w:lang w:val="en-US" w:eastAsia="zh-CN"/>
              </w:rPr>
              <w:t>清运处理</w:t>
            </w:r>
            <w:r>
              <w:rPr>
                <w:rFonts w:hint="default" w:ascii="Times New Roman" w:hAnsi="Times New Roman" w:eastAsia="宋体" w:cs="Times New Roman"/>
                <w:color w:val="auto"/>
                <w:spacing w:val="-1"/>
                <w:lang w:val="en-US" w:eastAsia="zh-CN"/>
              </w:rPr>
              <w:t>。</w:t>
            </w:r>
          </w:p>
          <w:p w14:paraId="002F934A">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10"/>
                <w:sz w:val="24"/>
                <w:szCs w:val="24"/>
                <w:highlight w:val="none"/>
                <w:lang w:val="en-US" w:eastAsia="zh-CN"/>
              </w:rPr>
            </w:pPr>
            <w:r>
              <w:rPr>
                <w:rFonts w:hint="default" w:ascii="Times New Roman" w:hAnsi="Times New Roman" w:eastAsia="宋体" w:cs="Times New Roman"/>
                <w:b/>
                <w:bCs/>
                <w:color w:val="auto"/>
                <w:spacing w:val="-10"/>
                <w:sz w:val="24"/>
                <w:szCs w:val="24"/>
                <w:highlight w:val="none"/>
                <w:lang w:val="en-US" w:eastAsia="zh-CN"/>
              </w:rPr>
              <w:t>5、施工期</w:t>
            </w:r>
            <w:r>
              <w:rPr>
                <w:rFonts w:hint="default" w:ascii="Times New Roman" w:hAnsi="Times New Roman" w:cs="Times New Roman"/>
                <w:b/>
                <w:bCs/>
                <w:color w:val="auto"/>
                <w:spacing w:val="-10"/>
                <w:sz w:val="24"/>
                <w:szCs w:val="24"/>
                <w:highlight w:val="none"/>
                <w:lang w:val="en-US" w:eastAsia="zh-CN"/>
              </w:rPr>
              <w:t>大气</w:t>
            </w:r>
            <w:r>
              <w:rPr>
                <w:rFonts w:hint="default" w:ascii="Times New Roman" w:hAnsi="Times New Roman" w:eastAsia="宋体" w:cs="Times New Roman"/>
                <w:b/>
                <w:bCs/>
                <w:color w:val="auto"/>
                <w:spacing w:val="-10"/>
                <w:sz w:val="24"/>
                <w:szCs w:val="24"/>
                <w:highlight w:val="none"/>
                <w:lang w:val="en-US" w:eastAsia="zh-CN"/>
              </w:rPr>
              <w:t>保护措施</w:t>
            </w:r>
          </w:p>
          <w:p w14:paraId="5A2BF3D1">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（1）施工扬尘 </w:t>
            </w:r>
          </w:p>
          <w:p w14:paraId="6C0629D2">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为减轻施工期间粉尘对周围环境造成的影响，建设单位应采取以下防治措施： </w:t>
            </w:r>
          </w:p>
          <w:p w14:paraId="38B04107">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①加强土方表面压实及定期喷水，并进行遮盖； </w:t>
            </w:r>
          </w:p>
          <w:p w14:paraId="49A13CC3">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②采用外购商品混凝土，减小对环境的影响。 </w:t>
            </w:r>
          </w:p>
          <w:p w14:paraId="03C2F305">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③运输土石方及粉料等施工车辆采取加蓬覆盖，严防物料沿途抛洒、掉落； </w:t>
            </w:r>
          </w:p>
          <w:p w14:paraId="3EC26BDC">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④采取围挡作业，施工结束及时恢复占用场地； </w:t>
            </w:r>
          </w:p>
          <w:p w14:paraId="34965443">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⑤路面撒落的泥土及时清扫。</w:t>
            </w:r>
            <w:r>
              <w:rPr>
                <w:rFonts w:hint="default" w:ascii="Times New Roman" w:hAnsi="Times New Roman" w:eastAsia="宋体" w:cs="Times New Roman"/>
                <w:b w:val="0"/>
                <w:bCs/>
                <w:color w:val="auto"/>
                <w:kern w:val="0"/>
                <w:sz w:val="24"/>
                <w:szCs w:val="24"/>
                <w:highlight w:val="none"/>
                <w:lang w:val="en-US" w:eastAsia="zh-CN"/>
              </w:rPr>
              <w:t>道路洒水抑尘。</w:t>
            </w:r>
          </w:p>
          <w:p w14:paraId="001C1D5B">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（2）汽车尾气 </w:t>
            </w:r>
          </w:p>
          <w:p w14:paraId="647D31AE">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为减轻施工期间汽车尾气对周围环境造成的影响，建设单位应采取以下防治措施： </w:t>
            </w:r>
          </w:p>
          <w:p w14:paraId="10436706">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①在施工过程中采取控制速度，缩短怠速、减速和加速的时间； </w:t>
            </w:r>
          </w:p>
          <w:p w14:paraId="161F47CA">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②加强车辆及施工机械的维护保养，保证不排放黑烟； </w:t>
            </w:r>
          </w:p>
          <w:p w14:paraId="251D244E">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③做好车辆疏导，减轻塞车或车速减低带来的尾气污染</w:t>
            </w:r>
            <w:r>
              <w:rPr>
                <w:rFonts w:hint="default" w:ascii="Times New Roman" w:hAnsi="Times New Roman" w:cs="Times New Roman"/>
                <w:b w:val="0"/>
                <w:bCs/>
                <w:color w:val="auto"/>
                <w:kern w:val="0"/>
                <w:sz w:val="24"/>
                <w:szCs w:val="24"/>
                <w:highlight w:val="none"/>
                <w:lang w:eastAsia="zh-CN"/>
              </w:rPr>
              <w:t>。</w:t>
            </w:r>
          </w:p>
          <w:p w14:paraId="16255DB4">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采取以上措施后，施工期废气对周边环境的影响不大。 </w:t>
            </w:r>
          </w:p>
          <w:p w14:paraId="13DFEF52">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（3）道路扬尘 </w:t>
            </w:r>
          </w:p>
          <w:p w14:paraId="0F0942D3">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据调查，一般施工场地道路往往为临时道路，在施工物料、土石方运输过程会造成路面沉积颗粒物反复扬起、沉降，极易造成新的污染。在采取合理的道路洒水抑尘措施后，对大气环境影响较小。 </w:t>
            </w:r>
          </w:p>
          <w:p w14:paraId="69DFF8D9">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 xml:space="preserve">综上所述，项目在落实上述措施基础上，施工期产生的扬尘、尾气对周围大气环境影响较小，在可接受范围内。 </w:t>
            </w:r>
          </w:p>
          <w:p w14:paraId="43885E71">
            <w:pPr>
              <w:pStyle w:val="65"/>
              <w:keepNext w:val="0"/>
              <w:keepLines w:val="0"/>
              <w:suppressLineNumbers w:val="0"/>
              <w:spacing w:before="0" w:beforeAutospacing="0" w:after="0" w:afterAutospacing="0"/>
              <w:ind w:left="0" w:right="0" w:firstLine="482"/>
              <w:rPr>
                <w:rFonts w:hint="eastAsia" w:ascii="Times New Roman" w:hAnsi="Times New Roman" w:eastAsia="宋体" w:cs="Times New Roman"/>
                <w:b/>
                <w:bCs/>
                <w:color w:val="auto"/>
                <w:spacing w:val="-10"/>
                <w:sz w:val="24"/>
                <w:szCs w:val="24"/>
                <w:highlight w:val="none"/>
                <w:lang w:val="en-US" w:eastAsia="zh-CN"/>
              </w:rPr>
            </w:pPr>
            <w:r>
              <w:rPr>
                <w:rFonts w:hint="eastAsia" w:ascii="Times New Roman" w:hAnsi="Times New Roman" w:eastAsia="宋体" w:cs="Times New Roman"/>
                <w:b/>
                <w:bCs/>
                <w:color w:val="auto"/>
                <w:spacing w:val="-10"/>
                <w:sz w:val="24"/>
                <w:szCs w:val="24"/>
                <w:highlight w:val="none"/>
                <w:lang w:val="en-US" w:eastAsia="zh-CN"/>
              </w:rPr>
              <w:t>6、施工期文物保护措施</w:t>
            </w:r>
          </w:p>
          <w:p w14:paraId="02BE36A2">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eastAsia" w:ascii="Times New Roman" w:cs="Times New Roman"/>
                <w:b w:val="0"/>
                <w:bCs/>
                <w:color w:val="auto"/>
                <w:kern w:val="0"/>
                <w:sz w:val="24"/>
                <w:szCs w:val="24"/>
                <w:highlight w:val="none"/>
                <w:lang w:val="en-US" w:eastAsia="zh-CN"/>
              </w:rPr>
            </w:pPr>
            <w:r>
              <w:rPr>
                <w:rFonts w:hint="eastAsia" w:ascii="Times New Roman" w:cs="Times New Roman"/>
                <w:b w:val="0"/>
                <w:bCs/>
                <w:color w:val="auto"/>
                <w:kern w:val="0"/>
                <w:sz w:val="24"/>
                <w:szCs w:val="24"/>
                <w:highlight w:val="none"/>
                <w:lang w:val="en-US" w:eastAsia="zh-CN"/>
              </w:rPr>
              <w:t>根据额济纳旗文化旅游广电局2026年3月9日出具的《额济纳旗文化旅游广电局关于核查华润新能源额济纳旗100兆瓦风电项目选址坐标范围是否涉及限制因素的复函》（额文旅广函〔2026〕84 号），根据额济纳旗文物保护中心上报的《文物调查工作报告》，该工程用地范围内涉及戈壁、山地等特殊地质地貌区且未发现有任何地表文物证据，未发现任何人类活动留下来的痕迹和遗物。由于文物遗迹埋藏的不确定性，具体是否有地下文物和遗迹情况不确定。</w:t>
            </w:r>
          </w:p>
          <w:p w14:paraId="14DAA721">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eastAsia" w:ascii="Times New Roman" w:cs="Times New Roman"/>
                <w:b w:val="0"/>
                <w:bCs/>
                <w:color w:val="auto"/>
                <w:kern w:val="0"/>
                <w:sz w:val="24"/>
                <w:szCs w:val="24"/>
                <w:highlight w:val="none"/>
                <w:lang w:val="en-US" w:eastAsia="zh-CN"/>
              </w:rPr>
            </w:pPr>
            <w:r>
              <w:rPr>
                <w:rFonts w:hint="eastAsia" w:ascii="Times New Roman" w:cs="Times New Roman"/>
                <w:b w:val="0"/>
                <w:bCs/>
                <w:color w:val="auto"/>
                <w:kern w:val="0"/>
                <w:sz w:val="24"/>
                <w:szCs w:val="24"/>
                <w:highlight w:val="none"/>
                <w:lang w:val="en-US" w:eastAsia="zh-CN"/>
              </w:rPr>
              <w:t>为避免施工活动对附近不可移动文物产生不利影响，项目施工期应采取以下措施：</w:t>
            </w:r>
          </w:p>
          <w:p w14:paraId="0EBBB792">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eastAsia" w:ascii="Times New Roman" w:cs="Times New Roman"/>
                <w:b w:val="0"/>
                <w:bCs/>
                <w:color w:val="auto"/>
                <w:kern w:val="0"/>
                <w:sz w:val="24"/>
                <w:szCs w:val="24"/>
                <w:highlight w:val="none"/>
                <w:lang w:val="en-US" w:eastAsia="zh-CN"/>
              </w:rPr>
            </w:pPr>
            <w:r>
              <w:rPr>
                <w:rFonts w:hint="eastAsia" w:ascii="Times New Roman" w:cs="Times New Roman"/>
                <w:b w:val="0"/>
                <w:bCs/>
                <w:color w:val="auto"/>
                <w:kern w:val="0"/>
                <w:sz w:val="24"/>
                <w:szCs w:val="24"/>
                <w:highlight w:val="none"/>
                <w:lang w:val="en-US" w:eastAsia="zh-CN"/>
              </w:rPr>
              <w:t>（1）在项目落地前，应由有文物资质的勘察部门进行实地勘探后，由鄂温克族自治旗文物局再出具复函。</w:t>
            </w:r>
          </w:p>
          <w:p w14:paraId="065D0CE8">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eastAsia" w:ascii="Times New Roman" w:cs="Times New Roman"/>
                <w:b w:val="0"/>
                <w:bCs/>
                <w:color w:val="auto"/>
                <w:kern w:val="0"/>
                <w:sz w:val="24"/>
                <w:szCs w:val="24"/>
                <w:highlight w:val="none"/>
                <w:lang w:val="en-US" w:eastAsia="zh-CN"/>
              </w:rPr>
            </w:pPr>
            <w:r>
              <w:rPr>
                <w:rFonts w:hint="eastAsia" w:ascii="Times New Roman" w:cs="Times New Roman"/>
                <w:b w:val="0"/>
                <w:bCs/>
                <w:color w:val="auto"/>
                <w:kern w:val="0"/>
                <w:sz w:val="24"/>
                <w:szCs w:val="24"/>
                <w:highlight w:val="none"/>
                <w:lang w:val="en-US" w:eastAsia="zh-CN"/>
              </w:rPr>
              <w:t>（2）加强施工管理，在文物保护区附近施工应设置标识，严格控制施工活动在规划范围内。</w:t>
            </w:r>
          </w:p>
          <w:p w14:paraId="26842264">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eastAsia" w:ascii="Times New Roman" w:cs="Times New Roman"/>
                <w:b w:val="0"/>
                <w:bCs/>
                <w:color w:val="auto"/>
                <w:kern w:val="0"/>
                <w:sz w:val="24"/>
                <w:szCs w:val="24"/>
                <w:highlight w:val="none"/>
                <w:lang w:val="en-US" w:eastAsia="zh-CN"/>
              </w:rPr>
            </w:pPr>
            <w:r>
              <w:rPr>
                <w:rFonts w:hint="eastAsia" w:ascii="Times New Roman" w:cs="Times New Roman"/>
                <w:b w:val="0"/>
                <w:bCs/>
                <w:color w:val="auto"/>
                <w:kern w:val="0"/>
                <w:sz w:val="24"/>
                <w:szCs w:val="24"/>
                <w:highlight w:val="none"/>
                <w:lang w:val="en-US" w:eastAsia="zh-CN"/>
              </w:rPr>
              <w:t>（3）在文物保护单位的保护范围内不得进行其他建设工程或者爆破、钻探、挖掘等作业。但是，因特殊情况需要在文物保护单位的保护范围内进行其他建设工程或者爆破、钻探、挖掘等作业的，必须保证文物保护单位的安全，并经核定公布该文物保护单位的人民政府批准，在批准前应当征得上一级人民政府文物行政部门同意；在全国重点文物保护单位的保护范围内进行其他建设工程或者爆破、钻探、挖掘等作业的，必须经省、自治区、直辖市人民政府批准，在批准前应当征得国务院文物行政部门同意。</w:t>
            </w:r>
          </w:p>
          <w:p w14:paraId="2FE4C6B6">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eastAsia" w:ascii="Times New Roman" w:cs="Times New Roman"/>
                <w:b w:val="0"/>
                <w:bCs/>
                <w:color w:val="auto"/>
                <w:kern w:val="0"/>
                <w:sz w:val="24"/>
                <w:szCs w:val="24"/>
                <w:highlight w:val="none"/>
                <w:lang w:val="en-US" w:eastAsia="zh-CN"/>
              </w:rPr>
            </w:pPr>
            <w:r>
              <w:rPr>
                <w:rFonts w:hint="eastAsia" w:ascii="Times New Roman" w:cs="Times New Roman"/>
                <w:b w:val="0"/>
                <w:bCs/>
                <w:color w:val="auto"/>
                <w:kern w:val="0"/>
                <w:sz w:val="24"/>
                <w:szCs w:val="24"/>
                <w:highlight w:val="none"/>
                <w:lang w:val="en-US" w:eastAsia="zh-CN"/>
              </w:rPr>
              <w:t>（4）在文物保护单位的建设控制地带内进行建设工程，不得破坏文物保护单位的历史风貌。</w:t>
            </w:r>
          </w:p>
          <w:p w14:paraId="38716C7F">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eastAsia" w:ascii="Times New Roman" w:cs="Times New Roman"/>
                <w:b w:val="0"/>
                <w:bCs/>
                <w:color w:val="auto"/>
                <w:kern w:val="0"/>
                <w:sz w:val="24"/>
                <w:szCs w:val="24"/>
                <w:highlight w:val="none"/>
                <w:lang w:val="en-US" w:eastAsia="zh-CN"/>
              </w:rPr>
            </w:pPr>
            <w:r>
              <w:rPr>
                <w:rFonts w:hint="eastAsia" w:ascii="Times New Roman" w:cs="Times New Roman"/>
                <w:b w:val="0"/>
                <w:bCs/>
                <w:color w:val="auto"/>
                <w:kern w:val="0"/>
                <w:sz w:val="24"/>
                <w:szCs w:val="24"/>
                <w:highlight w:val="none"/>
                <w:lang w:val="en-US" w:eastAsia="zh-CN"/>
              </w:rPr>
              <w:t>（5）在文物保护单位的保护范围和建设控制地带内，不得建设污染文物保护单位及其环境的设施，不得进行可能影响文物保护单位安全及其环境的活动。</w:t>
            </w:r>
          </w:p>
          <w:p w14:paraId="7BA61F4E">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eastAsia" w:ascii="Times New Roman" w:cs="Times New Roman"/>
                <w:b w:val="0"/>
                <w:bCs/>
                <w:color w:val="auto"/>
                <w:kern w:val="0"/>
                <w:sz w:val="24"/>
                <w:szCs w:val="24"/>
                <w:highlight w:val="none"/>
                <w:lang w:val="en-US" w:eastAsia="zh-CN"/>
              </w:rPr>
            </w:pPr>
            <w:r>
              <w:rPr>
                <w:rFonts w:hint="eastAsia" w:ascii="Times New Roman" w:cs="Times New Roman"/>
                <w:b w:val="0"/>
                <w:bCs/>
                <w:color w:val="auto"/>
                <w:kern w:val="0"/>
                <w:sz w:val="24"/>
                <w:szCs w:val="24"/>
                <w:highlight w:val="none"/>
                <w:lang w:val="en-US" w:eastAsia="zh-CN"/>
              </w:rPr>
              <w:t>（6）在进行建设工程过程中，若发现文物应当保护现场，立即报告当地文物行政部门，文物行政部门接到报告后，如无特殊情况，应当在二十四小时内赶赴现场，并在七日内提出处理意见。</w:t>
            </w:r>
          </w:p>
          <w:p w14:paraId="28083404">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eastAsia" w:ascii="Times New Roman" w:cs="Times New Roman"/>
                <w:b w:val="0"/>
                <w:bCs/>
                <w:color w:val="auto"/>
                <w:kern w:val="0"/>
                <w:sz w:val="24"/>
                <w:szCs w:val="24"/>
                <w:highlight w:val="none"/>
                <w:lang w:val="en-US" w:eastAsia="zh-CN"/>
              </w:rPr>
              <w:t>（7）如在施工期间发现古墓葬及不可移动文物遗址等，施工方应将具体情况及时上报文化文物管理部门。</w:t>
            </w:r>
          </w:p>
        </w:tc>
      </w:tr>
      <w:tr w14:paraId="708389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659" w:type="dxa"/>
            <w:noWrap w:val="0"/>
            <w:tcMar>
              <w:left w:w="28" w:type="dxa"/>
              <w:right w:w="28" w:type="dxa"/>
            </w:tcMar>
            <w:vAlign w:val="center"/>
          </w:tcPr>
          <w:p w14:paraId="6971680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FF"/>
                <w:kern w:val="2"/>
                <w:sz w:val="24"/>
                <w:szCs w:val="24"/>
                <w:highlight w:val="none"/>
              </w:rPr>
            </w:pPr>
            <w:r>
              <w:rPr>
                <w:rFonts w:hint="default" w:ascii="Times New Roman" w:hAnsi="Times New Roman" w:cs="Times New Roman"/>
                <w:bCs/>
                <w:color w:val="auto"/>
                <w:sz w:val="24"/>
                <w:szCs w:val="24"/>
                <w:highlight w:val="none"/>
              </w:rPr>
              <w:t>运营期</w:t>
            </w:r>
            <w:r>
              <w:rPr>
                <w:rFonts w:hint="default" w:ascii="Times New Roman" w:hAnsi="Times New Roman" w:cs="Times New Roman"/>
                <w:bCs/>
                <w:color w:val="auto"/>
                <w:sz w:val="24"/>
                <w:szCs w:val="24"/>
                <w:highlight w:val="none"/>
                <w:lang w:val="en-US" w:eastAsia="zh-CN"/>
              </w:rPr>
              <w:t>生态</w:t>
            </w:r>
            <w:r>
              <w:rPr>
                <w:rFonts w:hint="default" w:ascii="Times New Roman" w:hAnsi="Times New Roman" w:cs="Times New Roman"/>
                <w:bCs/>
                <w:color w:val="auto"/>
                <w:sz w:val="24"/>
                <w:szCs w:val="24"/>
                <w:highlight w:val="none"/>
              </w:rPr>
              <w:t>环境保护措施</w:t>
            </w:r>
          </w:p>
        </w:tc>
        <w:tc>
          <w:tcPr>
            <w:tcW w:w="8865" w:type="dxa"/>
            <w:noWrap w:val="0"/>
            <w:vAlign w:val="center"/>
          </w:tcPr>
          <w:p w14:paraId="7BBF2A85">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10"/>
                <w:sz w:val="24"/>
                <w:szCs w:val="24"/>
                <w:highlight w:val="none"/>
                <w:lang w:val="en-US" w:eastAsia="zh-CN"/>
              </w:rPr>
            </w:pPr>
            <w:r>
              <w:rPr>
                <w:rFonts w:hint="default" w:ascii="Times New Roman" w:hAnsi="Times New Roman" w:eastAsia="宋体" w:cs="Times New Roman"/>
                <w:b/>
                <w:bCs/>
                <w:color w:val="auto"/>
                <w:spacing w:val="-10"/>
                <w:sz w:val="24"/>
                <w:szCs w:val="24"/>
                <w:highlight w:val="none"/>
                <w:lang w:val="en-US" w:eastAsia="zh-CN"/>
              </w:rPr>
              <w:t>1、</w:t>
            </w:r>
            <w:r>
              <w:rPr>
                <w:rFonts w:hint="default" w:ascii="Times New Roman" w:hAnsi="Times New Roman" w:cs="Times New Roman"/>
                <w:b/>
                <w:bCs/>
                <w:color w:val="auto"/>
                <w:spacing w:val="-10"/>
                <w:sz w:val="24"/>
                <w:szCs w:val="24"/>
                <w:highlight w:val="none"/>
                <w:lang w:val="en-US" w:eastAsia="zh-CN"/>
              </w:rPr>
              <w:t>运营期生态</w:t>
            </w:r>
            <w:r>
              <w:rPr>
                <w:rFonts w:hint="default" w:ascii="Times New Roman" w:hAnsi="Times New Roman" w:eastAsia="宋体" w:cs="Times New Roman"/>
                <w:b/>
                <w:bCs/>
                <w:color w:val="auto"/>
                <w:spacing w:val="-10"/>
                <w:sz w:val="24"/>
                <w:szCs w:val="24"/>
                <w:highlight w:val="none"/>
                <w:lang w:val="en-US" w:eastAsia="zh-CN"/>
              </w:rPr>
              <w:t>环境</w:t>
            </w:r>
            <w:r>
              <w:rPr>
                <w:rFonts w:hint="default" w:ascii="Times New Roman" w:hAnsi="Times New Roman" w:cs="Times New Roman"/>
                <w:b/>
                <w:bCs/>
                <w:color w:val="auto"/>
                <w:spacing w:val="-10"/>
                <w:sz w:val="24"/>
                <w:szCs w:val="24"/>
                <w:highlight w:val="none"/>
                <w:lang w:val="en-US" w:eastAsia="zh-CN"/>
              </w:rPr>
              <w:t>保护措施</w:t>
            </w:r>
          </w:p>
          <w:p w14:paraId="6E64E8C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eastAsia="宋体" w:cs="Times New Roman"/>
                <w:b w:val="0"/>
                <w:bCs/>
                <w:color w:val="auto"/>
                <w:kern w:val="0"/>
                <w:sz w:val="24"/>
                <w:szCs w:val="24"/>
                <w:highlight w:val="none"/>
                <w:lang w:val="en-US" w:eastAsia="zh-CN" w:bidi="ar-SA"/>
              </w:rPr>
              <w:t>施工结束后</w:t>
            </w:r>
            <w:r>
              <w:rPr>
                <w:rFonts w:hint="default" w:ascii="Times New Roman" w:hAnsi="Times New Roman" w:eastAsia="宋体" w:cs="Times New Roman"/>
                <w:color w:val="auto"/>
                <w:sz w:val="24"/>
                <w:szCs w:val="24"/>
                <w:highlight w:val="none"/>
                <w:u w:val="none" w:color="auto"/>
                <w:lang w:val="en-US" w:eastAsia="zh-CN"/>
              </w:rPr>
              <w:t>对临时施工用地进行植被恢复的土地加强抚育管理，使之恢复原有的生态功能。</w:t>
            </w:r>
          </w:p>
          <w:p w14:paraId="54AC8EE0">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加强对维护人员的环保教育，严禁捕猎野生动物，如在工程周围遇到鸟巢鸟蛋、雏鸟和野生动物，需在林业部门和环保部门专业人员的指导下进行妥善安置。</w:t>
            </w:r>
          </w:p>
          <w:p w14:paraId="0E3AD78D">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项目运营期对站内空地进行硬化，除构筑物地面采用硬化和透水砖铺装外</w:t>
            </w:r>
            <w:r>
              <w:rPr>
                <w:rFonts w:hint="default" w:ascii="Times New Roman" w:hAnsi="Times New Roman" w:cs="Times New Roman"/>
                <w:color w:val="auto"/>
                <w:sz w:val="24"/>
                <w:szCs w:val="24"/>
                <w:highlight w:val="none"/>
                <w:lang w:eastAsia="zh-CN"/>
              </w:rPr>
              <w:t>。</w:t>
            </w:r>
          </w:p>
          <w:p w14:paraId="27587E26">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定期对生态保护和防护措施及设施进行检查，及时修复遭破坏的设施，并进行动态调整与更新。</w:t>
            </w:r>
          </w:p>
          <w:p w14:paraId="3827EFBC">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10"/>
                <w:sz w:val="24"/>
                <w:szCs w:val="24"/>
                <w:highlight w:val="none"/>
                <w:lang w:val="en-US" w:eastAsia="zh-CN"/>
              </w:rPr>
            </w:pPr>
            <w:r>
              <w:rPr>
                <w:rFonts w:hint="default" w:ascii="Times New Roman" w:hAnsi="Times New Roman" w:eastAsia="宋体" w:cs="Times New Roman"/>
                <w:b/>
                <w:bCs/>
                <w:color w:val="auto"/>
                <w:spacing w:val="-10"/>
                <w:sz w:val="24"/>
                <w:szCs w:val="24"/>
                <w:highlight w:val="none"/>
                <w:lang w:val="en-US" w:eastAsia="zh-CN"/>
              </w:rPr>
              <w:t>2、</w:t>
            </w:r>
            <w:r>
              <w:rPr>
                <w:rFonts w:hint="default" w:ascii="Times New Roman" w:hAnsi="Times New Roman" w:cs="Times New Roman"/>
                <w:b/>
                <w:bCs/>
                <w:color w:val="auto"/>
                <w:spacing w:val="-10"/>
                <w:sz w:val="24"/>
                <w:szCs w:val="24"/>
                <w:highlight w:val="none"/>
                <w:lang w:val="en-US" w:eastAsia="zh-CN"/>
              </w:rPr>
              <w:t>运营期电磁</w:t>
            </w:r>
            <w:r>
              <w:rPr>
                <w:rFonts w:hint="default" w:ascii="Times New Roman" w:hAnsi="Times New Roman" w:eastAsia="宋体" w:cs="Times New Roman"/>
                <w:b/>
                <w:bCs/>
                <w:color w:val="auto"/>
                <w:spacing w:val="-10"/>
                <w:sz w:val="24"/>
                <w:szCs w:val="24"/>
                <w:highlight w:val="none"/>
                <w:lang w:val="en-US" w:eastAsia="zh-CN"/>
              </w:rPr>
              <w:t>环境</w:t>
            </w:r>
            <w:r>
              <w:rPr>
                <w:rFonts w:hint="default" w:ascii="Times New Roman" w:hAnsi="Times New Roman" w:cs="Times New Roman"/>
                <w:b/>
                <w:bCs/>
                <w:color w:val="auto"/>
                <w:spacing w:val="-10"/>
                <w:sz w:val="24"/>
                <w:szCs w:val="24"/>
                <w:highlight w:val="none"/>
                <w:lang w:val="en-US" w:eastAsia="zh-CN"/>
              </w:rPr>
              <w:t>保护措施</w:t>
            </w:r>
          </w:p>
          <w:p w14:paraId="0C18370D">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auto"/>
                <w:spacing w:val="-10"/>
                <w:sz w:val="24"/>
                <w:szCs w:val="24"/>
                <w:highlight w:val="none"/>
                <w:lang w:val="en-US" w:eastAsia="zh-CN"/>
              </w:rPr>
            </w:pPr>
            <w:r>
              <w:rPr>
                <w:rFonts w:hint="default" w:ascii="Times New Roman" w:hAnsi="Times New Roman" w:cs="Times New Roman"/>
                <w:b w:val="0"/>
                <w:bCs w:val="0"/>
                <w:color w:val="auto"/>
                <w:spacing w:val="-10"/>
                <w:sz w:val="24"/>
                <w:szCs w:val="24"/>
                <w:highlight w:val="none"/>
                <w:lang w:val="en-US" w:eastAsia="zh-CN"/>
              </w:rPr>
              <w:t>（1）选择电磁源强低的设备；合理布局，在满足电气布局设计要求的前提下，加大主变与站界的距离；设置明显的警告标志。</w:t>
            </w:r>
          </w:p>
          <w:p w14:paraId="44974BD7">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auto"/>
                <w:spacing w:val="-10"/>
                <w:sz w:val="24"/>
                <w:szCs w:val="24"/>
                <w:highlight w:val="none"/>
                <w:lang w:val="en-US" w:eastAsia="zh-CN"/>
              </w:rPr>
            </w:pPr>
            <w:r>
              <w:rPr>
                <w:rFonts w:hint="default" w:ascii="Times New Roman" w:hAnsi="Times New Roman" w:cs="Times New Roman"/>
                <w:b w:val="0"/>
                <w:bCs w:val="0"/>
                <w:color w:val="auto"/>
                <w:spacing w:val="-10"/>
                <w:sz w:val="24"/>
                <w:szCs w:val="24"/>
                <w:highlight w:val="none"/>
                <w:lang w:val="en-US" w:eastAsia="zh-CN"/>
              </w:rPr>
              <w:t>（2）建设实体围墙来屏蔽、吸收电磁辐射；加强站区围墙高度等措施来屏蔽、吸收电磁辐射，尽可能减小户外的电磁场强度。</w:t>
            </w:r>
          </w:p>
          <w:p w14:paraId="61FBC481">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auto"/>
                <w:spacing w:val="-10"/>
                <w:sz w:val="24"/>
                <w:szCs w:val="24"/>
                <w:highlight w:val="none"/>
                <w:lang w:val="en-US" w:eastAsia="zh-CN"/>
              </w:rPr>
            </w:pPr>
            <w:r>
              <w:rPr>
                <w:rFonts w:hint="default" w:ascii="Times New Roman" w:hAnsi="Times New Roman" w:cs="Times New Roman"/>
                <w:b w:val="0"/>
                <w:bCs w:val="0"/>
                <w:color w:val="auto"/>
                <w:spacing w:val="-10"/>
                <w:sz w:val="24"/>
                <w:szCs w:val="24"/>
                <w:highlight w:val="none"/>
                <w:lang w:val="en-US" w:eastAsia="zh-CN"/>
              </w:rPr>
              <w:t>（3）在安装高压设备时，保证所有的固定螺栓都可靠拧紧，导电元件尽可能接地、或连接导线电位，提高屏蔽效果。</w:t>
            </w:r>
          </w:p>
          <w:p w14:paraId="52CA606A">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auto"/>
                <w:spacing w:val="-10"/>
                <w:sz w:val="24"/>
                <w:szCs w:val="24"/>
                <w:highlight w:val="none"/>
                <w:lang w:val="en-US" w:eastAsia="zh-CN"/>
              </w:rPr>
            </w:pPr>
            <w:r>
              <w:rPr>
                <w:rFonts w:hint="default" w:ascii="Times New Roman" w:hAnsi="Times New Roman" w:cs="Times New Roman"/>
                <w:b w:val="0"/>
                <w:bCs w:val="0"/>
                <w:color w:val="auto"/>
                <w:spacing w:val="-10"/>
                <w:sz w:val="24"/>
                <w:szCs w:val="24"/>
                <w:highlight w:val="none"/>
                <w:lang w:val="en-US" w:eastAsia="zh-CN"/>
              </w:rPr>
              <w:t>（4）对站内工作人员进行电磁环境知识的培训，减少在高电磁场区的停留时间，以减小电磁场对工作人员的影响。</w:t>
            </w:r>
          </w:p>
          <w:p w14:paraId="15B7D573">
            <w:pPr>
              <w:pStyle w:val="65"/>
              <w:keepNext w:val="0"/>
              <w:keepLines w:val="0"/>
              <w:suppressLineNumbers w:val="0"/>
              <w:spacing w:before="0" w:beforeAutospacing="0" w:after="0" w:afterAutospacing="0"/>
              <w:ind w:left="0" w:right="0" w:firstLine="482"/>
              <w:rPr>
                <w:rFonts w:hint="default" w:ascii="Times New Roman" w:hAnsi="Times New Roman" w:cs="Times New Roman"/>
                <w:b w:val="0"/>
                <w:bCs w:val="0"/>
                <w:color w:val="auto"/>
                <w:spacing w:val="-10"/>
                <w:sz w:val="24"/>
                <w:szCs w:val="24"/>
                <w:highlight w:val="none"/>
                <w:lang w:val="en-US" w:eastAsia="zh-CN"/>
              </w:rPr>
            </w:pPr>
            <w:r>
              <w:rPr>
                <w:rFonts w:hint="default" w:ascii="Times New Roman" w:hAnsi="Times New Roman" w:cs="Times New Roman"/>
                <w:b w:val="0"/>
                <w:bCs w:val="0"/>
                <w:color w:val="auto"/>
                <w:spacing w:val="-10"/>
                <w:sz w:val="24"/>
                <w:szCs w:val="24"/>
                <w:highlight w:val="none"/>
                <w:lang w:val="en-US" w:eastAsia="zh-CN"/>
              </w:rPr>
              <w:t>（5）定期对设备进行维护与检修，经常监测其周围的电磁辐射强度。在确保设备与线路正常运行的情况下，减少放电、电晕等现象的发生，以减少电磁场对周边敏感目标的影响。</w:t>
            </w:r>
          </w:p>
          <w:p w14:paraId="203B718C">
            <w:pPr>
              <w:pStyle w:val="65"/>
              <w:keepNext w:val="0"/>
              <w:keepLines w:val="0"/>
              <w:suppressLineNumbers w:val="0"/>
              <w:spacing w:before="0" w:beforeAutospacing="0" w:after="0" w:afterAutospacing="0"/>
              <w:ind w:left="0" w:right="0" w:firstLine="482"/>
              <w:rPr>
                <w:rFonts w:hint="default" w:ascii="Times New Roman" w:hAnsi="Times New Roman" w:cs="Times New Roman"/>
                <w:b/>
                <w:bCs/>
                <w:color w:val="auto"/>
                <w:spacing w:val="-10"/>
                <w:sz w:val="24"/>
                <w:szCs w:val="24"/>
                <w:highlight w:val="none"/>
                <w:lang w:val="en-US" w:eastAsia="zh-CN"/>
              </w:rPr>
            </w:pPr>
            <w:r>
              <w:rPr>
                <w:rFonts w:hint="default" w:ascii="Times New Roman" w:hAnsi="Times New Roman" w:cs="Times New Roman"/>
                <w:b/>
                <w:bCs/>
                <w:color w:val="auto"/>
                <w:spacing w:val="-10"/>
                <w:sz w:val="24"/>
                <w:szCs w:val="24"/>
                <w:highlight w:val="none"/>
                <w:lang w:val="en-US" w:eastAsia="zh-CN"/>
              </w:rPr>
              <w:t>3、运营期声</w:t>
            </w:r>
            <w:r>
              <w:rPr>
                <w:rFonts w:hint="default" w:ascii="Times New Roman" w:hAnsi="Times New Roman" w:eastAsia="宋体" w:cs="Times New Roman"/>
                <w:b/>
                <w:bCs/>
                <w:color w:val="auto"/>
                <w:spacing w:val="-10"/>
                <w:sz w:val="24"/>
                <w:szCs w:val="24"/>
                <w:highlight w:val="none"/>
                <w:lang w:val="en-US" w:eastAsia="zh-CN"/>
              </w:rPr>
              <w:t>环境</w:t>
            </w:r>
            <w:r>
              <w:rPr>
                <w:rFonts w:hint="default" w:ascii="Times New Roman" w:hAnsi="Times New Roman" w:cs="Times New Roman"/>
                <w:b/>
                <w:bCs/>
                <w:color w:val="auto"/>
                <w:spacing w:val="-10"/>
                <w:sz w:val="24"/>
                <w:szCs w:val="24"/>
                <w:highlight w:val="none"/>
                <w:lang w:val="en-US" w:eastAsia="zh-CN"/>
              </w:rPr>
              <w:t xml:space="preserve">保护措施 </w:t>
            </w:r>
          </w:p>
          <w:p w14:paraId="6ED10E08">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z w:val="24"/>
                <w:szCs w:val="24"/>
                <w:highlight w:val="none"/>
                <w:u w:val="none" w:color="auto"/>
                <w:lang w:val="en-US" w:eastAsia="zh-CN"/>
              </w:rPr>
            </w:pPr>
            <w:r>
              <w:rPr>
                <w:rFonts w:hint="default" w:ascii="Times New Roman" w:hAnsi="Times New Roman" w:cs="Times New Roman"/>
                <w:color w:val="auto"/>
                <w:sz w:val="24"/>
                <w:szCs w:val="24"/>
                <w:highlight w:val="none"/>
                <w:u w:val="none" w:color="auto"/>
                <w:lang w:val="en-US" w:eastAsia="zh-CN"/>
              </w:rPr>
              <w:t>（1）站界四周建有围墙隔声。站内选用低噪声设备，加强维护管理，确保设备在正常状态下运行。</w:t>
            </w:r>
          </w:p>
          <w:p w14:paraId="532A3A08">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z w:val="24"/>
                <w:szCs w:val="24"/>
                <w:highlight w:val="none"/>
                <w:u w:val="none" w:color="auto"/>
                <w:lang w:val="en-US" w:eastAsia="zh-CN"/>
              </w:rPr>
            </w:pPr>
            <w:r>
              <w:rPr>
                <w:rFonts w:hint="default" w:ascii="Times New Roman" w:hAnsi="Times New Roman" w:cs="Times New Roman"/>
                <w:color w:val="auto"/>
                <w:sz w:val="24"/>
                <w:szCs w:val="24"/>
                <w:highlight w:val="none"/>
                <w:u w:val="none" w:color="auto"/>
                <w:lang w:val="en-US" w:eastAsia="zh-CN"/>
              </w:rPr>
              <w:t>（2）合理选择导线截面和相导线结构以降低线路的电晕可听噪声水平。</w:t>
            </w:r>
          </w:p>
          <w:p w14:paraId="37E13579">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z w:val="24"/>
                <w:szCs w:val="24"/>
                <w:highlight w:val="none"/>
                <w:u w:val="none" w:color="auto"/>
                <w:lang w:val="en-US" w:eastAsia="zh-CN"/>
              </w:rPr>
            </w:pPr>
            <w:r>
              <w:rPr>
                <w:rFonts w:hint="default" w:ascii="Times New Roman" w:hAnsi="Times New Roman" w:cs="Times New Roman"/>
                <w:color w:val="auto"/>
                <w:sz w:val="24"/>
                <w:szCs w:val="24"/>
                <w:highlight w:val="none"/>
                <w:u w:val="none" w:color="auto"/>
                <w:lang w:val="en-US" w:eastAsia="zh-CN"/>
              </w:rPr>
              <w:t>（3）选择光滑、不带毛刺的导线，减少电晕放电产生的噪声。</w:t>
            </w:r>
          </w:p>
          <w:p w14:paraId="78BDDE78">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z w:val="24"/>
                <w:szCs w:val="24"/>
                <w:highlight w:val="none"/>
                <w:u w:val="none" w:color="auto"/>
                <w:lang w:val="en-US" w:eastAsia="zh-CN"/>
              </w:rPr>
            </w:pPr>
            <w:r>
              <w:rPr>
                <w:rFonts w:hint="default" w:ascii="Times New Roman" w:hAnsi="Times New Roman" w:cs="Times New Roman"/>
                <w:color w:val="auto"/>
                <w:sz w:val="24"/>
                <w:szCs w:val="24"/>
                <w:highlight w:val="none"/>
                <w:u w:val="none" w:color="auto"/>
                <w:lang w:val="en-US" w:eastAsia="zh-CN"/>
              </w:rPr>
              <w:t>（4）进站道路定期检查与保养路面，对受损路面要及时维修与修复，使路面保持良好状态，减缓因道路破损而增加噪声影响，同时加强该段车辆管理，路过车辆控制车速、严禁鸣笛，严禁超载超速。</w:t>
            </w:r>
          </w:p>
          <w:p w14:paraId="099E39F7">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10"/>
                <w:sz w:val="24"/>
                <w:szCs w:val="24"/>
                <w:highlight w:val="none"/>
                <w:lang w:val="en-US" w:eastAsia="zh-CN"/>
              </w:rPr>
            </w:pPr>
            <w:r>
              <w:rPr>
                <w:rFonts w:hint="default" w:ascii="Times New Roman" w:hAnsi="Times New Roman" w:eastAsia="宋体" w:cs="Times New Roman"/>
                <w:b/>
                <w:bCs/>
                <w:color w:val="auto"/>
                <w:spacing w:val="-10"/>
                <w:sz w:val="24"/>
                <w:szCs w:val="24"/>
                <w:highlight w:val="none"/>
                <w:lang w:val="en-US" w:eastAsia="zh-CN"/>
              </w:rPr>
              <w:t>4、</w:t>
            </w:r>
            <w:r>
              <w:rPr>
                <w:rFonts w:hint="default" w:ascii="Times New Roman" w:hAnsi="Times New Roman" w:cs="Times New Roman"/>
                <w:b/>
                <w:bCs/>
                <w:color w:val="auto"/>
                <w:spacing w:val="-10"/>
                <w:sz w:val="24"/>
                <w:szCs w:val="24"/>
                <w:highlight w:val="none"/>
                <w:lang w:val="en-US" w:eastAsia="zh-CN"/>
              </w:rPr>
              <w:t>运营期水</w:t>
            </w:r>
            <w:r>
              <w:rPr>
                <w:rFonts w:hint="default" w:ascii="Times New Roman" w:hAnsi="Times New Roman" w:eastAsia="宋体" w:cs="Times New Roman"/>
                <w:b/>
                <w:bCs/>
                <w:color w:val="auto"/>
                <w:spacing w:val="-10"/>
                <w:sz w:val="24"/>
                <w:szCs w:val="24"/>
                <w:highlight w:val="none"/>
                <w:lang w:val="en-US" w:eastAsia="zh-CN"/>
              </w:rPr>
              <w:t>环境</w:t>
            </w:r>
            <w:r>
              <w:rPr>
                <w:rFonts w:hint="default" w:ascii="Times New Roman" w:hAnsi="Times New Roman" w:cs="Times New Roman"/>
                <w:b/>
                <w:bCs/>
                <w:color w:val="auto"/>
                <w:spacing w:val="-10"/>
                <w:sz w:val="24"/>
                <w:szCs w:val="24"/>
                <w:highlight w:val="none"/>
                <w:lang w:val="en-US" w:eastAsia="zh-CN"/>
              </w:rPr>
              <w:t>保护措施</w:t>
            </w:r>
          </w:p>
          <w:p w14:paraId="19A0CC1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b w:val="0"/>
                <w:bCs/>
                <w:color w:val="auto"/>
                <w:kern w:val="0"/>
                <w:sz w:val="24"/>
                <w:szCs w:val="24"/>
                <w:highlight w:val="none"/>
                <w:lang w:val="en-US" w:eastAsia="zh-CN" w:bidi="ar-SA"/>
              </w:rPr>
            </w:pPr>
            <w:r>
              <w:rPr>
                <w:rFonts w:hint="default" w:ascii="Times New Roman" w:hAnsi="Times New Roman" w:cs="Times New Roman"/>
                <w:b w:val="0"/>
                <w:bCs/>
                <w:color w:val="auto"/>
                <w:kern w:val="0"/>
                <w:sz w:val="24"/>
                <w:szCs w:val="24"/>
                <w:highlight w:val="none"/>
                <w:lang w:val="en-US" w:eastAsia="zh-CN" w:bidi="ar-SA"/>
              </w:rPr>
              <w:t>生活污水排至站内化粪池内，经化粪池处理后进入地埋式一体化污水处理设施处理，处理后中水收集回用于冲洗道路。</w:t>
            </w:r>
          </w:p>
          <w:p w14:paraId="493093AB">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10"/>
                <w:sz w:val="24"/>
                <w:szCs w:val="24"/>
                <w:highlight w:val="none"/>
                <w:lang w:val="en-US" w:eastAsia="zh-CN"/>
              </w:rPr>
            </w:pPr>
            <w:r>
              <w:rPr>
                <w:rFonts w:hint="default" w:ascii="Times New Roman" w:hAnsi="Times New Roman" w:eastAsia="宋体" w:cs="Times New Roman"/>
                <w:b/>
                <w:bCs/>
                <w:color w:val="auto"/>
                <w:spacing w:val="-10"/>
                <w:sz w:val="24"/>
                <w:szCs w:val="24"/>
                <w:highlight w:val="none"/>
                <w:lang w:val="en-US" w:eastAsia="zh-CN"/>
              </w:rPr>
              <w:t>5、</w:t>
            </w:r>
            <w:r>
              <w:rPr>
                <w:rFonts w:hint="default" w:ascii="Times New Roman" w:hAnsi="Times New Roman" w:cs="Times New Roman"/>
                <w:b/>
                <w:bCs/>
                <w:color w:val="auto"/>
                <w:spacing w:val="-10"/>
                <w:sz w:val="24"/>
                <w:szCs w:val="24"/>
                <w:highlight w:val="none"/>
                <w:lang w:val="en-US" w:eastAsia="zh-CN"/>
              </w:rPr>
              <w:t>运营期固废</w:t>
            </w:r>
            <w:r>
              <w:rPr>
                <w:rFonts w:hint="default" w:ascii="Times New Roman" w:hAnsi="Times New Roman" w:eastAsia="宋体" w:cs="Times New Roman"/>
                <w:b/>
                <w:bCs/>
                <w:color w:val="auto"/>
                <w:spacing w:val="-10"/>
                <w:sz w:val="24"/>
                <w:szCs w:val="24"/>
                <w:highlight w:val="none"/>
                <w:lang w:val="en-US" w:eastAsia="zh-CN"/>
              </w:rPr>
              <w:t>环境</w:t>
            </w:r>
            <w:r>
              <w:rPr>
                <w:rFonts w:hint="default" w:ascii="Times New Roman" w:hAnsi="Times New Roman" w:cs="Times New Roman"/>
                <w:b/>
                <w:bCs/>
                <w:color w:val="auto"/>
                <w:spacing w:val="-10"/>
                <w:sz w:val="24"/>
                <w:szCs w:val="24"/>
                <w:highlight w:val="none"/>
                <w:lang w:val="en-US" w:eastAsia="zh-CN"/>
              </w:rPr>
              <w:t>保护措施</w:t>
            </w:r>
          </w:p>
          <w:p w14:paraId="5A5832C6">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生活垃圾：</w:t>
            </w:r>
            <w:r>
              <w:rPr>
                <w:rFonts w:hint="default" w:ascii="Times New Roman" w:hAnsi="Times New Roman" w:eastAsia="宋体" w:cs="Times New Roman"/>
                <w:b w:val="0"/>
                <w:bCs/>
                <w:color w:val="auto"/>
                <w:kern w:val="0"/>
                <w:sz w:val="24"/>
                <w:szCs w:val="24"/>
                <w:highlight w:val="none"/>
                <w:lang w:val="en-US" w:eastAsia="zh-CN" w:bidi="ar-SA"/>
              </w:rPr>
              <w:t>生活垃圾设置</w:t>
            </w:r>
            <w:r>
              <w:rPr>
                <w:rFonts w:hint="default" w:ascii="Times New Roman" w:hAnsi="Times New Roman" w:cs="Times New Roman"/>
                <w:b w:val="0"/>
                <w:bCs/>
                <w:color w:val="auto"/>
                <w:kern w:val="0"/>
                <w:sz w:val="24"/>
                <w:szCs w:val="24"/>
                <w:highlight w:val="none"/>
                <w:lang w:val="en-US" w:eastAsia="zh-CN" w:bidi="ar-SA"/>
              </w:rPr>
              <w:t>生活垃圾桶</w:t>
            </w:r>
            <w:r>
              <w:rPr>
                <w:rFonts w:hint="default" w:ascii="Times New Roman" w:hAnsi="Times New Roman" w:eastAsia="宋体" w:cs="Times New Roman"/>
                <w:b w:val="0"/>
                <w:bCs/>
                <w:color w:val="auto"/>
                <w:kern w:val="0"/>
                <w:sz w:val="24"/>
                <w:szCs w:val="24"/>
                <w:highlight w:val="none"/>
                <w:lang w:val="en-US" w:eastAsia="zh-CN" w:bidi="ar-SA"/>
              </w:rPr>
              <w:t>分类收集，后由环卫部门定期清运</w:t>
            </w:r>
            <w:r>
              <w:rPr>
                <w:rFonts w:hint="default" w:ascii="Times New Roman" w:hAnsi="Times New Roman" w:cs="Times New Roman"/>
                <w:b w:val="0"/>
                <w:bCs/>
                <w:color w:val="auto"/>
                <w:kern w:val="0"/>
                <w:sz w:val="24"/>
                <w:szCs w:val="24"/>
                <w:highlight w:val="none"/>
                <w:lang w:val="en-US" w:eastAsia="zh-CN" w:bidi="ar-SA"/>
              </w:rPr>
              <w:t>；污水处理产生的污泥由环卫部门定期清掏后外运。</w:t>
            </w:r>
          </w:p>
          <w:p w14:paraId="3D28993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危险废物：</w:t>
            </w:r>
            <w:r>
              <w:rPr>
                <w:rFonts w:hint="default" w:ascii="Times New Roman" w:hAnsi="Times New Roman" w:eastAsia="宋体" w:cs="Times New Roman"/>
                <w:color w:val="auto"/>
                <w:sz w:val="24"/>
                <w:szCs w:val="24"/>
                <w:highlight w:val="none"/>
                <w:lang w:val="en-US" w:eastAsia="zh-CN"/>
              </w:rPr>
              <w:t>废铅蓄电池</w:t>
            </w:r>
            <w:r>
              <w:rPr>
                <w:rFonts w:hint="default" w:ascii="Times New Roman" w:hAnsi="Times New Roman" w:cs="Times New Roman"/>
                <w:color w:val="auto"/>
                <w:sz w:val="24"/>
                <w:szCs w:val="24"/>
                <w:highlight w:val="none"/>
                <w:lang w:val="en-US" w:eastAsia="zh-CN"/>
              </w:rPr>
              <w:t>、废润滑油、废润滑油桶以及染废矿物油的抹布、废手套等检修垃圾</w:t>
            </w:r>
            <w:r>
              <w:rPr>
                <w:rFonts w:hint="default" w:ascii="Times New Roman" w:hAnsi="Times New Roman" w:eastAsia="宋体" w:cs="Times New Roman"/>
                <w:color w:val="auto"/>
                <w:sz w:val="24"/>
                <w:szCs w:val="24"/>
                <w:highlight w:val="none"/>
                <w:lang w:val="en-US" w:eastAsia="zh-CN"/>
              </w:rPr>
              <w:t>经集中收集后，</w:t>
            </w:r>
            <w:r>
              <w:rPr>
                <w:rFonts w:hint="default" w:ascii="Times New Roman" w:hAnsi="Times New Roman" w:cs="Times New Roman"/>
                <w:color w:val="auto"/>
                <w:sz w:val="24"/>
                <w:szCs w:val="24"/>
                <w:highlight w:val="none"/>
                <w:lang w:val="en-US" w:eastAsia="zh-CN"/>
              </w:rPr>
              <w:t>分类</w:t>
            </w:r>
            <w:r>
              <w:rPr>
                <w:rFonts w:hint="default" w:ascii="Times New Roman" w:hAnsi="Times New Roman" w:eastAsia="宋体" w:cs="Times New Roman"/>
                <w:color w:val="auto"/>
                <w:sz w:val="24"/>
                <w:szCs w:val="24"/>
                <w:highlight w:val="none"/>
                <w:lang w:val="en-US" w:eastAsia="zh-CN"/>
              </w:rPr>
              <w:t>暂存在危废暂存间内，委托有资质单位定期拉运进行处理。</w:t>
            </w:r>
            <w:r>
              <w:rPr>
                <w:rFonts w:hint="default" w:ascii="Times New Roman" w:hAnsi="Times New Roman" w:eastAsia="宋体" w:cs="Times New Roman"/>
                <w:color w:val="auto"/>
                <w:sz w:val="24"/>
                <w:szCs w:val="24"/>
                <w:highlight w:val="none"/>
              </w:rPr>
              <w:t>事故状态下的废变压器油经变压器下部的排油管道汇入事故油池，委托有资质单位</w:t>
            </w:r>
            <w:r>
              <w:rPr>
                <w:rFonts w:hint="default" w:ascii="Times New Roman" w:hAnsi="Times New Roman" w:cs="Times New Roman"/>
                <w:color w:val="auto"/>
                <w:sz w:val="24"/>
                <w:szCs w:val="24"/>
                <w:highlight w:val="none"/>
                <w:lang w:val="en-US" w:eastAsia="zh-CN"/>
              </w:rPr>
              <w:t>外运</w:t>
            </w:r>
            <w:r>
              <w:rPr>
                <w:rFonts w:hint="default" w:ascii="Times New Roman" w:hAnsi="Times New Roman" w:eastAsia="宋体" w:cs="Times New Roman"/>
                <w:color w:val="auto"/>
                <w:sz w:val="24"/>
                <w:szCs w:val="24"/>
                <w:highlight w:val="none"/>
              </w:rPr>
              <w:t>处置。</w:t>
            </w:r>
          </w:p>
          <w:p w14:paraId="1427F639">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b w:val="0"/>
                <w:bCs/>
                <w:color w:val="auto"/>
                <w:sz w:val="24"/>
                <w:szCs w:val="24"/>
                <w:highlight w:val="none"/>
                <w:lang w:eastAsia="zh-CN"/>
              </w:rPr>
            </w:pPr>
            <w:r>
              <w:rPr>
                <w:rFonts w:hint="eastAsia" w:ascii="Times New Roman" w:cs="Times New Roman"/>
                <w:b w:val="0"/>
                <w:bCs/>
                <w:color w:val="auto"/>
                <w:sz w:val="24"/>
                <w:szCs w:val="24"/>
                <w:highlight w:val="none"/>
                <w:lang w:eastAsia="zh-CN"/>
              </w:rPr>
              <w:t>（</w:t>
            </w:r>
            <w:r>
              <w:rPr>
                <w:rFonts w:hint="eastAsia" w:ascii="Times New Roman" w:cs="Times New Roman"/>
                <w:b w:val="0"/>
                <w:bCs/>
                <w:color w:val="auto"/>
                <w:sz w:val="24"/>
                <w:szCs w:val="24"/>
                <w:highlight w:val="none"/>
                <w:lang w:val="en-US" w:eastAsia="zh-CN"/>
              </w:rPr>
              <w:t>1</w:t>
            </w:r>
            <w:r>
              <w:rPr>
                <w:rFonts w:hint="eastAsia" w:ascii="Times New Roman"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危险废物暂存</w:t>
            </w:r>
            <w:r>
              <w:rPr>
                <w:rFonts w:hint="default" w:ascii="Times New Roman" w:hAnsi="Times New Roman" w:eastAsia="宋体" w:cs="Times New Roman"/>
                <w:b w:val="0"/>
                <w:bCs/>
                <w:color w:val="auto"/>
                <w:sz w:val="24"/>
                <w:szCs w:val="24"/>
                <w:highlight w:val="none"/>
                <w:lang w:eastAsia="zh-CN"/>
              </w:rPr>
              <w:t>间</w:t>
            </w:r>
            <w:r>
              <w:rPr>
                <w:rFonts w:hint="eastAsia" w:ascii="Times New Roman" w:cs="Times New Roman"/>
                <w:b w:val="0"/>
                <w:bCs/>
                <w:color w:val="auto"/>
                <w:sz w:val="24"/>
                <w:szCs w:val="24"/>
                <w:highlight w:val="none"/>
                <w:lang w:val="en-US" w:eastAsia="zh-CN"/>
              </w:rPr>
              <w:t>暂存要求</w:t>
            </w:r>
            <w:r>
              <w:rPr>
                <w:rFonts w:hint="default" w:ascii="Times New Roman" w:hAnsi="Times New Roman" w:eastAsia="宋体" w:cs="Times New Roman"/>
                <w:b w:val="0"/>
                <w:bCs/>
                <w:color w:val="auto"/>
                <w:sz w:val="24"/>
                <w:szCs w:val="24"/>
                <w:highlight w:val="none"/>
                <w:lang w:eastAsia="zh-CN"/>
              </w:rPr>
              <w:t>：</w:t>
            </w:r>
          </w:p>
          <w:p w14:paraId="17699DA4">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default"/>
                <w:kern w:val="0"/>
                <w:szCs w:val="24"/>
                <w:highlight w:val="none"/>
              </w:rPr>
              <w:t>本项目产生的危险废物暂存危险废物暂存间内。为保证暂存的危险废物不对环境产生污染，依据《危险废物贮存污染控制标准》（GB18597-2023）、《危险废物收集 贮存 运输技术规范》（HJ2025-2012）、《危险废物转移管理办法》（2022年1月1日实施）及相关法律法规，对危险废物暂存场地及识别标志提出如下安全措施：</w:t>
            </w:r>
          </w:p>
          <w:p w14:paraId="20371069">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eastAsia"/>
                <w:kern w:val="0"/>
                <w:szCs w:val="24"/>
                <w:highlight w:val="none"/>
                <w:lang w:val="en-US" w:eastAsia="zh-CN"/>
              </w:rPr>
              <w:t>①</w:t>
            </w:r>
            <w:r>
              <w:rPr>
                <w:rFonts w:hint="default"/>
                <w:kern w:val="0"/>
                <w:szCs w:val="24"/>
                <w:highlight w:val="none"/>
              </w:rPr>
              <w:t>贮存设施应根据危险废物的形态、物理化学性质、包装形式和污染物迁移途径，采取必要的防风、防晒、防雨、防漏、防渗、防腐以及其他环境污染防治措施，不应露天堆放危险废物；</w:t>
            </w:r>
          </w:p>
          <w:p w14:paraId="58B36993">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eastAsia"/>
                <w:kern w:val="0"/>
                <w:szCs w:val="24"/>
                <w:highlight w:val="none"/>
                <w:lang w:val="en-US" w:eastAsia="zh-CN"/>
              </w:rPr>
              <w:t>②</w:t>
            </w:r>
            <w:r>
              <w:rPr>
                <w:rFonts w:hint="default"/>
                <w:kern w:val="0"/>
                <w:szCs w:val="24"/>
                <w:highlight w:val="none"/>
              </w:rPr>
              <w:t>贮存库内不同贮存分区之间应采取隔离措施，避免不相容的危险废物接触、混合。隔离措施可根据危险废物特性采用过道、隔板或隔墙等方式；</w:t>
            </w:r>
          </w:p>
          <w:p w14:paraId="2047C4E5">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eastAsia"/>
                <w:kern w:val="0"/>
                <w:szCs w:val="24"/>
                <w:highlight w:val="none"/>
                <w:lang w:val="en-US" w:eastAsia="zh-CN"/>
              </w:rPr>
              <w:t>③</w:t>
            </w:r>
            <w:r>
              <w:rPr>
                <w:rFonts w:hint="default"/>
                <w:kern w:val="0"/>
                <w:szCs w:val="24"/>
                <w:highlight w:val="none"/>
              </w:rPr>
              <w:t>贮存设施或贮存分区内地面、墙面裙脚、堵截泄漏的围堰、接触危险废物的隔板和墙体等应采用坚固的材料建造，表面无裂缝；</w:t>
            </w:r>
          </w:p>
          <w:p w14:paraId="35803105">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eastAsia"/>
                <w:kern w:val="0"/>
                <w:szCs w:val="24"/>
                <w:highlight w:val="none"/>
                <w:lang w:val="en-US" w:eastAsia="zh-CN"/>
              </w:rPr>
              <w:t>④</w:t>
            </w:r>
            <w:r>
              <w:rPr>
                <w:rFonts w:hint="default"/>
                <w:kern w:val="0"/>
                <w:szCs w:val="24"/>
                <w:highlight w:val="none"/>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 m厚黏土层（渗透系数不大于10</w:t>
            </w:r>
            <w:r>
              <w:rPr>
                <w:rFonts w:hint="default"/>
                <w:kern w:val="0"/>
                <w:szCs w:val="24"/>
                <w:highlight w:val="none"/>
                <w:vertAlign w:val="superscript"/>
              </w:rPr>
              <w:t>-7</w:t>
            </w:r>
            <w:r>
              <w:rPr>
                <w:rFonts w:hint="default"/>
                <w:kern w:val="0"/>
                <w:szCs w:val="24"/>
                <w:highlight w:val="none"/>
              </w:rPr>
              <w:t>cm/s），或至少2 mm厚高密度聚乙烯膜等人工防渗材料（渗透系数不大于10</w:t>
            </w:r>
            <w:r>
              <w:rPr>
                <w:rFonts w:hint="default"/>
                <w:kern w:val="0"/>
                <w:szCs w:val="24"/>
                <w:highlight w:val="none"/>
                <w:vertAlign w:val="superscript"/>
              </w:rPr>
              <w:t>-10</w:t>
            </w:r>
            <w:r>
              <w:rPr>
                <w:rFonts w:hint="default"/>
                <w:kern w:val="0"/>
                <w:szCs w:val="24"/>
                <w:highlight w:val="none"/>
              </w:rPr>
              <w:t xml:space="preserve"> cm/s），或其他防渗性能等效的材料；</w:t>
            </w:r>
          </w:p>
          <w:p w14:paraId="10047FB5">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eastAsia"/>
                <w:kern w:val="0"/>
                <w:szCs w:val="24"/>
                <w:highlight w:val="none"/>
                <w:lang w:val="en-US" w:eastAsia="zh-CN"/>
              </w:rPr>
              <w:t>⑤</w:t>
            </w:r>
            <w:r>
              <w:rPr>
                <w:rFonts w:hint="default"/>
                <w:kern w:val="0"/>
                <w:szCs w:val="24"/>
                <w:highlight w:val="none"/>
              </w:rPr>
              <w:t>同一贮存设施宜采用相同的防渗、防腐工艺（包括防渗、防腐结构或材料），防渗、防腐材料应覆盖所有可能与废物及其渗滤液、渗漏液等接触的构筑物表面；采用不同防渗、防腐工艺应分别建设贮存分区；</w:t>
            </w:r>
          </w:p>
          <w:p w14:paraId="26ED3C8B">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eastAsia"/>
                <w:kern w:val="0"/>
                <w:szCs w:val="24"/>
                <w:highlight w:val="none"/>
                <w:lang w:val="en-US" w:eastAsia="zh-CN"/>
              </w:rPr>
              <w:t>⑥</w:t>
            </w:r>
            <w:r>
              <w:rPr>
                <w:rFonts w:hint="default"/>
                <w:kern w:val="0"/>
                <w:szCs w:val="24"/>
                <w:highlight w:val="none"/>
              </w:rPr>
              <w:t>在贮存库内贮存液态危险废物，应具有液体泄漏堵截设施，堵截设施最小容积不应低于对应贮存区域最大液态废物容器容积或液态废物总储量1/10（二者取较大者）；使用容器盛装液态、半固态危险废物时，容器内部应留有适当的空间，以适应因温度变化等可能引发的收缩和膨胀，防止其导致容器渗漏或永久变形。</w:t>
            </w:r>
          </w:p>
          <w:p w14:paraId="47035FB0">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eastAsia"/>
                <w:kern w:val="0"/>
                <w:szCs w:val="24"/>
                <w:highlight w:val="none"/>
                <w:lang w:val="en-US" w:eastAsia="zh-CN"/>
              </w:rPr>
              <w:t>⑦</w:t>
            </w:r>
            <w:r>
              <w:rPr>
                <w:rFonts w:hint="default"/>
                <w:kern w:val="0"/>
                <w:szCs w:val="24"/>
                <w:highlight w:val="none"/>
              </w:rPr>
              <w:t>贮存设施应采取技术和管理措施防止无关人员进入；</w:t>
            </w:r>
          </w:p>
          <w:p w14:paraId="429A7E19">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eastAsia"/>
                <w:kern w:val="0"/>
                <w:szCs w:val="24"/>
                <w:highlight w:val="none"/>
                <w:lang w:val="en-US" w:eastAsia="zh-CN"/>
              </w:rPr>
              <w:t>⑧</w:t>
            </w:r>
            <w:r>
              <w:rPr>
                <w:rFonts w:hint="default"/>
                <w:kern w:val="0"/>
                <w:szCs w:val="24"/>
                <w:highlight w:val="none"/>
              </w:rPr>
              <w:t>贮存设施运行期间，应按国家有关标准和规定建立危险废物管理台账并保存。危险废物识别标志的设置除应满足本标准的要求外，还应执行《危险废物识别标志设置技术规范》（HJ1276-2022）的要求。</w:t>
            </w:r>
          </w:p>
          <w:p w14:paraId="2FB14A2B">
            <w:pPr>
              <w:keepNext/>
              <w:keepLines/>
              <w:suppressLineNumbers w:val="0"/>
              <w:tabs>
                <w:tab w:val="left" w:pos="105"/>
                <w:tab w:val="left" w:pos="315"/>
              </w:tabs>
              <w:spacing w:before="0" w:beforeAutospacing="0" w:after="0" w:afterAutospacing="0" w:line="360" w:lineRule="auto"/>
              <w:ind w:left="0" w:right="0" w:firstLine="480" w:firstLineChars="200"/>
              <w:jc w:val="left"/>
              <w:outlineLvl w:val="2"/>
              <w:rPr>
                <w:rFonts w:hint="default"/>
                <w:bCs/>
                <w:sz w:val="24"/>
                <w:szCs w:val="28"/>
                <w:highlight w:val="none"/>
              </w:rPr>
            </w:pPr>
            <w:r>
              <w:rPr>
                <w:rFonts w:hint="default"/>
                <w:bCs/>
                <w:sz w:val="24"/>
                <w:szCs w:val="28"/>
                <w:highlight w:val="none"/>
              </w:rPr>
              <w:t>本项目新建危险废物暂存间，位于</w:t>
            </w:r>
            <w:r>
              <w:rPr>
                <w:rFonts w:hint="eastAsia"/>
                <w:bCs/>
                <w:sz w:val="24"/>
                <w:szCs w:val="28"/>
                <w:highlight w:val="none"/>
                <w:lang w:val="en-US" w:eastAsia="zh-CN"/>
              </w:rPr>
              <w:t>升压站西北角</w:t>
            </w:r>
            <w:r>
              <w:rPr>
                <w:rFonts w:hint="default"/>
                <w:bCs/>
                <w:sz w:val="24"/>
                <w:szCs w:val="28"/>
                <w:highlight w:val="none"/>
              </w:rPr>
              <w:t>，占地面积约</w:t>
            </w:r>
            <w:r>
              <w:rPr>
                <w:rFonts w:hint="eastAsia"/>
                <w:bCs/>
                <w:sz w:val="24"/>
                <w:szCs w:val="28"/>
                <w:highlight w:val="none"/>
                <w:lang w:val="en-US" w:eastAsia="zh-CN"/>
              </w:rPr>
              <w:t>9</w:t>
            </w:r>
            <w:r>
              <w:rPr>
                <w:rFonts w:hint="default"/>
                <w:bCs/>
                <w:sz w:val="24"/>
                <w:szCs w:val="28"/>
                <w:highlight w:val="none"/>
              </w:rPr>
              <w:t>m</w:t>
            </w:r>
            <w:r>
              <w:rPr>
                <w:rFonts w:hint="default"/>
                <w:bCs/>
                <w:sz w:val="24"/>
                <w:szCs w:val="28"/>
                <w:highlight w:val="none"/>
                <w:vertAlign w:val="superscript"/>
              </w:rPr>
              <w:t>2</w:t>
            </w:r>
            <w:r>
              <w:rPr>
                <w:rFonts w:hint="default"/>
                <w:bCs/>
                <w:sz w:val="24"/>
                <w:szCs w:val="28"/>
                <w:highlight w:val="none"/>
              </w:rPr>
              <w:t>，本项目危险废物贮存场所（设施）基本情况详见下表。</w:t>
            </w:r>
          </w:p>
          <w:p w14:paraId="0D0773C4">
            <w:pPr>
              <w:keepNext w:val="0"/>
              <w:keepLines w:val="0"/>
              <w:suppressLineNumbers w:val="0"/>
              <w:spacing w:before="0" w:beforeAutospacing="0" w:after="0" w:afterAutospacing="0" w:line="360" w:lineRule="auto"/>
              <w:ind w:left="0" w:right="0"/>
              <w:jc w:val="center"/>
              <w:rPr>
                <w:rFonts w:hint="default"/>
                <w:b/>
                <w:bCs/>
                <w:snapToGrid w:val="0"/>
                <w:kern w:val="0"/>
                <w:szCs w:val="21"/>
                <w:highlight w:val="none"/>
                <w:lang w:val="zh-CN"/>
              </w:rPr>
            </w:pPr>
            <w:r>
              <w:rPr>
                <w:rFonts w:hint="default"/>
                <w:b/>
                <w:bCs/>
                <w:snapToGrid w:val="0"/>
                <w:kern w:val="0"/>
                <w:szCs w:val="21"/>
                <w:highlight w:val="none"/>
                <w:lang w:val="zh-CN"/>
              </w:rPr>
              <w:t>表</w:t>
            </w:r>
            <w:r>
              <w:rPr>
                <w:rFonts w:hint="eastAsia"/>
                <w:b/>
                <w:bCs/>
                <w:snapToGrid w:val="0"/>
                <w:kern w:val="0"/>
                <w:szCs w:val="21"/>
                <w:highlight w:val="none"/>
                <w:lang w:val="en-US" w:eastAsia="zh-CN"/>
              </w:rPr>
              <w:t>5-1</w:t>
            </w:r>
            <w:r>
              <w:rPr>
                <w:rFonts w:hint="default"/>
                <w:b/>
                <w:bCs/>
                <w:snapToGrid w:val="0"/>
                <w:kern w:val="0"/>
                <w:szCs w:val="21"/>
                <w:highlight w:val="none"/>
                <w:lang w:val="zh-CN"/>
              </w:rPr>
              <w:t xml:space="preserve"> 危险废物</w:t>
            </w:r>
            <w:r>
              <w:rPr>
                <w:rFonts w:hint="eastAsia"/>
                <w:b/>
                <w:bCs/>
                <w:snapToGrid w:val="0"/>
                <w:kern w:val="0"/>
                <w:szCs w:val="21"/>
                <w:highlight w:val="none"/>
                <w:lang w:val="en-US" w:eastAsia="zh-CN"/>
              </w:rPr>
              <w:t>暂存间</w:t>
            </w:r>
            <w:r>
              <w:rPr>
                <w:rFonts w:hint="default"/>
                <w:b/>
                <w:bCs/>
                <w:snapToGrid w:val="0"/>
                <w:kern w:val="0"/>
                <w:szCs w:val="21"/>
                <w:highlight w:val="none"/>
                <w:lang w:val="zh-CN"/>
              </w:rPr>
              <w:t>基本情况表</w:t>
            </w:r>
          </w:p>
          <w:tbl>
            <w:tblPr>
              <w:tblStyle w:val="3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578"/>
              <w:gridCol w:w="1067"/>
              <w:gridCol w:w="776"/>
              <w:gridCol w:w="1376"/>
              <w:gridCol w:w="848"/>
              <w:gridCol w:w="553"/>
              <w:gridCol w:w="563"/>
              <w:gridCol w:w="878"/>
              <w:gridCol w:w="586"/>
              <w:gridCol w:w="553"/>
              <w:gridCol w:w="426"/>
            </w:tblGrid>
            <w:tr w14:paraId="728F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shd w:val="clear" w:color="auto" w:fill="auto"/>
                  <w:vAlign w:val="center"/>
                </w:tcPr>
                <w:p w14:paraId="0EBD8A3B">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序号</w:t>
                  </w:r>
                </w:p>
              </w:tc>
              <w:tc>
                <w:tcPr>
                  <w:tcW w:w="380" w:type="pct"/>
                  <w:shd w:val="clear" w:color="auto" w:fill="auto"/>
                  <w:vAlign w:val="center"/>
                </w:tcPr>
                <w:p w14:paraId="29145D5E">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贮存场所名称</w:t>
                  </w:r>
                </w:p>
              </w:tc>
              <w:tc>
                <w:tcPr>
                  <w:tcW w:w="663" w:type="pct"/>
                  <w:shd w:val="clear" w:color="auto" w:fill="auto"/>
                  <w:vAlign w:val="center"/>
                </w:tcPr>
                <w:p w14:paraId="75097AA3">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危险废物名称</w:t>
                  </w:r>
                </w:p>
              </w:tc>
              <w:tc>
                <w:tcPr>
                  <w:tcW w:w="463" w:type="pct"/>
                  <w:shd w:val="clear" w:color="auto" w:fill="auto"/>
                  <w:vAlign w:val="center"/>
                </w:tcPr>
                <w:p w14:paraId="71D36603">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危险废物类别</w:t>
                  </w:r>
                </w:p>
              </w:tc>
              <w:tc>
                <w:tcPr>
                  <w:tcW w:w="661" w:type="pct"/>
                  <w:shd w:val="clear" w:color="auto" w:fill="auto"/>
                  <w:vAlign w:val="center"/>
                </w:tcPr>
                <w:p w14:paraId="58D9A104">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危险废物代码</w:t>
                  </w:r>
                </w:p>
              </w:tc>
              <w:tc>
                <w:tcPr>
                  <w:tcW w:w="562" w:type="pct"/>
                  <w:shd w:val="clear" w:color="auto" w:fill="auto"/>
                  <w:vAlign w:val="center"/>
                </w:tcPr>
                <w:p w14:paraId="44F7C3F4">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位置</w:t>
                  </w:r>
                </w:p>
              </w:tc>
              <w:tc>
                <w:tcPr>
                  <w:tcW w:w="365" w:type="pct"/>
                  <w:shd w:val="clear" w:color="auto" w:fill="auto"/>
                  <w:vAlign w:val="center"/>
                </w:tcPr>
                <w:p w14:paraId="4AC87C47">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占地</w:t>
                  </w:r>
                </w:p>
                <w:p w14:paraId="058FD8F9">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面积</w:t>
                  </w:r>
                </w:p>
              </w:tc>
              <w:tc>
                <w:tcPr>
                  <w:tcW w:w="372" w:type="pct"/>
                  <w:shd w:val="clear" w:color="auto" w:fill="auto"/>
                  <w:vAlign w:val="center"/>
                </w:tcPr>
                <w:p w14:paraId="710B929B">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贮存</w:t>
                  </w:r>
                </w:p>
                <w:p w14:paraId="33256FF1">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方式</w:t>
                  </w:r>
                </w:p>
              </w:tc>
              <w:tc>
                <w:tcPr>
                  <w:tcW w:w="406" w:type="pct"/>
                  <w:shd w:val="clear" w:color="auto" w:fill="auto"/>
                  <w:vAlign w:val="center"/>
                </w:tcPr>
                <w:p w14:paraId="49C6B7E7">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产生量</w:t>
                  </w:r>
                </w:p>
              </w:tc>
              <w:tc>
                <w:tcPr>
                  <w:tcW w:w="385" w:type="pct"/>
                  <w:shd w:val="clear" w:color="auto" w:fill="auto"/>
                  <w:vAlign w:val="center"/>
                </w:tcPr>
                <w:p w14:paraId="27C4FECF">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贮存能力</w:t>
                  </w:r>
                </w:p>
              </w:tc>
              <w:tc>
                <w:tcPr>
                  <w:tcW w:w="247" w:type="pct"/>
                  <w:shd w:val="clear" w:color="auto" w:fill="auto"/>
                  <w:vAlign w:val="center"/>
                </w:tcPr>
                <w:p w14:paraId="294FC5BE">
                  <w:pPr>
                    <w:keepNext w:val="0"/>
                    <w:keepLines w:val="0"/>
                    <w:suppressLineNumbers w:val="0"/>
                    <w:topLinePunct/>
                    <w:adjustRightInd w:val="0"/>
                    <w:snapToGrid w:val="0"/>
                    <w:spacing w:before="0" w:beforeAutospacing="0" w:after="0" w:afterAutospacing="0"/>
                    <w:ind w:left="0" w:right="0"/>
                    <w:jc w:val="center"/>
                    <w:rPr>
                      <w:rFonts w:hint="eastAsia" w:eastAsia="宋体"/>
                      <w:kern w:val="0"/>
                      <w:szCs w:val="21"/>
                      <w:highlight w:val="none"/>
                      <w:lang w:val="en-US" w:eastAsia="zh-CN"/>
                    </w:rPr>
                  </w:pPr>
                  <w:r>
                    <w:rPr>
                      <w:rFonts w:hint="eastAsia"/>
                      <w:kern w:val="0"/>
                      <w:szCs w:val="21"/>
                      <w:highlight w:val="none"/>
                      <w:lang w:val="en-US" w:eastAsia="zh-CN"/>
                    </w:rPr>
                    <w:t>占地面积</w:t>
                  </w:r>
                </w:p>
              </w:tc>
              <w:tc>
                <w:tcPr>
                  <w:tcW w:w="247" w:type="pct"/>
                  <w:shd w:val="clear" w:color="auto" w:fill="auto"/>
                  <w:vAlign w:val="center"/>
                </w:tcPr>
                <w:p w14:paraId="0792D114">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贮存</w:t>
                  </w:r>
                </w:p>
                <w:p w14:paraId="3D3A1F39">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周期</w:t>
                  </w:r>
                </w:p>
              </w:tc>
            </w:tr>
            <w:tr w14:paraId="18B7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vAlign w:val="center"/>
                </w:tcPr>
                <w:p w14:paraId="2064CAD9">
                  <w:pPr>
                    <w:keepNext w:val="0"/>
                    <w:keepLines w:val="0"/>
                    <w:widowControl/>
                    <w:suppressLineNumbers w:val="0"/>
                    <w:spacing w:before="0" w:beforeAutospacing="0" w:after="0" w:afterAutospacing="0"/>
                    <w:ind w:left="0" w:right="0"/>
                    <w:jc w:val="center"/>
                    <w:rPr>
                      <w:rFonts w:hint="default"/>
                      <w:kern w:val="0"/>
                      <w:szCs w:val="21"/>
                      <w:highlight w:val="none"/>
                    </w:rPr>
                  </w:pPr>
                  <w:r>
                    <w:rPr>
                      <w:rFonts w:hint="default"/>
                      <w:kern w:val="0"/>
                      <w:szCs w:val="21"/>
                      <w:highlight w:val="none"/>
                    </w:rPr>
                    <w:t>1</w:t>
                  </w:r>
                </w:p>
              </w:tc>
              <w:tc>
                <w:tcPr>
                  <w:tcW w:w="380" w:type="pct"/>
                  <w:vMerge w:val="restart"/>
                  <w:vAlign w:val="center"/>
                </w:tcPr>
                <w:p w14:paraId="26638F47">
                  <w:pPr>
                    <w:keepNext w:val="0"/>
                    <w:keepLines w:val="0"/>
                    <w:suppressLineNumbers w:val="0"/>
                    <w:topLinePunct/>
                    <w:adjustRightInd w:val="0"/>
                    <w:snapToGrid w:val="0"/>
                    <w:spacing w:before="0" w:beforeAutospacing="0" w:after="0" w:afterAutospacing="0"/>
                    <w:ind w:left="0" w:right="0"/>
                    <w:jc w:val="center"/>
                    <w:rPr>
                      <w:rFonts w:hint="default" w:eastAsia="宋体"/>
                      <w:kern w:val="0"/>
                      <w:szCs w:val="21"/>
                      <w:highlight w:val="none"/>
                      <w:lang w:val="en-US" w:eastAsia="zh-CN"/>
                    </w:rPr>
                  </w:pPr>
                  <w:r>
                    <w:rPr>
                      <w:rFonts w:hint="eastAsia"/>
                      <w:kern w:val="0"/>
                      <w:szCs w:val="21"/>
                      <w:highlight w:val="none"/>
                      <w:lang w:val="en-US" w:eastAsia="zh-CN"/>
                    </w:rPr>
                    <w:t>危险废物暂存间</w:t>
                  </w:r>
                </w:p>
              </w:tc>
              <w:tc>
                <w:tcPr>
                  <w:tcW w:w="663" w:type="pct"/>
                  <w:shd w:val="clear" w:color="auto" w:fill="auto"/>
                  <w:vAlign w:val="center"/>
                </w:tcPr>
                <w:p w14:paraId="3A9A4DB8">
                  <w:pPr>
                    <w:pStyle w:val="105"/>
                    <w:keepNext w:val="0"/>
                    <w:keepLines w:val="0"/>
                    <w:pageBreakBefore w:val="0"/>
                    <w:widowControl/>
                    <w:suppressLineNumbers w:val="0"/>
                    <w:kinsoku/>
                    <w:wordWrap/>
                    <w:overflowPunct/>
                    <w:topLinePunct w:val="0"/>
                    <w:autoSpaceDE/>
                    <w:autoSpaceDN/>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cs="Times New Roman"/>
                      <w:color w:val="auto"/>
                      <w:spacing w:val="8"/>
                      <w:sz w:val="21"/>
                      <w:szCs w:val="21"/>
                      <w:highlight w:val="none"/>
                      <w:lang w:val="en-US" w:eastAsia="zh-CN"/>
                    </w:rPr>
                    <w:t>废铅蓄电池</w:t>
                  </w:r>
                </w:p>
              </w:tc>
              <w:tc>
                <w:tcPr>
                  <w:tcW w:w="463" w:type="pct"/>
                  <w:shd w:val="clear" w:color="auto" w:fill="auto"/>
                  <w:vAlign w:val="center"/>
                </w:tcPr>
                <w:p w14:paraId="47A81A13">
                  <w:pPr>
                    <w:pStyle w:val="111"/>
                    <w:keepNext w:val="0"/>
                    <w:keepLines w:val="0"/>
                    <w:suppressLineNumbers w:val="0"/>
                    <w:spacing w:before="0" w:beforeAutospacing="0" w:after="0" w:afterAutospacing="0"/>
                    <w:ind w:left="0" w:right="0"/>
                    <w:rPr>
                      <w:rFonts w:hint="default" w:eastAsia="宋体"/>
                      <w:kern w:val="0"/>
                      <w:highlight w:val="none"/>
                      <w:lang w:val="en-US" w:eastAsia="zh-CN"/>
                    </w:rPr>
                  </w:pPr>
                  <w:r>
                    <w:rPr>
                      <w:rFonts w:hint="default"/>
                      <w:highlight w:val="none"/>
                    </w:rPr>
                    <w:t>HW</w:t>
                  </w:r>
                  <w:r>
                    <w:rPr>
                      <w:rFonts w:hint="eastAsia"/>
                      <w:highlight w:val="none"/>
                      <w:lang w:val="en-US" w:eastAsia="zh-CN"/>
                    </w:rPr>
                    <w:t>31</w:t>
                  </w:r>
                </w:p>
              </w:tc>
              <w:tc>
                <w:tcPr>
                  <w:tcW w:w="661" w:type="pct"/>
                  <w:shd w:val="clear" w:color="auto" w:fill="auto"/>
                  <w:vAlign w:val="center"/>
                </w:tcPr>
                <w:p w14:paraId="49EB3E94">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eastAsia="宋体" w:cs="Times New Roman"/>
                      <w:color w:val="auto"/>
                      <w:spacing w:val="3"/>
                      <w:sz w:val="21"/>
                      <w:szCs w:val="21"/>
                      <w:highlight w:val="none"/>
                    </w:rPr>
                    <w:t>900-052-31</w:t>
                  </w:r>
                </w:p>
              </w:tc>
              <w:tc>
                <w:tcPr>
                  <w:tcW w:w="562" w:type="pct"/>
                  <w:vMerge w:val="restart"/>
                  <w:vAlign w:val="center"/>
                </w:tcPr>
                <w:p w14:paraId="549FB5BB">
                  <w:pPr>
                    <w:keepNext w:val="0"/>
                    <w:keepLines w:val="0"/>
                    <w:suppressLineNumbers w:val="0"/>
                    <w:topLinePunct/>
                    <w:adjustRightInd w:val="0"/>
                    <w:snapToGrid w:val="0"/>
                    <w:spacing w:before="0" w:beforeAutospacing="0" w:after="0" w:afterAutospacing="0"/>
                    <w:ind w:left="0" w:right="0"/>
                    <w:jc w:val="center"/>
                    <w:rPr>
                      <w:rFonts w:hint="default" w:eastAsia="宋体"/>
                      <w:kern w:val="0"/>
                      <w:szCs w:val="21"/>
                      <w:highlight w:val="none"/>
                      <w:lang w:val="en-US" w:eastAsia="zh-CN"/>
                    </w:rPr>
                  </w:pPr>
                  <w:r>
                    <w:rPr>
                      <w:rFonts w:hint="eastAsia"/>
                      <w:kern w:val="0"/>
                      <w:szCs w:val="21"/>
                      <w:highlight w:val="none"/>
                      <w:lang w:val="en-US" w:eastAsia="zh-CN"/>
                    </w:rPr>
                    <w:t>升压站内西北角</w:t>
                  </w:r>
                </w:p>
              </w:tc>
              <w:tc>
                <w:tcPr>
                  <w:tcW w:w="365" w:type="pct"/>
                  <w:vMerge w:val="restart"/>
                  <w:vAlign w:val="center"/>
                </w:tcPr>
                <w:p w14:paraId="63BECA92">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eastAsia"/>
                      <w:kern w:val="0"/>
                      <w:szCs w:val="21"/>
                      <w:highlight w:val="none"/>
                      <w:lang w:val="en-US" w:eastAsia="zh-CN"/>
                    </w:rPr>
                    <w:t>9</w:t>
                  </w:r>
                  <w:r>
                    <w:rPr>
                      <w:rFonts w:hint="default"/>
                      <w:kern w:val="0"/>
                      <w:szCs w:val="21"/>
                      <w:highlight w:val="none"/>
                    </w:rPr>
                    <w:t>m</w:t>
                  </w:r>
                  <w:r>
                    <w:rPr>
                      <w:rFonts w:hint="default"/>
                      <w:kern w:val="0"/>
                      <w:szCs w:val="21"/>
                      <w:highlight w:val="none"/>
                      <w:vertAlign w:val="superscript"/>
                    </w:rPr>
                    <w:t>2</w:t>
                  </w:r>
                </w:p>
              </w:tc>
              <w:tc>
                <w:tcPr>
                  <w:tcW w:w="372" w:type="pct"/>
                  <w:vAlign w:val="center"/>
                </w:tcPr>
                <w:p w14:paraId="50E9643B">
                  <w:pPr>
                    <w:keepNext w:val="0"/>
                    <w:keepLines w:val="0"/>
                    <w:suppressLineNumbers w:val="0"/>
                    <w:topLinePunct/>
                    <w:adjustRightInd w:val="0"/>
                    <w:snapToGrid w:val="0"/>
                    <w:spacing w:before="0" w:beforeAutospacing="0" w:after="0" w:afterAutospacing="0"/>
                    <w:ind w:left="0" w:right="0"/>
                    <w:jc w:val="center"/>
                    <w:rPr>
                      <w:rFonts w:hint="default" w:eastAsia="宋体"/>
                      <w:kern w:val="0"/>
                      <w:szCs w:val="21"/>
                      <w:highlight w:val="none"/>
                      <w:lang w:val="en-US" w:eastAsia="zh-CN"/>
                    </w:rPr>
                  </w:pPr>
                  <w:r>
                    <w:rPr>
                      <w:rFonts w:hint="eastAsia"/>
                      <w:kern w:val="0"/>
                      <w:szCs w:val="21"/>
                      <w:highlight w:val="none"/>
                      <w:lang w:val="en-US" w:eastAsia="zh-CN"/>
                    </w:rPr>
                    <w:t>托盘</w:t>
                  </w:r>
                </w:p>
              </w:tc>
              <w:tc>
                <w:tcPr>
                  <w:tcW w:w="406" w:type="pct"/>
                  <w:vAlign w:val="center"/>
                </w:tcPr>
                <w:p w14:paraId="4E4F1CDA">
                  <w:pPr>
                    <w:keepNext w:val="0"/>
                    <w:keepLines w:val="0"/>
                    <w:pageBreakBefore w:val="0"/>
                    <w:widowControl/>
                    <w:suppressLineNumbers w:val="0"/>
                    <w:kinsoku w:val="0"/>
                    <w:wordWrap/>
                    <w:overflowPunct/>
                    <w:topLinePunct w:val="0"/>
                    <w:autoSpaceDE w:val="0"/>
                    <w:autoSpaceDN w:val="0"/>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cs="Times New Roman"/>
                      <w:color w:val="auto"/>
                      <w:spacing w:val="2"/>
                      <w:sz w:val="21"/>
                      <w:szCs w:val="21"/>
                      <w:highlight w:val="none"/>
                      <w:lang w:val="en-US" w:eastAsia="zh-CN"/>
                    </w:rPr>
                    <w:t>2.5t/5a</w:t>
                  </w:r>
                </w:p>
              </w:tc>
              <w:tc>
                <w:tcPr>
                  <w:tcW w:w="385" w:type="pct"/>
                  <w:vAlign w:val="center"/>
                </w:tcPr>
                <w:p w14:paraId="0CBE26B0">
                  <w:pPr>
                    <w:keepNext w:val="0"/>
                    <w:keepLines w:val="0"/>
                    <w:widowControl/>
                    <w:suppressLineNumbers w:val="0"/>
                    <w:spacing w:before="0" w:beforeAutospacing="0" w:after="0" w:afterAutospacing="0"/>
                    <w:ind w:left="0" w:right="0"/>
                    <w:jc w:val="center"/>
                    <w:rPr>
                      <w:rFonts w:hint="default" w:eastAsia="宋体"/>
                      <w:kern w:val="0"/>
                      <w:szCs w:val="21"/>
                      <w:highlight w:val="none"/>
                      <w:lang w:val="en-US" w:eastAsia="zh-CN"/>
                    </w:rPr>
                  </w:pPr>
                  <w:r>
                    <w:rPr>
                      <w:rFonts w:hint="eastAsia"/>
                      <w:kern w:val="0"/>
                      <w:szCs w:val="21"/>
                      <w:highlight w:val="none"/>
                      <w:lang w:val="en-US" w:eastAsia="zh-CN"/>
                    </w:rPr>
                    <w:t>2.5t</w:t>
                  </w:r>
                </w:p>
              </w:tc>
              <w:tc>
                <w:tcPr>
                  <w:tcW w:w="247" w:type="pct"/>
                  <w:vAlign w:val="center"/>
                </w:tcPr>
                <w:p w14:paraId="15DF6C65">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eastAsia"/>
                      <w:kern w:val="0"/>
                      <w:szCs w:val="21"/>
                      <w:highlight w:val="none"/>
                      <w:lang w:val="en-US" w:eastAsia="zh-CN"/>
                    </w:rPr>
                    <w:t>3m</w:t>
                  </w:r>
                  <w:r>
                    <w:rPr>
                      <w:rFonts w:hint="eastAsia"/>
                      <w:kern w:val="0"/>
                      <w:szCs w:val="21"/>
                      <w:highlight w:val="none"/>
                      <w:vertAlign w:val="superscript"/>
                      <w:lang w:val="en-US" w:eastAsia="zh-CN"/>
                    </w:rPr>
                    <w:t>2</w:t>
                  </w:r>
                </w:p>
              </w:tc>
              <w:tc>
                <w:tcPr>
                  <w:tcW w:w="247" w:type="pct"/>
                  <w:vMerge w:val="restart"/>
                  <w:vAlign w:val="center"/>
                </w:tcPr>
                <w:p w14:paraId="7DE729CD">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default"/>
                      <w:kern w:val="0"/>
                      <w:szCs w:val="21"/>
                      <w:highlight w:val="none"/>
                    </w:rPr>
                    <w:t>3个月</w:t>
                  </w:r>
                </w:p>
              </w:tc>
            </w:tr>
            <w:tr w14:paraId="13AF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vAlign w:val="center"/>
                </w:tcPr>
                <w:p w14:paraId="57367407">
                  <w:pPr>
                    <w:keepNext w:val="0"/>
                    <w:keepLines w:val="0"/>
                    <w:widowControl/>
                    <w:suppressLineNumbers w:val="0"/>
                    <w:spacing w:before="0" w:beforeAutospacing="0" w:after="0" w:afterAutospacing="0"/>
                    <w:ind w:left="0" w:right="0"/>
                    <w:jc w:val="center"/>
                    <w:rPr>
                      <w:rFonts w:hint="default"/>
                      <w:kern w:val="0"/>
                      <w:szCs w:val="21"/>
                      <w:highlight w:val="none"/>
                    </w:rPr>
                  </w:pPr>
                  <w:r>
                    <w:rPr>
                      <w:rFonts w:hint="default"/>
                      <w:kern w:val="0"/>
                      <w:szCs w:val="21"/>
                      <w:highlight w:val="none"/>
                    </w:rPr>
                    <w:t>2</w:t>
                  </w:r>
                </w:p>
              </w:tc>
              <w:tc>
                <w:tcPr>
                  <w:tcW w:w="380" w:type="pct"/>
                  <w:vMerge w:val="continue"/>
                  <w:vAlign w:val="center"/>
                </w:tcPr>
                <w:p w14:paraId="377DBF32">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c>
                <w:tcPr>
                  <w:tcW w:w="663" w:type="pct"/>
                  <w:shd w:val="clear" w:color="auto" w:fill="auto"/>
                  <w:vAlign w:val="center"/>
                </w:tcPr>
                <w:p w14:paraId="1369D19B">
                  <w:pPr>
                    <w:pStyle w:val="105"/>
                    <w:keepNext w:val="0"/>
                    <w:keepLines w:val="0"/>
                    <w:pageBreakBefore w:val="0"/>
                    <w:widowControl/>
                    <w:suppressLineNumbers w:val="0"/>
                    <w:kinsoku/>
                    <w:wordWrap/>
                    <w:overflowPunct/>
                    <w:topLinePunct w:val="0"/>
                    <w:autoSpaceDE/>
                    <w:autoSpaceDN/>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eastAsia="宋体" w:cs="Times New Roman"/>
                      <w:color w:val="auto"/>
                      <w:sz w:val="21"/>
                      <w:szCs w:val="21"/>
                      <w:highlight w:val="none"/>
                      <w:lang w:eastAsia="zh-CN"/>
                    </w:rPr>
                    <w:t>废润滑油</w:t>
                  </w:r>
                </w:p>
              </w:tc>
              <w:tc>
                <w:tcPr>
                  <w:tcW w:w="463" w:type="pct"/>
                  <w:shd w:val="clear" w:color="auto" w:fill="auto"/>
                  <w:vAlign w:val="center"/>
                </w:tcPr>
                <w:p w14:paraId="783C0352">
                  <w:pPr>
                    <w:pStyle w:val="111"/>
                    <w:keepNext w:val="0"/>
                    <w:keepLines w:val="0"/>
                    <w:suppressLineNumbers w:val="0"/>
                    <w:spacing w:before="0" w:beforeAutospacing="0" w:after="0" w:afterAutospacing="0"/>
                    <w:ind w:left="0" w:right="0"/>
                    <w:rPr>
                      <w:rFonts w:hint="default" w:eastAsia="宋体"/>
                      <w:kern w:val="0"/>
                      <w:highlight w:val="none"/>
                      <w:lang w:val="en-US" w:eastAsia="zh-CN"/>
                    </w:rPr>
                  </w:pPr>
                  <w:r>
                    <w:rPr>
                      <w:rFonts w:hint="default"/>
                      <w:highlight w:val="none"/>
                    </w:rPr>
                    <w:t>HW</w:t>
                  </w:r>
                  <w:r>
                    <w:rPr>
                      <w:rFonts w:hint="eastAsia"/>
                      <w:highlight w:val="none"/>
                      <w:lang w:val="en-US" w:eastAsia="zh-CN"/>
                    </w:rPr>
                    <w:t>08</w:t>
                  </w:r>
                </w:p>
              </w:tc>
              <w:tc>
                <w:tcPr>
                  <w:tcW w:w="661" w:type="pct"/>
                  <w:shd w:val="clear" w:color="auto" w:fill="auto"/>
                  <w:vAlign w:val="center"/>
                </w:tcPr>
                <w:p w14:paraId="2C994B2E">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eastAsia="宋体" w:cs="Times New Roman"/>
                      <w:color w:val="auto"/>
                      <w:spacing w:val="3"/>
                      <w:sz w:val="21"/>
                      <w:szCs w:val="21"/>
                      <w:highlight w:val="none"/>
                    </w:rPr>
                    <w:t>900-214-08</w:t>
                  </w:r>
                </w:p>
              </w:tc>
              <w:tc>
                <w:tcPr>
                  <w:tcW w:w="562" w:type="pct"/>
                  <w:vMerge w:val="continue"/>
                  <w:vAlign w:val="center"/>
                </w:tcPr>
                <w:p w14:paraId="4DE4D3B9">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c>
                <w:tcPr>
                  <w:tcW w:w="365" w:type="pct"/>
                  <w:vMerge w:val="continue"/>
                  <w:vAlign w:val="center"/>
                </w:tcPr>
                <w:p w14:paraId="2E7D1599">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c>
                <w:tcPr>
                  <w:tcW w:w="372" w:type="pct"/>
                  <w:vAlign w:val="center"/>
                </w:tcPr>
                <w:p w14:paraId="4B48F9DE">
                  <w:pPr>
                    <w:keepNext w:val="0"/>
                    <w:keepLines w:val="0"/>
                    <w:suppressLineNumbers w:val="0"/>
                    <w:topLinePunct/>
                    <w:adjustRightInd w:val="0"/>
                    <w:snapToGrid w:val="0"/>
                    <w:spacing w:before="0" w:beforeAutospacing="0" w:after="0" w:afterAutospacing="0"/>
                    <w:ind w:left="0" w:right="0"/>
                    <w:jc w:val="center"/>
                    <w:rPr>
                      <w:rFonts w:hint="default" w:eastAsia="宋体"/>
                      <w:kern w:val="0"/>
                      <w:szCs w:val="21"/>
                      <w:highlight w:val="none"/>
                      <w:lang w:val="en-US" w:eastAsia="zh-CN"/>
                    </w:rPr>
                  </w:pPr>
                  <w:r>
                    <w:rPr>
                      <w:rFonts w:hint="eastAsia"/>
                      <w:kern w:val="0"/>
                      <w:szCs w:val="21"/>
                      <w:highlight w:val="none"/>
                      <w:lang w:val="en-US" w:eastAsia="zh-CN"/>
                    </w:rPr>
                    <w:t>桶装</w:t>
                  </w:r>
                </w:p>
              </w:tc>
              <w:tc>
                <w:tcPr>
                  <w:tcW w:w="406" w:type="pct"/>
                  <w:vAlign w:val="center"/>
                </w:tcPr>
                <w:p w14:paraId="2E1089B6">
                  <w:pPr>
                    <w:keepNext w:val="0"/>
                    <w:keepLines w:val="0"/>
                    <w:pageBreakBefore w:val="0"/>
                    <w:widowControl/>
                    <w:suppressLineNumbers w:val="0"/>
                    <w:kinsoku w:val="0"/>
                    <w:wordWrap/>
                    <w:overflowPunct/>
                    <w:topLinePunct w:val="0"/>
                    <w:autoSpaceDE w:val="0"/>
                    <w:autoSpaceDN w:val="0"/>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eastAsia="宋体" w:cs="Times New Roman"/>
                      <w:color w:val="auto"/>
                      <w:sz w:val="21"/>
                      <w:szCs w:val="21"/>
                      <w:highlight w:val="none"/>
                      <w:lang w:val="en-US" w:eastAsia="zh-CN"/>
                    </w:rPr>
                    <w:t>0.1t/a</w:t>
                  </w:r>
                </w:p>
              </w:tc>
              <w:tc>
                <w:tcPr>
                  <w:tcW w:w="385" w:type="pct"/>
                  <w:vAlign w:val="center"/>
                </w:tcPr>
                <w:p w14:paraId="5494175B">
                  <w:pPr>
                    <w:keepNext w:val="0"/>
                    <w:keepLines w:val="0"/>
                    <w:widowControl/>
                    <w:suppressLineNumbers w:val="0"/>
                    <w:spacing w:before="0" w:beforeAutospacing="0" w:after="0" w:afterAutospacing="0"/>
                    <w:ind w:left="0" w:right="0"/>
                    <w:jc w:val="center"/>
                    <w:rPr>
                      <w:rFonts w:hint="eastAsia" w:eastAsia="宋体"/>
                      <w:kern w:val="0"/>
                      <w:szCs w:val="21"/>
                      <w:highlight w:val="none"/>
                      <w:lang w:val="en-US" w:eastAsia="zh-CN"/>
                    </w:rPr>
                  </w:pPr>
                  <w:r>
                    <w:rPr>
                      <w:rFonts w:hint="default"/>
                      <w:kern w:val="0"/>
                      <w:szCs w:val="21"/>
                      <w:highlight w:val="none"/>
                    </w:rPr>
                    <w:t>0.1</w:t>
                  </w:r>
                  <w:r>
                    <w:rPr>
                      <w:rFonts w:hint="eastAsia"/>
                      <w:kern w:val="0"/>
                      <w:szCs w:val="21"/>
                      <w:highlight w:val="none"/>
                      <w:lang w:val="en-US" w:eastAsia="zh-CN"/>
                    </w:rPr>
                    <w:t>t</w:t>
                  </w:r>
                </w:p>
              </w:tc>
              <w:tc>
                <w:tcPr>
                  <w:tcW w:w="247" w:type="pct"/>
                  <w:vAlign w:val="center"/>
                </w:tcPr>
                <w:p w14:paraId="4B767322">
                  <w:pPr>
                    <w:keepNext w:val="0"/>
                    <w:keepLines w:val="0"/>
                    <w:suppressLineNumbers w:val="0"/>
                    <w:topLinePunct/>
                    <w:adjustRightInd w:val="0"/>
                    <w:snapToGrid w:val="0"/>
                    <w:spacing w:before="0" w:beforeAutospacing="0" w:after="0" w:afterAutospacing="0"/>
                    <w:ind w:left="0" w:right="0"/>
                    <w:jc w:val="center"/>
                    <w:rPr>
                      <w:rFonts w:hint="default" w:eastAsia="宋体"/>
                      <w:kern w:val="0"/>
                      <w:szCs w:val="21"/>
                      <w:highlight w:val="none"/>
                      <w:lang w:val="en-US" w:eastAsia="zh-CN"/>
                    </w:rPr>
                  </w:pPr>
                  <w:r>
                    <w:rPr>
                      <w:rFonts w:hint="eastAsia"/>
                      <w:kern w:val="0"/>
                      <w:szCs w:val="21"/>
                      <w:highlight w:val="none"/>
                      <w:lang w:val="en-US" w:eastAsia="zh-CN"/>
                    </w:rPr>
                    <w:t>1m</w:t>
                  </w:r>
                  <w:r>
                    <w:rPr>
                      <w:rFonts w:hint="eastAsia"/>
                      <w:kern w:val="0"/>
                      <w:szCs w:val="21"/>
                      <w:highlight w:val="none"/>
                      <w:vertAlign w:val="superscript"/>
                      <w:lang w:val="en-US" w:eastAsia="zh-CN"/>
                    </w:rPr>
                    <w:t>2</w:t>
                  </w:r>
                </w:p>
              </w:tc>
              <w:tc>
                <w:tcPr>
                  <w:tcW w:w="247" w:type="pct"/>
                  <w:vMerge w:val="continue"/>
                  <w:vAlign w:val="center"/>
                </w:tcPr>
                <w:p w14:paraId="1ADBE181">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r>
            <w:tr w14:paraId="0104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vAlign w:val="center"/>
                </w:tcPr>
                <w:p w14:paraId="00286DCC">
                  <w:pPr>
                    <w:keepNext w:val="0"/>
                    <w:keepLines w:val="0"/>
                    <w:widowControl/>
                    <w:suppressLineNumbers w:val="0"/>
                    <w:spacing w:before="0" w:beforeAutospacing="0" w:after="0" w:afterAutospacing="0"/>
                    <w:ind w:left="0" w:right="0"/>
                    <w:jc w:val="center"/>
                    <w:rPr>
                      <w:rFonts w:hint="default"/>
                      <w:kern w:val="0"/>
                      <w:szCs w:val="21"/>
                      <w:highlight w:val="none"/>
                    </w:rPr>
                  </w:pPr>
                  <w:r>
                    <w:rPr>
                      <w:rFonts w:hint="default"/>
                      <w:kern w:val="0"/>
                      <w:szCs w:val="21"/>
                      <w:highlight w:val="none"/>
                    </w:rPr>
                    <w:t>3</w:t>
                  </w:r>
                </w:p>
              </w:tc>
              <w:tc>
                <w:tcPr>
                  <w:tcW w:w="380" w:type="pct"/>
                  <w:vMerge w:val="continue"/>
                  <w:vAlign w:val="center"/>
                </w:tcPr>
                <w:p w14:paraId="2A19833A">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c>
                <w:tcPr>
                  <w:tcW w:w="663" w:type="pct"/>
                  <w:shd w:val="clear" w:color="auto" w:fill="auto"/>
                  <w:vAlign w:val="center"/>
                </w:tcPr>
                <w:p w14:paraId="230954C4">
                  <w:pPr>
                    <w:pStyle w:val="105"/>
                    <w:keepNext w:val="0"/>
                    <w:keepLines w:val="0"/>
                    <w:pageBreakBefore w:val="0"/>
                    <w:widowControl/>
                    <w:suppressLineNumbers w:val="0"/>
                    <w:kinsoku/>
                    <w:wordWrap/>
                    <w:overflowPunct/>
                    <w:topLinePunct w:val="0"/>
                    <w:autoSpaceDE/>
                    <w:autoSpaceDN/>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cs="Times New Roman"/>
                      <w:color w:val="auto"/>
                      <w:spacing w:val="8"/>
                      <w:sz w:val="21"/>
                      <w:szCs w:val="21"/>
                      <w:highlight w:val="none"/>
                      <w:lang w:val="en-US" w:eastAsia="zh-CN"/>
                    </w:rPr>
                    <w:t>废润滑油桶</w:t>
                  </w:r>
                </w:p>
              </w:tc>
              <w:tc>
                <w:tcPr>
                  <w:tcW w:w="463" w:type="pct"/>
                  <w:shd w:val="clear" w:color="auto" w:fill="auto"/>
                  <w:vAlign w:val="center"/>
                </w:tcPr>
                <w:p w14:paraId="7C2FBEBB">
                  <w:pPr>
                    <w:pStyle w:val="111"/>
                    <w:keepNext w:val="0"/>
                    <w:keepLines w:val="0"/>
                    <w:suppressLineNumbers w:val="0"/>
                    <w:spacing w:before="0" w:beforeAutospacing="0" w:after="0" w:afterAutospacing="0"/>
                    <w:ind w:left="0" w:right="0"/>
                    <w:rPr>
                      <w:rFonts w:hint="default"/>
                      <w:kern w:val="0"/>
                      <w:highlight w:val="none"/>
                    </w:rPr>
                  </w:pPr>
                  <w:r>
                    <w:rPr>
                      <w:rFonts w:hint="default"/>
                      <w:highlight w:val="none"/>
                    </w:rPr>
                    <w:t>HW08</w:t>
                  </w:r>
                </w:p>
              </w:tc>
              <w:tc>
                <w:tcPr>
                  <w:tcW w:w="661" w:type="pct"/>
                  <w:shd w:val="clear" w:color="auto" w:fill="auto"/>
                  <w:vAlign w:val="center"/>
                </w:tcPr>
                <w:p w14:paraId="7299BFA1">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eastAsia="宋体" w:cs="Times New Roman"/>
                      <w:color w:val="auto"/>
                      <w:spacing w:val="3"/>
                      <w:sz w:val="21"/>
                      <w:szCs w:val="21"/>
                      <w:highlight w:val="none"/>
                    </w:rPr>
                    <w:t>900-2</w:t>
                  </w:r>
                  <w:r>
                    <w:rPr>
                      <w:rFonts w:hint="default" w:ascii="Times New Roman" w:hAnsi="Times New Roman" w:eastAsia="宋体" w:cs="Times New Roman"/>
                      <w:color w:val="auto"/>
                      <w:spacing w:val="3"/>
                      <w:sz w:val="21"/>
                      <w:szCs w:val="21"/>
                      <w:highlight w:val="none"/>
                      <w:lang w:val="en-US" w:eastAsia="zh-CN"/>
                    </w:rPr>
                    <w:t>49</w:t>
                  </w:r>
                  <w:r>
                    <w:rPr>
                      <w:rFonts w:hint="default" w:ascii="Times New Roman" w:hAnsi="Times New Roman" w:eastAsia="宋体" w:cs="Times New Roman"/>
                      <w:color w:val="auto"/>
                      <w:spacing w:val="3"/>
                      <w:sz w:val="21"/>
                      <w:szCs w:val="21"/>
                      <w:highlight w:val="none"/>
                    </w:rPr>
                    <w:t>-08</w:t>
                  </w:r>
                </w:p>
              </w:tc>
              <w:tc>
                <w:tcPr>
                  <w:tcW w:w="562" w:type="pct"/>
                  <w:vMerge w:val="continue"/>
                  <w:vAlign w:val="center"/>
                </w:tcPr>
                <w:p w14:paraId="43760470">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c>
                <w:tcPr>
                  <w:tcW w:w="365" w:type="pct"/>
                  <w:vMerge w:val="continue"/>
                  <w:vAlign w:val="center"/>
                </w:tcPr>
                <w:p w14:paraId="58C30FF4">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c>
                <w:tcPr>
                  <w:tcW w:w="372" w:type="pct"/>
                  <w:vAlign w:val="center"/>
                </w:tcPr>
                <w:p w14:paraId="59BEA764">
                  <w:pPr>
                    <w:keepNext w:val="0"/>
                    <w:keepLines w:val="0"/>
                    <w:suppressLineNumbers w:val="0"/>
                    <w:topLinePunct/>
                    <w:adjustRightInd w:val="0"/>
                    <w:snapToGrid w:val="0"/>
                    <w:spacing w:before="0" w:beforeAutospacing="0" w:after="0" w:afterAutospacing="0"/>
                    <w:ind w:left="0" w:right="0"/>
                    <w:jc w:val="center"/>
                    <w:rPr>
                      <w:rFonts w:hint="eastAsia" w:eastAsia="宋体"/>
                      <w:kern w:val="0"/>
                      <w:szCs w:val="21"/>
                      <w:highlight w:val="none"/>
                      <w:lang w:eastAsia="zh-CN"/>
                    </w:rPr>
                  </w:pPr>
                  <w:r>
                    <w:rPr>
                      <w:rFonts w:hint="eastAsia"/>
                      <w:kern w:val="0"/>
                      <w:szCs w:val="21"/>
                      <w:highlight w:val="none"/>
                      <w:lang w:val="en-US" w:eastAsia="zh-CN"/>
                    </w:rPr>
                    <w:t>托盘</w:t>
                  </w:r>
                </w:p>
              </w:tc>
              <w:tc>
                <w:tcPr>
                  <w:tcW w:w="406" w:type="pct"/>
                  <w:vAlign w:val="center"/>
                </w:tcPr>
                <w:p w14:paraId="64A943D0">
                  <w:pPr>
                    <w:keepNext w:val="0"/>
                    <w:keepLines w:val="0"/>
                    <w:pageBreakBefore w:val="0"/>
                    <w:widowControl/>
                    <w:suppressLineNumbers w:val="0"/>
                    <w:kinsoku w:val="0"/>
                    <w:wordWrap/>
                    <w:overflowPunct/>
                    <w:topLinePunct w:val="0"/>
                    <w:autoSpaceDE w:val="0"/>
                    <w:autoSpaceDN w:val="0"/>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eastAsia="宋体" w:cs="Times New Roman"/>
                      <w:color w:val="auto"/>
                      <w:spacing w:val="6"/>
                      <w:sz w:val="21"/>
                      <w:szCs w:val="21"/>
                      <w:highlight w:val="none"/>
                      <w:lang w:val="en-US" w:eastAsia="zh-CN"/>
                    </w:rPr>
                    <w:t>0.</w:t>
                  </w:r>
                  <w:r>
                    <w:rPr>
                      <w:rFonts w:hint="default" w:ascii="Times New Roman" w:hAnsi="Times New Roman" w:cs="Times New Roman"/>
                      <w:color w:val="auto"/>
                      <w:spacing w:val="6"/>
                      <w:sz w:val="21"/>
                      <w:szCs w:val="21"/>
                      <w:highlight w:val="none"/>
                      <w:lang w:val="en-US" w:eastAsia="zh-CN"/>
                    </w:rPr>
                    <w:t>05</w:t>
                  </w:r>
                  <w:r>
                    <w:rPr>
                      <w:rFonts w:hint="default" w:ascii="Times New Roman" w:hAnsi="Times New Roman" w:eastAsia="宋体" w:cs="Times New Roman"/>
                      <w:color w:val="auto"/>
                      <w:spacing w:val="6"/>
                      <w:sz w:val="21"/>
                      <w:szCs w:val="21"/>
                      <w:highlight w:val="none"/>
                      <w:lang w:val="en-US" w:eastAsia="zh-CN"/>
                    </w:rPr>
                    <w:t>t/a</w:t>
                  </w:r>
                </w:p>
              </w:tc>
              <w:tc>
                <w:tcPr>
                  <w:tcW w:w="385" w:type="pct"/>
                  <w:vAlign w:val="center"/>
                </w:tcPr>
                <w:p w14:paraId="61B24366">
                  <w:pPr>
                    <w:keepNext w:val="0"/>
                    <w:keepLines w:val="0"/>
                    <w:widowControl/>
                    <w:suppressLineNumbers w:val="0"/>
                    <w:spacing w:before="0" w:beforeAutospacing="0" w:after="0" w:afterAutospacing="0"/>
                    <w:ind w:left="0" w:right="0"/>
                    <w:jc w:val="center"/>
                    <w:rPr>
                      <w:rFonts w:hint="eastAsia" w:eastAsia="宋体"/>
                      <w:kern w:val="0"/>
                      <w:szCs w:val="21"/>
                      <w:highlight w:val="none"/>
                      <w:lang w:val="en-US" w:eastAsia="zh-CN"/>
                    </w:rPr>
                  </w:pPr>
                  <w:r>
                    <w:rPr>
                      <w:rFonts w:hint="default"/>
                      <w:kern w:val="0"/>
                      <w:szCs w:val="21"/>
                      <w:highlight w:val="none"/>
                    </w:rPr>
                    <w:t>0.1</w:t>
                  </w:r>
                  <w:r>
                    <w:rPr>
                      <w:rFonts w:hint="eastAsia"/>
                      <w:kern w:val="0"/>
                      <w:szCs w:val="21"/>
                      <w:highlight w:val="none"/>
                      <w:lang w:val="en-US" w:eastAsia="zh-CN"/>
                    </w:rPr>
                    <w:t>t</w:t>
                  </w:r>
                </w:p>
              </w:tc>
              <w:tc>
                <w:tcPr>
                  <w:tcW w:w="247" w:type="pct"/>
                  <w:vAlign w:val="center"/>
                </w:tcPr>
                <w:p w14:paraId="6FAD5B62">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eastAsia"/>
                      <w:kern w:val="0"/>
                      <w:szCs w:val="21"/>
                      <w:highlight w:val="none"/>
                      <w:lang w:val="en-US" w:eastAsia="zh-CN"/>
                    </w:rPr>
                    <w:t>1m</w:t>
                  </w:r>
                  <w:r>
                    <w:rPr>
                      <w:rFonts w:hint="eastAsia"/>
                      <w:kern w:val="0"/>
                      <w:szCs w:val="21"/>
                      <w:highlight w:val="none"/>
                      <w:vertAlign w:val="superscript"/>
                      <w:lang w:val="en-US" w:eastAsia="zh-CN"/>
                    </w:rPr>
                    <w:t>2</w:t>
                  </w:r>
                </w:p>
              </w:tc>
              <w:tc>
                <w:tcPr>
                  <w:tcW w:w="247" w:type="pct"/>
                  <w:vMerge w:val="continue"/>
                  <w:vAlign w:val="center"/>
                </w:tcPr>
                <w:p w14:paraId="1CF2D5CF">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r>
            <w:tr w14:paraId="3E65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vAlign w:val="center"/>
                </w:tcPr>
                <w:p w14:paraId="53F59896">
                  <w:pPr>
                    <w:keepNext w:val="0"/>
                    <w:keepLines w:val="0"/>
                    <w:widowControl/>
                    <w:suppressLineNumbers w:val="0"/>
                    <w:spacing w:before="0" w:beforeAutospacing="0" w:after="0" w:afterAutospacing="0"/>
                    <w:ind w:left="0" w:right="0"/>
                    <w:jc w:val="center"/>
                    <w:rPr>
                      <w:rFonts w:hint="default"/>
                      <w:kern w:val="0"/>
                      <w:szCs w:val="21"/>
                      <w:highlight w:val="none"/>
                    </w:rPr>
                  </w:pPr>
                  <w:r>
                    <w:rPr>
                      <w:rFonts w:hint="default"/>
                      <w:kern w:val="0"/>
                      <w:szCs w:val="21"/>
                      <w:highlight w:val="none"/>
                    </w:rPr>
                    <w:t>4</w:t>
                  </w:r>
                </w:p>
              </w:tc>
              <w:tc>
                <w:tcPr>
                  <w:tcW w:w="380" w:type="pct"/>
                  <w:vMerge w:val="continue"/>
                  <w:vAlign w:val="center"/>
                </w:tcPr>
                <w:p w14:paraId="190ADAAA">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c>
                <w:tcPr>
                  <w:tcW w:w="663" w:type="pct"/>
                  <w:shd w:val="clear" w:color="auto" w:fill="auto"/>
                  <w:vAlign w:val="center"/>
                </w:tcPr>
                <w:p w14:paraId="42992AB8">
                  <w:pPr>
                    <w:pStyle w:val="105"/>
                    <w:keepNext w:val="0"/>
                    <w:keepLines w:val="0"/>
                    <w:pageBreakBefore w:val="0"/>
                    <w:widowControl/>
                    <w:suppressLineNumbers w:val="0"/>
                    <w:kinsoku/>
                    <w:wordWrap/>
                    <w:overflowPunct/>
                    <w:topLinePunct w:val="0"/>
                    <w:autoSpaceDE/>
                    <w:autoSpaceDN/>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eastAsia="宋体" w:cs="Times New Roman"/>
                      <w:color w:val="auto"/>
                      <w:spacing w:val="7"/>
                      <w:sz w:val="21"/>
                      <w:szCs w:val="21"/>
                      <w:highlight w:val="none"/>
                    </w:rPr>
                    <w:t>沾染油污的油</w:t>
                  </w:r>
                  <w:r>
                    <w:rPr>
                      <w:rFonts w:hint="default" w:ascii="Times New Roman" w:hAnsi="Times New Roman" w:eastAsia="宋体" w:cs="Times New Roman"/>
                      <w:color w:val="auto"/>
                      <w:spacing w:val="8"/>
                      <w:sz w:val="21"/>
                      <w:szCs w:val="21"/>
                      <w:highlight w:val="none"/>
                    </w:rPr>
                    <w:t>布、废手套等</w:t>
                  </w:r>
                  <w:r>
                    <w:rPr>
                      <w:rFonts w:hint="default" w:ascii="Times New Roman" w:hAnsi="Times New Roman" w:eastAsia="宋体" w:cs="Times New Roman"/>
                      <w:color w:val="auto"/>
                      <w:spacing w:val="7"/>
                      <w:sz w:val="21"/>
                      <w:szCs w:val="21"/>
                      <w:highlight w:val="none"/>
                    </w:rPr>
                    <w:t>检修</w:t>
                  </w:r>
                  <w:r>
                    <w:rPr>
                      <w:rFonts w:hint="default" w:ascii="Times New Roman" w:hAnsi="Times New Roman" w:cs="Times New Roman"/>
                      <w:color w:val="auto"/>
                      <w:spacing w:val="7"/>
                      <w:sz w:val="21"/>
                      <w:szCs w:val="21"/>
                      <w:highlight w:val="none"/>
                      <w:lang w:val="en-US" w:eastAsia="zh-CN"/>
                    </w:rPr>
                    <w:t>废物</w:t>
                  </w:r>
                </w:p>
              </w:tc>
              <w:tc>
                <w:tcPr>
                  <w:tcW w:w="463" w:type="pct"/>
                  <w:shd w:val="clear" w:color="auto" w:fill="auto"/>
                  <w:vAlign w:val="center"/>
                </w:tcPr>
                <w:p w14:paraId="35612A89">
                  <w:pPr>
                    <w:pStyle w:val="111"/>
                    <w:keepNext w:val="0"/>
                    <w:keepLines w:val="0"/>
                    <w:suppressLineNumbers w:val="0"/>
                    <w:spacing w:before="0" w:beforeAutospacing="0" w:after="0" w:afterAutospacing="0"/>
                    <w:ind w:left="0" w:right="0"/>
                    <w:rPr>
                      <w:rFonts w:hint="default" w:eastAsia="宋体"/>
                      <w:kern w:val="0"/>
                      <w:highlight w:val="none"/>
                      <w:lang w:val="en-US" w:eastAsia="zh-CN"/>
                    </w:rPr>
                  </w:pPr>
                  <w:r>
                    <w:rPr>
                      <w:rFonts w:hint="default"/>
                      <w:highlight w:val="none"/>
                    </w:rPr>
                    <w:t>HW</w:t>
                  </w:r>
                  <w:r>
                    <w:rPr>
                      <w:rFonts w:hint="eastAsia"/>
                      <w:highlight w:val="none"/>
                      <w:lang w:val="en-US" w:eastAsia="zh-CN"/>
                    </w:rPr>
                    <w:t>49</w:t>
                  </w:r>
                </w:p>
              </w:tc>
              <w:tc>
                <w:tcPr>
                  <w:tcW w:w="661" w:type="pct"/>
                  <w:shd w:val="clear" w:color="auto" w:fill="auto"/>
                  <w:vAlign w:val="center"/>
                </w:tcPr>
                <w:p w14:paraId="63317D03">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eastAsia="宋体" w:cs="Times New Roman"/>
                      <w:color w:val="auto"/>
                      <w:spacing w:val="3"/>
                      <w:sz w:val="21"/>
                      <w:szCs w:val="21"/>
                      <w:highlight w:val="none"/>
                    </w:rPr>
                    <w:t>900-041-049</w:t>
                  </w:r>
                </w:p>
              </w:tc>
              <w:tc>
                <w:tcPr>
                  <w:tcW w:w="562" w:type="pct"/>
                  <w:vMerge w:val="continue"/>
                  <w:vAlign w:val="center"/>
                </w:tcPr>
                <w:p w14:paraId="4D92BD74">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c>
                <w:tcPr>
                  <w:tcW w:w="365" w:type="pct"/>
                  <w:vMerge w:val="continue"/>
                  <w:vAlign w:val="center"/>
                </w:tcPr>
                <w:p w14:paraId="5019A1ED">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c>
                <w:tcPr>
                  <w:tcW w:w="372" w:type="pct"/>
                  <w:vAlign w:val="center"/>
                </w:tcPr>
                <w:p w14:paraId="3CE481A7">
                  <w:pPr>
                    <w:keepNext w:val="0"/>
                    <w:keepLines w:val="0"/>
                    <w:suppressLineNumbers w:val="0"/>
                    <w:topLinePunct/>
                    <w:adjustRightInd w:val="0"/>
                    <w:snapToGrid w:val="0"/>
                    <w:spacing w:before="0" w:beforeAutospacing="0" w:after="0" w:afterAutospacing="0"/>
                    <w:ind w:left="0" w:right="0"/>
                    <w:jc w:val="center"/>
                    <w:rPr>
                      <w:rFonts w:hint="eastAsia" w:eastAsia="宋体"/>
                      <w:kern w:val="0"/>
                      <w:szCs w:val="21"/>
                      <w:highlight w:val="none"/>
                      <w:lang w:val="en-US" w:eastAsia="zh-CN"/>
                    </w:rPr>
                  </w:pPr>
                  <w:r>
                    <w:rPr>
                      <w:rFonts w:hint="eastAsia"/>
                      <w:kern w:val="0"/>
                      <w:szCs w:val="21"/>
                      <w:highlight w:val="none"/>
                      <w:lang w:val="en-US" w:eastAsia="zh-CN"/>
                    </w:rPr>
                    <w:t>托盘</w:t>
                  </w:r>
                </w:p>
              </w:tc>
              <w:tc>
                <w:tcPr>
                  <w:tcW w:w="406" w:type="pct"/>
                  <w:vAlign w:val="center"/>
                </w:tcPr>
                <w:p w14:paraId="6813D44A">
                  <w:pPr>
                    <w:keepNext w:val="0"/>
                    <w:keepLines w:val="0"/>
                    <w:pageBreakBefore w:val="0"/>
                    <w:widowControl/>
                    <w:suppressLineNumbers w:val="0"/>
                    <w:kinsoku w:val="0"/>
                    <w:wordWrap/>
                    <w:overflowPunct/>
                    <w:topLinePunct w:val="0"/>
                    <w:autoSpaceDE w:val="0"/>
                    <w:autoSpaceDN w:val="0"/>
                    <w:bidi w:val="0"/>
                    <w:adjustRightInd w:val="0"/>
                    <w:snapToGrid w:val="0"/>
                    <w:spacing w:before="60" w:beforeAutospacing="0" w:after="0" w:afterAutospacing="0" w:line="240" w:lineRule="auto"/>
                    <w:ind w:left="21" w:leftChars="10" w:right="21" w:rightChars="10" w:firstLine="0" w:firstLineChars="0"/>
                    <w:jc w:val="center"/>
                    <w:textAlignment w:val="baseline"/>
                    <w:rPr>
                      <w:rFonts w:hint="default"/>
                      <w:kern w:val="0"/>
                      <w:highlight w:val="none"/>
                    </w:rPr>
                  </w:pPr>
                  <w:r>
                    <w:rPr>
                      <w:rFonts w:hint="default" w:ascii="Times New Roman" w:hAnsi="Times New Roman" w:eastAsia="宋体" w:cs="Times New Roman"/>
                      <w:color w:val="auto"/>
                      <w:spacing w:val="2"/>
                      <w:sz w:val="21"/>
                      <w:szCs w:val="21"/>
                      <w:highlight w:val="none"/>
                      <w:lang w:val="en-US" w:eastAsia="zh-CN"/>
                    </w:rPr>
                    <w:t>0.</w:t>
                  </w:r>
                  <w:r>
                    <w:rPr>
                      <w:rFonts w:hint="default" w:ascii="Times New Roman" w:hAnsi="Times New Roman" w:cs="Times New Roman"/>
                      <w:color w:val="auto"/>
                      <w:spacing w:val="2"/>
                      <w:sz w:val="21"/>
                      <w:szCs w:val="21"/>
                      <w:highlight w:val="none"/>
                      <w:lang w:val="en-US" w:eastAsia="zh-CN"/>
                    </w:rPr>
                    <w:t>1</w:t>
                  </w:r>
                  <w:r>
                    <w:rPr>
                      <w:rFonts w:hint="default" w:ascii="Times New Roman" w:hAnsi="Times New Roman" w:eastAsia="宋体" w:cs="Times New Roman"/>
                      <w:b w:val="0"/>
                      <w:bCs w:val="0"/>
                      <w:color w:val="auto"/>
                      <w:sz w:val="21"/>
                      <w:szCs w:val="21"/>
                      <w:highlight w:val="none"/>
                    </w:rPr>
                    <w:t>t/a</w:t>
                  </w:r>
                </w:p>
              </w:tc>
              <w:tc>
                <w:tcPr>
                  <w:tcW w:w="385" w:type="pct"/>
                  <w:vAlign w:val="center"/>
                </w:tcPr>
                <w:p w14:paraId="2D9A3E42">
                  <w:pPr>
                    <w:keepNext w:val="0"/>
                    <w:keepLines w:val="0"/>
                    <w:widowControl/>
                    <w:suppressLineNumbers w:val="0"/>
                    <w:spacing w:before="0" w:beforeAutospacing="0" w:after="0" w:afterAutospacing="0"/>
                    <w:ind w:left="0" w:right="0"/>
                    <w:jc w:val="center"/>
                    <w:rPr>
                      <w:rFonts w:hint="eastAsia" w:eastAsia="宋体"/>
                      <w:kern w:val="0"/>
                      <w:szCs w:val="21"/>
                      <w:highlight w:val="none"/>
                      <w:lang w:val="en-US" w:eastAsia="zh-CN"/>
                    </w:rPr>
                  </w:pPr>
                  <w:r>
                    <w:rPr>
                      <w:rFonts w:hint="default"/>
                      <w:kern w:val="0"/>
                      <w:szCs w:val="21"/>
                      <w:highlight w:val="none"/>
                    </w:rPr>
                    <w:t>0.1</w:t>
                  </w:r>
                  <w:r>
                    <w:rPr>
                      <w:rFonts w:hint="eastAsia"/>
                      <w:kern w:val="0"/>
                      <w:szCs w:val="21"/>
                      <w:highlight w:val="none"/>
                      <w:lang w:val="en-US" w:eastAsia="zh-CN"/>
                    </w:rPr>
                    <w:t>t</w:t>
                  </w:r>
                </w:p>
              </w:tc>
              <w:tc>
                <w:tcPr>
                  <w:tcW w:w="247" w:type="pct"/>
                  <w:vAlign w:val="center"/>
                </w:tcPr>
                <w:p w14:paraId="731EBE35">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r>
                    <w:rPr>
                      <w:rFonts w:hint="eastAsia"/>
                      <w:kern w:val="0"/>
                      <w:szCs w:val="21"/>
                      <w:highlight w:val="none"/>
                      <w:lang w:val="en-US" w:eastAsia="zh-CN"/>
                    </w:rPr>
                    <w:t>1m</w:t>
                  </w:r>
                  <w:r>
                    <w:rPr>
                      <w:rFonts w:hint="eastAsia"/>
                      <w:kern w:val="0"/>
                      <w:szCs w:val="21"/>
                      <w:highlight w:val="none"/>
                      <w:vertAlign w:val="superscript"/>
                      <w:lang w:val="en-US" w:eastAsia="zh-CN"/>
                    </w:rPr>
                    <w:t>2</w:t>
                  </w:r>
                </w:p>
              </w:tc>
              <w:tc>
                <w:tcPr>
                  <w:tcW w:w="247" w:type="pct"/>
                  <w:vMerge w:val="continue"/>
                  <w:vAlign w:val="center"/>
                </w:tcPr>
                <w:p w14:paraId="654C7324">
                  <w:pPr>
                    <w:keepNext w:val="0"/>
                    <w:keepLines w:val="0"/>
                    <w:suppressLineNumbers w:val="0"/>
                    <w:topLinePunct/>
                    <w:adjustRightInd w:val="0"/>
                    <w:snapToGrid w:val="0"/>
                    <w:spacing w:before="0" w:beforeAutospacing="0" w:after="0" w:afterAutospacing="0"/>
                    <w:ind w:left="0" w:right="0"/>
                    <w:jc w:val="center"/>
                    <w:rPr>
                      <w:rFonts w:hint="default"/>
                      <w:kern w:val="0"/>
                      <w:szCs w:val="21"/>
                      <w:highlight w:val="none"/>
                    </w:rPr>
                  </w:pPr>
                </w:p>
              </w:tc>
            </w:tr>
          </w:tbl>
          <w:p w14:paraId="16E0DED2">
            <w:pPr>
              <w:pStyle w:val="24"/>
              <w:keepNext w:val="0"/>
              <w:keepLines w:val="0"/>
              <w:suppressLineNumbers w:val="0"/>
              <w:spacing w:before="0" w:beforeAutospacing="0" w:after="0" w:afterAutospacing="0"/>
              <w:ind w:right="0"/>
              <w:rPr>
                <w:rFonts w:hint="default"/>
                <w:lang w:val="zh-CN"/>
              </w:rPr>
            </w:pPr>
          </w:p>
          <w:p w14:paraId="5C696630">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b w:val="0"/>
                <w:bCs/>
                <w:color w:val="auto"/>
                <w:sz w:val="24"/>
                <w:szCs w:val="24"/>
                <w:highlight w:val="none"/>
                <w:lang w:eastAsia="zh-CN"/>
              </w:rPr>
            </w:pPr>
            <w:r>
              <w:rPr>
                <w:rFonts w:hint="eastAsia" w:ascii="Times New Roman" w:cs="Times New Roman"/>
                <w:b w:val="0"/>
                <w:bCs/>
                <w:color w:val="auto"/>
                <w:sz w:val="24"/>
                <w:szCs w:val="24"/>
                <w:highlight w:val="none"/>
                <w:lang w:eastAsia="zh-CN"/>
              </w:rPr>
              <w:t>（</w:t>
            </w:r>
            <w:r>
              <w:rPr>
                <w:rFonts w:hint="eastAsia" w:ascii="Times New Roman" w:cs="Times New Roman"/>
                <w:b w:val="0"/>
                <w:bCs/>
                <w:color w:val="auto"/>
                <w:sz w:val="24"/>
                <w:szCs w:val="24"/>
                <w:highlight w:val="none"/>
                <w:lang w:val="en-US" w:eastAsia="zh-CN"/>
              </w:rPr>
              <w:t>2</w:t>
            </w:r>
            <w:r>
              <w:rPr>
                <w:rFonts w:hint="eastAsia" w:ascii="Times New Roman"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危险废物的</w:t>
            </w:r>
            <w:r>
              <w:rPr>
                <w:rFonts w:hint="eastAsia" w:ascii="Times New Roman" w:cs="Times New Roman"/>
                <w:b w:val="0"/>
                <w:bCs/>
                <w:color w:val="auto"/>
                <w:sz w:val="24"/>
                <w:szCs w:val="24"/>
                <w:highlight w:val="none"/>
                <w:lang w:val="en-US" w:eastAsia="zh-CN"/>
              </w:rPr>
              <w:t>环境影响分析</w:t>
            </w:r>
            <w:r>
              <w:rPr>
                <w:rFonts w:hint="default" w:ascii="Times New Roman" w:hAnsi="Times New Roman" w:cs="Times New Roman"/>
                <w:b w:val="0"/>
                <w:bCs/>
                <w:color w:val="auto"/>
                <w:sz w:val="24"/>
                <w:szCs w:val="24"/>
                <w:highlight w:val="none"/>
                <w:lang w:eastAsia="zh-CN"/>
              </w:rPr>
              <w:t>：</w:t>
            </w:r>
          </w:p>
          <w:p w14:paraId="4F3BEA68">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eastAsia"/>
                <w:kern w:val="0"/>
                <w:szCs w:val="24"/>
                <w:highlight w:val="none"/>
                <w:lang w:val="en-US" w:eastAsia="zh-CN"/>
              </w:rPr>
              <w:t>①</w:t>
            </w:r>
            <w:r>
              <w:rPr>
                <w:rFonts w:hint="default"/>
                <w:kern w:val="0"/>
                <w:szCs w:val="24"/>
                <w:highlight w:val="none"/>
              </w:rPr>
              <w:t>贮存场所环境影响分析</w:t>
            </w:r>
          </w:p>
          <w:p w14:paraId="5C5D6509">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default"/>
                <w:kern w:val="0"/>
                <w:szCs w:val="24"/>
                <w:highlight w:val="none"/>
              </w:rPr>
              <w:t>危险废物暂存场所（危险废物暂存间）面积为</w:t>
            </w:r>
            <w:r>
              <w:rPr>
                <w:rFonts w:hint="eastAsia"/>
                <w:kern w:val="0"/>
                <w:szCs w:val="24"/>
                <w:highlight w:val="none"/>
                <w:lang w:val="en-US" w:eastAsia="zh-CN"/>
              </w:rPr>
              <w:t>9</w:t>
            </w:r>
            <w:r>
              <w:rPr>
                <w:rFonts w:hint="default"/>
                <w:kern w:val="0"/>
                <w:szCs w:val="24"/>
                <w:highlight w:val="none"/>
              </w:rPr>
              <w:t>m</w:t>
            </w:r>
            <w:r>
              <w:rPr>
                <w:rFonts w:hint="default"/>
                <w:kern w:val="0"/>
                <w:szCs w:val="24"/>
                <w:highlight w:val="none"/>
                <w:vertAlign w:val="superscript"/>
              </w:rPr>
              <w:t>2</w:t>
            </w:r>
            <w:r>
              <w:rPr>
                <w:rFonts w:hint="default"/>
                <w:kern w:val="0"/>
                <w:szCs w:val="24"/>
                <w:highlight w:val="none"/>
              </w:rPr>
              <w:t>，应满足“</w:t>
            </w:r>
            <w:r>
              <w:rPr>
                <w:rFonts w:hint="eastAsia"/>
                <w:kern w:val="0"/>
                <w:szCs w:val="24"/>
                <w:highlight w:val="none"/>
                <w:lang w:val="en-US" w:eastAsia="zh-CN"/>
              </w:rPr>
              <w:t>六</w:t>
            </w:r>
            <w:r>
              <w:rPr>
                <w:rFonts w:hint="default"/>
                <w:kern w:val="0"/>
                <w:szCs w:val="24"/>
                <w:highlight w:val="none"/>
              </w:rPr>
              <w:t>防”（防风、防晒、防雨、防漏、防渗、防腐）要求，采取防渗漏措施和渗漏收集措施，并设置警示标志，在采取严格防治措施的前提下，危险废物贮存场所不会造成不利环境影响。</w:t>
            </w:r>
          </w:p>
          <w:p w14:paraId="6301B85B">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eastAsia"/>
                <w:kern w:val="0"/>
                <w:szCs w:val="24"/>
                <w:highlight w:val="none"/>
                <w:lang w:val="en-US" w:eastAsia="zh-CN"/>
              </w:rPr>
              <w:t>②</w:t>
            </w:r>
            <w:r>
              <w:rPr>
                <w:rFonts w:hint="default"/>
                <w:kern w:val="0"/>
                <w:szCs w:val="24"/>
                <w:highlight w:val="none"/>
              </w:rPr>
              <w:t>运输过程的环境影响分析</w:t>
            </w:r>
          </w:p>
          <w:p w14:paraId="6175FBCC">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default"/>
                <w:kern w:val="0"/>
                <w:szCs w:val="24"/>
                <w:highlight w:val="none"/>
              </w:rPr>
              <w:t>本项目危险废物贮存在危险废物暂存间内，</w:t>
            </w:r>
            <w:r>
              <w:rPr>
                <w:rFonts w:hint="eastAsia"/>
                <w:kern w:val="0"/>
                <w:szCs w:val="24"/>
                <w:highlight w:val="none"/>
                <w:lang w:val="en-US" w:eastAsia="zh-CN"/>
              </w:rPr>
              <w:t>升压站</w:t>
            </w:r>
            <w:r>
              <w:rPr>
                <w:rFonts w:hint="default"/>
                <w:kern w:val="0"/>
                <w:szCs w:val="24"/>
                <w:highlight w:val="none"/>
              </w:rPr>
              <w:t>地面及通道采取硬化和防腐防渗措施，因此危险废物从产生工艺环节运输到暂存场所的过程中产生散落和</w:t>
            </w:r>
            <w:r>
              <w:rPr>
                <w:rFonts w:hint="eastAsia"/>
                <w:kern w:val="0"/>
                <w:szCs w:val="24"/>
                <w:highlight w:val="none"/>
              </w:rPr>
              <w:t>泄漏</w:t>
            </w:r>
            <w:r>
              <w:rPr>
                <w:rFonts w:hint="default"/>
                <w:kern w:val="0"/>
                <w:szCs w:val="24"/>
                <w:highlight w:val="none"/>
              </w:rPr>
              <w:t>均会将影响控制在</w:t>
            </w:r>
            <w:r>
              <w:rPr>
                <w:rFonts w:hint="eastAsia"/>
                <w:kern w:val="0"/>
                <w:szCs w:val="24"/>
                <w:highlight w:val="none"/>
                <w:lang w:val="en-US" w:eastAsia="zh-CN"/>
              </w:rPr>
              <w:t>升压站</w:t>
            </w:r>
            <w:r>
              <w:rPr>
                <w:rFonts w:hint="default"/>
                <w:kern w:val="0"/>
                <w:szCs w:val="24"/>
                <w:highlight w:val="none"/>
              </w:rPr>
              <w:t>内，不会对周围环境及地下水环境产生不利影响；</w:t>
            </w:r>
          </w:p>
          <w:p w14:paraId="530F6F7E">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eastAsia"/>
                <w:kern w:val="0"/>
                <w:szCs w:val="24"/>
                <w:highlight w:val="none"/>
                <w:lang w:val="en-US" w:eastAsia="zh-CN"/>
              </w:rPr>
              <w:t>③</w:t>
            </w:r>
            <w:r>
              <w:rPr>
                <w:rFonts w:hint="default"/>
                <w:kern w:val="0"/>
                <w:szCs w:val="24"/>
                <w:highlight w:val="none"/>
              </w:rPr>
              <w:t>委托利用或者处置的环境影响分析</w:t>
            </w:r>
          </w:p>
          <w:p w14:paraId="2E91A926">
            <w:pPr>
              <w:pStyle w:val="110"/>
              <w:keepNext w:val="0"/>
              <w:keepLines w:val="0"/>
              <w:suppressLineNumbers w:val="0"/>
              <w:spacing w:before="0" w:beforeAutospacing="0" w:after="0" w:afterAutospacing="0" w:line="360" w:lineRule="auto"/>
              <w:ind w:left="0" w:right="0" w:firstLine="480" w:firstLineChars="200"/>
              <w:rPr>
                <w:rFonts w:hint="default"/>
                <w:kern w:val="0"/>
                <w:szCs w:val="24"/>
                <w:highlight w:val="none"/>
              </w:rPr>
            </w:pPr>
            <w:r>
              <w:rPr>
                <w:rFonts w:hint="default"/>
                <w:kern w:val="0"/>
                <w:szCs w:val="24"/>
                <w:highlight w:val="none"/>
              </w:rPr>
              <w:t>本项目危险废物均委托有资质的单位进行处置，不会产生显著的环境影响。</w:t>
            </w:r>
          </w:p>
          <w:p w14:paraId="40E695C4">
            <w:pPr>
              <w:pStyle w:val="110"/>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kern w:val="0"/>
                <w:szCs w:val="24"/>
                <w:highlight w:val="none"/>
              </w:rPr>
              <w:t>综上所述，本项目产生的固体废物按照厂内统一管理进行分类收集处理，固体废物不会产生二次污染。</w:t>
            </w:r>
          </w:p>
          <w:p w14:paraId="7696E1EF">
            <w:pPr>
              <w:pStyle w:val="65"/>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pacing w:val="-10"/>
                <w:sz w:val="24"/>
                <w:szCs w:val="24"/>
                <w:highlight w:val="none"/>
                <w:lang w:val="en-US" w:eastAsia="zh-CN"/>
              </w:rPr>
            </w:pPr>
            <w:r>
              <w:rPr>
                <w:rFonts w:hint="default" w:ascii="Times New Roman" w:hAnsi="Times New Roman" w:eastAsia="宋体" w:cs="Times New Roman"/>
                <w:b/>
                <w:bCs/>
                <w:color w:val="auto"/>
                <w:spacing w:val="-10"/>
                <w:sz w:val="24"/>
                <w:szCs w:val="24"/>
                <w:highlight w:val="none"/>
                <w:lang w:val="en-US" w:eastAsia="zh-CN"/>
              </w:rPr>
              <w:t>6、环境风险防护措施</w:t>
            </w:r>
          </w:p>
          <w:p w14:paraId="3002C63E">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升压</w:t>
            </w:r>
            <w:r>
              <w:rPr>
                <w:rFonts w:hint="default" w:ascii="Times New Roman" w:hAnsi="Times New Roman" w:eastAsia="宋体" w:cs="Times New Roman"/>
                <w:color w:val="auto"/>
                <w:sz w:val="24"/>
                <w:szCs w:val="24"/>
                <w:highlight w:val="none"/>
              </w:rPr>
              <w:t>站在正常运行状态下，无变压器油外排；当发生突发事故时，变压器油外泄，排入事故油池，经隔油处理后回用，不能利用的部分废油属于危险废物，交由有危废处理资质的单位处置，不外排。</w:t>
            </w:r>
            <w:r>
              <w:rPr>
                <w:rFonts w:hint="default" w:ascii="Times New Roman" w:hAnsi="Times New Roman" w:eastAsia="宋体" w:cs="Times New Roman"/>
                <w:color w:val="auto"/>
                <w:sz w:val="24"/>
                <w:szCs w:val="24"/>
                <w:highlight w:val="none"/>
                <w:lang w:val="en-US" w:eastAsia="zh-CN"/>
              </w:rPr>
              <w:t>升压站</w:t>
            </w:r>
            <w:r>
              <w:rPr>
                <w:rFonts w:hint="default" w:ascii="Times New Roman" w:hAnsi="Times New Roman" w:eastAsia="宋体" w:cs="Times New Roman"/>
                <w:color w:val="auto"/>
                <w:sz w:val="24"/>
                <w:szCs w:val="24"/>
                <w:highlight w:val="none"/>
              </w:rPr>
              <w:t>内设置污油排蓄系统，变压器下铺设一卵石层，并设有事故油坑并与事故油池相连。一旦变压器事故时排油或漏油，所有的油水混合物将渗过卵石层并通过事故油坑到达事故油池，在此过程中卵石层起到冷却油的作用，不易发生火灾。</w:t>
            </w:r>
          </w:p>
          <w:p w14:paraId="7D731EC3">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本项目220kV</w:t>
            </w:r>
            <w:r>
              <w:rPr>
                <w:rFonts w:hint="default" w:ascii="Times New Roman" w:hAnsi="Times New Roman" w:eastAsia="宋体" w:cs="Times New Roman"/>
                <w:color w:val="auto"/>
                <w:sz w:val="24"/>
                <w:szCs w:val="24"/>
                <w:highlight w:val="none"/>
                <w:lang w:val="en-US" w:eastAsia="zh-CN"/>
              </w:rPr>
              <w:t>升压站</w:t>
            </w:r>
            <w:r>
              <w:rPr>
                <w:rFonts w:hint="default" w:ascii="Times New Roman" w:hAnsi="Times New Roman" w:eastAsia="宋体" w:cs="Times New Roman"/>
                <w:color w:val="auto"/>
                <w:sz w:val="24"/>
                <w:szCs w:val="24"/>
                <w:highlight w:val="none"/>
              </w:rPr>
              <w:t>在站区内设置1座容积为</w:t>
            </w:r>
            <w:r>
              <w:rPr>
                <w:rFonts w:hint="eastAsia" w:ascii="Times New Roman" w:cs="Times New Roman"/>
                <w:color w:val="auto"/>
                <w:sz w:val="24"/>
                <w:szCs w:val="24"/>
                <w:highlight w:val="none"/>
                <w:lang w:val="en-US" w:eastAsia="zh-CN"/>
              </w:rPr>
              <w:t>100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事故油池，容积可满足《火力发电厂与变电站设计防火标准》（GB50229-2019）“6.7.8户外单台油量为1000kg以上的电气设备，应设置贮油或挡油设施，其容积宜按设备油量的20％设计，并能将事故油排至总事故贮油池。总事故贮油池的容量应按其接入的油量最大的一台设备确定。当不能满足上述要求时，应设置能容纳相应电气设备全部油量的贮油设施”的要求。事故油坑和事故油池要进行防渗，严格按照《危险废物贮存污染控制标准》（GB18597-2023）中相关规定要求建设，防渗层为至少1m厚黏土层（渗透系数不大于10</w:t>
            </w:r>
            <w:r>
              <w:rPr>
                <w:rFonts w:hint="default" w:ascii="Times New Roman" w:hAnsi="Times New Roman" w:eastAsia="宋体" w:cs="Times New Roman"/>
                <w:color w:val="auto"/>
                <w:sz w:val="24"/>
                <w:szCs w:val="24"/>
                <w:highlight w:val="none"/>
                <w:vertAlign w:val="superscript"/>
              </w:rPr>
              <w:t>-7</w:t>
            </w:r>
            <w:r>
              <w:rPr>
                <w:rFonts w:hint="default" w:ascii="Times New Roman" w:hAnsi="Times New Roman" w:eastAsia="宋体" w:cs="Times New Roman"/>
                <w:color w:val="auto"/>
                <w:sz w:val="24"/>
                <w:szCs w:val="24"/>
                <w:highlight w:val="none"/>
              </w:rPr>
              <w:t>cm/s），或至少2mm厚高密度聚乙烯膜等人工防渗材料（渗透系数不大于10</w:t>
            </w:r>
            <w:r>
              <w:rPr>
                <w:rFonts w:hint="default" w:ascii="Times New Roman" w:hAnsi="Times New Roman" w:eastAsia="宋体" w:cs="Times New Roman"/>
                <w:color w:val="auto"/>
                <w:sz w:val="24"/>
                <w:szCs w:val="24"/>
                <w:highlight w:val="none"/>
                <w:vertAlign w:val="superscript"/>
              </w:rPr>
              <w:t>-10</w:t>
            </w:r>
            <w:r>
              <w:rPr>
                <w:rFonts w:hint="default" w:ascii="Times New Roman" w:hAnsi="Times New Roman" w:eastAsia="宋体" w:cs="Times New Roman"/>
                <w:color w:val="auto"/>
                <w:sz w:val="24"/>
                <w:szCs w:val="24"/>
                <w:highlight w:val="none"/>
              </w:rPr>
              <w:t>cm/s），确保无渗漏、无溢流。事故状态下的泄漏油收集至事故油池，委托有资质单位清运处理。</w:t>
            </w:r>
          </w:p>
          <w:p w14:paraId="223E3DC4">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auto"/>
                <w:sz w:val="24"/>
                <w:szCs w:val="24"/>
                <w:highlight w:val="none"/>
              </w:rPr>
              <w:t>运行期间应对事故油池的完好情况进行检查，确保无渗漏、无溢流。环境风险管理制度应健全，并按规定开展相应培训、演练等工作。</w:t>
            </w:r>
          </w:p>
        </w:tc>
      </w:tr>
      <w:tr w14:paraId="1FD462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659" w:type="dxa"/>
            <w:noWrap w:val="0"/>
            <w:tcMar>
              <w:left w:w="28" w:type="dxa"/>
              <w:right w:w="28" w:type="dxa"/>
            </w:tcMar>
            <w:vAlign w:val="center"/>
          </w:tcPr>
          <w:p w14:paraId="0E41FF8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FF"/>
                <w:sz w:val="24"/>
                <w:szCs w:val="24"/>
                <w:highlight w:val="none"/>
                <w:lang w:val="en-US" w:eastAsia="zh-CN"/>
              </w:rPr>
            </w:pPr>
            <w:r>
              <w:rPr>
                <w:rFonts w:hint="default" w:ascii="Times New Roman" w:hAnsi="Times New Roman" w:cs="Times New Roman"/>
                <w:bCs/>
                <w:color w:val="auto"/>
                <w:sz w:val="24"/>
                <w:szCs w:val="24"/>
                <w:highlight w:val="none"/>
                <w:lang w:val="en-US" w:eastAsia="zh-CN"/>
              </w:rPr>
              <w:t>其他</w:t>
            </w:r>
          </w:p>
        </w:tc>
        <w:tc>
          <w:tcPr>
            <w:tcW w:w="8865" w:type="dxa"/>
            <w:noWrap w:val="0"/>
            <w:vAlign w:val="center"/>
          </w:tcPr>
          <w:p w14:paraId="0BFB54A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default" w:ascii="Times New Roman" w:hAnsi="Times New Roman" w:eastAsia="宋体" w:cs="Times New Roman"/>
                <w:b/>
                <w:bCs w:val="0"/>
                <w:color w:val="auto"/>
                <w:sz w:val="24"/>
                <w:szCs w:val="24"/>
                <w:highlight w:val="none"/>
                <w:u w:val="none" w:color="auto"/>
                <w:lang w:val="en-US" w:eastAsia="zh-CN"/>
              </w:rPr>
            </w:pPr>
            <w:r>
              <w:rPr>
                <w:rFonts w:hint="default" w:ascii="Times New Roman" w:hAnsi="Times New Roman" w:eastAsia="宋体" w:cs="Times New Roman"/>
                <w:b/>
                <w:bCs w:val="0"/>
                <w:color w:val="auto"/>
                <w:sz w:val="24"/>
                <w:szCs w:val="24"/>
                <w:highlight w:val="none"/>
                <w:u w:val="none" w:color="auto"/>
                <w:lang w:val="en-US" w:eastAsia="zh-CN"/>
              </w:rPr>
              <w:t>环境管理与监测计划</w:t>
            </w:r>
          </w:p>
          <w:p w14:paraId="64BEDF2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b/>
                <w:bCs w:val="0"/>
                <w:color w:val="auto"/>
                <w:sz w:val="24"/>
                <w:szCs w:val="24"/>
                <w:highlight w:val="none"/>
                <w:u w:val="none" w:color="auto"/>
                <w:lang w:val="en-US" w:eastAsia="zh-CN"/>
              </w:rPr>
            </w:pPr>
            <w:r>
              <w:rPr>
                <w:rFonts w:hint="default" w:ascii="Times New Roman" w:hAnsi="Times New Roman" w:eastAsia="宋体" w:cs="Times New Roman"/>
                <w:b/>
                <w:bCs w:val="0"/>
                <w:color w:val="auto"/>
                <w:sz w:val="24"/>
                <w:szCs w:val="24"/>
                <w:highlight w:val="none"/>
                <w:u w:val="none" w:color="auto"/>
                <w:lang w:val="en-US" w:eastAsia="zh-CN"/>
              </w:rPr>
              <w:t xml:space="preserve">1.1施工期的环境管理和监督 </w:t>
            </w:r>
          </w:p>
          <w:p w14:paraId="4CAFA9F3">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在施工设计文件中详细说明建设期应注意的环保问题，严格要求施工单位按设计文件施工，特别是按环保设计要求施工。建设期环境管理的职责和任务如下： </w:t>
            </w:r>
          </w:p>
          <w:p w14:paraId="36B5CBC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（1）贯彻执行国家、地方的各项环境保护方针、政策、法规和各项规章制度。 </w:t>
            </w:r>
          </w:p>
          <w:p w14:paraId="5266E463">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（2）制定本工程施工中的环境保护计划，负责工程施工过程中各项环境保护措施实施的监督和日常管理。 </w:t>
            </w:r>
          </w:p>
          <w:p w14:paraId="41BB4C6F">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（3）收集、整理、推广和实施工程建设中各项环境保护的先进工作经验和技术。 </w:t>
            </w:r>
          </w:p>
          <w:p w14:paraId="220321FF">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（4）组织和开展对施工人员进行施工活动中应遵循的环保法规、知识的培训，提高全体员工文明施工的认识。 </w:t>
            </w:r>
          </w:p>
          <w:p w14:paraId="5CE9277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（5）做好工程用地区域的环境特征调查，对于环境保护目标要做到心中有数。</w:t>
            </w:r>
          </w:p>
          <w:p w14:paraId="7B3D0D2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6）在施工计划中应适当计划设备运输道路，以避免影响当地居民生活，施工中应考虑保护生态和避免水土流失，合理组织施工，不在站外设置临时施工用地；做好施工中各种环境问题的收集、记录、建档和处理工作。 </w:t>
            </w:r>
          </w:p>
          <w:p w14:paraId="5A8DC2CA">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（7）监督施工单位，使设计、施工过程的各项环境保护措施与主体工程同步实施</w:t>
            </w:r>
            <w:r>
              <w:rPr>
                <w:rFonts w:hint="default" w:ascii="Times New Roman" w:hAnsi="Times New Roman" w:cs="Times New Roman"/>
                <w:color w:val="auto"/>
                <w:sz w:val="24"/>
                <w:szCs w:val="24"/>
                <w:highlight w:val="none"/>
                <w:u w:val="none" w:color="auto"/>
                <w:lang w:val="en-US" w:eastAsia="zh-CN"/>
              </w:rPr>
              <w:t>。</w:t>
            </w:r>
          </w:p>
          <w:p w14:paraId="28B96A76">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（8）工程竣工后，将各项环保措施落实完成情况上报当地环境主管部门。 </w:t>
            </w:r>
          </w:p>
          <w:p w14:paraId="5C055BC6">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b/>
                <w:bCs w:val="0"/>
                <w:color w:val="auto"/>
                <w:sz w:val="24"/>
                <w:szCs w:val="24"/>
                <w:highlight w:val="none"/>
                <w:u w:val="none" w:color="auto"/>
                <w:lang w:val="en-US" w:eastAsia="zh-CN"/>
              </w:rPr>
            </w:pPr>
            <w:r>
              <w:rPr>
                <w:rFonts w:hint="default" w:ascii="Times New Roman" w:hAnsi="Times New Roman" w:eastAsia="宋体" w:cs="Times New Roman"/>
                <w:b/>
                <w:bCs w:val="0"/>
                <w:color w:val="auto"/>
                <w:sz w:val="24"/>
                <w:szCs w:val="24"/>
                <w:highlight w:val="none"/>
                <w:u w:val="none" w:color="auto"/>
                <w:lang w:val="en-US" w:eastAsia="zh-CN"/>
              </w:rPr>
              <w:t xml:space="preserve">1.2运行期的环境管理和监督 </w:t>
            </w:r>
          </w:p>
          <w:p w14:paraId="77DF4684">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根据项目所在区域的环境特点及工程特点，本工程利用现有的环境管理部门及其配备相应专业的管理人员，专职管理人员不少于2人。 </w:t>
            </w:r>
          </w:p>
          <w:p w14:paraId="77A628A6">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环境管理部门的职能为： </w:t>
            </w:r>
          </w:p>
          <w:p w14:paraId="7259E895">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（1）制定和实施各项环境监督管理计划； </w:t>
            </w:r>
          </w:p>
          <w:p w14:paraId="553B75B1">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（2）建立电磁环境影响监测数据档案； </w:t>
            </w:r>
          </w:p>
          <w:p w14:paraId="39213E0F">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 xml:space="preserve">（3）检查各治理设施运行情况，及时处理出现的问题，保证其正常运行； </w:t>
            </w:r>
          </w:p>
          <w:p w14:paraId="3AAAE62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（4）不定期地对</w:t>
            </w:r>
            <w:r>
              <w:rPr>
                <w:rFonts w:hint="default" w:ascii="Times New Roman" w:hAnsi="Times New Roman" w:cs="Times New Roman"/>
                <w:color w:val="auto"/>
                <w:sz w:val="24"/>
                <w:szCs w:val="24"/>
                <w:highlight w:val="none"/>
                <w:u w:val="none" w:color="auto"/>
                <w:lang w:val="en-US" w:eastAsia="zh-CN"/>
              </w:rPr>
              <w:t>升压</w:t>
            </w:r>
            <w:r>
              <w:rPr>
                <w:rFonts w:hint="default" w:ascii="Times New Roman" w:hAnsi="Times New Roman" w:eastAsia="宋体" w:cs="Times New Roman"/>
                <w:color w:val="auto"/>
                <w:sz w:val="24"/>
                <w:szCs w:val="24"/>
                <w:highlight w:val="none"/>
                <w:u w:val="none" w:color="auto"/>
                <w:lang w:val="en-US" w:eastAsia="zh-CN"/>
              </w:rPr>
              <w:t>站进行巡检，保护生态环境不被破坏，保证生态保护与工程运行相协调；协调配合上级环保主管部门所进行的环境调查、生态调查等工作</w:t>
            </w:r>
          </w:p>
          <w:p w14:paraId="5038608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b/>
                <w:bCs w:val="0"/>
                <w:color w:val="auto"/>
                <w:sz w:val="24"/>
                <w:szCs w:val="24"/>
                <w:highlight w:val="none"/>
                <w:u w:val="none" w:color="auto"/>
                <w:lang w:val="en-US" w:eastAsia="zh-CN"/>
              </w:rPr>
            </w:pPr>
            <w:r>
              <w:rPr>
                <w:rFonts w:hint="default" w:ascii="Times New Roman" w:hAnsi="Times New Roman" w:eastAsia="宋体" w:cs="Times New Roman"/>
                <w:b/>
                <w:bCs w:val="0"/>
                <w:color w:val="auto"/>
                <w:sz w:val="24"/>
                <w:szCs w:val="24"/>
                <w:highlight w:val="none"/>
                <w:u w:val="none" w:color="auto"/>
                <w:lang w:val="en-US" w:eastAsia="zh-CN"/>
              </w:rPr>
              <w:t>2</w:t>
            </w:r>
            <w:r>
              <w:rPr>
                <w:rFonts w:hint="default" w:ascii="Times New Roman" w:hAnsi="Times New Roman" w:cs="Times New Roman"/>
                <w:b/>
                <w:bCs w:val="0"/>
                <w:color w:val="auto"/>
                <w:sz w:val="24"/>
                <w:szCs w:val="24"/>
                <w:highlight w:val="none"/>
                <w:u w:val="none" w:color="auto"/>
                <w:lang w:val="en-US" w:eastAsia="zh-CN"/>
              </w:rPr>
              <w:t>、</w:t>
            </w:r>
            <w:r>
              <w:rPr>
                <w:rFonts w:hint="default" w:ascii="Times New Roman" w:hAnsi="Times New Roman" w:eastAsia="宋体" w:cs="Times New Roman"/>
                <w:b/>
                <w:bCs w:val="0"/>
                <w:color w:val="auto"/>
                <w:sz w:val="24"/>
                <w:szCs w:val="24"/>
                <w:highlight w:val="none"/>
                <w:u w:val="none" w:color="auto"/>
                <w:lang w:val="en-US" w:eastAsia="zh-CN"/>
              </w:rPr>
              <w:t>环境监测计划</w:t>
            </w:r>
          </w:p>
          <w:p w14:paraId="529BACB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根据项目的环境影响和环境管理要求，制定了环境监测计划，其主要是：监测建设项目施工期和运营期环境要素及评价因子的动态变化，对建设项目突发性环境事件进行跟踪监测调查。电磁、声环境影响监测工作可委托相关具有资质的单位完成。</w:t>
            </w:r>
          </w:p>
          <w:p w14:paraId="61CD1B38">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（1）监测点位布置：对</w:t>
            </w:r>
            <w:r>
              <w:rPr>
                <w:rFonts w:hint="default" w:ascii="Times New Roman" w:hAnsi="Times New Roman" w:cs="Times New Roman"/>
                <w:color w:val="auto"/>
                <w:sz w:val="24"/>
                <w:szCs w:val="24"/>
                <w:highlight w:val="none"/>
                <w:u w:val="none" w:color="auto"/>
                <w:lang w:val="en-US" w:eastAsia="zh-CN"/>
              </w:rPr>
              <w:t>升压站</w:t>
            </w:r>
            <w:r>
              <w:rPr>
                <w:rFonts w:hint="default" w:ascii="Times New Roman" w:hAnsi="Times New Roman" w:eastAsia="宋体" w:cs="Times New Roman"/>
                <w:color w:val="auto"/>
                <w:sz w:val="24"/>
                <w:szCs w:val="24"/>
                <w:highlight w:val="none"/>
                <w:u w:val="none" w:color="auto"/>
                <w:lang w:val="en-US" w:eastAsia="zh-CN"/>
              </w:rPr>
              <w:t>周围设置例行监测点。</w:t>
            </w:r>
          </w:p>
          <w:p w14:paraId="13815889">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（2）监测项目：工频电场、工频磁场</w:t>
            </w:r>
            <w:r>
              <w:rPr>
                <w:rFonts w:hint="default" w:ascii="Times New Roman" w:hAnsi="Times New Roman" w:cs="Times New Roman"/>
                <w:color w:val="auto"/>
                <w:sz w:val="24"/>
                <w:szCs w:val="24"/>
                <w:highlight w:val="none"/>
                <w:u w:val="none" w:color="auto"/>
                <w:lang w:val="en-US" w:eastAsia="zh-CN"/>
              </w:rPr>
              <w:t>、</w:t>
            </w:r>
            <w:r>
              <w:rPr>
                <w:rFonts w:hint="default" w:ascii="Times New Roman" w:hAnsi="Times New Roman" w:eastAsia="宋体" w:cs="Times New Roman"/>
                <w:color w:val="auto"/>
                <w:sz w:val="24"/>
                <w:szCs w:val="24"/>
                <w:highlight w:val="none"/>
                <w:u w:val="none" w:color="auto"/>
                <w:lang w:val="en-US" w:eastAsia="zh-CN"/>
              </w:rPr>
              <w:t>噪声</w:t>
            </w:r>
            <w:r>
              <w:rPr>
                <w:rFonts w:hint="default" w:ascii="Times New Roman" w:hAnsi="Times New Roman" w:cs="Times New Roman"/>
                <w:color w:val="auto"/>
                <w:sz w:val="24"/>
                <w:szCs w:val="24"/>
                <w:highlight w:val="none"/>
                <w:u w:val="none" w:color="auto"/>
                <w:lang w:val="en-US" w:eastAsia="zh-CN"/>
              </w:rPr>
              <w:t>和废水</w:t>
            </w:r>
            <w:r>
              <w:rPr>
                <w:rFonts w:hint="default" w:ascii="Times New Roman" w:hAnsi="Times New Roman" w:eastAsia="宋体" w:cs="Times New Roman"/>
                <w:color w:val="auto"/>
                <w:sz w:val="24"/>
                <w:szCs w:val="24"/>
                <w:highlight w:val="none"/>
                <w:u w:val="none" w:color="auto"/>
                <w:lang w:val="en-US" w:eastAsia="zh-CN"/>
              </w:rPr>
              <w:t>。</w:t>
            </w:r>
          </w:p>
          <w:p w14:paraId="2FAC7A29">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（3）监测方法与要求：工频电场、工频磁场监测应按照《交流输变电工程电磁辐射监测方法（试行）》（HJ681-2013），监测值应符合《电磁环境控制限值》（GB 8702-2014）控制要求；噪声</w:t>
            </w:r>
            <w:r>
              <w:rPr>
                <w:rFonts w:hint="default" w:ascii="Times New Roman" w:hAnsi="Times New Roman" w:cs="Times New Roman"/>
                <w:color w:val="auto"/>
                <w:sz w:val="24"/>
                <w:szCs w:val="24"/>
                <w:highlight w:val="none"/>
                <w:u w:val="none" w:color="auto"/>
                <w:lang w:val="en-US" w:eastAsia="zh-CN"/>
              </w:rPr>
              <w:t>监测</w:t>
            </w:r>
            <w:r>
              <w:rPr>
                <w:rFonts w:hint="default" w:ascii="Times New Roman" w:hAnsi="Times New Roman" w:eastAsia="宋体" w:cs="Times New Roman"/>
                <w:color w:val="auto"/>
                <w:sz w:val="24"/>
                <w:szCs w:val="24"/>
                <w:highlight w:val="none"/>
                <w:u w:val="none" w:color="auto"/>
                <w:lang w:val="en-US" w:eastAsia="zh-CN"/>
              </w:rPr>
              <w:t>应</w:t>
            </w:r>
            <w:r>
              <w:rPr>
                <w:rFonts w:hint="default" w:ascii="Times New Roman" w:hAnsi="Times New Roman" w:cs="Times New Roman"/>
                <w:color w:val="auto"/>
                <w:sz w:val="24"/>
                <w:szCs w:val="24"/>
                <w:highlight w:val="none"/>
                <w:u w:val="none" w:color="auto"/>
                <w:lang w:val="en-US" w:eastAsia="zh-CN"/>
              </w:rPr>
              <w:t>按照</w:t>
            </w:r>
            <w:r>
              <w:rPr>
                <w:rFonts w:hint="default" w:ascii="Times New Roman" w:hAnsi="Times New Roman" w:eastAsia="宋体" w:cs="Times New Roman"/>
                <w:color w:val="auto"/>
                <w:sz w:val="24"/>
                <w:szCs w:val="24"/>
                <w:highlight w:val="none"/>
                <w:u w:val="none" w:color="auto"/>
                <w:lang w:val="en-US" w:eastAsia="zh-CN"/>
              </w:rPr>
              <w:t>《环境监测噪声技术规范》</w:t>
            </w:r>
            <w:r>
              <w:rPr>
                <w:rFonts w:hint="default" w:ascii="Times New Roman" w:hAnsi="Times New Roman" w:cs="Times New Roman"/>
                <w:color w:val="auto"/>
                <w:sz w:val="24"/>
                <w:szCs w:val="24"/>
                <w:highlight w:val="none"/>
                <w:u w:val="none" w:color="auto"/>
                <w:lang w:val="en-US" w:eastAsia="zh-CN"/>
              </w:rPr>
              <w:t>，</w:t>
            </w:r>
            <w:r>
              <w:rPr>
                <w:rFonts w:hint="default" w:ascii="Times New Roman" w:hAnsi="Times New Roman" w:eastAsia="宋体" w:cs="Times New Roman"/>
                <w:color w:val="auto"/>
                <w:sz w:val="24"/>
                <w:szCs w:val="24"/>
                <w:highlight w:val="none"/>
                <w:u w:val="none" w:color="auto"/>
                <w:lang w:val="en-US" w:eastAsia="zh-CN"/>
              </w:rPr>
              <w:t>监测值应符合《工业企业厂界环境噪声排放标准》（GB12348-2008）限值要求</w:t>
            </w:r>
            <w:r>
              <w:rPr>
                <w:rFonts w:hint="default" w:ascii="Times New Roman" w:hAnsi="Times New Roman" w:cs="Times New Roman"/>
                <w:color w:val="auto"/>
                <w:sz w:val="24"/>
                <w:szCs w:val="24"/>
                <w:highlight w:val="none"/>
                <w:u w:val="none" w:color="auto"/>
                <w:lang w:val="en-US" w:eastAsia="zh-CN"/>
              </w:rPr>
              <w:t>；废水监测应按照《污水监测技术规范》（HJ91.1-2019），监测值应符合《城市污水再生利用城市杂用水水质标准》（GB/T18920-2020）限值要求</w:t>
            </w:r>
            <w:r>
              <w:rPr>
                <w:rFonts w:hint="default" w:ascii="Times New Roman" w:hAnsi="Times New Roman" w:eastAsia="宋体" w:cs="Times New Roman"/>
                <w:color w:val="auto"/>
                <w:sz w:val="24"/>
                <w:szCs w:val="24"/>
                <w:highlight w:val="none"/>
                <w:u w:val="none" w:color="auto"/>
                <w:lang w:val="en-US" w:eastAsia="zh-CN"/>
              </w:rPr>
              <w:t>。</w:t>
            </w:r>
          </w:p>
          <w:p w14:paraId="0185575A">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（4）监测结果：监测成果应在原始数据基础上进行审查、校核、综合分析后整理编印，委托的监测单位还应保证监测数据的真实性、有效性等质量问题。</w:t>
            </w:r>
          </w:p>
          <w:p w14:paraId="4FB487D1">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（5）竣工验收：在项目运行后，应对建设项目进行验收。</w:t>
            </w:r>
          </w:p>
          <w:p w14:paraId="718FF378">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（6）监测频次：在建设项目竣工验收正式投入后，应定期对建设项目的环境状况进行监测。</w:t>
            </w:r>
          </w:p>
          <w:p w14:paraId="5668D0B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5</w:t>
            </w:r>
            <w:r>
              <w:rPr>
                <w:rFonts w:hint="default" w:ascii="Times New Roman" w:hAnsi="Times New Roman" w:cs="Times New Roman"/>
                <w:b/>
                <w:bCs/>
                <w:color w:val="auto"/>
                <w:sz w:val="21"/>
                <w:szCs w:val="21"/>
                <w:highlight w:val="none"/>
              </w:rPr>
              <w:t>-</w:t>
            </w:r>
            <w:r>
              <w:rPr>
                <w:rFonts w:hint="default" w:ascii="Times New Roman" w:hAnsi="Times New Roman"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rPr>
              <w:t xml:space="preserve"> </w:t>
            </w:r>
            <w:r>
              <w:rPr>
                <w:rFonts w:hint="default" w:ascii="Times New Roman" w:hAnsi="Times New Roman" w:cs="Times New Roman"/>
                <w:b/>
                <w:bCs/>
                <w:color w:val="auto"/>
                <w:sz w:val="21"/>
                <w:szCs w:val="21"/>
                <w:highlight w:val="none"/>
                <w:lang w:val="en-US" w:eastAsia="zh-CN"/>
              </w:rPr>
              <w:t xml:space="preserve"> 环境监测计划一栏表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
              <w:gridCol w:w="1064"/>
              <w:gridCol w:w="1032"/>
              <w:gridCol w:w="2177"/>
              <w:gridCol w:w="1894"/>
              <w:gridCol w:w="2030"/>
            </w:tblGrid>
            <w:tr w14:paraId="6421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dxa"/>
                  <w:vAlign w:val="center"/>
                </w:tcPr>
                <w:p w14:paraId="5A5DF47E">
                  <w:pPr>
                    <w:pStyle w:val="105"/>
                    <w:keepNext w:val="0"/>
                    <w:keepLines w:val="0"/>
                    <w:pageBreakBefore w:val="0"/>
                    <w:widowControl/>
                    <w:suppressLineNumbers w:val="0"/>
                    <w:kinsoku/>
                    <w:wordWrap/>
                    <w:overflowPunct/>
                    <w:topLinePunct w:val="0"/>
                    <w:autoSpaceDE/>
                    <w:autoSpaceDN/>
                    <w:bidi w:val="0"/>
                    <w:adjustRightInd w:val="0"/>
                    <w:snapToGrid w:val="0"/>
                    <w:spacing w:before="60" w:beforeAutospacing="0" w:after="0" w:afterAutospacing="0" w:line="240" w:lineRule="auto"/>
                    <w:ind w:left="0" w:leftChars="0" w:right="0" w:rightChars="0" w:firstLine="0" w:firstLineChars="0"/>
                    <w:jc w:val="center"/>
                    <w:textAlignment w:val="baseline"/>
                    <w:rPr>
                      <w:rFonts w:hint="default" w:ascii="Times New Roman" w:hAnsi="Times New Roman" w:cs="Times New Roman"/>
                      <w:b w:val="0"/>
                      <w:bCs w:val="0"/>
                      <w:color w:val="auto"/>
                      <w:spacing w:val="-1"/>
                      <w:sz w:val="21"/>
                      <w:szCs w:val="21"/>
                      <w:vertAlign w:val="baseline"/>
                      <w:lang w:val="en-US" w:eastAsia="zh-CN"/>
                    </w:rPr>
                  </w:pPr>
                  <w:r>
                    <w:rPr>
                      <w:rFonts w:hint="default" w:ascii="Times New Roman" w:hAnsi="Times New Roman" w:cs="Times New Roman"/>
                      <w:b w:val="0"/>
                      <w:bCs w:val="0"/>
                      <w:color w:val="auto"/>
                      <w:spacing w:val="-1"/>
                      <w:sz w:val="21"/>
                      <w:szCs w:val="21"/>
                      <w:vertAlign w:val="baseline"/>
                      <w:lang w:val="en-US" w:eastAsia="zh-CN"/>
                    </w:rPr>
                    <w:t>时期</w:t>
                  </w:r>
                </w:p>
              </w:tc>
              <w:tc>
                <w:tcPr>
                  <w:tcW w:w="1064" w:type="dxa"/>
                  <w:vAlign w:val="center"/>
                </w:tcPr>
                <w:p w14:paraId="57201330">
                  <w:pPr>
                    <w:pStyle w:val="105"/>
                    <w:keepNext w:val="0"/>
                    <w:keepLines w:val="0"/>
                    <w:pageBreakBefore w:val="0"/>
                    <w:widowControl/>
                    <w:suppressLineNumbers w:val="0"/>
                    <w:kinsoku/>
                    <w:wordWrap/>
                    <w:overflowPunct/>
                    <w:topLinePunct w:val="0"/>
                    <w:autoSpaceDE/>
                    <w:autoSpaceDN/>
                    <w:bidi w:val="0"/>
                    <w:adjustRightInd w:val="0"/>
                    <w:snapToGrid w:val="0"/>
                    <w:spacing w:before="60" w:beforeAutospacing="0" w:after="0" w:afterAutospacing="0" w:line="240" w:lineRule="auto"/>
                    <w:ind w:left="0" w:right="0" w:rightChars="0"/>
                    <w:jc w:val="center"/>
                    <w:textAlignment w:val="baseline"/>
                    <w:rPr>
                      <w:rFonts w:hint="default" w:ascii="Times New Roman" w:hAnsi="Times New Roman" w:cs="Times New Roman"/>
                      <w:b w:val="0"/>
                      <w:bCs w:val="0"/>
                      <w:color w:val="auto"/>
                      <w:spacing w:val="-1"/>
                      <w:sz w:val="21"/>
                      <w:szCs w:val="21"/>
                      <w:vertAlign w:val="baseline"/>
                      <w:lang w:val="en-US" w:eastAsia="zh-CN"/>
                    </w:rPr>
                  </w:pPr>
                  <w:r>
                    <w:rPr>
                      <w:rFonts w:hint="default" w:ascii="Times New Roman" w:hAnsi="Times New Roman" w:cs="Times New Roman"/>
                      <w:b w:val="0"/>
                      <w:bCs w:val="0"/>
                      <w:color w:val="auto"/>
                      <w:spacing w:val="-1"/>
                      <w:sz w:val="21"/>
                      <w:szCs w:val="21"/>
                      <w:vertAlign w:val="baseline"/>
                      <w:lang w:val="en-US" w:eastAsia="zh-CN"/>
                    </w:rPr>
                    <w:t>监测内容</w:t>
                  </w:r>
                </w:p>
              </w:tc>
              <w:tc>
                <w:tcPr>
                  <w:tcW w:w="1032" w:type="dxa"/>
                  <w:vAlign w:val="center"/>
                </w:tcPr>
                <w:p w14:paraId="49C606CF">
                  <w:pPr>
                    <w:pStyle w:val="105"/>
                    <w:keepNext w:val="0"/>
                    <w:keepLines w:val="0"/>
                    <w:pageBreakBefore w:val="0"/>
                    <w:widowControl/>
                    <w:suppressLineNumbers w:val="0"/>
                    <w:kinsoku/>
                    <w:wordWrap/>
                    <w:overflowPunct/>
                    <w:topLinePunct w:val="0"/>
                    <w:autoSpaceDE/>
                    <w:autoSpaceDN/>
                    <w:bidi w:val="0"/>
                    <w:adjustRightInd w:val="0"/>
                    <w:snapToGrid w:val="0"/>
                    <w:spacing w:before="60" w:beforeAutospacing="0" w:after="0" w:afterAutospacing="0" w:line="240" w:lineRule="auto"/>
                    <w:ind w:left="0" w:right="0" w:rightChars="0"/>
                    <w:jc w:val="center"/>
                    <w:textAlignment w:val="baseline"/>
                    <w:rPr>
                      <w:rFonts w:hint="default" w:ascii="Times New Roman" w:hAnsi="Times New Roman" w:cs="Times New Roman"/>
                      <w:b w:val="0"/>
                      <w:bCs w:val="0"/>
                      <w:color w:val="auto"/>
                      <w:spacing w:val="-1"/>
                      <w:sz w:val="21"/>
                      <w:szCs w:val="21"/>
                      <w:vertAlign w:val="baseline"/>
                      <w:lang w:val="en-US" w:eastAsia="zh-CN"/>
                    </w:rPr>
                  </w:pPr>
                  <w:r>
                    <w:rPr>
                      <w:rFonts w:hint="default" w:ascii="Times New Roman" w:hAnsi="Times New Roman" w:cs="Times New Roman"/>
                      <w:b w:val="0"/>
                      <w:bCs w:val="0"/>
                      <w:color w:val="auto"/>
                      <w:spacing w:val="-1"/>
                      <w:sz w:val="21"/>
                      <w:szCs w:val="21"/>
                      <w:vertAlign w:val="baseline"/>
                      <w:lang w:val="en-US" w:eastAsia="zh-CN"/>
                    </w:rPr>
                    <w:t>监测地点</w:t>
                  </w:r>
                </w:p>
              </w:tc>
              <w:tc>
                <w:tcPr>
                  <w:tcW w:w="2177" w:type="dxa"/>
                  <w:vAlign w:val="center"/>
                </w:tcPr>
                <w:p w14:paraId="340B5179">
                  <w:pPr>
                    <w:pStyle w:val="105"/>
                    <w:keepNext w:val="0"/>
                    <w:keepLines w:val="0"/>
                    <w:pageBreakBefore w:val="0"/>
                    <w:widowControl/>
                    <w:suppressLineNumbers w:val="0"/>
                    <w:kinsoku/>
                    <w:wordWrap/>
                    <w:overflowPunct/>
                    <w:topLinePunct w:val="0"/>
                    <w:autoSpaceDE/>
                    <w:autoSpaceDN/>
                    <w:bidi w:val="0"/>
                    <w:adjustRightInd w:val="0"/>
                    <w:snapToGrid w:val="0"/>
                    <w:spacing w:before="60" w:beforeAutospacing="0" w:after="0" w:afterAutospacing="0" w:line="240" w:lineRule="auto"/>
                    <w:ind w:left="0" w:right="0" w:rightChars="0"/>
                    <w:jc w:val="center"/>
                    <w:textAlignment w:val="baseline"/>
                    <w:rPr>
                      <w:rFonts w:hint="default" w:ascii="Times New Roman" w:hAnsi="Times New Roman" w:cs="Times New Roman"/>
                      <w:b w:val="0"/>
                      <w:bCs w:val="0"/>
                      <w:color w:val="auto"/>
                      <w:spacing w:val="-1"/>
                      <w:sz w:val="21"/>
                      <w:szCs w:val="21"/>
                      <w:vertAlign w:val="baseline"/>
                      <w:lang w:val="en-US" w:eastAsia="zh-CN"/>
                    </w:rPr>
                  </w:pPr>
                  <w:r>
                    <w:rPr>
                      <w:rFonts w:hint="default" w:ascii="Times New Roman" w:hAnsi="Times New Roman" w:cs="Times New Roman"/>
                      <w:b w:val="0"/>
                      <w:bCs w:val="0"/>
                      <w:color w:val="auto"/>
                      <w:spacing w:val="-1"/>
                      <w:sz w:val="21"/>
                      <w:szCs w:val="21"/>
                      <w:vertAlign w:val="baseline"/>
                      <w:lang w:val="en-US" w:eastAsia="zh-CN"/>
                    </w:rPr>
                    <w:t>监测项目</w:t>
                  </w:r>
                </w:p>
              </w:tc>
              <w:tc>
                <w:tcPr>
                  <w:tcW w:w="1894" w:type="dxa"/>
                  <w:vAlign w:val="center"/>
                </w:tcPr>
                <w:p w14:paraId="5DF08DEE">
                  <w:pPr>
                    <w:pStyle w:val="105"/>
                    <w:keepNext w:val="0"/>
                    <w:keepLines w:val="0"/>
                    <w:pageBreakBefore w:val="0"/>
                    <w:widowControl/>
                    <w:suppressLineNumbers w:val="0"/>
                    <w:kinsoku/>
                    <w:wordWrap/>
                    <w:overflowPunct/>
                    <w:topLinePunct w:val="0"/>
                    <w:autoSpaceDE/>
                    <w:autoSpaceDN/>
                    <w:bidi w:val="0"/>
                    <w:adjustRightInd w:val="0"/>
                    <w:snapToGrid w:val="0"/>
                    <w:spacing w:before="60" w:beforeAutospacing="0" w:after="0" w:afterAutospacing="0" w:line="240" w:lineRule="auto"/>
                    <w:ind w:left="0" w:right="0" w:rightChars="0"/>
                    <w:jc w:val="center"/>
                    <w:textAlignment w:val="baseline"/>
                    <w:rPr>
                      <w:rFonts w:hint="default" w:ascii="Times New Roman" w:hAnsi="Times New Roman" w:cs="Times New Roman"/>
                      <w:b w:val="0"/>
                      <w:bCs w:val="0"/>
                      <w:color w:val="auto"/>
                      <w:spacing w:val="-1"/>
                      <w:sz w:val="21"/>
                      <w:szCs w:val="21"/>
                      <w:vertAlign w:val="baseline"/>
                      <w:lang w:val="en-US" w:eastAsia="zh-CN"/>
                    </w:rPr>
                  </w:pPr>
                  <w:r>
                    <w:rPr>
                      <w:rFonts w:hint="default" w:ascii="Times New Roman" w:hAnsi="Times New Roman" w:cs="Times New Roman"/>
                      <w:b w:val="0"/>
                      <w:bCs w:val="0"/>
                      <w:color w:val="auto"/>
                      <w:spacing w:val="-1"/>
                      <w:sz w:val="21"/>
                      <w:szCs w:val="21"/>
                      <w:vertAlign w:val="baseline"/>
                      <w:lang w:val="en-US" w:eastAsia="zh-CN"/>
                    </w:rPr>
                    <w:t>监测周期</w:t>
                  </w:r>
                </w:p>
              </w:tc>
              <w:tc>
                <w:tcPr>
                  <w:tcW w:w="2030" w:type="dxa"/>
                  <w:vAlign w:val="center"/>
                </w:tcPr>
                <w:p w14:paraId="0D4BF7A0">
                  <w:pPr>
                    <w:pStyle w:val="105"/>
                    <w:keepNext w:val="0"/>
                    <w:keepLines w:val="0"/>
                    <w:pageBreakBefore w:val="0"/>
                    <w:widowControl/>
                    <w:suppressLineNumbers w:val="0"/>
                    <w:kinsoku/>
                    <w:wordWrap/>
                    <w:overflowPunct/>
                    <w:topLinePunct w:val="0"/>
                    <w:autoSpaceDE/>
                    <w:autoSpaceDN/>
                    <w:bidi w:val="0"/>
                    <w:adjustRightInd w:val="0"/>
                    <w:snapToGrid w:val="0"/>
                    <w:spacing w:before="60" w:beforeAutospacing="0" w:after="0" w:afterAutospacing="0" w:line="240" w:lineRule="auto"/>
                    <w:ind w:left="0" w:right="0" w:rightChars="0"/>
                    <w:jc w:val="center"/>
                    <w:textAlignment w:val="baseline"/>
                    <w:rPr>
                      <w:rFonts w:hint="default" w:ascii="Times New Roman" w:hAnsi="Times New Roman" w:cs="Times New Roman"/>
                      <w:b w:val="0"/>
                      <w:bCs w:val="0"/>
                      <w:color w:val="auto"/>
                      <w:spacing w:val="-1"/>
                      <w:sz w:val="21"/>
                      <w:szCs w:val="21"/>
                      <w:vertAlign w:val="baseline"/>
                      <w:lang w:val="en-US" w:eastAsia="zh-CN"/>
                    </w:rPr>
                  </w:pPr>
                  <w:r>
                    <w:rPr>
                      <w:rFonts w:hint="default" w:ascii="Times New Roman" w:hAnsi="Times New Roman" w:cs="Times New Roman"/>
                      <w:b w:val="0"/>
                      <w:bCs w:val="0"/>
                      <w:color w:val="auto"/>
                      <w:spacing w:val="-1"/>
                      <w:sz w:val="21"/>
                      <w:szCs w:val="21"/>
                      <w:vertAlign w:val="baseline"/>
                      <w:lang w:val="en-US" w:eastAsia="zh-CN"/>
                    </w:rPr>
                    <w:t>执行标准</w:t>
                  </w:r>
                </w:p>
              </w:tc>
            </w:tr>
            <w:tr w14:paraId="1558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dxa"/>
                  <w:vMerge w:val="restart"/>
                  <w:vAlign w:val="center"/>
                </w:tcPr>
                <w:p w14:paraId="64587F10">
                  <w:pPr>
                    <w:pStyle w:val="105"/>
                    <w:keepNext w:val="0"/>
                    <w:keepLines w:val="0"/>
                    <w:widowControl w:val="0"/>
                    <w:suppressLineNumbers w:val="0"/>
                    <w:spacing w:before="181" w:beforeAutospacing="0" w:after="0" w:afterAutospacing="0" w:line="215" w:lineRule="auto"/>
                    <w:ind w:left="0" w:right="0"/>
                    <w:jc w:val="center"/>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运营期</w:t>
                  </w:r>
                </w:p>
              </w:tc>
              <w:tc>
                <w:tcPr>
                  <w:tcW w:w="1064" w:type="dxa"/>
                  <w:vAlign w:val="center"/>
                </w:tcPr>
                <w:p w14:paraId="79A423CD">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工频电场、工频磁场</w:t>
                  </w:r>
                </w:p>
              </w:tc>
              <w:tc>
                <w:tcPr>
                  <w:tcW w:w="1032" w:type="dxa"/>
                  <w:vAlign w:val="center"/>
                </w:tcPr>
                <w:p w14:paraId="532F0235">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厂界四周</w:t>
                  </w:r>
                </w:p>
              </w:tc>
              <w:tc>
                <w:tcPr>
                  <w:tcW w:w="2177" w:type="dxa"/>
                  <w:vAlign w:val="center"/>
                </w:tcPr>
                <w:p w14:paraId="6BA2AD6F">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工频电场、工频磁场</w:t>
                  </w:r>
                </w:p>
              </w:tc>
              <w:tc>
                <w:tcPr>
                  <w:tcW w:w="1894" w:type="dxa"/>
                  <w:vAlign w:val="center"/>
                </w:tcPr>
                <w:p w14:paraId="5F7A6859">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项目竣工环境保护验收监测一次；运行期不定期监测或有纠纷投诉时监测。</w:t>
                  </w:r>
                </w:p>
              </w:tc>
              <w:tc>
                <w:tcPr>
                  <w:tcW w:w="2030" w:type="dxa"/>
                  <w:vAlign w:val="center"/>
                </w:tcPr>
                <w:p w14:paraId="531DBA69">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《电磁环境控制限值》（GB8702-2014）标准</w:t>
                  </w:r>
                </w:p>
              </w:tc>
            </w:tr>
            <w:tr w14:paraId="28D4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dxa"/>
                  <w:vMerge w:val="continue"/>
                  <w:vAlign w:val="center"/>
                </w:tcPr>
                <w:p w14:paraId="1A274A3E">
                  <w:pPr>
                    <w:pStyle w:val="105"/>
                    <w:keepNext w:val="0"/>
                    <w:keepLines w:val="0"/>
                    <w:widowControl w:val="0"/>
                    <w:suppressLineNumbers w:val="0"/>
                    <w:spacing w:before="181" w:beforeAutospacing="0" w:after="0" w:afterAutospacing="0" w:line="215" w:lineRule="auto"/>
                    <w:ind w:left="0" w:right="0"/>
                    <w:jc w:val="center"/>
                    <w:rPr>
                      <w:rFonts w:hint="default" w:ascii="Times New Roman" w:hAnsi="Times New Roman" w:cs="Times New Roman"/>
                      <w:b w:val="0"/>
                      <w:bCs w:val="0"/>
                      <w:color w:val="auto"/>
                      <w:spacing w:val="-5"/>
                      <w:sz w:val="21"/>
                      <w:szCs w:val="21"/>
                      <w:highlight w:val="none"/>
                      <w:vertAlign w:val="baseline"/>
                      <w:lang w:val="en-US" w:eastAsia="zh-CN"/>
                    </w:rPr>
                  </w:pPr>
                </w:p>
              </w:tc>
              <w:tc>
                <w:tcPr>
                  <w:tcW w:w="1064" w:type="dxa"/>
                  <w:vAlign w:val="center"/>
                </w:tcPr>
                <w:p w14:paraId="343B0530">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厂界噪声</w:t>
                  </w:r>
                </w:p>
              </w:tc>
              <w:tc>
                <w:tcPr>
                  <w:tcW w:w="1032" w:type="dxa"/>
                  <w:vAlign w:val="center"/>
                </w:tcPr>
                <w:p w14:paraId="2079167B">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厂界四周</w:t>
                  </w:r>
                </w:p>
              </w:tc>
              <w:tc>
                <w:tcPr>
                  <w:tcW w:w="2177" w:type="dxa"/>
                  <w:vAlign w:val="center"/>
                </w:tcPr>
                <w:p w14:paraId="7DC35718">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等效连续A声级</w:t>
                  </w:r>
                </w:p>
              </w:tc>
              <w:tc>
                <w:tcPr>
                  <w:tcW w:w="1894" w:type="dxa"/>
                  <w:vAlign w:val="center"/>
                </w:tcPr>
                <w:p w14:paraId="7485FD62">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项目竣工环境保护验收监测一次，投入运行后结合项目自行监测计划进行监测。根据《排污单位自行监测技术指南总则》（HJ819-2017）最低监测频次为每季度开展一次监测。</w:t>
                  </w:r>
                </w:p>
              </w:tc>
              <w:tc>
                <w:tcPr>
                  <w:tcW w:w="2030" w:type="dxa"/>
                  <w:vAlign w:val="center"/>
                </w:tcPr>
                <w:p w14:paraId="5A355658">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《工业企业厂界环境噪声排放标准》（GB12348-2008）2类标准</w:t>
                  </w:r>
                </w:p>
              </w:tc>
            </w:tr>
            <w:tr w14:paraId="3662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dxa"/>
                  <w:vMerge w:val="continue"/>
                  <w:vAlign w:val="center"/>
                </w:tcPr>
                <w:p w14:paraId="73532645">
                  <w:pPr>
                    <w:pStyle w:val="105"/>
                    <w:keepNext w:val="0"/>
                    <w:keepLines w:val="0"/>
                    <w:widowControl w:val="0"/>
                    <w:suppressLineNumbers w:val="0"/>
                    <w:spacing w:before="181" w:beforeAutospacing="0" w:after="0" w:afterAutospacing="0" w:line="215" w:lineRule="auto"/>
                    <w:ind w:left="0" w:right="0"/>
                    <w:jc w:val="center"/>
                    <w:rPr>
                      <w:rFonts w:hint="default" w:ascii="Times New Roman" w:hAnsi="Times New Roman" w:cs="Times New Roman"/>
                      <w:b w:val="0"/>
                      <w:bCs w:val="0"/>
                      <w:color w:val="auto"/>
                      <w:spacing w:val="-5"/>
                      <w:sz w:val="21"/>
                      <w:szCs w:val="21"/>
                      <w:highlight w:val="none"/>
                      <w:vertAlign w:val="baseline"/>
                      <w:lang w:val="en-US" w:eastAsia="zh-CN"/>
                    </w:rPr>
                  </w:pPr>
                </w:p>
              </w:tc>
              <w:tc>
                <w:tcPr>
                  <w:tcW w:w="1064" w:type="dxa"/>
                  <w:vAlign w:val="center"/>
                </w:tcPr>
                <w:p w14:paraId="04EB7CF2">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生活污水废水</w:t>
                  </w:r>
                </w:p>
              </w:tc>
              <w:tc>
                <w:tcPr>
                  <w:tcW w:w="1032" w:type="dxa"/>
                  <w:vAlign w:val="center"/>
                </w:tcPr>
                <w:p w14:paraId="58CC84F7">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生活污水一体化处理设备出水口</w:t>
                  </w:r>
                </w:p>
              </w:tc>
              <w:tc>
                <w:tcPr>
                  <w:tcW w:w="2177" w:type="dxa"/>
                  <w:vAlign w:val="center"/>
                </w:tcPr>
                <w:p w14:paraId="163B7B6E">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pH、色度、嗅、浊度、五日生化需氧量、氨氮、阴离子表面活性剂、溶解性总固体、溶解氧、总氯、总大肠菌群</w:t>
                  </w:r>
                </w:p>
              </w:tc>
              <w:tc>
                <w:tcPr>
                  <w:tcW w:w="1894" w:type="dxa"/>
                  <w:vAlign w:val="center"/>
                </w:tcPr>
                <w:p w14:paraId="6AABA9AA">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1次/年</w:t>
                  </w:r>
                </w:p>
              </w:tc>
              <w:tc>
                <w:tcPr>
                  <w:tcW w:w="2030" w:type="dxa"/>
                  <w:vAlign w:val="center"/>
                </w:tcPr>
                <w:p w14:paraId="4EF39EE1">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《城市污水再生利用城市杂用水水质标准》(GB/T18920-2020)</w:t>
                  </w:r>
                  <w:r>
                    <w:rPr>
                      <w:rFonts w:hint="eastAsia" w:ascii="Times New Roman" w:hAnsi="Times New Roman" w:cs="Times New Roman"/>
                      <w:b w:val="0"/>
                      <w:bCs w:val="0"/>
                      <w:color w:val="auto"/>
                      <w:spacing w:val="-5"/>
                      <w:sz w:val="21"/>
                      <w:szCs w:val="21"/>
                      <w:highlight w:val="none"/>
                      <w:vertAlign w:val="baseline"/>
                      <w:lang w:val="en-US" w:eastAsia="zh-CN"/>
                    </w:rPr>
                    <w:t>道路清扫</w:t>
                  </w:r>
                  <w:r>
                    <w:rPr>
                      <w:rFonts w:hint="default" w:ascii="Times New Roman" w:hAnsi="Times New Roman" w:cs="Times New Roman"/>
                      <w:b w:val="0"/>
                      <w:bCs w:val="0"/>
                      <w:color w:val="auto"/>
                      <w:spacing w:val="-5"/>
                      <w:sz w:val="21"/>
                      <w:szCs w:val="21"/>
                      <w:highlight w:val="none"/>
                      <w:vertAlign w:val="baseline"/>
                      <w:lang w:val="en-US" w:eastAsia="zh-CN"/>
                    </w:rPr>
                    <w:t>用水标准</w:t>
                  </w:r>
                </w:p>
              </w:tc>
            </w:tr>
            <w:tr w14:paraId="04E7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2" w:type="dxa"/>
                  <w:vMerge w:val="continue"/>
                  <w:vAlign w:val="center"/>
                </w:tcPr>
                <w:p w14:paraId="54A5408B">
                  <w:pPr>
                    <w:pStyle w:val="105"/>
                    <w:keepNext w:val="0"/>
                    <w:keepLines w:val="0"/>
                    <w:widowControl w:val="0"/>
                    <w:suppressLineNumbers w:val="0"/>
                    <w:spacing w:before="181" w:beforeAutospacing="0" w:after="0" w:afterAutospacing="0" w:line="215" w:lineRule="auto"/>
                    <w:ind w:left="0" w:right="0"/>
                    <w:jc w:val="center"/>
                    <w:rPr>
                      <w:rFonts w:hint="default" w:ascii="Times New Roman" w:hAnsi="Times New Roman" w:cs="Times New Roman"/>
                      <w:b w:val="0"/>
                      <w:bCs w:val="0"/>
                      <w:color w:val="auto"/>
                      <w:spacing w:val="-5"/>
                      <w:sz w:val="21"/>
                      <w:szCs w:val="21"/>
                      <w:highlight w:val="none"/>
                      <w:vertAlign w:val="baseline"/>
                      <w:lang w:val="en-US" w:eastAsia="zh-CN"/>
                    </w:rPr>
                  </w:pPr>
                </w:p>
              </w:tc>
              <w:tc>
                <w:tcPr>
                  <w:tcW w:w="1064" w:type="dxa"/>
                  <w:vAlign w:val="center"/>
                </w:tcPr>
                <w:p w14:paraId="2667398D">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 w:val="0"/>
                      <w:bCs w:val="0"/>
                      <w:color w:val="auto"/>
                      <w:spacing w:val="-5"/>
                      <w:sz w:val="21"/>
                      <w:szCs w:val="21"/>
                      <w:highlight w:val="none"/>
                      <w:vertAlign w:val="baseline"/>
                      <w:lang w:val="en-US" w:eastAsia="zh-CN"/>
                    </w:rPr>
                  </w:pPr>
                  <w:r>
                    <w:rPr>
                      <w:rFonts w:hint="default" w:ascii="Times New Roman" w:hAnsi="Times New Roman" w:cs="Times New Roman"/>
                      <w:b w:val="0"/>
                      <w:bCs w:val="0"/>
                      <w:color w:val="auto"/>
                      <w:spacing w:val="-5"/>
                      <w:sz w:val="21"/>
                      <w:szCs w:val="21"/>
                      <w:highlight w:val="none"/>
                      <w:vertAlign w:val="baseline"/>
                      <w:lang w:val="en-US" w:eastAsia="zh-CN"/>
                    </w:rPr>
                    <w:t>固废</w:t>
                  </w:r>
                </w:p>
              </w:tc>
              <w:tc>
                <w:tcPr>
                  <w:tcW w:w="7133" w:type="dxa"/>
                  <w:gridSpan w:val="4"/>
                  <w:vAlign w:val="center"/>
                </w:tcPr>
                <w:p w14:paraId="2274B5D2">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Cs/>
                      <w:snapToGrid/>
                      <w:color w:val="auto"/>
                      <w:kern w:val="2"/>
                      <w:sz w:val="21"/>
                      <w:szCs w:val="21"/>
                      <w:highlight w:val="none"/>
                      <w:lang w:val="en-US" w:eastAsia="zh-CN" w:bidi="ar-SA"/>
                    </w:rPr>
                  </w:pPr>
                  <w:r>
                    <w:rPr>
                      <w:rFonts w:hint="default" w:ascii="Times New Roman" w:hAnsi="Times New Roman" w:eastAsia="宋体" w:cs="Times New Roman"/>
                      <w:bCs/>
                      <w:snapToGrid/>
                      <w:color w:val="auto"/>
                      <w:kern w:val="2"/>
                      <w:sz w:val="21"/>
                      <w:szCs w:val="21"/>
                      <w:highlight w:val="none"/>
                      <w:lang w:val="en-US" w:eastAsia="zh-CN" w:bidi="ar-SA"/>
                    </w:rPr>
                    <w:t>统计种类、产生量、处理方式、去向</w:t>
                  </w:r>
                  <w:r>
                    <w:rPr>
                      <w:rFonts w:hint="default" w:ascii="Times New Roman" w:hAnsi="Times New Roman" w:cs="Times New Roman"/>
                      <w:bCs/>
                      <w:snapToGrid/>
                      <w:color w:val="auto"/>
                      <w:kern w:val="2"/>
                      <w:sz w:val="21"/>
                      <w:szCs w:val="21"/>
                      <w:highlight w:val="none"/>
                      <w:lang w:val="en-US" w:eastAsia="zh-CN" w:bidi="ar-SA"/>
                    </w:rPr>
                    <w:t>。</w:t>
                  </w:r>
                </w:p>
                <w:p w14:paraId="34088592">
                  <w:pPr>
                    <w:pStyle w:val="105"/>
                    <w:keepNext w:val="0"/>
                    <w:keepLines w:val="0"/>
                    <w:pageBreakBefore w:val="0"/>
                    <w:widowControl/>
                    <w:suppressLineNumbers w:val="0"/>
                    <w:kinsoku w:val="0"/>
                    <w:wordWrap/>
                    <w:overflowPunct/>
                    <w:topLinePunct w:val="0"/>
                    <w:autoSpaceDE w:val="0"/>
                    <w:autoSpaceDN w:val="0"/>
                    <w:bidi w:val="0"/>
                    <w:adjustRightInd w:val="0"/>
                    <w:snapToGrid w:val="0"/>
                    <w:spacing w:before="80" w:beforeAutospacing="0" w:after="0" w:afterAutospacing="0" w:line="216" w:lineRule="auto"/>
                    <w:ind w:left="0" w:right="0"/>
                    <w:jc w:val="center"/>
                    <w:textAlignment w:val="baseline"/>
                    <w:rPr>
                      <w:rFonts w:hint="default" w:ascii="Times New Roman" w:hAnsi="Times New Roman" w:cs="Times New Roman"/>
                      <w:bCs/>
                      <w:snapToGrid/>
                      <w:color w:val="auto"/>
                      <w:kern w:val="2"/>
                      <w:sz w:val="21"/>
                      <w:szCs w:val="21"/>
                      <w:highlight w:val="none"/>
                      <w:lang w:val="en-US" w:eastAsia="zh-CN" w:bidi="ar-SA"/>
                    </w:rPr>
                  </w:pPr>
                  <w:r>
                    <w:rPr>
                      <w:rFonts w:hint="default" w:ascii="Times New Roman" w:hAnsi="Times New Roman" w:cs="Times New Roman"/>
                      <w:bCs/>
                      <w:snapToGrid/>
                      <w:color w:val="auto"/>
                      <w:kern w:val="2"/>
                      <w:sz w:val="21"/>
                      <w:szCs w:val="21"/>
                      <w:highlight w:val="none"/>
                      <w:lang w:val="en-US" w:eastAsia="zh-CN" w:bidi="ar-SA"/>
                    </w:rPr>
                    <w:t>不开展成分监测，做好台账记录。</w:t>
                  </w:r>
                </w:p>
              </w:tc>
            </w:tr>
          </w:tbl>
          <w:p w14:paraId="438F40D5">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b/>
                <w:bCs w:val="0"/>
                <w:color w:val="auto"/>
                <w:sz w:val="24"/>
                <w:szCs w:val="24"/>
                <w:highlight w:val="none"/>
                <w:u w:val="none" w:color="auto"/>
                <w:lang w:val="en-US" w:eastAsia="zh-CN"/>
              </w:rPr>
            </w:pPr>
            <w:r>
              <w:rPr>
                <w:rFonts w:hint="default" w:ascii="Times New Roman" w:hAnsi="Times New Roman" w:cs="Times New Roman"/>
                <w:b/>
                <w:bCs w:val="0"/>
                <w:color w:val="auto"/>
                <w:sz w:val="24"/>
                <w:szCs w:val="24"/>
                <w:highlight w:val="none"/>
                <w:u w:val="none" w:color="auto"/>
                <w:lang w:val="en-US" w:eastAsia="zh-CN"/>
              </w:rPr>
              <w:t>3、环境保护设施竣工验收</w:t>
            </w:r>
          </w:p>
          <w:p w14:paraId="1AF31639">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根据《建设项目环境保护管理条例》，本工程的建设应执行污染治理设施与主体工程同时设计、同时施工、同时投产使用的“三同时”制度。本建设项目投入运行后，建设单位应及时进行环境保护验收工作。编制验收报告，主要内容应包括：</w:t>
            </w:r>
          </w:p>
          <w:p w14:paraId="7A722653">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（1）建设期、运行期环境保护措施落实情况。</w:t>
            </w:r>
          </w:p>
          <w:p w14:paraId="409AFB0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（2）工程运行中的工频电场、工频磁感应强度、噪声对环境的影响情况。</w:t>
            </w:r>
          </w:p>
          <w:p w14:paraId="7B449FD9">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auto"/>
                <w:sz w:val="24"/>
                <w:szCs w:val="24"/>
                <w:highlight w:val="none"/>
                <w:u w:val="none" w:color="auto"/>
                <w:lang w:val="en-US" w:eastAsia="zh-CN"/>
              </w:rPr>
            </w:pPr>
            <w:r>
              <w:rPr>
                <w:rFonts w:hint="default" w:ascii="Times New Roman" w:hAnsi="Times New Roman" w:eastAsia="宋体" w:cs="Times New Roman"/>
                <w:color w:val="auto"/>
                <w:sz w:val="24"/>
                <w:szCs w:val="24"/>
                <w:highlight w:val="none"/>
                <w:u w:val="none" w:color="auto"/>
                <w:lang w:val="en-US" w:eastAsia="zh-CN"/>
              </w:rPr>
              <w:t>（3）工程运行期间环境管理所涉及的内容。环境保护设施竣工验收的内容见表5-</w:t>
            </w:r>
            <w:r>
              <w:rPr>
                <w:rFonts w:hint="default" w:ascii="Times New Roman" w:hAnsi="Times New Roman" w:cs="Times New Roman"/>
                <w:color w:val="auto"/>
                <w:sz w:val="24"/>
                <w:szCs w:val="24"/>
                <w:highlight w:val="none"/>
                <w:u w:val="none" w:color="auto"/>
                <w:lang w:val="en-US" w:eastAsia="zh-CN"/>
              </w:rPr>
              <w:t>3</w:t>
            </w:r>
            <w:r>
              <w:rPr>
                <w:rFonts w:hint="default" w:ascii="Times New Roman" w:hAnsi="Times New Roman" w:eastAsia="宋体" w:cs="Times New Roman"/>
                <w:color w:val="auto"/>
                <w:sz w:val="24"/>
                <w:szCs w:val="24"/>
                <w:highlight w:val="none"/>
                <w:u w:val="none" w:color="auto"/>
                <w:lang w:val="en-US" w:eastAsia="zh-CN"/>
              </w:rPr>
              <w:t xml:space="preserve">。 </w:t>
            </w:r>
          </w:p>
          <w:p w14:paraId="20545429">
            <w:pPr>
              <w:pStyle w:val="77"/>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表5-3   环境保护“三同时”验收一览表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67"/>
              <w:gridCol w:w="1216"/>
              <w:gridCol w:w="4732"/>
              <w:gridCol w:w="2221"/>
            </w:tblGrid>
            <w:tr w14:paraId="09A6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8" w:hRule="atLeast"/>
                <w:jc w:val="center"/>
              </w:trPr>
              <w:tc>
                <w:tcPr>
                  <w:tcW w:w="974" w:type="pct"/>
                  <w:gridSpan w:val="2"/>
                  <w:shd w:val="clear" w:color="auto" w:fill="auto"/>
                  <w:vAlign w:val="center"/>
                </w:tcPr>
                <w:p w14:paraId="299471B5">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类型</w:t>
                  </w:r>
                </w:p>
              </w:tc>
              <w:tc>
                <w:tcPr>
                  <w:tcW w:w="2739" w:type="pct"/>
                  <w:shd w:val="clear" w:color="auto" w:fill="auto"/>
                  <w:vAlign w:val="center"/>
                </w:tcPr>
                <w:p w14:paraId="1F040452">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验收内容</w:t>
                  </w:r>
                </w:p>
              </w:tc>
              <w:tc>
                <w:tcPr>
                  <w:tcW w:w="1285" w:type="pct"/>
                  <w:shd w:val="clear" w:color="auto" w:fill="auto"/>
                  <w:vAlign w:val="center"/>
                </w:tcPr>
                <w:p w14:paraId="221B2526">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验收标准</w:t>
                  </w:r>
                </w:p>
              </w:tc>
            </w:tr>
            <w:tr w14:paraId="7EC0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70" w:type="pct"/>
                  <w:vMerge w:val="restart"/>
                  <w:shd w:val="clear" w:color="auto" w:fill="auto"/>
                  <w:vAlign w:val="center"/>
                </w:tcPr>
                <w:p w14:paraId="7A6B766B">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施工期</w:t>
                  </w:r>
                </w:p>
              </w:tc>
              <w:tc>
                <w:tcPr>
                  <w:tcW w:w="703" w:type="pct"/>
                  <w:vMerge w:val="restart"/>
                  <w:shd w:val="clear" w:color="auto" w:fill="auto"/>
                  <w:vAlign w:val="center"/>
                </w:tcPr>
                <w:p w14:paraId="51EDD7E5">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施工扬尘</w:t>
                  </w:r>
                </w:p>
              </w:tc>
              <w:tc>
                <w:tcPr>
                  <w:tcW w:w="2739" w:type="pct"/>
                  <w:shd w:val="clear" w:color="auto" w:fill="auto"/>
                  <w:vAlign w:val="center"/>
                </w:tcPr>
                <w:p w14:paraId="47640646">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加强土方表面压实及定期喷水，并进行遮盖；采用外购商品混凝土；运输土石方及粉料等施工车辆采取加蓬覆盖，严防物料沿途抛洒、掉落；采取围挡作业，施工结束及时恢复占用场地；路面撒落的泥土及时清扫；道路洒水抑尘。</w:t>
                  </w:r>
                </w:p>
              </w:tc>
              <w:tc>
                <w:tcPr>
                  <w:tcW w:w="1285" w:type="pct"/>
                  <w:vMerge w:val="restart"/>
                  <w:shd w:val="clear" w:color="auto" w:fill="auto"/>
                  <w:vAlign w:val="center"/>
                </w:tcPr>
                <w:p w14:paraId="065BE17D">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将施工扬尘降到最低程度</w:t>
                  </w:r>
                </w:p>
              </w:tc>
            </w:tr>
            <w:tr w14:paraId="06FBF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70" w:type="pct"/>
                  <w:vMerge w:val="continue"/>
                  <w:shd w:val="clear" w:color="auto" w:fill="auto"/>
                  <w:vAlign w:val="center"/>
                </w:tcPr>
                <w:p w14:paraId="3862AAE8">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p>
              </w:tc>
              <w:tc>
                <w:tcPr>
                  <w:tcW w:w="703" w:type="pct"/>
                  <w:vMerge w:val="continue"/>
                  <w:shd w:val="clear" w:color="auto" w:fill="auto"/>
                  <w:vAlign w:val="center"/>
                </w:tcPr>
                <w:p w14:paraId="7118A070">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p>
              </w:tc>
              <w:tc>
                <w:tcPr>
                  <w:tcW w:w="2739" w:type="pct"/>
                  <w:shd w:val="clear" w:color="auto" w:fill="auto"/>
                  <w:vAlign w:val="center"/>
                </w:tcPr>
                <w:p w14:paraId="1D29CFEF">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b w:val="0"/>
                      <w:bCs/>
                      <w:color w:val="auto"/>
                      <w:kern w:val="0"/>
                      <w:sz w:val="21"/>
                      <w:szCs w:val="21"/>
                      <w:highlight w:val="none"/>
                      <w:lang w:eastAsia="zh-CN"/>
                    </w:rPr>
                    <w:t>在施工过程中采取控制速度，缩短怠速、减速和加速的时间；</w:t>
                  </w:r>
                  <w:r>
                    <w:rPr>
                      <w:rFonts w:hint="default" w:ascii="Times New Roman" w:hAnsi="Times New Roman" w:eastAsia="宋体" w:cs="Times New Roman"/>
                      <w:color w:val="auto"/>
                      <w:sz w:val="21"/>
                      <w:szCs w:val="21"/>
                      <w:highlight w:val="none"/>
                      <w:u w:val="none"/>
                      <w:vertAlign w:val="baseline"/>
                      <w:lang w:val="en-US" w:eastAsia="zh-CN"/>
                    </w:rPr>
                    <w:t>加强车辆及施工机械的维护保养，保证不排放黑烟；做好车辆疏导，减轻塞车或车速减低带来的尾气污染。</w:t>
                  </w:r>
                </w:p>
              </w:tc>
              <w:tc>
                <w:tcPr>
                  <w:tcW w:w="1285" w:type="pct"/>
                  <w:vMerge w:val="continue"/>
                  <w:shd w:val="clear" w:color="auto" w:fill="auto"/>
                  <w:vAlign w:val="center"/>
                </w:tcPr>
                <w:p w14:paraId="5252DB75">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p>
              </w:tc>
            </w:tr>
            <w:tr w14:paraId="0888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continue"/>
                  <w:shd w:val="clear" w:color="auto" w:fill="auto"/>
                  <w:vAlign w:val="center"/>
                </w:tcPr>
                <w:p w14:paraId="6885B01D">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p>
              </w:tc>
              <w:tc>
                <w:tcPr>
                  <w:tcW w:w="703" w:type="pct"/>
                  <w:shd w:val="clear" w:color="auto" w:fill="auto"/>
                  <w:vAlign w:val="center"/>
                </w:tcPr>
                <w:p w14:paraId="1EB743AC">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施工废水</w:t>
                  </w:r>
                </w:p>
              </w:tc>
              <w:tc>
                <w:tcPr>
                  <w:tcW w:w="2739" w:type="pct"/>
                  <w:shd w:val="clear" w:color="auto" w:fill="auto"/>
                  <w:vAlign w:val="center"/>
                </w:tcPr>
                <w:p w14:paraId="0C12ED3A">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施工废水沉淀处理后回用；施工期生活污水化粪池静置沉淀后，拉运至污水处理厂进一步处理。</w:t>
                  </w:r>
                </w:p>
              </w:tc>
              <w:tc>
                <w:tcPr>
                  <w:tcW w:w="1285" w:type="pct"/>
                  <w:shd w:val="clear" w:color="auto" w:fill="auto"/>
                  <w:vAlign w:val="center"/>
                </w:tcPr>
                <w:p w14:paraId="7EAC9F90">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合理处置</w:t>
                  </w:r>
                </w:p>
              </w:tc>
            </w:tr>
            <w:tr w14:paraId="56C6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270" w:type="pct"/>
                  <w:vMerge w:val="continue"/>
                  <w:shd w:val="clear" w:color="auto" w:fill="auto"/>
                  <w:vAlign w:val="center"/>
                </w:tcPr>
                <w:p w14:paraId="1E52BE81">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p>
              </w:tc>
              <w:tc>
                <w:tcPr>
                  <w:tcW w:w="703" w:type="pct"/>
                  <w:shd w:val="clear" w:color="auto" w:fill="auto"/>
                  <w:vAlign w:val="center"/>
                </w:tcPr>
                <w:p w14:paraId="135DC2CD">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施工固废</w:t>
                  </w:r>
                </w:p>
              </w:tc>
              <w:tc>
                <w:tcPr>
                  <w:tcW w:w="2739" w:type="pct"/>
                  <w:shd w:val="clear" w:color="auto" w:fill="auto"/>
                  <w:vAlign w:val="center"/>
                </w:tcPr>
                <w:p w14:paraId="3A4B5492">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表土进行剥离，挖方合理堆存，土方加以遮盖，并及时回填。生活垃圾统一收集后委托当地环卫部门定期清运；建筑垃圾分类收集暂存，废弃砂石、混凝土优先风电场内综合利用，废包装物交有关部门回收利用。</w:t>
                  </w:r>
                </w:p>
              </w:tc>
              <w:tc>
                <w:tcPr>
                  <w:tcW w:w="1285" w:type="pct"/>
                  <w:shd w:val="clear" w:color="auto" w:fill="auto"/>
                  <w:vAlign w:val="center"/>
                </w:tcPr>
                <w:p w14:paraId="4106982F">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合理处置</w:t>
                  </w:r>
                </w:p>
              </w:tc>
            </w:tr>
            <w:tr w14:paraId="2200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270" w:type="pct"/>
                  <w:vMerge w:val="continue"/>
                  <w:shd w:val="clear" w:color="auto" w:fill="auto"/>
                  <w:vAlign w:val="center"/>
                </w:tcPr>
                <w:p w14:paraId="3EF82811">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p>
              </w:tc>
              <w:tc>
                <w:tcPr>
                  <w:tcW w:w="703" w:type="pct"/>
                  <w:shd w:val="clear" w:color="auto" w:fill="auto"/>
                  <w:vAlign w:val="center"/>
                </w:tcPr>
                <w:p w14:paraId="5DFD899F">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施工噪声</w:t>
                  </w:r>
                </w:p>
              </w:tc>
              <w:tc>
                <w:tcPr>
                  <w:tcW w:w="2739" w:type="pct"/>
                  <w:shd w:val="clear" w:color="auto" w:fill="auto"/>
                  <w:vAlign w:val="center"/>
                </w:tcPr>
                <w:p w14:paraId="50C47425">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采用低噪声施工设备；禁止夜间施工；加强施工机械的维修、管理；合理布置施工场地；在施工过程中应严格执行《建筑施工噪声排放标准》（GB12523-2025）的要求。</w:t>
                  </w:r>
                </w:p>
              </w:tc>
              <w:tc>
                <w:tcPr>
                  <w:tcW w:w="1285" w:type="pct"/>
                  <w:shd w:val="clear" w:color="auto" w:fill="auto"/>
                  <w:vAlign w:val="center"/>
                </w:tcPr>
                <w:p w14:paraId="4CFE1B1D">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满足《建筑施工噪声排放标准》（GB12523-2025）的规定</w:t>
                  </w:r>
                </w:p>
              </w:tc>
            </w:tr>
            <w:tr w14:paraId="16C6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0" w:type="pct"/>
                  <w:vMerge w:val="continue"/>
                  <w:shd w:val="clear" w:color="auto" w:fill="auto"/>
                  <w:vAlign w:val="center"/>
                </w:tcPr>
                <w:p w14:paraId="43596340">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p>
              </w:tc>
              <w:tc>
                <w:tcPr>
                  <w:tcW w:w="703" w:type="pct"/>
                  <w:shd w:val="clear" w:color="auto" w:fill="auto"/>
                  <w:vAlign w:val="center"/>
                </w:tcPr>
                <w:p w14:paraId="2B6A035B">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生态</w:t>
                  </w:r>
                </w:p>
              </w:tc>
              <w:tc>
                <w:tcPr>
                  <w:tcW w:w="2739" w:type="pct"/>
                  <w:shd w:val="clear" w:color="auto" w:fill="auto"/>
                  <w:vAlign w:val="center"/>
                </w:tcPr>
                <w:p w14:paraId="7A7D7B66">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严格限制施工用地；施工完毕后及时清理并进行土地整治，临时占地面积要控制在最低限度，尽可能不破坏原有的地表植被和土壤；增强施工人员的保护意识，严禁在项目区内捕猎任何野生动物；禁止乱压乱碾，尽可能减少对植被的扰动；施工结束，及时开展生态恢复</w:t>
                  </w:r>
                  <w:r>
                    <w:rPr>
                      <w:rFonts w:hint="eastAsia" w:ascii="Times New Roman" w:hAnsi="Times New Roman" w:cs="Times New Roman"/>
                      <w:color w:val="auto"/>
                      <w:sz w:val="21"/>
                      <w:szCs w:val="21"/>
                      <w:highlight w:val="none"/>
                      <w:u w:val="none"/>
                      <w:vertAlign w:val="baseline"/>
                      <w:lang w:val="en-US" w:eastAsia="zh-CN"/>
                    </w:rPr>
                    <w:t>，植被恢复现状</w:t>
                  </w:r>
                  <w:r>
                    <w:rPr>
                      <w:rFonts w:hint="default" w:ascii="Times New Roman" w:hAnsi="Times New Roman" w:eastAsia="宋体" w:cs="Times New Roman"/>
                      <w:color w:val="auto"/>
                      <w:sz w:val="21"/>
                      <w:szCs w:val="21"/>
                      <w:highlight w:val="none"/>
                      <w:u w:val="none"/>
                      <w:vertAlign w:val="baseline"/>
                      <w:lang w:val="en-US" w:eastAsia="zh-CN"/>
                    </w:rPr>
                    <w:t>；选择适宜的施工季节，尽量避免在雨季施工，并准备一定数量的遮盖物，遇突发雨天、台风天气时遮盖挖填土的作业面；临时堆土应在表面覆上苫布防治水土流失；合理安排施工时序，做好临时堆土的围护拦挡。</w:t>
                  </w:r>
                </w:p>
              </w:tc>
              <w:tc>
                <w:tcPr>
                  <w:tcW w:w="1285" w:type="pct"/>
                  <w:shd w:val="clear" w:color="auto" w:fill="auto"/>
                  <w:vAlign w:val="center"/>
                </w:tcPr>
                <w:p w14:paraId="418DA05D">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施工结束时临时占地平整并恢复</w:t>
                  </w:r>
                  <w:r>
                    <w:rPr>
                      <w:rFonts w:hint="eastAsia" w:ascii="Times New Roman" w:hAnsi="Times New Roman" w:cs="Times New Roman"/>
                      <w:color w:val="auto"/>
                      <w:sz w:val="21"/>
                      <w:szCs w:val="21"/>
                      <w:highlight w:val="none"/>
                      <w:u w:val="none"/>
                      <w:vertAlign w:val="baseline"/>
                      <w:lang w:val="en-US" w:eastAsia="zh-CN"/>
                    </w:rPr>
                    <w:t>原状</w:t>
                  </w:r>
                </w:p>
              </w:tc>
            </w:tr>
            <w:tr w14:paraId="69D6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270" w:type="pct"/>
                  <w:vMerge w:val="restart"/>
                  <w:shd w:val="clear" w:color="auto" w:fill="auto"/>
                  <w:vAlign w:val="center"/>
                </w:tcPr>
                <w:p w14:paraId="7FCD4233">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运行期</w:t>
                  </w:r>
                </w:p>
              </w:tc>
              <w:tc>
                <w:tcPr>
                  <w:tcW w:w="703" w:type="pct"/>
                  <w:shd w:val="clear" w:color="auto" w:fill="auto"/>
                  <w:vAlign w:val="center"/>
                </w:tcPr>
                <w:p w14:paraId="0FEFFF60">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u w:val="none"/>
                      <w:vertAlign w:val="baseline"/>
                      <w:lang w:val="en-US" w:eastAsia="zh-CN" w:bidi="ar-SA"/>
                    </w:rPr>
                  </w:pPr>
                  <w:r>
                    <w:rPr>
                      <w:rFonts w:hint="default" w:ascii="Times New Roman" w:hAnsi="Times New Roman" w:eastAsia="宋体" w:cs="Times New Roman"/>
                      <w:color w:val="auto"/>
                      <w:sz w:val="21"/>
                      <w:szCs w:val="21"/>
                      <w:highlight w:val="none"/>
                      <w:u w:val="none"/>
                      <w:vertAlign w:val="baseline"/>
                      <w:lang w:val="en-US" w:eastAsia="zh-CN"/>
                    </w:rPr>
                    <w:t>噪声</w:t>
                  </w:r>
                </w:p>
              </w:tc>
              <w:tc>
                <w:tcPr>
                  <w:tcW w:w="2739" w:type="pct"/>
                  <w:shd w:val="clear" w:color="auto" w:fill="auto"/>
                  <w:vAlign w:val="center"/>
                </w:tcPr>
                <w:p w14:paraId="19E2FDC4">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站界四周建有围墙隔声。站内选用低噪声设备，主变基础垫衬减振材料；合理选择导线，选择光滑、不带毛刺的导线；</w:t>
                  </w:r>
                  <w:r>
                    <w:rPr>
                      <w:rFonts w:hint="default" w:ascii="Times New Roman" w:hAnsi="Times New Roman" w:eastAsia="宋体" w:cs="Times New Roman"/>
                      <w:color w:val="auto"/>
                      <w:sz w:val="21"/>
                      <w:szCs w:val="21"/>
                      <w:highlight w:val="none"/>
                      <w:u w:val="none" w:color="auto"/>
                      <w:lang w:val="en-US" w:eastAsia="zh-CN"/>
                    </w:rPr>
                    <w:t>进站道路定期检查与保养路面，加强车辆管理，路过车辆控制车速、严禁鸣笛，严禁超载超速。</w:t>
                  </w:r>
                </w:p>
              </w:tc>
              <w:tc>
                <w:tcPr>
                  <w:tcW w:w="1285" w:type="pct"/>
                  <w:shd w:val="clear" w:color="auto" w:fill="auto"/>
                  <w:vAlign w:val="center"/>
                </w:tcPr>
                <w:p w14:paraId="24BBB232">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满足《工业企业厂界环境噪声排放标准》（</w:t>
                  </w:r>
                  <w:r>
                    <w:rPr>
                      <w:rFonts w:hint="default" w:ascii="Times New Roman" w:hAnsi="Times New Roman" w:cs="Times New Roman"/>
                      <w:b w:val="0"/>
                      <w:bCs w:val="0"/>
                      <w:color w:val="auto"/>
                      <w:spacing w:val="-5"/>
                      <w:sz w:val="21"/>
                      <w:szCs w:val="21"/>
                      <w:highlight w:val="none"/>
                      <w:vertAlign w:val="baseline"/>
                      <w:lang w:val="en-US" w:eastAsia="zh-CN"/>
                    </w:rPr>
                    <w:t>GB12348-2008</w:t>
                  </w:r>
                  <w:r>
                    <w:rPr>
                      <w:rFonts w:hint="default" w:ascii="Times New Roman" w:hAnsi="Times New Roman" w:eastAsia="宋体" w:cs="Times New Roman"/>
                      <w:color w:val="auto"/>
                      <w:sz w:val="21"/>
                      <w:szCs w:val="21"/>
                      <w:highlight w:val="none"/>
                      <w:u w:val="none"/>
                      <w:vertAlign w:val="baseline"/>
                      <w:lang w:val="en-US" w:eastAsia="zh-CN"/>
                    </w:rPr>
                    <w:t>）中</w:t>
                  </w:r>
                  <w:r>
                    <w:rPr>
                      <w:rFonts w:hint="default" w:ascii="Times New Roman" w:hAnsi="Times New Roman" w:cs="Times New Roman"/>
                      <w:color w:val="auto"/>
                      <w:sz w:val="21"/>
                      <w:szCs w:val="21"/>
                      <w:highlight w:val="none"/>
                      <w:u w:val="none"/>
                      <w:vertAlign w:val="baseline"/>
                      <w:lang w:val="en-US" w:eastAsia="zh-CN"/>
                    </w:rPr>
                    <w:t>2</w:t>
                  </w:r>
                  <w:r>
                    <w:rPr>
                      <w:rFonts w:hint="default" w:ascii="Times New Roman" w:hAnsi="Times New Roman" w:eastAsia="宋体" w:cs="Times New Roman"/>
                      <w:color w:val="auto"/>
                      <w:sz w:val="21"/>
                      <w:szCs w:val="21"/>
                      <w:highlight w:val="none"/>
                      <w:u w:val="none"/>
                      <w:vertAlign w:val="baseline"/>
                      <w:lang w:val="en-US" w:eastAsia="zh-CN"/>
                    </w:rPr>
                    <w:t>类标准限值</w:t>
                  </w:r>
                </w:p>
              </w:tc>
            </w:tr>
            <w:tr w14:paraId="67B5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70" w:type="pct"/>
                  <w:vMerge w:val="continue"/>
                  <w:shd w:val="clear" w:color="auto" w:fill="auto"/>
                  <w:vAlign w:val="center"/>
                </w:tcPr>
                <w:p w14:paraId="21CBCA21">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p>
              </w:tc>
              <w:tc>
                <w:tcPr>
                  <w:tcW w:w="703" w:type="pct"/>
                  <w:shd w:val="clear" w:color="auto" w:fill="auto"/>
                  <w:vAlign w:val="center"/>
                </w:tcPr>
                <w:p w14:paraId="320823D6">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工频电磁场</w:t>
                  </w:r>
                </w:p>
              </w:tc>
              <w:tc>
                <w:tcPr>
                  <w:tcW w:w="2739" w:type="pct"/>
                  <w:shd w:val="clear" w:color="auto" w:fill="auto"/>
                  <w:vAlign w:val="center"/>
                </w:tcPr>
                <w:p w14:paraId="73382F8D">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pacing w:val="-10"/>
                      <w:sz w:val="21"/>
                      <w:szCs w:val="21"/>
                      <w:highlight w:val="none"/>
                      <w:lang w:val="en-US" w:eastAsia="zh-CN"/>
                    </w:rPr>
                    <w:t>选择电磁源强低的设备，合理布局，设置明显的警告标志；实体围墙来屏蔽、吸收电磁辐射；</w:t>
                  </w:r>
                  <w:r>
                    <w:rPr>
                      <w:rFonts w:hint="default" w:ascii="Times New Roman" w:hAnsi="Times New Roman" w:eastAsia="宋体" w:cs="Times New Roman"/>
                      <w:color w:val="auto"/>
                      <w:sz w:val="21"/>
                      <w:szCs w:val="21"/>
                      <w:highlight w:val="none"/>
                      <w:u w:val="none"/>
                      <w:vertAlign w:val="baseline"/>
                      <w:lang w:val="en-US" w:eastAsia="zh-CN"/>
                    </w:rPr>
                    <w:t>对站内工作人员进行电磁环境知识的培训，尽量减少在高电磁场区的停留时间；</w:t>
                  </w:r>
                  <w:r>
                    <w:rPr>
                      <w:rFonts w:hint="default" w:ascii="Times New Roman" w:hAnsi="Times New Roman" w:eastAsia="宋体" w:cs="Times New Roman"/>
                      <w:b w:val="0"/>
                      <w:bCs w:val="0"/>
                      <w:color w:val="auto"/>
                      <w:spacing w:val="-10"/>
                      <w:sz w:val="21"/>
                      <w:szCs w:val="21"/>
                      <w:highlight w:val="none"/>
                      <w:lang w:val="en-US" w:eastAsia="zh-CN"/>
                    </w:rPr>
                    <w:t>定期对设备进行维护与检修，经常监测其周围的电磁辐射强度。</w:t>
                  </w:r>
                </w:p>
              </w:tc>
              <w:tc>
                <w:tcPr>
                  <w:tcW w:w="1285" w:type="pct"/>
                  <w:shd w:val="clear" w:color="auto" w:fill="auto"/>
                  <w:vAlign w:val="center"/>
                </w:tcPr>
                <w:p w14:paraId="62CCD4AC">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满足《电磁环境控制限值》（GB8702-2014）中的标准要求。</w:t>
                  </w:r>
                </w:p>
              </w:tc>
            </w:tr>
            <w:tr w14:paraId="7677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270" w:type="pct"/>
                  <w:vMerge w:val="continue"/>
                  <w:shd w:val="clear" w:color="auto" w:fill="auto"/>
                  <w:vAlign w:val="center"/>
                </w:tcPr>
                <w:p w14:paraId="0B3B027D">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p>
              </w:tc>
              <w:tc>
                <w:tcPr>
                  <w:tcW w:w="703" w:type="pct"/>
                  <w:shd w:val="clear" w:color="auto" w:fill="auto"/>
                  <w:vAlign w:val="center"/>
                </w:tcPr>
                <w:p w14:paraId="14C05889">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废水</w:t>
                  </w:r>
                </w:p>
              </w:tc>
              <w:tc>
                <w:tcPr>
                  <w:tcW w:w="2739" w:type="pct"/>
                  <w:shd w:val="clear" w:color="auto" w:fill="auto"/>
                  <w:vAlign w:val="center"/>
                </w:tcPr>
                <w:p w14:paraId="2D1A9354">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生活污水经化粪池处理后进入地埋式一体化污水处理设施处理，处理后中水收集回用于冲洗道路及</w:t>
                  </w:r>
                  <w:r>
                    <w:rPr>
                      <w:rFonts w:hint="eastAsia" w:ascii="Times New Roman" w:hAnsi="Times New Roman" w:cs="Times New Roman"/>
                      <w:color w:val="auto"/>
                      <w:sz w:val="21"/>
                      <w:szCs w:val="21"/>
                      <w:highlight w:val="none"/>
                      <w:u w:val="none"/>
                      <w:vertAlign w:val="baseline"/>
                      <w:lang w:val="en-US" w:eastAsia="zh-CN"/>
                    </w:rPr>
                    <w:t>洒水抑尘</w:t>
                  </w:r>
                  <w:r>
                    <w:rPr>
                      <w:rFonts w:hint="default" w:ascii="Times New Roman" w:hAnsi="Times New Roman" w:eastAsia="宋体" w:cs="Times New Roman"/>
                      <w:color w:val="auto"/>
                      <w:sz w:val="21"/>
                      <w:szCs w:val="21"/>
                      <w:highlight w:val="none"/>
                      <w:u w:val="none"/>
                      <w:vertAlign w:val="baseline"/>
                      <w:lang w:val="en-US" w:eastAsia="zh-CN"/>
                    </w:rPr>
                    <w:t>。</w:t>
                  </w:r>
                </w:p>
              </w:tc>
              <w:tc>
                <w:tcPr>
                  <w:tcW w:w="2014" w:type="dxa"/>
                  <w:shd w:val="clear" w:color="auto" w:fill="auto"/>
                  <w:vAlign w:val="center"/>
                </w:tcPr>
                <w:p w14:paraId="2A75DAA2">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废水不对外排放，妥善处理。</w:t>
                  </w:r>
                </w:p>
              </w:tc>
            </w:tr>
            <w:tr w14:paraId="58BA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70" w:type="pct"/>
                  <w:vMerge w:val="continue"/>
                  <w:shd w:val="clear" w:color="auto" w:fill="auto"/>
                  <w:vAlign w:val="center"/>
                </w:tcPr>
                <w:p w14:paraId="387133C5">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p>
              </w:tc>
              <w:tc>
                <w:tcPr>
                  <w:tcW w:w="703" w:type="pct"/>
                  <w:shd w:val="clear" w:color="auto" w:fill="auto"/>
                  <w:vAlign w:val="center"/>
                </w:tcPr>
                <w:p w14:paraId="4F9180BB">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固废</w:t>
                  </w:r>
                </w:p>
              </w:tc>
              <w:tc>
                <w:tcPr>
                  <w:tcW w:w="2739" w:type="pct"/>
                  <w:shd w:val="clear" w:color="auto" w:fill="auto"/>
                  <w:vAlign w:val="center"/>
                </w:tcPr>
                <w:p w14:paraId="30222964">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生活垃圾设置生活垃圾桶分类收集，后由环卫部门定期清运；污水处理产生的污泥由环卫部门定期清掏后外运</w:t>
                  </w:r>
                  <w:r>
                    <w:rPr>
                      <w:rFonts w:hint="default" w:ascii="Times New Roman" w:hAnsi="Times New Roman" w:cs="Times New Roman"/>
                      <w:color w:val="auto"/>
                      <w:sz w:val="21"/>
                      <w:szCs w:val="21"/>
                      <w:highlight w:val="none"/>
                      <w:u w:val="none"/>
                      <w:vertAlign w:val="baseline"/>
                      <w:lang w:val="en-US" w:eastAsia="zh-CN"/>
                    </w:rPr>
                    <w:t>；</w:t>
                  </w:r>
                  <w:r>
                    <w:rPr>
                      <w:rFonts w:hint="default" w:ascii="Times New Roman" w:hAnsi="Times New Roman" w:eastAsia="宋体" w:cs="Times New Roman"/>
                      <w:color w:val="auto"/>
                      <w:sz w:val="21"/>
                      <w:szCs w:val="21"/>
                      <w:highlight w:val="none"/>
                      <w:u w:val="none"/>
                      <w:vertAlign w:val="baseline"/>
                      <w:lang w:val="en-US" w:eastAsia="zh-CN"/>
                    </w:rPr>
                    <w:t>废铅蓄电池、废润滑油、废润滑油桶以及染废矿物油的抹布、废手套等检修垃圾经集中收集后，分类暂存在危废暂存间内，委托有资质单位定期拉运进行处理。事故状态下的废变压器油经变压器下部的排油管道汇入事故油池，委托有资质单位外运处置。</w:t>
                  </w:r>
                </w:p>
              </w:tc>
              <w:tc>
                <w:tcPr>
                  <w:tcW w:w="2014" w:type="dxa"/>
                  <w:shd w:val="clear" w:color="auto" w:fill="auto"/>
                  <w:vAlign w:val="center"/>
                </w:tcPr>
                <w:p w14:paraId="39BD7002">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合理处置</w:t>
                  </w:r>
                </w:p>
              </w:tc>
            </w:tr>
            <w:tr w14:paraId="1C96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70" w:type="pct"/>
                  <w:vMerge w:val="continue"/>
                  <w:shd w:val="clear" w:color="auto" w:fill="auto"/>
                  <w:vAlign w:val="center"/>
                </w:tcPr>
                <w:p w14:paraId="0EAEDC77">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p>
              </w:tc>
              <w:tc>
                <w:tcPr>
                  <w:tcW w:w="703" w:type="pct"/>
                  <w:shd w:val="clear" w:color="auto" w:fill="auto"/>
                  <w:vAlign w:val="center"/>
                </w:tcPr>
                <w:p w14:paraId="29DA3D46">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环境风险控制措施</w:t>
                  </w:r>
                </w:p>
              </w:tc>
              <w:tc>
                <w:tcPr>
                  <w:tcW w:w="2739" w:type="pct"/>
                  <w:shd w:val="clear" w:color="auto" w:fill="auto"/>
                  <w:vAlign w:val="center"/>
                </w:tcPr>
                <w:p w14:paraId="04838D58">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事故油池严格按照《危险废物贮存污染控制标准》（GB18597-2023）中相关规定要求建设，防渗层为至少1m厚黏土层（渗透系数不大于10</w:t>
                  </w:r>
                  <w:r>
                    <w:rPr>
                      <w:rFonts w:hint="default" w:ascii="Times New Roman" w:hAnsi="Times New Roman" w:eastAsia="宋体" w:cs="Times New Roman"/>
                      <w:color w:val="auto"/>
                      <w:sz w:val="21"/>
                      <w:szCs w:val="21"/>
                      <w:highlight w:val="none"/>
                      <w:u w:val="none"/>
                      <w:vertAlign w:val="superscript"/>
                      <w:lang w:val="en-US" w:eastAsia="zh-CN"/>
                    </w:rPr>
                    <w:t>-7</w:t>
                  </w:r>
                  <w:r>
                    <w:rPr>
                      <w:rFonts w:hint="default" w:ascii="Times New Roman" w:hAnsi="Times New Roman" w:eastAsia="宋体" w:cs="Times New Roman"/>
                      <w:color w:val="auto"/>
                      <w:sz w:val="21"/>
                      <w:szCs w:val="21"/>
                      <w:highlight w:val="none"/>
                      <w:u w:val="none"/>
                      <w:vertAlign w:val="baseline"/>
                      <w:lang w:val="en-US" w:eastAsia="zh-CN"/>
                    </w:rPr>
                    <w:t>cm/s），或至少2mm厚高密度聚乙烯膜等人工防渗材料（渗透系数不大于10</w:t>
                  </w:r>
                  <w:r>
                    <w:rPr>
                      <w:rFonts w:hint="default" w:ascii="Times New Roman" w:hAnsi="Times New Roman" w:eastAsia="宋体" w:cs="Times New Roman"/>
                      <w:color w:val="auto"/>
                      <w:sz w:val="21"/>
                      <w:szCs w:val="21"/>
                      <w:highlight w:val="none"/>
                      <w:u w:val="none"/>
                      <w:vertAlign w:val="superscript"/>
                      <w:lang w:val="en-US" w:eastAsia="zh-CN"/>
                    </w:rPr>
                    <w:t>-10</w:t>
                  </w:r>
                  <w:r>
                    <w:rPr>
                      <w:rFonts w:hint="default" w:ascii="Times New Roman" w:hAnsi="Times New Roman" w:eastAsia="宋体" w:cs="Times New Roman"/>
                      <w:color w:val="auto"/>
                      <w:sz w:val="21"/>
                      <w:szCs w:val="21"/>
                      <w:highlight w:val="none"/>
                      <w:u w:val="none"/>
                      <w:vertAlign w:val="baseline"/>
                      <w:lang w:val="en-US" w:eastAsia="zh-CN"/>
                    </w:rPr>
                    <w:t>cm/s）。</w:t>
                  </w:r>
                </w:p>
              </w:tc>
              <w:tc>
                <w:tcPr>
                  <w:tcW w:w="2014" w:type="dxa"/>
                  <w:shd w:val="clear" w:color="auto" w:fill="auto"/>
                  <w:vAlign w:val="center"/>
                </w:tcPr>
                <w:p w14:paraId="7FC14F02">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满足《危险废物贮存污染控制标准》（GB18597-2023）相关要求</w:t>
                  </w:r>
                </w:p>
              </w:tc>
            </w:tr>
            <w:tr w14:paraId="37F4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70" w:type="pct"/>
                  <w:vMerge w:val="continue"/>
                  <w:shd w:val="clear" w:color="auto" w:fill="auto"/>
                  <w:vAlign w:val="center"/>
                </w:tcPr>
                <w:p w14:paraId="2A059EA4">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0000FF"/>
                      <w:sz w:val="21"/>
                      <w:szCs w:val="21"/>
                      <w:highlight w:val="none"/>
                      <w:u w:val="none"/>
                      <w:vertAlign w:val="baseline"/>
                      <w:lang w:val="en-US" w:eastAsia="zh-CN"/>
                    </w:rPr>
                  </w:pPr>
                </w:p>
              </w:tc>
              <w:tc>
                <w:tcPr>
                  <w:tcW w:w="703" w:type="pct"/>
                  <w:shd w:val="clear" w:color="auto" w:fill="auto"/>
                  <w:vAlign w:val="center"/>
                </w:tcPr>
                <w:p w14:paraId="270A923C">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生态</w:t>
                  </w:r>
                </w:p>
              </w:tc>
              <w:tc>
                <w:tcPr>
                  <w:tcW w:w="2739" w:type="pct"/>
                  <w:shd w:val="clear" w:color="auto" w:fill="auto"/>
                  <w:vAlign w:val="center"/>
                </w:tcPr>
                <w:p w14:paraId="5E4DA325">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施工结束后对临时施工用地进行植被恢复的土地加强抚育管理，使之恢复原有的生态功能；加强对维护人员的环保教育，严禁捕猎野生动物，如在工程周围遇到鸟巢鸟蛋、雏鸟和野生动物，需在林业部门和环保部门专业人员的指导下进行妥善安置。</w:t>
                  </w:r>
                </w:p>
              </w:tc>
              <w:tc>
                <w:tcPr>
                  <w:tcW w:w="1285" w:type="pct"/>
                  <w:shd w:val="clear" w:color="auto" w:fill="auto"/>
                  <w:vAlign w:val="center"/>
                </w:tcPr>
                <w:p w14:paraId="6A6CBBFD">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color w:val="auto"/>
                      <w:sz w:val="21"/>
                      <w:szCs w:val="21"/>
                      <w:highlight w:val="none"/>
                      <w:u w:val="none"/>
                      <w:vertAlign w:val="baseli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运行期生态维护</w:t>
                  </w:r>
                </w:p>
              </w:tc>
            </w:tr>
          </w:tbl>
          <w:p w14:paraId="507259FC">
            <w:pPr>
              <w:pStyle w:val="78"/>
              <w:keepNext w:val="0"/>
              <w:keepLines w:val="0"/>
              <w:suppressLineNumbers w:val="0"/>
              <w:spacing w:before="0" w:beforeAutospacing="0" w:after="0" w:afterAutospacing="0"/>
              <w:ind w:left="0" w:right="0" w:firstLine="482"/>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4、环境管理建议</w:t>
            </w:r>
          </w:p>
          <w:p w14:paraId="2083C0D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（1）将涉环境舆情管控纳入日常环境管理，并定期组织环境监测。</w:t>
            </w:r>
          </w:p>
          <w:p w14:paraId="478CAEB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auto"/>
                <w:sz w:val="24"/>
                <w:szCs w:val="24"/>
                <w:highlight w:val="none"/>
              </w:rPr>
              <w:t>（2）有公众投诉时进行必要的检测，保证监测质量，监测结果向社会公开。</w:t>
            </w:r>
          </w:p>
        </w:tc>
      </w:tr>
      <w:tr w14:paraId="018D3B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4" w:hRule="atLeast"/>
          <w:jc w:val="center"/>
        </w:trPr>
        <w:tc>
          <w:tcPr>
            <w:tcW w:w="659" w:type="dxa"/>
            <w:noWrap w:val="0"/>
            <w:tcMar>
              <w:left w:w="28" w:type="dxa"/>
              <w:right w:w="28" w:type="dxa"/>
            </w:tcMar>
            <w:vAlign w:val="center"/>
          </w:tcPr>
          <w:p w14:paraId="3E87E9B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FF"/>
                <w:sz w:val="24"/>
                <w:szCs w:val="24"/>
                <w:highlight w:val="none"/>
                <w:lang w:val="en-US" w:eastAsia="zh-CN"/>
              </w:rPr>
            </w:pPr>
            <w:r>
              <w:rPr>
                <w:rFonts w:hint="default" w:ascii="Times New Roman" w:hAnsi="Times New Roman" w:cs="Times New Roman"/>
                <w:bCs/>
                <w:color w:val="auto"/>
                <w:sz w:val="24"/>
                <w:szCs w:val="24"/>
                <w:highlight w:val="none"/>
                <w:lang w:val="en-US" w:eastAsia="zh-CN"/>
              </w:rPr>
              <w:t>环保投资</w:t>
            </w:r>
          </w:p>
        </w:tc>
        <w:tc>
          <w:tcPr>
            <w:tcW w:w="8865" w:type="dxa"/>
            <w:noWrap w:val="0"/>
            <w:vAlign w:val="center"/>
          </w:tcPr>
          <w:p w14:paraId="194CCB0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本工程环境保护投资包括施工期环境保护措施、管理措施，运营期环境保护设施及管理措施。本工程环境保护投资合计</w:t>
            </w:r>
            <w:r>
              <w:rPr>
                <w:rFonts w:hint="default" w:ascii="Times New Roman" w:hAnsi="Times New Roman" w:cs="Times New Roman"/>
                <w:color w:val="auto"/>
                <w:sz w:val="24"/>
                <w:szCs w:val="24"/>
                <w:highlight w:val="none"/>
                <w:lang w:val="en-US" w:eastAsia="zh-CN"/>
              </w:rPr>
              <w:t>1</w:t>
            </w:r>
            <w:r>
              <w:rPr>
                <w:rFonts w:hint="eastAsia" w:cs="Times New Roman"/>
                <w:color w:val="auto"/>
                <w:sz w:val="24"/>
                <w:szCs w:val="24"/>
                <w:highlight w:val="none"/>
                <w:lang w:val="en-US" w:eastAsia="zh-CN"/>
              </w:rPr>
              <w:t>35</w:t>
            </w:r>
            <w:r>
              <w:rPr>
                <w:rFonts w:hint="default" w:ascii="Times New Roman" w:hAnsi="Times New Roman" w:eastAsia="宋体" w:cs="Times New Roman"/>
                <w:color w:val="auto"/>
                <w:sz w:val="24"/>
                <w:szCs w:val="24"/>
                <w:highlight w:val="none"/>
              </w:rPr>
              <w:t>万元，占工程全部投资的</w:t>
            </w:r>
            <w:r>
              <w:rPr>
                <w:rFonts w:hint="eastAsia" w:cs="Times New Roman"/>
                <w:color w:val="auto"/>
                <w:sz w:val="24"/>
                <w:szCs w:val="24"/>
                <w:highlight w:val="none"/>
                <w:lang w:val="en-US" w:eastAsia="zh-CN"/>
              </w:rPr>
              <w:t>3.7</w:t>
            </w:r>
            <w:r>
              <w:rPr>
                <w:rFonts w:hint="default" w:ascii="Times New Roman" w:hAnsi="Times New Roman" w:eastAsia="宋体" w:cs="Times New Roman"/>
                <w:color w:val="auto"/>
                <w:sz w:val="24"/>
                <w:szCs w:val="24"/>
                <w:highlight w:val="none"/>
              </w:rPr>
              <w:t>%。本项目环保投资分析估算见下表。</w:t>
            </w:r>
          </w:p>
          <w:p w14:paraId="047790E4">
            <w:pPr>
              <w:keepNext w:val="0"/>
              <w:keepLines w:val="0"/>
              <w:suppressLineNumbers w:val="0"/>
              <w:spacing w:before="0" w:beforeAutospacing="0" w:after="0" w:afterAutospacing="0"/>
              <w:ind w:left="0" w:right="0"/>
              <w:jc w:val="center"/>
              <w:rPr>
                <w:rFonts w:hint="default" w:ascii="Times New Roman" w:hAnsi="Times New Roman" w:cs="Times New Roman"/>
                <w:b/>
                <w:bCs/>
                <w:color w:val="0000FF"/>
                <w:sz w:val="24"/>
                <w:szCs w:val="24"/>
                <w:highlight w:val="none"/>
              </w:rPr>
            </w:pPr>
          </w:p>
          <w:p w14:paraId="19F05416">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5</w:t>
            </w:r>
            <w:r>
              <w:rPr>
                <w:rFonts w:hint="default" w:ascii="Times New Roman" w:hAnsi="Times New Roman" w:cs="Times New Roman"/>
                <w:b/>
                <w:bCs/>
                <w:color w:val="auto"/>
                <w:sz w:val="21"/>
                <w:szCs w:val="21"/>
                <w:highlight w:val="none"/>
              </w:rPr>
              <w:t>-</w:t>
            </w:r>
            <w:r>
              <w:rPr>
                <w:rFonts w:hint="default" w:ascii="Times New Roman" w:hAnsi="Times New Roman"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rPr>
              <w:t xml:space="preserve"> </w:t>
            </w:r>
            <w:r>
              <w:rPr>
                <w:rFonts w:hint="default"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rPr>
              <w:t>项目环保投资情况一览表</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591"/>
              <w:gridCol w:w="1080"/>
              <w:gridCol w:w="4787"/>
              <w:gridCol w:w="1619"/>
            </w:tblGrid>
            <w:tr w14:paraId="3595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325" w:type="pct"/>
                  <w:noWrap w:val="0"/>
                  <w:vAlign w:val="center"/>
                </w:tcPr>
                <w:p w14:paraId="3B33B46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序号</w:t>
                  </w:r>
                </w:p>
              </w:tc>
              <w:tc>
                <w:tcPr>
                  <w:tcW w:w="967" w:type="pct"/>
                  <w:gridSpan w:val="2"/>
                  <w:noWrap w:val="0"/>
                  <w:vAlign w:val="center"/>
                </w:tcPr>
                <w:p w14:paraId="5142996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项目</w:t>
                  </w:r>
                </w:p>
              </w:tc>
              <w:tc>
                <w:tcPr>
                  <w:tcW w:w="2770" w:type="pct"/>
                  <w:noWrap w:val="0"/>
                  <w:vAlign w:val="center"/>
                </w:tcPr>
                <w:p w14:paraId="76EA430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措施</w:t>
                  </w:r>
                </w:p>
              </w:tc>
              <w:tc>
                <w:tcPr>
                  <w:tcW w:w="937" w:type="pct"/>
                  <w:noWrap w:val="0"/>
                  <w:vAlign w:val="center"/>
                </w:tcPr>
                <w:p w14:paraId="06F5259D">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投资(万元)</w:t>
                  </w:r>
                </w:p>
              </w:tc>
            </w:tr>
            <w:tr w14:paraId="0CA1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 w:type="pct"/>
                  <w:noWrap w:val="0"/>
                  <w:vAlign w:val="center"/>
                </w:tcPr>
                <w:p w14:paraId="6C923C8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eastAsia="zh-CN"/>
                    </w:rPr>
                  </w:pPr>
                  <w:r>
                    <w:rPr>
                      <w:rFonts w:hint="default" w:ascii="Times New Roman" w:hAnsi="Times New Roman" w:cs="Times New Roman"/>
                      <w:bCs/>
                      <w:color w:val="auto"/>
                      <w:sz w:val="21"/>
                      <w:szCs w:val="21"/>
                      <w:highlight w:val="none"/>
                    </w:rPr>
                    <w:t>1</w:t>
                  </w:r>
                </w:p>
              </w:tc>
              <w:tc>
                <w:tcPr>
                  <w:tcW w:w="342" w:type="pct"/>
                  <w:vMerge w:val="restart"/>
                  <w:noWrap w:val="0"/>
                  <w:vAlign w:val="center"/>
                </w:tcPr>
                <w:p w14:paraId="72A479B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施工期</w:t>
                  </w:r>
                </w:p>
              </w:tc>
              <w:tc>
                <w:tcPr>
                  <w:tcW w:w="625" w:type="pct"/>
                  <w:noWrap w:val="0"/>
                  <w:vAlign w:val="center"/>
                </w:tcPr>
                <w:p w14:paraId="494BFFA8">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废气</w:t>
                  </w:r>
                </w:p>
              </w:tc>
              <w:tc>
                <w:tcPr>
                  <w:tcW w:w="2770" w:type="pct"/>
                  <w:noWrap w:val="0"/>
                  <w:vAlign w:val="center"/>
                </w:tcPr>
                <w:p w14:paraId="502B57C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auto"/>
                      <w:sz w:val="21"/>
                      <w:szCs w:val="21"/>
                      <w:highlight w:val="none"/>
                    </w:rPr>
                    <w:t>洒水车，物料遮挡苫布，封闭运输车辆等</w:t>
                  </w:r>
                </w:p>
              </w:tc>
              <w:tc>
                <w:tcPr>
                  <w:tcW w:w="937" w:type="pct"/>
                  <w:noWrap w:val="0"/>
                  <w:vAlign w:val="center"/>
                </w:tcPr>
                <w:p w14:paraId="5E9DEEE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5</w:t>
                  </w:r>
                </w:p>
              </w:tc>
            </w:tr>
            <w:tr w14:paraId="03E9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 w:type="pct"/>
                  <w:noWrap w:val="0"/>
                  <w:vAlign w:val="center"/>
                </w:tcPr>
                <w:p w14:paraId="291406D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2</w:t>
                  </w:r>
                </w:p>
              </w:tc>
              <w:tc>
                <w:tcPr>
                  <w:tcW w:w="342" w:type="pct"/>
                  <w:vMerge w:val="continue"/>
                  <w:noWrap w:val="0"/>
                  <w:vAlign w:val="center"/>
                </w:tcPr>
                <w:p w14:paraId="6271933C">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rPr>
                  </w:pPr>
                </w:p>
              </w:tc>
              <w:tc>
                <w:tcPr>
                  <w:tcW w:w="625" w:type="pct"/>
                  <w:noWrap w:val="0"/>
                  <w:vAlign w:val="center"/>
                </w:tcPr>
                <w:p w14:paraId="01C3589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噪声</w:t>
                  </w:r>
                </w:p>
              </w:tc>
              <w:tc>
                <w:tcPr>
                  <w:tcW w:w="2770" w:type="pct"/>
                  <w:noWrap w:val="0"/>
                  <w:vAlign w:val="center"/>
                </w:tcPr>
                <w:p w14:paraId="6A256AE2">
                  <w:pPr>
                    <w:keepNext w:val="0"/>
                    <w:keepLines w:val="0"/>
                    <w:suppressLineNumbers w:val="0"/>
                    <w:spacing w:before="0" w:beforeLines="0" w:beforeAutospacing="0" w:after="0" w:afterLines="0" w:afterAutospacing="0" w:line="240" w:lineRule="auto"/>
                    <w:ind w:left="0" w:right="0"/>
                    <w:jc w:val="left"/>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auto"/>
                      <w:sz w:val="21"/>
                      <w:szCs w:val="21"/>
                      <w:highlight w:val="none"/>
                    </w:rPr>
                    <w:t>选用低噪声设备，</w:t>
                  </w:r>
                  <w:r>
                    <w:rPr>
                      <w:rFonts w:hint="default" w:ascii="Times New Roman" w:hAnsi="Times New Roman" w:eastAsia="宋体" w:cs="Times New Roman"/>
                      <w:color w:val="auto"/>
                      <w:sz w:val="21"/>
                      <w:szCs w:val="21"/>
                      <w:highlight w:val="none"/>
                      <w:u w:val="none"/>
                      <w:vertAlign w:val="baseline"/>
                      <w:lang w:val="en-US" w:eastAsia="zh-CN"/>
                    </w:rPr>
                    <w:t>加强施工机械的维修、管理</w:t>
                  </w:r>
                  <w:r>
                    <w:rPr>
                      <w:rFonts w:hint="default" w:ascii="Times New Roman" w:hAnsi="Times New Roman" w:cs="Times New Roman"/>
                      <w:color w:val="auto"/>
                      <w:sz w:val="21"/>
                      <w:szCs w:val="21"/>
                      <w:highlight w:val="none"/>
                      <w:u w:val="none"/>
                      <w:vertAlign w:val="baseline"/>
                      <w:lang w:val="en-US" w:eastAsia="zh-CN"/>
                    </w:rPr>
                    <w:t>，</w:t>
                  </w:r>
                  <w:r>
                    <w:rPr>
                      <w:rFonts w:hint="default" w:ascii="Times New Roman" w:hAnsi="Times New Roman" w:eastAsia="宋体" w:cs="Times New Roman"/>
                      <w:color w:val="auto"/>
                      <w:sz w:val="21"/>
                      <w:szCs w:val="21"/>
                      <w:highlight w:val="none"/>
                      <w:u w:val="none"/>
                      <w:vertAlign w:val="baseline"/>
                      <w:lang w:val="en-US" w:eastAsia="zh-CN"/>
                    </w:rPr>
                    <w:t>合理布置施工场地</w:t>
                  </w:r>
                </w:p>
              </w:tc>
              <w:tc>
                <w:tcPr>
                  <w:tcW w:w="937" w:type="pct"/>
                  <w:noWrap w:val="0"/>
                  <w:vAlign w:val="center"/>
                </w:tcPr>
                <w:p w14:paraId="21C3F78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5</w:t>
                  </w:r>
                </w:p>
              </w:tc>
            </w:tr>
            <w:tr w14:paraId="7E43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 w:type="pct"/>
                  <w:shd w:val="clear" w:color="auto" w:fill="auto"/>
                  <w:noWrap w:val="0"/>
                  <w:vAlign w:val="center"/>
                </w:tcPr>
                <w:p w14:paraId="12825A9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3</w:t>
                  </w:r>
                </w:p>
              </w:tc>
              <w:tc>
                <w:tcPr>
                  <w:tcW w:w="342" w:type="pct"/>
                  <w:vMerge w:val="continue"/>
                  <w:noWrap w:val="0"/>
                  <w:vAlign w:val="center"/>
                </w:tcPr>
                <w:p w14:paraId="07D3840A">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rPr>
                  </w:pPr>
                </w:p>
              </w:tc>
              <w:tc>
                <w:tcPr>
                  <w:tcW w:w="625" w:type="pct"/>
                  <w:shd w:val="clear" w:color="auto" w:fill="auto"/>
                  <w:noWrap w:val="0"/>
                  <w:vAlign w:val="center"/>
                </w:tcPr>
                <w:p w14:paraId="058588DC">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废水</w:t>
                  </w:r>
                </w:p>
              </w:tc>
              <w:tc>
                <w:tcPr>
                  <w:tcW w:w="2770" w:type="pct"/>
                  <w:shd w:val="clear" w:color="auto" w:fill="auto"/>
                  <w:noWrap w:val="0"/>
                  <w:vAlign w:val="center"/>
                </w:tcPr>
                <w:p w14:paraId="388E4DE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临时沉淀池；化粪池</w:t>
                  </w:r>
                </w:p>
              </w:tc>
              <w:tc>
                <w:tcPr>
                  <w:tcW w:w="937" w:type="pct"/>
                  <w:vMerge w:val="restart"/>
                  <w:noWrap w:val="0"/>
                  <w:vAlign w:val="center"/>
                </w:tcPr>
                <w:p w14:paraId="4218B45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依托风电项目</w:t>
                  </w:r>
                </w:p>
              </w:tc>
            </w:tr>
            <w:tr w14:paraId="5154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 w:type="pct"/>
                  <w:shd w:val="clear" w:color="auto" w:fill="auto"/>
                  <w:noWrap w:val="0"/>
                  <w:vAlign w:val="center"/>
                </w:tcPr>
                <w:p w14:paraId="5F56058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4</w:t>
                  </w:r>
                </w:p>
              </w:tc>
              <w:tc>
                <w:tcPr>
                  <w:tcW w:w="342" w:type="pct"/>
                  <w:vMerge w:val="continue"/>
                  <w:noWrap w:val="0"/>
                  <w:vAlign w:val="center"/>
                </w:tcPr>
                <w:p w14:paraId="4CDA411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rPr>
                  </w:pPr>
                </w:p>
              </w:tc>
              <w:tc>
                <w:tcPr>
                  <w:tcW w:w="625" w:type="pct"/>
                  <w:shd w:val="clear" w:color="auto" w:fill="auto"/>
                  <w:noWrap w:val="0"/>
                  <w:vAlign w:val="center"/>
                </w:tcPr>
                <w:p w14:paraId="2133709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固废</w:t>
                  </w:r>
                </w:p>
              </w:tc>
              <w:tc>
                <w:tcPr>
                  <w:tcW w:w="2770" w:type="pct"/>
                  <w:shd w:val="clear" w:color="auto" w:fill="auto"/>
                  <w:noWrap w:val="0"/>
                  <w:vAlign w:val="center"/>
                </w:tcPr>
                <w:p w14:paraId="3DEBD0AC">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表土合理处置；生活垃圾统一收集后委托当地环卫部门定期清运；建筑垃圾分类收集暂存，废弃砂石、混凝土优先风电场内综合利用，废包装物交有关部门回收利用。</w:t>
                  </w:r>
                </w:p>
              </w:tc>
              <w:tc>
                <w:tcPr>
                  <w:tcW w:w="937" w:type="pct"/>
                  <w:vMerge w:val="continue"/>
                  <w:noWrap w:val="0"/>
                  <w:vAlign w:val="center"/>
                </w:tcPr>
                <w:p w14:paraId="0A3C033A">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p>
              </w:tc>
            </w:tr>
            <w:tr w14:paraId="3304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 w:type="pct"/>
                  <w:shd w:val="clear" w:color="auto" w:fill="auto"/>
                  <w:noWrap w:val="0"/>
                  <w:vAlign w:val="center"/>
                </w:tcPr>
                <w:p w14:paraId="6000C6E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5</w:t>
                  </w:r>
                </w:p>
              </w:tc>
              <w:tc>
                <w:tcPr>
                  <w:tcW w:w="342" w:type="pct"/>
                  <w:vMerge w:val="continue"/>
                  <w:noWrap w:val="0"/>
                  <w:vAlign w:val="center"/>
                </w:tcPr>
                <w:p w14:paraId="11FF913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rPr>
                  </w:pPr>
                </w:p>
              </w:tc>
              <w:tc>
                <w:tcPr>
                  <w:tcW w:w="625" w:type="pct"/>
                  <w:noWrap w:val="0"/>
                  <w:vAlign w:val="center"/>
                </w:tcPr>
                <w:p w14:paraId="79893B5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生态</w:t>
                  </w:r>
                </w:p>
              </w:tc>
              <w:tc>
                <w:tcPr>
                  <w:tcW w:w="2770" w:type="pct"/>
                  <w:noWrap w:val="0"/>
                  <w:vAlign w:val="center"/>
                </w:tcPr>
                <w:p w14:paraId="60FBF57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auto"/>
                      <w:sz w:val="21"/>
                      <w:szCs w:val="21"/>
                      <w:highlight w:val="none"/>
                    </w:rPr>
                    <w:t>临时占地</w:t>
                  </w:r>
                  <w:r>
                    <w:rPr>
                      <w:rFonts w:hint="default" w:ascii="Times New Roman" w:hAnsi="Times New Roman" w:cs="Times New Roman"/>
                      <w:color w:val="auto"/>
                      <w:sz w:val="21"/>
                      <w:szCs w:val="21"/>
                      <w:highlight w:val="none"/>
                      <w:lang w:val="en-US" w:eastAsia="zh-CN"/>
                    </w:rPr>
                    <w:t>生态恢复，包含表土剥离，施工结束后及时覆土回填，施工期标识牌等</w:t>
                  </w:r>
                </w:p>
              </w:tc>
              <w:tc>
                <w:tcPr>
                  <w:tcW w:w="937" w:type="pct"/>
                  <w:noWrap w:val="0"/>
                  <w:vAlign w:val="center"/>
                </w:tcPr>
                <w:p w14:paraId="66B57BA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40</w:t>
                  </w:r>
                </w:p>
              </w:tc>
            </w:tr>
            <w:tr w14:paraId="7160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 w:type="pct"/>
                  <w:noWrap w:val="0"/>
                  <w:vAlign w:val="center"/>
                </w:tcPr>
                <w:p w14:paraId="30A9B4C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6</w:t>
                  </w:r>
                </w:p>
              </w:tc>
              <w:tc>
                <w:tcPr>
                  <w:tcW w:w="342" w:type="pct"/>
                  <w:vMerge w:val="restart"/>
                  <w:noWrap w:val="0"/>
                  <w:vAlign w:val="center"/>
                </w:tcPr>
                <w:p w14:paraId="63E9607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运营期</w:t>
                  </w:r>
                </w:p>
              </w:tc>
              <w:tc>
                <w:tcPr>
                  <w:tcW w:w="625" w:type="pct"/>
                  <w:shd w:val="clear" w:color="auto" w:fill="auto"/>
                  <w:noWrap w:val="0"/>
                  <w:vAlign w:val="center"/>
                </w:tcPr>
                <w:p w14:paraId="7333575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噪声</w:t>
                  </w:r>
                </w:p>
              </w:tc>
              <w:tc>
                <w:tcPr>
                  <w:tcW w:w="2770" w:type="pct"/>
                  <w:shd w:val="clear" w:color="auto" w:fill="auto"/>
                  <w:noWrap w:val="0"/>
                  <w:vAlign w:val="center"/>
                </w:tcPr>
                <w:p w14:paraId="5F88C5A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隔声围墙、低噪声设备</w:t>
                  </w:r>
                </w:p>
              </w:tc>
              <w:tc>
                <w:tcPr>
                  <w:tcW w:w="937" w:type="pct"/>
                  <w:noWrap w:val="0"/>
                  <w:vAlign w:val="center"/>
                </w:tcPr>
                <w:p w14:paraId="4573200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15</w:t>
                  </w:r>
                </w:p>
              </w:tc>
            </w:tr>
            <w:tr w14:paraId="15F8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 w:type="pct"/>
                  <w:noWrap w:val="0"/>
                  <w:vAlign w:val="center"/>
                </w:tcPr>
                <w:p w14:paraId="6CE5457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7</w:t>
                  </w:r>
                </w:p>
              </w:tc>
              <w:tc>
                <w:tcPr>
                  <w:tcW w:w="342" w:type="pct"/>
                  <w:vMerge w:val="continue"/>
                  <w:noWrap w:val="0"/>
                  <w:vAlign w:val="center"/>
                </w:tcPr>
                <w:p w14:paraId="3658A23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p>
              </w:tc>
              <w:tc>
                <w:tcPr>
                  <w:tcW w:w="625" w:type="pct"/>
                  <w:noWrap w:val="0"/>
                  <w:vAlign w:val="center"/>
                </w:tcPr>
                <w:p w14:paraId="6884653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废水</w:t>
                  </w:r>
                </w:p>
              </w:tc>
              <w:tc>
                <w:tcPr>
                  <w:tcW w:w="2770" w:type="pct"/>
                  <w:noWrap w:val="0"/>
                  <w:vAlign w:val="center"/>
                </w:tcPr>
                <w:p w14:paraId="7B39D28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化粪池、地埋式一体化污水处理设施及日常运行维护</w:t>
                  </w:r>
                </w:p>
              </w:tc>
              <w:tc>
                <w:tcPr>
                  <w:tcW w:w="937" w:type="pct"/>
                  <w:noWrap w:val="0"/>
                  <w:vAlign w:val="center"/>
                </w:tcPr>
                <w:p w14:paraId="36AD002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25</w:t>
                  </w:r>
                </w:p>
              </w:tc>
            </w:tr>
            <w:tr w14:paraId="0ACB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 w:type="pct"/>
                  <w:noWrap w:val="0"/>
                  <w:vAlign w:val="center"/>
                </w:tcPr>
                <w:p w14:paraId="107A554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8</w:t>
                  </w:r>
                </w:p>
              </w:tc>
              <w:tc>
                <w:tcPr>
                  <w:tcW w:w="342" w:type="pct"/>
                  <w:vMerge w:val="continue"/>
                  <w:noWrap w:val="0"/>
                  <w:vAlign w:val="center"/>
                </w:tcPr>
                <w:p w14:paraId="6427E63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p>
              </w:tc>
              <w:tc>
                <w:tcPr>
                  <w:tcW w:w="625" w:type="pct"/>
                  <w:shd w:val="clear" w:color="auto" w:fill="auto"/>
                  <w:noWrap w:val="0"/>
                  <w:vAlign w:val="center"/>
                </w:tcPr>
                <w:p w14:paraId="5495FFB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kern w:val="2"/>
                      <w:sz w:val="21"/>
                      <w:szCs w:val="21"/>
                      <w:highlight w:val="none"/>
                      <w:lang w:val="en-US" w:eastAsia="zh-CN" w:bidi="ar-SA"/>
                    </w:rPr>
                    <w:t>固废</w:t>
                  </w:r>
                </w:p>
              </w:tc>
              <w:tc>
                <w:tcPr>
                  <w:tcW w:w="2770" w:type="pct"/>
                  <w:shd w:val="clear" w:color="auto" w:fill="auto"/>
                  <w:noWrap w:val="0"/>
                  <w:vAlign w:val="center"/>
                </w:tcPr>
                <w:p w14:paraId="6427079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生活垃圾定期清运；危废暂存间建设及日常运行委会</w:t>
                  </w:r>
                </w:p>
              </w:tc>
              <w:tc>
                <w:tcPr>
                  <w:tcW w:w="937" w:type="pct"/>
                  <w:noWrap w:val="0"/>
                  <w:vAlign w:val="center"/>
                </w:tcPr>
                <w:p w14:paraId="5854A5DC">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15</w:t>
                  </w:r>
                </w:p>
              </w:tc>
            </w:tr>
            <w:tr w14:paraId="7799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 w:type="pct"/>
                  <w:noWrap w:val="0"/>
                  <w:vAlign w:val="center"/>
                </w:tcPr>
                <w:p w14:paraId="330B9C08">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9</w:t>
                  </w:r>
                </w:p>
              </w:tc>
              <w:tc>
                <w:tcPr>
                  <w:tcW w:w="342" w:type="pct"/>
                  <w:vMerge w:val="continue"/>
                  <w:noWrap w:val="0"/>
                  <w:vAlign w:val="center"/>
                </w:tcPr>
                <w:p w14:paraId="749E31C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p>
              </w:tc>
              <w:tc>
                <w:tcPr>
                  <w:tcW w:w="625" w:type="pct"/>
                  <w:noWrap w:val="0"/>
                  <w:vAlign w:val="center"/>
                </w:tcPr>
                <w:p w14:paraId="0E06552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环境风险</w:t>
                  </w:r>
                </w:p>
              </w:tc>
              <w:tc>
                <w:tcPr>
                  <w:tcW w:w="2770" w:type="pct"/>
                  <w:noWrap w:val="0"/>
                  <w:vAlign w:val="center"/>
                </w:tcPr>
                <w:p w14:paraId="3C4E429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事故油池、事故油坑</w:t>
                  </w:r>
                  <w:r>
                    <w:rPr>
                      <w:rFonts w:hint="default" w:ascii="Times New Roman" w:hAnsi="Times New Roman" w:eastAsia="宋体" w:cs="Times New Roman"/>
                      <w:color w:val="auto"/>
                      <w:sz w:val="21"/>
                      <w:szCs w:val="21"/>
                      <w:highlight w:val="none"/>
                      <w:lang w:eastAsia="zh-CN"/>
                    </w:rPr>
                    <w:t>及其防渗、</w:t>
                  </w:r>
                  <w:r>
                    <w:rPr>
                      <w:rFonts w:hint="default" w:ascii="Times New Roman" w:hAnsi="Times New Roman" w:eastAsia="宋体" w:cs="Times New Roman"/>
                      <w:color w:val="auto"/>
                      <w:sz w:val="21"/>
                      <w:szCs w:val="21"/>
                      <w:highlight w:val="none"/>
                    </w:rPr>
                    <w:t>高压警示标志</w:t>
                  </w:r>
                </w:p>
              </w:tc>
              <w:tc>
                <w:tcPr>
                  <w:tcW w:w="937" w:type="pct"/>
                  <w:noWrap w:val="0"/>
                  <w:vAlign w:val="center"/>
                </w:tcPr>
                <w:p w14:paraId="0A26DB18">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20</w:t>
                  </w:r>
                </w:p>
              </w:tc>
            </w:tr>
            <w:tr w14:paraId="7E53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25" w:type="pct"/>
                  <w:noWrap w:val="0"/>
                  <w:vAlign w:val="center"/>
                </w:tcPr>
                <w:p w14:paraId="46FCBB6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10</w:t>
                  </w:r>
                </w:p>
              </w:tc>
              <w:tc>
                <w:tcPr>
                  <w:tcW w:w="342" w:type="pct"/>
                  <w:vMerge w:val="continue"/>
                  <w:noWrap w:val="0"/>
                  <w:vAlign w:val="center"/>
                </w:tcPr>
                <w:p w14:paraId="41DC27C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p>
              </w:tc>
              <w:tc>
                <w:tcPr>
                  <w:tcW w:w="625" w:type="pct"/>
                  <w:noWrap w:val="0"/>
                  <w:vAlign w:val="center"/>
                </w:tcPr>
                <w:p w14:paraId="2438EAE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生态</w:t>
                  </w:r>
                </w:p>
              </w:tc>
              <w:tc>
                <w:tcPr>
                  <w:tcW w:w="2770" w:type="pct"/>
                  <w:shd w:val="clear" w:color="auto" w:fill="auto"/>
                  <w:noWrap w:val="0"/>
                  <w:vAlign w:val="center"/>
                </w:tcPr>
                <w:p w14:paraId="23B8307C">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运行期生态维护</w:t>
                  </w:r>
                </w:p>
              </w:tc>
              <w:tc>
                <w:tcPr>
                  <w:tcW w:w="937" w:type="pct"/>
                  <w:shd w:val="clear" w:color="auto" w:fill="auto"/>
                  <w:noWrap w:val="0"/>
                  <w:vAlign w:val="center"/>
                </w:tcPr>
                <w:p w14:paraId="3EB4271C">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10</w:t>
                  </w:r>
                </w:p>
              </w:tc>
            </w:tr>
            <w:tr w14:paraId="18BE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62" w:type="pct"/>
                  <w:gridSpan w:val="4"/>
                  <w:noWrap w:val="0"/>
                  <w:vAlign w:val="center"/>
                </w:tcPr>
                <w:p w14:paraId="31D54C2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合计</w:t>
                  </w:r>
                </w:p>
              </w:tc>
              <w:tc>
                <w:tcPr>
                  <w:tcW w:w="937" w:type="pct"/>
                  <w:noWrap w:val="0"/>
                  <w:vAlign w:val="center"/>
                </w:tcPr>
                <w:p w14:paraId="2C341BB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135</w:t>
                  </w:r>
                </w:p>
              </w:tc>
            </w:tr>
            <w:tr w14:paraId="5526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62" w:type="pct"/>
                  <w:gridSpan w:val="4"/>
                  <w:noWrap w:val="0"/>
                  <w:vAlign w:val="center"/>
                </w:tcPr>
                <w:p w14:paraId="63191EB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工程总投资</w:t>
                  </w:r>
                </w:p>
              </w:tc>
              <w:tc>
                <w:tcPr>
                  <w:tcW w:w="937" w:type="pct"/>
                  <w:noWrap w:val="0"/>
                  <w:vAlign w:val="center"/>
                </w:tcPr>
                <w:p w14:paraId="36E90B4A">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3631.97</w:t>
                  </w:r>
                </w:p>
              </w:tc>
            </w:tr>
            <w:tr w14:paraId="409C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62" w:type="pct"/>
                  <w:gridSpan w:val="4"/>
                  <w:noWrap w:val="0"/>
                  <w:vAlign w:val="center"/>
                </w:tcPr>
                <w:p w14:paraId="5C741BC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环保投资占比</w:t>
                  </w:r>
                </w:p>
              </w:tc>
              <w:tc>
                <w:tcPr>
                  <w:tcW w:w="937" w:type="pct"/>
                  <w:noWrap w:val="0"/>
                  <w:vAlign w:val="center"/>
                </w:tcPr>
                <w:p w14:paraId="247143C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3.7</w:t>
                  </w:r>
                </w:p>
              </w:tc>
            </w:tr>
          </w:tbl>
          <w:p w14:paraId="7190B109">
            <w:pPr>
              <w:pStyle w:val="65"/>
              <w:keepNext w:val="0"/>
              <w:keepLines w:val="0"/>
              <w:suppressLineNumbers w:val="0"/>
              <w:spacing w:before="0" w:beforeAutospacing="0" w:after="0" w:afterAutospacing="0"/>
              <w:ind w:left="0" w:right="0" w:firstLine="482"/>
              <w:jc w:val="both"/>
              <w:rPr>
                <w:rFonts w:hint="default" w:ascii="Times New Roman" w:hAnsi="Times New Roman" w:cs="Times New Roman"/>
                <w:b w:val="0"/>
                <w:bCs/>
                <w:color w:val="0000FF"/>
                <w:kern w:val="0"/>
                <w:sz w:val="24"/>
                <w:szCs w:val="24"/>
                <w:highlight w:val="none"/>
              </w:rPr>
            </w:pPr>
          </w:p>
          <w:p w14:paraId="213B7F7B">
            <w:pPr>
              <w:pStyle w:val="65"/>
              <w:keepNext w:val="0"/>
              <w:keepLines w:val="0"/>
              <w:suppressLineNumbers w:val="0"/>
              <w:spacing w:before="0" w:beforeAutospacing="0" w:after="0" w:afterAutospacing="0"/>
              <w:ind w:left="0" w:right="0" w:firstLine="482"/>
              <w:jc w:val="both"/>
              <w:rPr>
                <w:rFonts w:hint="default" w:ascii="Times New Roman" w:hAnsi="Times New Roman" w:cs="Times New Roman"/>
                <w:b w:val="0"/>
                <w:bCs/>
                <w:color w:val="0000FF"/>
                <w:kern w:val="0"/>
                <w:sz w:val="24"/>
                <w:szCs w:val="24"/>
                <w:highlight w:val="none"/>
              </w:rPr>
            </w:pPr>
          </w:p>
          <w:p w14:paraId="32CE136D">
            <w:pPr>
              <w:pStyle w:val="65"/>
              <w:keepNext w:val="0"/>
              <w:keepLines w:val="0"/>
              <w:suppressLineNumbers w:val="0"/>
              <w:spacing w:before="0" w:beforeAutospacing="0" w:after="0" w:afterAutospacing="0"/>
              <w:ind w:left="0" w:right="0" w:firstLine="482"/>
              <w:jc w:val="both"/>
              <w:rPr>
                <w:rFonts w:hint="default" w:ascii="Times New Roman" w:hAnsi="Times New Roman" w:cs="Times New Roman"/>
                <w:b w:val="0"/>
                <w:bCs/>
                <w:color w:val="0000FF"/>
                <w:kern w:val="0"/>
                <w:sz w:val="24"/>
                <w:szCs w:val="24"/>
                <w:highlight w:val="none"/>
              </w:rPr>
            </w:pPr>
          </w:p>
          <w:p w14:paraId="7845BFA2">
            <w:pPr>
              <w:pStyle w:val="65"/>
              <w:keepNext w:val="0"/>
              <w:keepLines w:val="0"/>
              <w:suppressLineNumbers w:val="0"/>
              <w:spacing w:before="0" w:beforeAutospacing="0" w:after="0" w:afterAutospacing="0"/>
              <w:ind w:left="0" w:right="0" w:firstLine="482"/>
              <w:jc w:val="both"/>
              <w:rPr>
                <w:rFonts w:hint="default" w:ascii="Times New Roman" w:hAnsi="Times New Roman" w:cs="Times New Roman"/>
                <w:b w:val="0"/>
                <w:bCs/>
                <w:color w:val="0000FF"/>
                <w:kern w:val="0"/>
                <w:sz w:val="24"/>
                <w:szCs w:val="24"/>
                <w:highlight w:val="none"/>
              </w:rPr>
            </w:pPr>
          </w:p>
          <w:p w14:paraId="03B077E3">
            <w:pPr>
              <w:pStyle w:val="65"/>
              <w:keepNext w:val="0"/>
              <w:keepLines w:val="0"/>
              <w:suppressLineNumbers w:val="0"/>
              <w:spacing w:before="0" w:beforeAutospacing="0" w:after="0" w:afterAutospacing="0"/>
              <w:ind w:left="0" w:right="0" w:firstLine="482"/>
              <w:jc w:val="both"/>
              <w:rPr>
                <w:rFonts w:hint="default" w:ascii="Times New Roman" w:hAnsi="Times New Roman" w:cs="Times New Roman"/>
                <w:b w:val="0"/>
                <w:bCs/>
                <w:color w:val="0000FF"/>
                <w:kern w:val="0"/>
                <w:sz w:val="24"/>
                <w:szCs w:val="24"/>
                <w:highlight w:val="none"/>
              </w:rPr>
            </w:pPr>
          </w:p>
          <w:p w14:paraId="15CF1B2A">
            <w:pPr>
              <w:pStyle w:val="65"/>
              <w:keepNext w:val="0"/>
              <w:keepLines w:val="0"/>
              <w:suppressLineNumbers w:val="0"/>
              <w:spacing w:before="0" w:beforeAutospacing="0" w:after="0" w:afterAutospacing="0"/>
              <w:ind w:left="0" w:right="0" w:firstLine="482"/>
              <w:jc w:val="both"/>
              <w:rPr>
                <w:rFonts w:hint="default" w:ascii="Times New Roman" w:hAnsi="Times New Roman" w:cs="Times New Roman"/>
                <w:b w:val="0"/>
                <w:bCs/>
                <w:color w:val="0000FF"/>
                <w:kern w:val="0"/>
                <w:sz w:val="24"/>
                <w:szCs w:val="24"/>
                <w:highlight w:val="none"/>
              </w:rPr>
            </w:pPr>
          </w:p>
          <w:p w14:paraId="1B946F9F">
            <w:pPr>
              <w:pStyle w:val="65"/>
              <w:keepNext w:val="0"/>
              <w:keepLines w:val="0"/>
              <w:suppressLineNumbers w:val="0"/>
              <w:spacing w:before="0" w:beforeAutospacing="0" w:after="0" w:afterAutospacing="0"/>
              <w:ind w:left="0" w:right="0" w:firstLine="482"/>
              <w:jc w:val="both"/>
              <w:rPr>
                <w:rFonts w:hint="default" w:ascii="Times New Roman" w:hAnsi="Times New Roman" w:cs="Times New Roman"/>
                <w:b w:val="0"/>
                <w:bCs/>
                <w:color w:val="0000FF"/>
                <w:kern w:val="0"/>
                <w:sz w:val="24"/>
                <w:szCs w:val="24"/>
                <w:highlight w:val="none"/>
              </w:rPr>
            </w:pPr>
          </w:p>
          <w:p w14:paraId="1BCC4D26">
            <w:pPr>
              <w:pStyle w:val="65"/>
              <w:keepNext w:val="0"/>
              <w:keepLines w:val="0"/>
              <w:suppressLineNumbers w:val="0"/>
              <w:spacing w:before="0" w:beforeAutospacing="0" w:after="0" w:afterAutospacing="0"/>
              <w:ind w:left="0" w:right="0" w:firstLine="482"/>
              <w:jc w:val="both"/>
              <w:rPr>
                <w:rFonts w:hint="default" w:ascii="Times New Roman" w:hAnsi="Times New Roman" w:cs="Times New Roman"/>
                <w:b w:val="0"/>
                <w:bCs/>
                <w:color w:val="0000FF"/>
                <w:kern w:val="0"/>
                <w:sz w:val="24"/>
                <w:szCs w:val="24"/>
                <w:highlight w:val="none"/>
              </w:rPr>
            </w:pPr>
          </w:p>
          <w:p w14:paraId="171EB001">
            <w:pPr>
              <w:pStyle w:val="65"/>
              <w:keepNext w:val="0"/>
              <w:keepLines w:val="0"/>
              <w:suppressLineNumbers w:val="0"/>
              <w:spacing w:before="0" w:beforeAutospacing="0" w:after="0" w:afterAutospacing="0"/>
              <w:ind w:left="0" w:leftChars="0" w:right="0" w:firstLine="0" w:firstLineChars="0"/>
              <w:jc w:val="both"/>
              <w:rPr>
                <w:rFonts w:hint="default" w:ascii="Times New Roman" w:hAnsi="Times New Roman" w:cs="Times New Roman"/>
                <w:b w:val="0"/>
                <w:bCs/>
                <w:color w:val="0000FF"/>
                <w:kern w:val="0"/>
                <w:sz w:val="24"/>
                <w:szCs w:val="24"/>
                <w:highlight w:val="none"/>
              </w:rPr>
            </w:pPr>
          </w:p>
        </w:tc>
      </w:tr>
    </w:tbl>
    <w:p w14:paraId="77FA8F4F">
      <w:pPr>
        <w:rPr>
          <w:rFonts w:hint="default" w:ascii="Times New Roman" w:hAnsi="Times New Roman" w:eastAsia="黑体" w:cs="Times New Roman"/>
          <w:snapToGrid w:val="0"/>
          <w:color w:val="0000FF"/>
          <w:sz w:val="30"/>
          <w:szCs w:val="30"/>
          <w:highlight w:val="none"/>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E3A06BD">
      <w:pPr>
        <w:pStyle w:val="26"/>
        <w:jc w:val="center"/>
        <w:outlineLvl w:val="0"/>
        <w:rPr>
          <w:rFonts w:hint="default" w:ascii="Times New Roman" w:hAnsi="Times New Roman" w:eastAsia="黑体" w:cs="Times New Roman"/>
          <w:snapToGrid w:val="0"/>
          <w:color w:val="auto"/>
          <w:sz w:val="30"/>
          <w:szCs w:val="30"/>
          <w:highlight w:val="none"/>
          <w:lang w:val="en-US" w:eastAsia="zh-CN"/>
        </w:rPr>
      </w:pPr>
      <w:bookmarkStart w:id="24" w:name="_Toc7155"/>
      <w:r>
        <w:rPr>
          <w:rFonts w:hint="default" w:ascii="Times New Roman" w:hAnsi="Times New Roman" w:eastAsia="黑体" w:cs="Times New Roman"/>
          <w:snapToGrid w:val="0"/>
          <w:color w:val="auto"/>
          <w:sz w:val="30"/>
          <w:szCs w:val="30"/>
          <w:highlight w:val="none"/>
          <w:lang w:val="en-US" w:eastAsia="zh-CN"/>
        </w:rPr>
        <w:t>六、生态环境保护措施监督检查清单</w:t>
      </w:r>
      <w:bookmarkEnd w:id="24"/>
    </w:p>
    <w:tbl>
      <w:tblPr>
        <w:tblStyle w:val="30"/>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50"/>
        <w:gridCol w:w="3604"/>
        <w:gridCol w:w="2383"/>
        <w:gridCol w:w="3618"/>
        <w:gridCol w:w="2192"/>
      </w:tblGrid>
      <w:tr w14:paraId="1BE745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77" w:type="pct"/>
            <w:vMerge w:val="restart"/>
            <w:tcBorders>
              <w:tl2br w:val="single" w:color="auto" w:sz="4" w:space="0"/>
            </w:tcBorders>
            <w:noWrap w:val="0"/>
            <w:vAlign w:val="center"/>
          </w:tcPr>
          <w:p w14:paraId="19DEA20C">
            <w:pPr>
              <w:keepNext w:val="0"/>
              <w:keepLines w:val="0"/>
              <w:suppressLineNumbers w:val="0"/>
              <w:adjustRightInd w:val="0"/>
              <w:snapToGrid w:val="0"/>
              <w:spacing w:before="0" w:beforeAutospacing="0" w:after="0" w:afterAutospacing="0" w:line="240" w:lineRule="auto"/>
              <w:ind w:left="0" w:right="0" w:firstLine="630" w:firstLineChars="30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内容</w:t>
            </w:r>
          </w:p>
          <w:p w14:paraId="5B28DEC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p w14:paraId="5C497E32">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要素</w:t>
            </w:r>
          </w:p>
        </w:tc>
        <w:tc>
          <w:tcPr>
            <w:tcW w:w="2193" w:type="pct"/>
            <w:gridSpan w:val="2"/>
            <w:noWrap w:val="0"/>
            <w:vAlign w:val="center"/>
          </w:tcPr>
          <w:p w14:paraId="1AD0196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施工期</w:t>
            </w:r>
          </w:p>
        </w:tc>
        <w:tc>
          <w:tcPr>
            <w:tcW w:w="2128" w:type="pct"/>
            <w:gridSpan w:val="2"/>
            <w:noWrap w:val="0"/>
            <w:vAlign w:val="center"/>
          </w:tcPr>
          <w:p w14:paraId="1396CEA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运行期</w:t>
            </w:r>
          </w:p>
        </w:tc>
      </w:tr>
      <w:tr w14:paraId="217108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77" w:type="pct"/>
            <w:vMerge w:val="continue"/>
            <w:tcBorders>
              <w:tl2br w:val="single" w:color="auto" w:sz="4" w:space="0"/>
            </w:tcBorders>
            <w:noWrap w:val="0"/>
            <w:vAlign w:val="center"/>
          </w:tcPr>
          <w:p w14:paraId="3E475B3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320" w:type="pct"/>
            <w:noWrap w:val="0"/>
            <w:vAlign w:val="center"/>
          </w:tcPr>
          <w:p w14:paraId="66806F7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环境保护措施</w:t>
            </w:r>
          </w:p>
        </w:tc>
        <w:tc>
          <w:tcPr>
            <w:tcW w:w="873" w:type="pct"/>
            <w:noWrap w:val="0"/>
            <w:vAlign w:val="center"/>
          </w:tcPr>
          <w:p w14:paraId="78B9EC0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验收要求</w:t>
            </w:r>
          </w:p>
        </w:tc>
        <w:tc>
          <w:tcPr>
            <w:tcW w:w="1325" w:type="pct"/>
            <w:noWrap w:val="0"/>
            <w:vAlign w:val="center"/>
          </w:tcPr>
          <w:p w14:paraId="6B28764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环境保护措施</w:t>
            </w:r>
          </w:p>
        </w:tc>
        <w:tc>
          <w:tcPr>
            <w:tcW w:w="803" w:type="pct"/>
            <w:noWrap w:val="0"/>
            <w:vAlign w:val="center"/>
          </w:tcPr>
          <w:p w14:paraId="45061FC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验收要求</w:t>
            </w:r>
          </w:p>
        </w:tc>
      </w:tr>
      <w:tr w14:paraId="5593A8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3" w:hRule="atLeast"/>
          <w:jc w:val="center"/>
        </w:trPr>
        <w:tc>
          <w:tcPr>
            <w:tcW w:w="677" w:type="pct"/>
            <w:noWrap w:val="0"/>
            <w:vAlign w:val="center"/>
          </w:tcPr>
          <w:p w14:paraId="3881215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陆生生态</w:t>
            </w:r>
          </w:p>
        </w:tc>
        <w:tc>
          <w:tcPr>
            <w:tcW w:w="1320" w:type="pct"/>
            <w:noWrap w:val="0"/>
            <w:vAlign w:val="center"/>
          </w:tcPr>
          <w:p w14:paraId="52BE4FE5">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严格限制施工用地；施工完毕后及时清理并进行土地整治</w:t>
            </w:r>
            <w:r>
              <w:rPr>
                <w:rFonts w:hint="default" w:ascii="Times New Roman" w:hAnsi="Times New Roman" w:cs="Times New Roman"/>
                <w:color w:val="auto"/>
                <w:sz w:val="21"/>
                <w:szCs w:val="21"/>
                <w:highlight w:val="none"/>
                <w:u w:val="none"/>
                <w:vertAlign w:val="baseline"/>
                <w:lang w:val="en-US" w:eastAsia="zh-CN"/>
              </w:rPr>
              <w:t>，临时占地面积要控制在最低限度，尽可能不破坏原有的地表植被和土壤；</w:t>
            </w:r>
            <w:r>
              <w:rPr>
                <w:rFonts w:hint="default" w:ascii="Times New Roman" w:hAnsi="Times New Roman" w:eastAsia="宋体" w:cs="Times New Roman"/>
                <w:color w:val="auto"/>
                <w:sz w:val="21"/>
                <w:szCs w:val="21"/>
                <w:highlight w:val="none"/>
                <w:u w:val="none"/>
                <w:vertAlign w:val="baseline"/>
                <w:lang w:val="en-US" w:eastAsia="zh-CN"/>
              </w:rPr>
              <w:t>增强施工人员的保护意识，严禁捕猎任何野生动物</w:t>
            </w:r>
            <w:r>
              <w:rPr>
                <w:rFonts w:hint="default" w:ascii="Times New Roman" w:hAnsi="Times New Roman" w:cs="Times New Roman"/>
                <w:color w:val="auto"/>
                <w:sz w:val="21"/>
                <w:szCs w:val="21"/>
                <w:highlight w:val="none"/>
                <w:u w:val="none"/>
                <w:vertAlign w:val="baseline"/>
                <w:lang w:val="en-US" w:eastAsia="zh-CN"/>
              </w:rPr>
              <w:t>；禁止乱压乱碾，尽可能减少对植被的扰动；施工结束，及时开展生态恢复</w:t>
            </w:r>
            <w:r>
              <w:rPr>
                <w:rFonts w:hint="eastAsia" w:ascii="Times New Roman" w:hAnsi="Times New Roman" w:cs="Times New Roman"/>
                <w:color w:val="auto"/>
                <w:sz w:val="21"/>
                <w:szCs w:val="21"/>
                <w:highlight w:val="none"/>
                <w:u w:val="none"/>
                <w:vertAlign w:val="baseline"/>
                <w:lang w:val="en-US" w:eastAsia="zh-CN"/>
              </w:rPr>
              <w:t>，恢复至原状</w:t>
            </w:r>
            <w:r>
              <w:rPr>
                <w:rFonts w:hint="default" w:ascii="Times New Roman" w:hAnsi="Times New Roman" w:cs="Times New Roman"/>
                <w:color w:val="auto"/>
                <w:sz w:val="21"/>
                <w:szCs w:val="21"/>
                <w:highlight w:val="none"/>
                <w:u w:val="none"/>
                <w:vertAlign w:val="baseline"/>
                <w:lang w:val="en-US" w:eastAsia="zh-CN"/>
              </w:rPr>
              <w:t>；选择适宜的施工季节，尽量避免在雨季施工，并准备一定数量的遮盖物，遇突发雨天、台风天气时遮盖挖填土的作业面；临时堆土应在表面覆上苫布防治水土流失；合理安排施工时序，做好临时堆土的围护拦挡。</w:t>
            </w:r>
          </w:p>
        </w:tc>
        <w:tc>
          <w:tcPr>
            <w:tcW w:w="873" w:type="pct"/>
            <w:noWrap w:val="0"/>
            <w:vAlign w:val="center"/>
          </w:tcPr>
          <w:p w14:paraId="3F5A354A">
            <w:pPr>
              <w:keepNext w:val="0"/>
              <w:keepLines w:val="0"/>
              <w:suppressLineNumbers w:val="0"/>
              <w:adjustRightInd w:val="0"/>
              <w:snapToGrid w:val="0"/>
              <w:spacing w:before="0" w:beforeAutospacing="0" w:after="0" w:afterAutospacing="0" w:line="240" w:lineRule="auto"/>
              <w:ind w:left="0" w:right="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无越界施工、损坏占地范围外植被现象</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u w:val="none"/>
                <w:vertAlign w:val="baseline"/>
                <w:lang w:val="en-US" w:eastAsia="zh-CN"/>
              </w:rPr>
              <w:t>临时占地及永久占地</w:t>
            </w:r>
            <w:r>
              <w:rPr>
                <w:rFonts w:hint="default" w:ascii="Times New Roman" w:hAnsi="Times New Roman" w:cs="Times New Roman"/>
                <w:color w:val="auto"/>
                <w:sz w:val="21"/>
                <w:szCs w:val="21"/>
                <w:highlight w:val="none"/>
                <w:u w:val="none"/>
                <w:vertAlign w:val="baseline"/>
                <w:lang w:val="en-US" w:eastAsia="zh-CN"/>
              </w:rPr>
              <w:t>是否</w:t>
            </w:r>
            <w:r>
              <w:rPr>
                <w:rFonts w:hint="default" w:ascii="Times New Roman" w:hAnsi="Times New Roman" w:eastAsia="宋体" w:cs="Times New Roman"/>
                <w:color w:val="auto"/>
                <w:sz w:val="21"/>
                <w:szCs w:val="21"/>
                <w:highlight w:val="none"/>
                <w:u w:val="none"/>
                <w:vertAlign w:val="baseline"/>
                <w:lang w:val="en-US" w:eastAsia="zh-CN"/>
              </w:rPr>
              <w:t>采取工程措施、植物措施及临时措施综合防治措施；严禁捕猎任何野生动物</w:t>
            </w:r>
            <w:r>
              <w:rPr>
                <w:rFonts w:hint="default" w:ascii="Times New Roman" w:hAnsi="Times New Roman" w:cs="Times New Roman"/>
                <w:color w:val="auto"/>
                <w:sz w:val="21"/>
                <w:szCs w:val="21"/>
                <w:highlight w:val="none"/>
                <w:u w:val="none"/>
                <w:vertAlign w:val="baseline"/>
                <w:lang w:val="en-US" w:eastAsia="zh-CN"/>
              </w:rPr>
              <w:t>；禁止乱压乱碾；施工结束后是否及时开展生态恢复；是否合理安排施工季节和施工时序；是否配备防治水土流失措施，做好临时堆土的围护拦挡。</w:t>
            </w:r>
          </w:p>
        </w:tc>
        <w:tc>
          <w:tcPr>
            <w:tcW w:w="1325" w:type="pct"/>
            <w:noWrap w:val="0"/>
            <w:vAlign w:val="center"/>
          </w:tcPr>
          <w:p w14:paraId="43B14C8D">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施工结束后对临时施工用地进行植被恢复的土地加强抚育管理，使之恢复原有的生态功能；加强对维护人员的环保教育，严禁捕猎野生动物</w:t>
            </w:r>
            <w:r>
              <w:rPr>
                <w:rFonts w:hint="default" w:ascii="Times New Roman" w:hAnsi="Times New Roman" w:cs="Times New Roman"/>
                <w:color w:val="auto"/>
                <w:sz w:val="21"/>
                <w:szCs w:val="21"/>
                <w:highlight w:val="none"/>
                <w:u w:val="none"/>
                <w:vertAlign w:val="baseline"/>
                <w:lang w:val="en-US" w:eastAsia="zh-CN"/>
              </w:rPr>
              <w:t>；定期对生态保护和防护措施及设施进行检查，及时修复遭破坏的设施，并进行动态调整与更</w:t>
            </w:r>
            <w:r>
              <w:rPr>
                <w:rFonts w:hint="default" w:ascii="Times New Roman" w:hAnsi="Times New Roman" w:eastAsia="宋体" w:cs="Times New Roman"/>
                <w:color w:val="auto"/>
                <w:sz w:val="21"/>
                <w:szCs w:val="21"/>
                <w:highlight w:val="none"/>
                <w:u w:val="none"/>
                <w:vertAlign w:val="baseline"/>
                <w:lang w:val="en-US" w:eastAsia="zh-CN"/>
              </w:rPr>
              <w:t>。</w:t>
            </w:r>
          </w:p>
        </w:tc>
        <w:tc>
          <w:tcPr>
            <w:tcW w:w="803" w:type="pct"/>
            <w:noWrap w:val="0"/>
            <w:vAlign w:val="center"/>
          </w:tcPr>
          <w:p w14:paraId="579F5F32">
            <w:pPr>
              <w:keepNext w:val="0"/>
              <w:keepLines w:val="0"/>
              <w:suppressLineNumbers w:val="0"/>
              <w:adjustRightInd w:val="0"/>
              <w:snapToGrid w:val="0"/>
              <w:spacing w:before="0" w:beforeAutospacing="0" w:after="0" w:afterAutospacing="0" w:line="240" w:lineRule="auto"/>
              <w:ind w:left="0"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运行期做好环境保护</w:t>
            </w:r>
            <w:r>
              <w:rPr>
                <w:rFonts w:hint="default" w:ascii="Times New Roman" w:hAnsi="Times New Roman" w:cs="Times New Roman"/>
                <w:color w:val="auto"/>
                <w:sz w:val="21"/>
                <w:szCs w:val="21"/>
                <w:highlight w:val="none"/>
                <w:lang w:val="en-US" w:eastAsia="zh-CN"/>
              </w:rPr>
              <w:t>措施、</w:t>
            </w:r>
            <w:r>
              <w:rPr>
                <w:rFonts w:hint="default" w:ascii="Times New Roman" w:hAnsi="Times New Roman" w:eastAsia="宋体" w:cs="Times New Roman"/>
                <w:color w:val="auto"/>
                <w:sz w:val="21"/>
                <w:szCs w:val="21"/>
                <w:highlight w:val="none"/>
              </w:rPr>
              <w:t>设施的维护和运行管理。</w:t>
            </w:r>
          </w:p>
        </w:tc>
      </w:tr>
      <w:tr w14:paraId="5729B5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677" w:type="pct"/>
            <w:noWrap w:val="0"/>
            <w:vAlign w:val="center"/>
          </w:tcPr>
          <w:p w14:paraId="23B14D0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水生生态</w:t>
            </w:r>
          </w:p>
        </w:tc>
        <w:tc>
          <w:tcPr>
            <w:tcW w:w="1320" w:type="pct"/>
            <w:noWrap w:val="0"/>
            <w:vAlign w:val="center"/>
          </w:tcPr>
          <w:p w14:paraId="465788C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73" w:type="pct"/>
            <w:noWrap w:val="0"/>
            <w:vAlign w:val="center"/>
          </w:tcPr>
          <w:p w14:paraId="7B335EE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325" w:type="pct"/>
            <w:noWrap w:val="0"/>
            <w:vAlign w:val="center"/>
          </w:tcPr>
          <w:p w14:paraId="78FCF6C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03" w:type="pct"/>
            <w:noWrap w:val="0"/>
            <w:vAlign w:val="center"/>
          </w:tcPr>
          <w:p w14:paraId="65C2601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3EED9A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7" w:type="pct"/>
            <w:noWrap w:val="0"/>
            <w:vAlign w:val="center"/>
          </w:tcPr>
          <w:p w14:paraId="592A0A8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地表水</w:t>
            </w:r>
            <w:r>
              <w:rPr>
                <w:rFonts w:hint="default" w:ascii="Times New Roman" w:hAnsi="Times New Roman" w:eastAsia="宋体" w:cs="Times New Roman"/>
                <w:color w:val="auto"/>
                <w:sz w:val="21"/>
                <w:szCs w:val="21"/>
                <w:highlight w:val="none"/>
              </w:rPr>
              <w:t>环境</w:t>
            </w:r>
          </w:p>
        </w:tc>
        <w:tc>
          <w:tcPr>
            <w:tcW w:w="1320" w:type="pct"/>
            <w:noWrap w:val="0"/>
            <w:vAlign w:val="center"/>
          </w:tcPr>
          <w:p w14:paraId="03529446">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u w:val="none"/>
                <w:vertAlign w:val="baseline"/>
                <w:lang w:val="en-US" w:eastAsia="zh-CN"/>
              </w:rPr>
              <w:t>施工</w:t>
            </w:r>
            <w:r>
              <w:rPr>
                <w:rFonts w:hint="default" w:ascii="Times New Roman" w:hAnsi="Times New Roman" w:eastAsia="宋体" w:cs="Times New Roman"/>
                <w:color w:val="auto"/>
                <w:sz w:val="21"/>
                <w:szCs w:val="21"/>
                <w:highlight w:val="none"/>
                <w:u w:val="none"/>
                <w:vertAlign w:val="baseline"/>
                <w:lang w:val="en-US" w:eastAsia="zh-CN"/>
              </w:rPr>
              <w:t>废水沉淀处理后回用；施工期生活污水</w:t>
            </w:r>
            <w:r>
              <w:rPr>
                <w:rFonts w:hint="default" w:ascii="Times New Roman" w:hAnsi="Times New Roman" w:cs="Times New Roman"/>
                <w:color w:val="auto"/>
                <w:sz w:val="21"/>
                <w:szCs w:val="21"/>
                <w:highlight w:val="none"/>
                <w:u w:val="none"/>
                <w:vertAlign w:val="baseline"/>
                <w:lang w:val="en-US" w:eastAsia="zh-CN"/>
              </w:rPr>
              <w:t>委托环卫部门定期清掏；临时土方做好维护拦挡遮盖</w:t>
            </w:r>
            <w:r>
              <w:rPr>
                <w:rFonts w:hint="default" w:ascii="Times New Roman" w:hAnsi="Times New Roman" w:eastAsia="宋体" w:cs="Times New Roman"/>
                <w:color w:val="auto"/>
                <w:sz w:val="21"/>
                <w:szCs w:val="21"/>
                <w:highlight w:val="none"/>
                <w:u w:val="none"/>
                <w:vertAlign w:val="baseline"/>
                <w:lang w:val="en-US" w:eastAsia="zh-CN"/>
              </w:rPr>
              <w:t>。</w:t>
            </w:r>
          </w:p>
        </w:tc>
        <w:tc>
          <w:tcPr>
            <w:tcW w:w="873" w:type="pct"/>
            <w:noWrap w:val="0"/>
            <w:vAlign w:val="center"/>
          </w:tcPr>
          <w:p w14:paraId="2E8CC558">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废水不对外排放，妥善处理。</w:t>
            </w:r>
          </w:p>
        </w:tc>
        <w:tc>
          <w:tcPr>
            <w:tcW w:w="1325" w:type="pct"/>
            <w:noWrap w:val="0"/>
            <w:vAlign w:val="center"/>
          </w:tcPr>
          <w:p w14:paraId="0823BF2E">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生活污水排至站内化粪池内，经化粪池处理后进入地埋式一体化污水处理设施处理，处理后中水收集回用于冲洗道路及</w:t>
            </w:r>
            <w:r>
              <w:rPr>
                <w:rFonts w:hint="eastAsia" w:ascii="Times New Roman" w:hAnsi="Times New Roman" w:cs="Times New Roman"/>
                <w:color w:val="auto"/>
                <w:sz w:val="21"/>
                <w:szCs w:val="21"/>
                <w:highlight w:val="none"/>
                <w:lang w:val="en-US" w:eastAsia="zh-CN"/>
              </w:rPr>
              <w:t>洒水抑尘</w:t>
            </w:r>
            <w:r>
              <w:rPr>
                <w:rFonts w:hint="default" w:ascii="Times New Roman" w:hAnsi="Times New Roman" w:eastAsia="宋体" w:cs="Times New Roman"/>
                <w:color w:val="auto"/>
                <w:sz w:val="21"/>
                <w:szCs w:val="21"/>
                <w:highlight w:val="none"/>
                <w:lang w:val="en-US" w:eastAsia="zh-CN"/>
              </w:rPr>
              <w:t>。</w:t>
            </w:r>
          </w:p>
        </w:tc>
        <w:tc>
          <w:tcPr>
            <w:tcW w:w="803" w:type="pct"/>
            <w:noWrap w:val="0"/>
            <w:vAlign w:val="center"/>
          </w:tcPr>
          <w:p w14:paraId="5B47422D">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废水不对外排放，妥善处理。</w:t>
            </w:r>
          </w:p>
        </w:tc>
      </w:tr>
      <w:tr w14:paraId="5A5ACB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677" w:type="pct"/>
            <w:noWrap w:val="0"/>
            <w:vAlign w:val="center"/>
          </w:tcPr>
          <w:p w14:paraId="0991FD2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地下水及土壤环境</w:t>
            </w:r>
          </w:p>
        </w:tc>
        <w:tc>
          <w:tcPr>
            <w:tcW w:w="1320" w:type="pct"/>
            <w:noWrap w:val="0"/>
            <w:vAlign w:val="center"/>
          </w:tcPr>
          <w:p w14:paraId="3E55B80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73" w:type="pct"/>
            <w:noWrap w:val="0"/>
            <w:vAlign w:val="center"/>
          </w:tcPr>
          <w:p w14:paraId="7C738A8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325" w:type="pct"/>
            <w:noWrap w:val="0"/>
            <w:vAlign w:val="center"/>
          </w:tcPr>
          <w:p w14:paraId="0D3C145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03" w:type="pct"/>
            <w:noWrap w:val="0"/>
            <w:vAlign w:val="center"/>
          </w:tcPr>
          <w:p w14:paraId="532655F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24F368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677" w:type="pct"/>
            <w:noWrap w:val="0"/>
            <w:vAlign w:val="center"/>
          </w:tcPr>
          <w:p w14:paraId="4E28A95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声环境</w:t>
            </w:r>
          </w:p>
        </w:tc>
        <w:tc>
          <w:tcPr>
            <w:tcW w:w="1320" w:type="pct"/>
            <w:noWrap w:val="0"/>
            <w:vAlign w:val="center"/>
          </w:tcPr>
          <w:p w14:paraId="50E9C8E6">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采用低噪声施工设备；禁止夜间施工；加强施工机械的维修、管理；</w:t>
            </w:r>
            <w:r>
              <w:rPr>
                <w:rFonts w:hint="default" w:ascii="Times New Roman" w:hAnsi="Times New Roman" w:cs="Times New Roman"/>
                <w:color w:val="auto"/>
                <w:sz w:val="21"/>
                <w:szCs w:val="21"/>
                <w:highlight w:val="none"/>
                <w:u w:val="none"/>
                <w:vertAlign w:val="baseline"/>
                <w:lang w:val="en-US" w:eastAsia="zh-CN"/>
              </w:rPr>
              <w:t>合理设置施工车辆运输路线</w:t>
            </w:r>
            <w:r>
              <w:rPr>
                <w:rFonts w:hint="default" w:ascii="Times New Roman" w:hAnsi="Times New Roman" w:eastAsia="宋体" w:cs="Times New Roman"/>
                <w:color w:val="auto"/>
                <w:sz w:val="21"/>
                <w:szCs w:val="21"/>
                <w:highlight w:val="none"/>
                <w:u w:val="none"/>
                <w:vertAlign w:val="baseline"/>
                <w:lang w:val="en-US" w:eastAsia="zh-CN"/>
              </w:rPr>
              <w:t>；在施工过程中应严格执行《建筑施工噪声排放标准》（GB12523-2025）的要求。</w:t>
            </w:r>
          </w:p>
        </w:tc>
        <w:tc>
          <w:tcPr>
            <w:tcW w:w="873" w:type="pct"/>
            <w:noWrap w:val="0"/>
            <w:vAlign w:val="center"/>
          </w:tcPr>
          <w:p w14:paraId="60CCBEAA">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满足《建筑施工噪声排放标准》（GB12523-2025）的规定</w:t>
            </w:r>
          </w:p>
        </w:tc>
        <w:tc>
          <w:tcPr>
            <w:tcW w:w="1325" w:type="pct"/>
            <w:noWrap w:val="0"/>
            <w:vAlign w:val="center"/>
          </w:tcPr>
          <w:p w14:paraId="7A25B122">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站界四周建有围墙隔声。站内选用低噪声设备，主变基础垫衬减振材料，主变间墙体敷设吸声材料；合理选择导线，选择光滑、不带毛刺的导线；进站道路定期检查与保养路面，对受损路面要及时维修与修复</w:t>
            </w:r>
            <w:r>
              <w:rPr>
                <w:rFonts w:hint="default" w:ascii="Times New Roman" w:hAnsi="Times New Roman" w:cs="Times New Roman"/>
                <w:b w:val="0"/>
                <w:bCs w:val="0"/>
                <w:color w:val="auto"/>
                <w:sz w:val="21"/>
                <w:szCs w:val="21"/>
                <w:highlight w:val="none"/>
                <w:u w:val="none"/>
                <w:vertAlign w:val="baseline"/>
                <w:lang w:val="en-US" w:eastAsia="zh-CN"/>
              </w:rPr>
              <w:t>；</w:t>
            </w:r>
            <w:r>
              <w:rPr>
                <w:rFonts w:hint="default" w:ascii="Times New Roman" w:hAnsi="Times New Roman" w:eastAsia="宋体" w:cs="Times New Roman"/>
                <w:b w:val="0"/>
                <w:bCs w:val="0"/>
                <w:color w:val="auto"/>
                <w:sz w:val="21"/>
                <w:szCs w:val="21"/>
                <w:highlight w:val="none"/>
                <w:u w:val="none"/>
                <w:vertAlign w:val="baseline"/>
                <w:lang w:val="en-US" w:eastAsia="zh-CN"/>
              </w:rPr>
              <w:t>加强车辆管理，路过车辆控制车速、严禁鸣笛，严禁超载超速。</w:t>
            </w:r>
          </w:p>
        </w:tc>
        <w:tc>
          <w:tcPr>
            <w:tcW w:w="803" w:type="pct"/>
            <w:noWrap w:val="0"/>
            <w:vAlign w:val="center"/>
          </w:tcPr>
          <w:p w14:paraId="05658D9E">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满足《工业企业厂界环境噪声排放标准》（GB12348-2008）中</w:t>
            </w:r>
            <w:r>
              <w:rPr>
                <w:rFonts w:hint="default" w:ascii="Times New Roman" w:hAnsi="Times New Roman" w:cs="Times New Roman"/>
                <w:b w:val="0"/>
                <w:bCs w:val="0"/>
                <w:color w:val="auto"/>
                <w:sz w:val="21"/>
                <w:szCs w:val="21"/>
                <w:highlight w:val="none"/>
                <w:u w:val="none"/>
                <w:vertAlign w:val="baseline"/>
                <w:lang w:val="en-US" w:eastAsia="zh-CN"/>
              </w:rPr>
              <w:t>2</w:t>
            </w:r>
            <w:r>
              <w:rPr>
                <w:rFonts w:hint="default" w:ascii="Times New Roman" w:hAnsi="Times New Roman" w:eastAsia="宋体" w:cs="Times New Roman"/>
                <w:b w:val="0"/>
                <w:bCs w:val="0"/>
                <w:color w:val="auto"/>
                <w:sz w:val="21"/>
                <w:szCs w:val="21"/>
                <w:highlight w:val="none"/>
                <w:u w:val="none"/>
                <w:vertAlign w:val="baseline"/>
                <w:lang w:val="en-US" w:eastAsia="zh-CN"/>
              </w:rPr>
              <w:t>类标准限值</w:t>
            </w:r>
          </w:p>
        </w:tc>
      </w:tr>
      <w:tr w14:paraId="3D1A46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677" w:type="pct"/>
            <w:noWrap w:val="0"/>
            <w:vAlign w:val="center"/>
          </w:tcPr>
          <w:p w14:paraId="1F22F9B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振动</w:t>
            </w:r>
          </w:p>
        </w:tc>
        <w:tc>
          <w:tcPr>
            <w:tcW w:w="1320" w:type="pct"/>
            <w:noWrap w:val="0"/>
            <w:vAlign w:val="center"/>
          </w:tcPr>
          <w:p w14:paraId="564D58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w:t>
            </w:r>
          </w:p>
        </w:tc>
        <w:tc>
          <w:tcPr>
            <w:tcW w:w="873" w:type="pct"/>
            <w:noWrap w:val="0"/>
            <w:vAlign w:val="center"/>
          </w:tcPr>
          <w:p w14:paraId="2CD99E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1325" w:type="pct"/>
            <w:noWrap w:val="0"/>
            <w:vAlign w:val="center"/>
          </w:tcPr>
          <w:p w14:paraId="5775D8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803" w:type="pct"/>
            <w:noWrap w:val="0"/>
            <w:vAlign w:val="center"/>
          </w:tcPr>
          <w:p w14:paraId="16AF1E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r>
      <w:tr w14:paraId="2DE0EE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8" w:hRule="atLeast"/>
          <w:jc w:val="center"/>
        </w:trPr>
        <w:tc>
          <w:tcPr>
            <w:tcW w:w="677" w:type="pct"/>
            <w:noWrap w:val="0"/>
            <w:vAlign w:val="center"/>
          </w:tcPr>
          <w:p w14:paraId="5BD67C2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大气环境</w:t>
            </w:r>
          </w:p>
        </w:tc>
        <w:tc>
          <w:tcPr>
            <w:tcW w:w="1320" w:type="pct"/>
            <w:noWrap w:val="0"/>
            <w:vAlign w:val="center"/>
          </w:tcPr>
          <w:p w14:paraId="080BB279">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加强土方表面压实及定期喷水，并进行遮盖；采用外购商品混凝土；运输土石方及粉料等施工车辆采取加蓬覆盖，严防物料沿途抛洒、掉落；采取围挡作业，施工结束及时恢复占用场地；路面撒落的泥土及时清扫；道路洒水抑尘。</w:t>
            </w:r>
            <w:r>
              <w:rPr>
                <w:rFonts w:hint="default" w:ascii="Times New Roman" w:hAnsi="Times New Roman" w:eastAsia="宋体" w:cs="Times New Roman"/>
                <w:b w:val="0"/>
                <w:bCs/>
                <w:color w:val="auto"/>
                <w:kern w:val="0"/>
                <w:sz w:val="21"/>
                <w:szCs w:val="21"/>
                <w:highlight w:val="none"/>
                <w:lang w:eastAsia="zh-CN"/>
              </w:rPr>
              <w:t>在施工过程中采取控制速度，缩短怠速、减速和加速的时间；</w:t>
            </w:r>
            <w:r>
              <w:rPr>
                <w:rFonts w:hint="default" w:ascii="Times New Roman" w:hAnsi="Times New Roman" w:eastAsia="宋体" w:cs="Times New Roman"/>
                <w:color w:val="auto"/>
                <w:sz w:val="21"/>
                <w:szCs w:val="21"/>
                <w:highlight w:val="none"/>
                <w:u w:val="none"/>
                <w:vertAlign w:val="baseline"/>
                <w:lang w:val="en-US" w:eastAsia="zh-CN"/>
              </w:rPr>
              <w:t>加强车辆及施工机械的维护保养，保证不排放黑烟；做好车辆疏导，减轻塞车或车速减低带来的尾气污染。</w:t>
            </w:r>
          </w:p>
        </w:tc>
        <w:tc>
          <w:tcPr>
            <w:tcW w:w="873" w:type="pct"/>
            <w:noWrap w:val="0"/>
            <w:vAlign w:val="center"/>
          </w:tcPr>
          <w:p w14:paraId="3C47501D">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将施工</w:t>
            </w:r>
            <w:r>
              <w:rPr>
                <w:rFonts w:hint="default" w:ascii="Times New Roman" w:hAnsi="Times New Roman" w:cs="Times New Roman"/>
                <w:color w:val="auto"/>
                <w:sz w:val="21"/>
                <w:szCs w:val="21"/>
                <w:highlight w:val="none"/>
                <w:u w:val="none"/>
                <w:vertAlign w:val="baseline"/>
                <w:lang w:val="en-US" w:eastAsia="zh-CN"/>
              </w:rPr>
              <w:t>扬尘影响</w:t>
            </w:r>
            <w:r>
              <w:rPr>
                <w:rFonts w:hint="default" w:ascii="Times New Roman" w:hAnsi="Times New Roman" w:eastAsia="宋体" w:cs="Times New Roman"/>
                <w:color w:val="auto"/>
                <w:sz w:val="21"/>
                <w:szCs w:val="21"/>
                <w:highlight w:val="none"/>
                <w:u w:val="none"/>
                <w:vertAlign w:val="baseline"/>
                <w:lang w:val="en-US" w:eastAsia="zh-CN"/>
              </w:rPr>
              <w:t>降到最低程度</w:t>
            </w:r>
          </w:p>
        </w:tc>
        <w:tc>
          <w:tcPr>
            <w:tcW w:w="1325" w:type="pct"/>
            <w:noWrap w:val="0"/>
            <w:vAlign w:val="center"/>
          </w:tcPr>
          <w:p w14:paraId="5228F635">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03" w:type="pct"/>
            <w:noWrap w:val="0"/>
            <w:vAlign w:val="center"/>
          </w:tcPr>
          <w:p w14:paraId="74A823C7">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5CDC2F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47" w:hRule="atLeast"/>
          <w:jc w:val="center"/>
        </w:trPr>
        <w:tc>
          <w:tcPr>
            <w:tcW w:w="677" w:type="pct"/>
            <w:noWrap w:val="0"/>
            <w:vAlign w:val="center"/>
          </w:tcPr>
          <w:p w14:paraId="46EFECD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8"/>
                <w:sz w:val="21"/>
                <w:szCs w:val="21"/>
                <w:highlight w:val="none"/>
                <w:lang w:val="en-US" w:eastAsia="zh-CN"/>
              </w:rPr>
            </w:pPr>
            <w:r>
              <w:rPr>
                <w:rFonts w:hint="default" w:ascii="Times New Roman" w:hAnsi="Times New Roman" w:eastAsia="宋体" w:cs="Times New Roman"/>
                <w:color w:val="auto"/>
                <w:spacing w:val="-8"/>
                <w:sz w:val="21"/>
                <w:szCs w:val="21"/>
                <w:highlight w:val="none"/>
                <w:lang w:val="en-US" w:eastAsia="zh-CN"/>
              </w:rPr>
              <w:t>固体废物</w:t>
            </w:r>
          </w:p>
        </w:tc>
        <w:tc>
          <w:tcPr>
            <w:tcW w:w="1320" w:type="pct"/>
            <w:noWrap w:val="0"/>
            <w:vAlign w:val="center"/>
          </w:tcPr>
          <w:p w14:paraId="6962FC80">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u w:val="none"/>
                <w:vertAlign w:val="baseline"/>
                <w:lang w:val="en-US" w:eastAsia="zh-CN"/>
              </w:rPr>
              <w:t>表土进行剥离，挖方合理堆存，土方加以遮盖，并及时回填。生活垃圾统一收集后委托当地环卫部门定期清运；建筑垃圾分类收集暂存，废弃砂石、混凝土优先风电场内综合利用，废包装物交有关部门回收利用。</w:t>
            </w:r>
          </w:p>
        </w:tc>
        <w:tc>
          <w:tcPr>
            <w:tcW w:w="873" w:type="pct"/>
            <w:noWrap w:val="0"/>
            <w:vAlign w:val="center"/>
          </w:tcPr>
          <w:p w14:paraId="1BF0E00A">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u w:val="none"/>
                <w:vertAlign w:val="baseline"/>
                <w:lang w:val="en-US" w:eastAsia="zh-CN"/>
              </w:rPr>
              <w:t>固体废物得到合理处置</w:t>
            </w:r>
          </w:p>
        </w:tc>
        <w:tc>
          <w:tcPr>
            <w:tcW w:w="1325" w:type="pct"/>
            <w:noWrap w:val="0"/>
            <w:vAlign w:val="center"/>
          </w:tcPr>
          <w:p w14:paraId="09B157CF">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u w:val="none"/>
                <w:vertAlign w:val="baseline"/>
                <w:lang w:val="en-US" w:eastAsia="zh-CN"/>
              </w:rPr>
              <w:t>生活垃圾设置生活垃圾桶分类收集，后由环卫部门定期清运；污水处理产生的污泥由环卫部门定期清掏后外运</w:t>
            </w:r>
            <w:r>
              <w:rPr>
                <w:rFonts w:hint="default" w:ascii="Times New Roman" w:hAnsi="Times New Roman" w:cs="Times New Roman"/>
                <w:color w:val="auto"/>
                <w:sz w:val="21"/>
                <w:szCs w:val="21"/>
                <w:highlight w:val="none"/>
                <w:u w:val="none"/>
                <w:vertAlign w:val="baseline"/>
                <w:lang w:val="en-US" w:eastAsia="zh-CN"/>
              </w:rPr>
              <w:t>；废铅蓄电池、废润滑油、废润滑油桶以及染废矿物油的抹布、废手套等检修垃圾经集中收集后，分类暂存在危废暂存间内，委托有资质单位定期拉运进行处理。事故状态下的废变压器油经变压器下部的排油管道汇入事故油池，委托有资质单位外运处置。</w:t>
            </w:r>
          </w:p>
        </w:tc>
        <w:tc>
          <w:tcPr>
            <w:tcW w:w="803" w:type="pct"/>
            <w:noWrap w:val="0"/>
            <w:vAlign w:val="center"/>
          </w:tcPr>
          <w:p w14:paraId="424B3D19">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u w:val="none"/>
                <w:vertAlign w:val="baseline"/>
                <w:lang w:val="en-US" w:eastAsia="zh-CN"/>
              </w:rPr>
              <w:t>固体废物得到合理处置</w:t>
            </w:r>
          </w:p>
        </w:tc>
      </w:tr>
      <w:tr w14:paraId="48AF9F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7" w:type="pct"/>
            <w:noWrap w:val="0"/>
            <w:vAlign w:val="center"/>
          </w:tcPr>
          <w:p w14:paraId="447AFF2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8"/>
                <w:sz w:val="21"/>
                <w:szCs w:val="21"/>
                <w:highlight w:val="none"/>
                <w:lang w:val="en-US" w:eastAsia="zh-CN"/>
              </w:rPr>
            </w:pPr>
            <w:r>
              <w:rPr>
                <w:rFonts w:hint="default" w:ascii="Times New Roman" w:hAnsi="Times New Roman" w:eastAsia="宋体" w:cs="Times New Roman"/>
                <w:color w:val="auto"/>
                <w:spacing w:val="-8"/>
                <w:sz w:val="21"/>
                <w:szCs w:val="21"/>
                <w:highlight w:val="none"/>
                <w:lang w:val="en-US" w:eastAsia="zh-CN"/>
              </w:rPr>
              <w:t>电磁环境</w:t>
            </w:r>
          </w:p>
        </w:tc>
        <w:tc>
          <w:tcPr>
            <w:tcW w:w="1320" w:type="pct"/>
            <w:noWrap w:val="0"/>
            <w:vAlign w:val="center"/>
          </w:tcPr>
          <w:p w14:paraId="3420B45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73" w:type="pct"/>
            <w:noWrap w:val="0"/>
            <w:vAlign w:val="center"/>
          </w:tcPr>
          <w:p w14:paraId="3B32AF7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325" w:type="pct"/>
            <w:noWrap w:val="0"/>
            <w:vAlign w:val="center"/>
          </w:tcPr>
          <w:p w14:paraId="51316F8F">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选择电磁源强低的设备；合理布局，设置明显的警告标志</w:t>
            </w:r>
            <w:r>
              <w:rPr>
                <w:rFonts w:hint="default" w:ascii="Times New Roman" w:hAnsi="Times New Roman" w:cs="Times New Roman"/>
                <w:color w:val="auto"/>
                <w:sz w:val="21"/>
                <w:szCs w:val="21"/>
                <w:highlight w:val="none"/>
                <w:u w:val="none"/>
                <w:vertAlign w:val="baseline"/>
                <w:lang w:val="en-US" w:eastAsia="zh-CN"/>
              </w:rPr>
              <w:t>；实体围墙屏蔽、吸收电磁辐射；对站内工作人员进行电磁环境知识的培训</w:t>
            </w:r>
            <w:r>
              <w:rPr>
                <w:rFonts w:hint="default" w:ascii="Times New Roman" w:hAnsi="Times New Roman" w:eastAsia="宋体" w:cs="Times New Roman"/>
                <w:color w:val="auto"/>
                <w:sz w:val="21"/>
                <w:szCs w:val="21"/>
                <w:highlight w:val="none"/>
                <w:u w:val="none"/>
                <w:vertAlign w:val="baseline"/>
                <w:lang w:val="en-US" w:eastAsia="zh-CN"/>
              </w:rPr>
              <w:t>，尽量减少在高电磁场区的停留时间</w:t>
            </w:r>
            <w:r>
              <w:rPr>
                <w:rFonts w:hint="default" w:ascii="Times New Roman" w:hAnsi="Times New Roman" w:cs="Times New Roman"/>
                <w:color w:val="auto"/>
                <w:sz w:val="21"/>
                <w:szCs w:val="21"/>
                <w:highlight w:val="none"/>
                <w:u w:val="none"/>
                <w:vertAlign w:val="baseline"/>
                <w:lang w:val="en-US" w:eastAsia="zh-CN"/>
              </w:rPr>
              <w:t>；定期对设备进行维护与检修，经常监测其周围的电磁辐射强度。</w:t>
            </w:r>
          </w:p>
        </w:tc>
        <w:tc>
          <w:tcPr>
            <w:tcW w:w="803" w:type="pct"/>
            <w:noWrap w:val="0"/>
            <w:vAlign w:val="center"/>
          </w:tcPr>
          <w:p w14:paraId="6761E549">
            <w:pPr>
              <w:pStyle w:val="3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u w:val="none"/>
                <w:vertAlign w:val="baseline"/>
                <w:lang w:val="en-US" w:eastAsia="zh-CN"/>
              </w:rPr>
              <w:t>满足《电磁环境控制限值》（GB8702-2014）</w:t>
            </w:r>
            <w:r>
              <w:rPr>
                <w:rFonts w:hint="default" w:ascii="Times New Roman" w:hAnsi="Times New Roman" w:cs="Times New Roman"/>
                <w:color w:val="auto"/>
                <w:sz w:val="21"/>
                <w:szCs w:val="21"/>
                <w:highlight w:val="none"/>
                <w:u w:val="none"/>
                <w:vertAlign w:val="baseline"/>
                <w:lang w:val="en-US" w:eastAsia="zh-CN"/>
              </w:rPr>
              <w:t>中</w:t>
            </w:r>
            <w:r>
              <w:rPr>
                <w:rFonts w:hint="default" w:ascii="Times New Roman" w:hAnsi="Times New Roman" w:eastAsia="宋体" w:cs="Times New Roman"/>
                <w:color w:val="auto"/>
                <w:sz w:val="21"/>
                <w:szCs w:val="21"/>
                <w:highlight w:val="none"/>
                <w:u w:val="none"/>
                <w:vertAlign w:val="baseline"/>
                <w:lang w:val="en-US" w:eastAsia="zh-CN"/>
              </w:rPr>
              <w:t>的标准要求。</w:t>
            </w:r>
          </w:p>
        </w:tc>
      </w:tr>
      <w:tr w14:paraId="0DDC2C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677" w:type="pct"/>
            <w:noWrap w:val="0"/>
            <w:vAlign w:val="center"/>
          </w:tcPr>
          <w:p w14:paraId="2F9EF1B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8"/>
                <w:sz w:val="21"/>
                <w:szCs w:val="21"/>
                <w:highlight w:val="none"/>
                <w:lang w:val="en-US" w:eastAsia="zh-CN"/>
              </w:rPr>
            </w:pPr>
            <w:r>
              <w:rPr>
                <w:rFonts w:hint="default" w:ascii="Times New Roman" w:hAnsi="Times New Roman" w:eastAsia="宋体" w:cs="Times New Roman"/>
                <w:color w:val="auto"/>
                <w:spacing w:val="-8"/>
                <w:sz w:val="21"/>
                <w:szCs w:val="21"/>
                <w:highlight w:val="none"/>
                <w:lang w:val="en-US" w:eastAsia="zh-CN"/>
              </w:rPr>
              <w:t>环境风险</w:t>
            </w:r>
          </w:p>
        </w:tc>
        <w:tc>
          <w:tcPr>
            <w:tcW w:w="1320" w:type="pct"/>
            <w:noWrap w:val="0"/>
            <w:vAlign w:val="center"/>
          </w:tcPr>
          <w:p w14:paraId="3C26C15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73" w:type="pct"/>
            <w:noWrap w:val="0"/>
            <w:vAlign w:val="center"/>
          </w:tcPr>
          <w:p w14:paraId="0504629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325" w:type="pct"/>
            <w:noWrap w:val="0"/>
            <w:vAlign w:val="center"/>
          </w:tcPr>
          <w:p w14:paraId="5DA2EF96">
            <w:pPr>
              <w:keepNext w:val="0"/>
              <w:keepLines w:val="0"/>
              <w:suppressLineNumbers w:val="0"/>
              <w:adjustRightInd w:val="0"/>
              <w:snapToGrid w:val="0"/>
              <w:spacing w:before="0" w:beforeAutospacing="0" w:after="0" w:afterAutospacing="0" w:line="240" w:lineRule="auto"/>
              <w:ind w:left="0" w:right="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升压站</w:t>
            </w:r>
            <w:r>
              <w:rPr>
                <w:rFonts w:hint="default" w:ascii="Times New Roman" w:hAnsi="Times New Roman" w:eastAsia="宋体" w:cs="Times New Roman"/>
                <w:color w:val="auto"/>
                <w:sz w:val="21"/>
                <w:szCs w:val="21"/>
                <w:highlight w:val="none"/>
                <w:lang w:eastAsia="zh-CN"/>
              </w:rPr>
              <w:t>内事故油池做重点防渗处理，防渗层为至少1m厚黏土层（渗透系数不大于10</w:t>
            </w:r>
            <w:r>
              <w:rPr>
                <w:rFonts w:hint="default" w:ascii="Times New Roman" w:hAnsi="Times New Roman" w:eastAsia="宋体" w:cs="Times New Roman"/>
                <w:color w:val="auto"/>
                <w:sz w:val="21"/>
                <w:szCs w:val="21"/>
                <w:highlight w:val="none"/>
                <w:vertAlign w:val="superscript"/>
                <w:lang w:eastAsia="zh-CN"/>
              </w:rPr>
              <w:t>-7</w:t>
            </w:r>
            <w:r>
              <w:rPr>
                <w:rFonts w:hint="default" w:ascii="Times New Roman" w:hAnsi="Times New Roman" w:eastAsia="宋体" w:cs="Times New Roman"/>
                <w:color w:val="auto"/>
                <w:sz w:val="21"/>
                <w:szCs w:val="21"/>
                <w:highlight w:val="none"/>
                <w:lang w:eastAsia="zh-CN"/>
              </w:rPr>
              <w:t>cm/s），或至少2mm 厚高密度聚乙烯膜等人工防渗材料（渗透系数不大于10</w:t>
            </w:r>
            <w:r>
              <w:rPr>
                <w:rFonts w:hint="default" w:ascii="Times New Roman" w:hAnsi="Times New Roman" w:eastAsia="宋体" w:cs="Times New Roman"/>
                <w:color w:val="auto"/>
                <w:sz w:val="21"/>
                <w:szCs w:val="21"/>
                <w:highlight w:val="none"/>
                <w:vertAlign w:val="superscript"/>
                <w:lang w:eastAsia="zh-CN"/>
              </w:rPr>
              <w:t>-10</w:t>
            </w:r>
            <w:r>
              <w:rPr>
                <w:rFonts w:hint="default" w:ascii="Times New Roman" w:hAnsi="Times New Roman" w:eastAsia="宋体" w:cs="Times New Roman"/>
                <w:color w:val="auto"/>
                <w:sz w:val="21"/>
                <w:szCs w:val="21"/>
                <w:highlight w:val="none"/>
                <w:lang w:eastAsia="zh-CN"/>
              </w:rPr>
              <w:t>cm/s）。</w:t>
            </w:r>
          </w:p>
        </w:tc>
        <w:tc>
          <w:tcPr>
            <w:tcW w:w="803" w:type="pct"/>
            <w:noWrap w:val="0"/>
            <w:vAlign w:val="center"/>
          </w:tcPr>
          <w:p w14:paraId="7F51A4D1">
            <w:pPr>
              <w:keepNext w:val="0"/>
              <w:keepLines w:val="0"/>
              <w:suppressLineNumbers w:val="0"/>
              <w:adjustRightInd w:val="0"/>
              <w:snapToGrid w:val="0"/>
              <w:spacing w:before="0" w:beforeAutospacing="0" w:after="0" w:afterAutospacing="0" w:line="240" w:lineRule="auto"/>
              <w:ind w:left="0" w:right="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事故状态下，事故油不外排，委托有资质单位清运处理。事故油池有效容积满足《火力发电厂与变电站设计防火标准》（GB50229-2019），防渗满足《危险废物贮存污染控制标准》（GB18597-2023）中相关规定要求。</w:t>
            </w:r>
          </w:p>
        </w:tc>
      </w:tr>
      <w:tr w14:paraId="4F0D05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6" w:hRule="atLeast"/>
          <w:jc w:val="center"/>
        </w:trPr>
        <w:tc>
          <w:tcPr>
            <w:tcW w:w="677" w:type="pct"/>
            <w:noWrap w:val="0"/>
            <w:vAlign w:val="center"/>
          </w:tcPr>
          <w:p w14:paraId="349B557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8"/>
                <w:sz w:val="21"/>
                <w:szCs w:val="21"/>
                <w:highlight w:val="none"/>
                <w:lang w:val="en-US" w:eastAsia="zh-CN"/>
              </w:rPr>
            </w:pPr>
            <w:r>
              <w:rPr>
                <w:rFonts w:hint="default" w:ascii="Times New Roman" w:hAnsi="Times New Roman" w:eastAsia="宋体" w:cs="Times New Roman"/>
                <w:color w:val="auto"/>
                <w:spacing w:val="-8"/>
                <w:sz w:val="21"/>
                <w:szCs w:val="21"/>
                <w:highlight w:val="none"/>
                <w:lang w:val="en-US" w:eastAsia="zh-CN"/>
              </w:rPr>
              <w:t>环境监测</w:t>
            </w:r>
          </w:p>
        </w:tc>
        <w:tc>
          <w:tcPr>
            <w:tcW w:w="1320" w:type="pct"/>
            <w:shd w:val="clear" w:color="auto" w:fill="auto"/>
            <w:noWrap w:val="0"/>
            <w:vAlign w:val="center"/>
          </w:tcPr>
          <w:p w14:paraId="0CB9511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由施工单位根据工程内容和进度自行安排检测</w:t>
            </w:r>
          </w:p>
        </w:tc>
        <w:tc>
          <w:tcPr>
            <w:tcW w:w="873" w:type="pct"/>
            <w:shd w:val="clear" w:color="auto" w:fill="auto"/>
            <w:noWrap w:val="0"/>
            <w:vAlign w:val="center"/>
          </w:tcPr>
          <w:p w14:paraId="3035A40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设立专门环境管理机构，负责工程的日常环境管理工作；环境管理方案实施落实到位；确保施工期环境管理计划实施，保障施工期环保措施的落实</w:t>
            </w:r>
          </w:p>
        </w:tc>
        <w:tc>
          <w:tcPr>
            <w:tcW w:w="1325" w:type="pct"/>
            <w:shd w:val="clear" w:color="auto" w:fill="auto"/>
            <w:noWrap w:val="0"/>
            <w:vAlign w:val="center"/>
          </w:tcPr>
          <w:p w14:paraId="550D8DF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电磁环境影响监测：</w:t>
            </w:r>
          </w:p>
          <w:p w14:paraId="1BD0734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①监测点位布置：可对升压站四</w:t>
            </w:r>
          </w:p>
          <w:p w14:paraId="5DC7BD5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周设置例行监测点。</w:t>
            </w:r>
          </w:p>
          <w:p w14:paraId="4D35CCC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②监测项目：工频电场、工频磁</w:t>
            </w:r>
          </w:p>
          <w:p w14:paraId="0A9840F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场和噪声。</w:t>
            </w:r>
          </w:p>
          <w:p w14:paraId="5971EC3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③竣工验收：在项目运行后，应</w:t>
            </w:r>
          </w:p>
          <w:p w14:paraId="06CC659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对建设项目进行验收。</w:t>
            </w:r>
          </w:p>
          <w:p w14:paraId="61A40C9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④监测频次：在建设项目竣工验</w:t>
            </w:r>
          </w:p>
          <w:p w14:paraId="706EAB1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收正式投入后，根据需要，必要</w:t>
            </w:r>
          </w:p>
          <w:p w14:paraId="78271CA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时进行再次监测。</w:t>
            </w:r>
          </w:p>
        </w:tc>
        <w:tc>
          <w:tcPr>
            <w:tcW w:w="803" w:type="pct"/>
            <w:shd w:val="clear" w:color="auto" w:fill="auto"/>
            <w:noWrap w:val="0"/>
            <w:vAlign w:val="center"/>
          </w:tcPr>
          <w:p w14:paraId="47C3722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运营期项目环境管理和监测计划落实。</w:t>
            </w:r>
          </w:p>
        </w:tc>
      </w:tr>
      <w:tr w14:paraId="1AAF10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677" w:type="pct"/>
            <w:noWrap w:val="0"/>
            <w:vAlign w:val="center"/>
          </w:tcPr>
          <w:p w14:paraId="3B9F9A9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pacing w:val="-8"/>
                <w:sz w:val="21"/>
                <w:szCs w:val="21"/>
                <w:highlight w:val="none"/>
                <w:lang w:val="en-US" w:eastAsia="zh-CN"/>
              </w:rPr>
            </w:pPr>
            <w:r>
              <w:rPr>
                <w:rFonts w:hint="default" w:ascii="Times New Roman" w:hAnsi="Times New Roman" w:eastAsia="宋体" w:cs="Times New Roman"/>
                <w:color w:val="auto"/>
                <w:spacing w:val="-8"/>
                <w:sz w:val="21"/>
                <w:szCs w:val="21"/>
                <w:highlight w:val="none"/>
                <w:lang w:val="en-US" w:eastAsia="zh-CN"/>
              </w:rPr>
              <w:t>其他</w:t>
            </w:r>
          </w:p>
        </w:tc>
        <w:tc>
          <w:tcPr>
            <w:tcW w:w="1320" w:type="pct"/>
            <w:noWrap w:val="0"/>
            <w:vAlign w:val="center"/>
          </w:tcPr>
          <w:p w14:paraId="7837389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73" w:type="pct"/>
            <w:noWrap w:val="0"/>
            <w:vAlign w:val="center"/>
          </w:tcPr>
          <w:p w14:paraId="7C5AAC0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325" w:type="pct"/>
            <w:noWrap w:val="0"/>
            <w:vAlign w:val="center"/>
          </w:tcPr>
          <w:p w14:paraId="1A52C88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03" w:type="pct"/>
            <w:noWrap w:val="0"/>
            <w:vAlign w:val="center"/>
          </w:tcPr>
          <w:p w14:paraId="4D31D40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bl>
    <w:p w14:paraId="5B05A891">
      <w:pPr>
        <w:rPr>
          <w:rFonts w:hint="default" w:ascii="Times New Roman" w:hAnsi="Times New Roman" w:eastAsia="黑体" w:cs="Times New Roman"/>
          <w:snapToGrid w:val="0"/>
          <w:color w:val="0000FF"/>
          <w:sz w:val="30"/>
          <w:szCs w:val="30"/>
          <w:highlight w:val="none"/>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7176C135">
      <w:pPr>
        <w:pStyle w:val="26"/>
        <w:jc w:val="center"/>
        <w:outlineLvl w:val="0"/>
        <w:rPr>
          <w:rFonts w:hint="default" w:ascii="Times New Roman" w:hAnsi="Times New Roman" w:eastAsia="黑体" w:cs="Times New Roman"/>
          <w:snapToGrid w:val="0"/>
          <w:color w:val="auto"/>
          <w:sz w:val="30"/>
          <w:szCs w:val="30"/>
          <w:highlight w:val="none"/>
        </w:rPr>
      </w:pPr>
      <w:bookmarkStart w:id="25" w:name="_Toc14644"/>
      <w:bookmarkStart w:id="26" w:name="_Toc31903"/>
      <w:bookmarkStart w:id="27" w:name="_Toc1777"/>
      <w:r>
        <w:rPr>
          <w:rFonts w:hint="default" w:ascii="Times New Roman" w:hAnsi="Times New Roman" w:eastAsia="黑体" w:cs="Times New Roman"/>
          <w:snapToGrid w:val="0"/>
          <w:color w:val="auto"/>
          <w:sz w:val="30"/>
          <w:szCs w:val="30"/>
          <w:highlight w:val="none"/>
          <w:lang w:val="en-US" w:eastAsia="zh-CN"/>
        </w:rPr>
        <w:t>七</w:t>
      </w:r>
      <w:r>
        <w:rPr>
          <w:rFonts w:hint="default" w:ascii="Times New Roman" w:hAnsi="Times New Roman" w:eastAsia="黑体" w:cs="Times New Roman"/>
          <w:snapToGrid w:val="0"/>
          <w:color w:val="auto"/>
          <w:sz w:val="30"/>
          <w:szCs w:val="30"/>
          <w:highlight w:val="none"/>
        </w:rPr>
        <w:t>、结论</w:t>
      </w:r>
      <w:bookmarkEnd w:id="25"/>
      <w:bookmarkEnd w:id="26"/>
      <w:bookmarkEnd w:id="27"/>
    </w:p>
    <w:tbl>
      <w:tblPr>
        <w:tblStyle w:val="30"/>
        <w:tblW w:w="95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24"/>
      </w:tblGrid>
      <w:tr w14:paraId="6F832D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3" w:hRule="atLeast"/>
          <w:jc w:val="center"/>
        </w:trPr>
        <w:tc>
          <w:tcPr>
            <w:tcW w:w="8865" w:type="dxa"/>
            <w:noWrap w:val="0"/>
            <w:vAlign w:val="center"/>
          </w:tcPr>
          <w:p w14:paraId="2884134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p>
          <w:p w14:paraId="56B1C3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华润新能源额济纳旗100兆瓦风电项目</w:t>
            </w:r>
            <w:r>
              <w:rPr>
                <w:rFonts w:hint="default" w:ascii="Times New Roman" w:hAnsi="Times New Roman" w:eastAsia="宋体" w:cs="Times New Roman"/>
                <w:color w:val="auto"/>
                <w:sz w:val="24"/>
                <w:szCs w:val="24"/>
                <w:highlight w:val="none"/>
                <w:lang w:val="en-US" w:eastAsia="zh-CN"/>
              </w:rPr>
              <w:t>220kV升压站工程符合国家产业政策，符合当地生态环境保护规划和经济发展规划的要求。该项目的运行提高了电网供电可靠性、供电能力和电能质量，满足经济发展对电力供应的要求。</w:t>
            </w:r>
          </w:p>
          <w:p w14:paraId="5CB81D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在建设和运营期间，均采取了有效的预防和减轻不良环境影响的对策和措施，在认真落实报告表提出的各项污染防治措施、生态保护措施等要求，严格执行建设项目环保“三同时”制度的前提下，将工程建设造成的环境影响减少到最低程度。从环境保护的角度分析，该项目的建设是可行的。</w:t>
            </w:r>
          </w:p>
          <w:p w14:paraId="01C11A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6DD828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6F4F6D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2D0FB0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4498E3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49EB39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6AE0AE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07C979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65FFC1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049633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693D4F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2FE4CB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41B5BB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1355C5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12E54142">
            <w:pPr>
              <w:pStyle w:val="38"/>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highlight w:val="none"/>
                <w:lang w:val="en-US" w:eastAsia="zh-CN"/>
              </w:rPr>
            </w:pPr>
          </w:p>
          <w:p w14:paraId="3467EECD">
            <w:pPr>
              <w:pStyle w:val="38"/>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highlight w:val="none"/>
                <w:lang w:val="en-US" w:eastAsia="zh-CN"/>
              </w:rPr>
            </w:pPr>
          </w:p>
          <w:p w14:paraId="0E1DA9CF">
            <w:pPr>
              <w:pStyle w:val="38"/>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highlight w:val="none"/>
                <w:lang w:val="en-US" w:eastAsia="zh-CN"/>
              </w:rPr>
            </w:pPr>
          </w:p>
          <w:p w14:paraId="35E1FEC1">
            <w:pPr>
              <w:pStyle w:val="38"/>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highlight w:val="none"/>
                <w:lang w:val="en-US" w:eastAsia="zh-CN"/>
              </w:rPr>
            </w:pPr>
          </w:p>
          <w:p w14:paraId="60268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p>
          <w:p w14:paraId="3AC8D4FF">
            <w:pPr>
              <w:pStyle w:val="38"/>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highlight w:val="none"/>
              </w:rPr>
            </w:pPr>
          </w:p>
        </w:tc>
      </w:tr>
    </w:tbl>
    <w:p w14:paraId="1C4C000D">
      <w:pPr>
        <w:rPr>
          <w:rFonts w:hint="default" w:ascii="Times New Roman" w:hAnsi="Times New Roman" w:cs="Times New Roman"/>
          <w:color w:val="0000FF"/>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1464430">
      <w:pPr>
        <w:pStyle w:val="2"/>
        <w:bidi w:val="0"/>
        <w:spacing w:line="360" w:lineRule="auto"/>
        <w:rPr>
          <w:rFonts w:hint="default" w:ascii="Times New Roman" w:hAnsi="Times New Roman" w:cs="Times New Roman" w:eastAsiaTheme="majorEastAsia"/>
          <w:color w:val="auto"/>
          <w:highlight w:val="none"/>
          <w:lang w:val="en-US" w:eastAsia="zh-CN"/>
        </w:rPr>
      </w:pPr>
      <w:bookmarkStart w:id="28" w:name="_Toc3161"/>
      <w:r>
        <w:rPr>
          <w:rFonts w:hint="default" w:ascii="Times New Roman" w:hAnsi="Times New Roman" w:cs="Times New Roman" w:eastAsiaTheme="majorEastAsia"/>
          <w:color w:val="auto"/>
          <w:highlight w:val="none"/>
          <w:lang w:val="en-US" w:eastAsia="zh-CN"/>
        </w:rPr>
        <w:drawing>
          <wp:inline distT="0" distB="0" distL="114300" distR="114300">
            <wp:extent cx="5840730" cy="8187055"/>
            <wp:effectExtent l="0" t="0" r="11430" b="12065"/>
            <wp:docPr id="93" name="图片 93" descr="cc3b05a32efc9f237e15130acfa50d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cc3b05a32efc9f237e15130acfa50db3"/>
                    <pic:cNvPicPr>
                      <a:picLocks noChangeAspect="1"/>
                    </pic:cNvPicPr>
                  </pic:nvPicPr>
                  <pic:blipFill>
                    <a:blip r:embed="rId36"/>
                    <a:stretch>
                      <a:fillRect/>
                    </a:stretch>
                  </pic:blipFill>
                  <pic:spPr>
                    <a:xfrm>
                      <a:off x="0" y="0"/>
                      <a:ext cx="5840730" cy="8187055"/>
                    </a:xfrm>
                    <a:prstGeom prst="rect">
                      <a:avLst/>
                    </a:prstGeom>
                  </pic:spPr>
                </pic:pic>
              </a:graphicData>
            </a:graphic>
          </wp:inline>
        </w:drawing>
      </w:r>
    </w:p>
    <w:p w14:paraId="41F57DCF">
      <w:pPr>
        <w:pStyle w:val="2"/>
        <w:bidi w:val="0"/>
        <w:spacing w:line="360" w:lineRule="auto"/>
        <w:rPr>
          <w:rFonts w:hint="default" w:ascii="Times New Roman" w:hAnsi="Times New Roman" w:cs="Times New Roman" w:eastAsiaTheme="majorEastAsia"/>
          <w:color w:val="auto"/>
          <w:highlight w:val="none"/>
          <w:lang w:val="en-US" w:eastAsia="zh-CN"/>
        </w:rPr>
      </w:pPr>
      <w:r>
        <w:rPr>
          <w:rFonts w:hint="default" w:ascii="Times New Roman" w:hAnsi="Times New Roman" w:cs="Times New Roman" w:eastAsiaTheme="majorEastAsia"/>
          <w:color w:val="auto"/>
          <w:highlight w:val="none"/>
          <w:lang w:val="en-US" w:eastAsia="zh-CN"/>
        </w:rPr>
        <w:t>1 总则</w:t>
      </w:r>
      <w:bookmarkEnd w:id="28"/>
    </w:p>
    <w:p w14:paraId="4B4C0FBE">
      <w:pPr>
        <w:pStyle w:val="3"/>
        <w:bidi w:val="0"/>
        <w:spacing w:line="360" w:lineRule="auto"/>
        <w:rPr>
          <w:rFonts w:hint="default" w:ascii="Times New Roman" w:hAnsi="Times New Roman" w:cs="Times New Roman" w:eastAsiaTheme="majorEastAsia"/>
          <w:color w:val="auto"/>
          <w:sz w:val="28"/>
          <w:szCs w:val="28"/>
          <w:highlight w:val="none"/>
          <w:lang w:eastAsia="zh-CN"/>
        </w:rPr>
      </w:pPr>
      <w:r>
        <w:rPr>
          <w:rFonts w:hint="default" w:ascii="Times New Roman" w:hAnsi="Times New Roman" w:cs="Times New Roman" w:eastAsiaTheme="majorEastAsia"/>
          <w:color w:val="auto"/>
          <w:sz w:val="28"/>
          <w:szCs w:val="28"/>
          <w:highlight w:val="none"/>
          <w:lang w:eastAsia="zh-CN"/>
        </w:rPr>
        <w:t>1.1 编制依据</w:t>
      </w:r>
    </w:p>
    <w:p w14:paraId="65316304">
      <w:pPr>
        <w:pStyle w:val="4"/>
        <w:bidi w:val="0"/>
        <w:spacing w:line="360" w:lineRule="auto"/>
        <w:rPr>
          <w:rFonts w:hint="default" w:ascii="Times New Roman" w:hAnsi="Times New Roman" w:cs="Times New Roman" w:eastAsiaTheme="majorEastAsia"/>
          <w:color w:val="auto"/>
          <w:sz w:val="24"/>
          <w:szCs w:val="24"/>
          <w:highlight w:val="none"/>
          <w:lang w:eastAsia="zh-CN"/>
        </w:rPr>
      </w:pPr>
      <w:r>
        <w:rPr>
          <w:rFonts w:hint="default" w:ascii="Times New Roman" w:hAnsi="Times New Roman" w:cs="Times New Roman" w:eastAsiaTheme="majorEastAsia"/>
          <w:color w:val="auto"/>
          <w:sz w:val="24"/>
          <w:szCs w:val="24"/>
          <w:highlight w:val="none"/>
          <w:lang w:eastAsia="zh-CN"/>
        </w:rPr>
        <w:t>1.1.1 国家法律及法规</w:t>
      </w:r>
    </w:p>
    <w:p w14:paraId="131AFD2B">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（1）《中华人民共和国环境保护法》（2014年修订），中华人民共和国主席令第九号公布，2015年1月1日起施行。</w:t>
      </w:r>
    </w:p>
    <w:p w14:paraId="41DE0B2F">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（2）《中华人民共和国环境影响评价法》（201</w:t>
      </w:r>
      <w:r>
        <w:rPr>
          <w:rFonts w:hint="default" w:ascii="Times New Roman" w:hAnsi="Times New Roman" w:cs="Times New Roman"/>
          <w:b w:val="0"/>
          <w:bCs/>
          <w:color w:val="auto"/>
          <w:kern w:val="0"/>
          <w:sz w:val="24"/>
          <w:szCs w:val="24"/>
          <w:highlight w:val="none"/>
          <w:lang w:val="en-US" w:eastAsia="zh-CN"/>
        </w:rPr>
        <w:t>8</w:t>
      </w:r>
      <w:r>
        <w:rPr>
          <w:rFonts w:hint="default" w:ascii="Times New Roman" w:hAnsi="Times New Roman" w:eastAsia="宋体" w:cs="Times New Roman"/>
          <w:b w:val="0"/>
          <w:bCs/>
          <w:color w:val="auto"/>
          <w:kern w:val="0"/>
          <w:sz w:val="24"/>
          <w:szCs w:val="24"/>
          <w:highlight w:val="none"/>
          <w:lang w:eastAsia="zh-CN"/>
        </w:rPr>
        <w:t>年修订），中华人民共和国主席令第二十四号公布，2018年12月29日起施行。</w:t>
      </w:r>
    </w:p>
    <w:p w14:paraId="3BE838E4">
      <w:pPr>
        <w:pStyle w:val="4"/>
        <w:bidi w:val="0"/>
        <w:spacing w:line="360" w:lineRule="auto"/>
        <w:rPr>
          <w:rFonts w:hint="default" w:ascii="Times New Roman" w:hAnsi="Times New Roman" w:cs="Times New Roman" w:eastAsiaTheme="majorEastAsia"/>
          <w:color w:val="auto"/>
          <w:sz w:val="24"/>
          <w:szCs w:val="24"/>
          <w:highlight w:val="none"/>
          <w:lang w:eastAsia="zh-CN"/>
        </w:rPr>
      </w:pPr>
      <w:r>
        <w:rPr>
          <w:rFonts w:hint="default" w:ascii="Times New Roman" w:hAnsi="Times New Roman" w:cs="Times New Roman" w:eastAsiaTheme="majorEastAsia"/>
          <w:color w:val="auto"/>
          <w:sz w:val="24"/>
          <w:szCs w:val="24"/>
          <w:highlight w:val="none"/>
          <w:lang w:eastAsia="zh-CN"/>
        </w:rPr>
        <w:t>1.1.2 部委规章</w:t>
      </w:r>
    </w:p>
    <w:p w14:paraId="06AB3748">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（1）《产业结构调整指导目录（2024年本）》中华人民共和国国家发展和改革委员会令第7号，自2024年2月1日起施行。</w:t>
      </w:r>
    </w:p>
    <w:p w14:paraId="5451AE3F">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（2）《建设项目环境影响评价分类管理名录（2021版）》，生态环境部令第16号），2021年1月1日起施行。</w:t>
      </w:r>
    </w:p>
    <w:p w14:paraId="4294451E">
      <w:pPr>
        <w:pStyle w:val="4"/>
        <w:bidi w:val="0"/>
        <w:spacing w:line="360" w:lineRule="auto"/>
        <w:rPr>
          <w:rFonts w:hint="default" w:ascii="Times New Roman" w:hAnsi="Times New Roman" w:cs="Times New Roman" w:eastAsiaTheme="majorEastAsia"/>
          <w:color w:val="auto"/>
          <w:sz w:val="24"/>
          <w:szCs w:val="24"/>
          <w:highlight w:val="none"/>
          <w:lang w:eastAsia="zh-CN"/>
        </w:rPr>
      </w:pPr>
      <w:r>
        <w:rPr>
          <w:rFonts w:hint="default" w:ascii="Times New Roman" w:hAnsi="Times New Roman" w:cs="Times New Roman" w:eastAsiaTheme="majorEastAsia"/>
          <w:color w:val="auto"/>
          <w:sz w:val="24"/>
          <w:szCs w:val="24"/>
          <w:highlight w:val="none"/>
          <w:lang w:eastAsia="zh-CN"/>
        </w:rPr>
        <w:t>1.1.3 采用的标准、技术规范及规定</w:t>
      </w:r>
    </w:p>
    <w:p w14:paraId="45E88F10">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（1）《建设项目环境影响评价技术导则总纲》（HJ2.1-2016）。</w:t>
      </w:r>
    </w:p>
    <w:p w14:paraId="21AB0216">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（2）《环境影响评价技术导则</w:t>
      </w:r>
      <w:r>
        <w:rPr>
          <w:rFonts w:hint="default" w:ascii="Times New Roman" w:hAnsi="Times New Roman" w:cs="Times New Roman"/>
          <w:b w:val="0"/>
          <w:bCs/>
          <w:color w:val="auto"/>
          <w:kern w:val="0"/>
          <w:sz w:val="24"/>
          <w:szCs w:val="24"/>
          <w:highlight w:val="none"/>
          <w:lang w:val="en-US" w:eastAsia="zh-CN"/>
        </w:rPr>
        <w:t xml:space="preserve"> </w:t>
      </w:r>
      <w:r>
        <w:rPr>
          <w:rFonts w:hint="default" w:ascii="Times New Roman" w:hAnsi="Times New Roman" w:eastAsia="宋体" w:cs="Times New Roman"/>
          <w:b w:val="0"/>
          <w:bCs/>
          <w:color w:val="auto"/>
          <w:kern w:val="0"/>
          <w:sz w:val="24"/>
          <w:szCs w:val="24"/>
          <w:highlight w:val="none"/>
          <w:lang w:eastAsia="zh-CN"/>
        </w:rPr>
        <w:t>输变电》（HJ24-2020）。</w:t>
      </w:r>
    </w:p>
    <w:p w14:paraId="0DA84C26">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（3）《交流输变电工程电磁环境监测方法（试行）》（HJ681-2013）。</w:t>
      </w:r>
    </w:p>
    <w:p w14:paraId="3170CF0E">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（4）《电磁环境控制限制》（GB 8702-2014）。</w:t>
      </w:r>
    </w:p>
    <w:p w14:paraId="54C8BAEA">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（5）《输变电建设项目环境保护技术要求》（HJ1113-2020）。</w:t>
      </w:r>
    </w:p>
    <w:p w14:paraId="4A063A65">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w:t>
      </w:r>
      <w:r>
        <w:rPr>
          <w:rFonts w:hint="default" w:ascii="Times New Roman" w:hAnsi="Times New Roman" w:eastAsia="宋体" w:cs="Times New Roman"/>
          <w:b w:val="0"/>
          <w:bCs/>
          <w:color w:val="auto"/>
          <w:kern w:val="0"/>
          <w:sz w:val="24"/>
          <w:szCs w:val="24"/>
          <w:highlight w:val="none"/>
          <w:lang w:val="en-US" w:eastAsia="zh-CN"/>
        </w:rPr>
        <w:t>6）</w:t>
      </w:r>
      <w:r>
        <w:rPr>
          <w:rFonts w:hint="default" w:ascii="Times New Roman" w:hAnsi="Times New Roman" w:cs="Times New Roman"/>
          <w:b w:val="0"/>
          <w:bCs/>
          <w:color w:val="auto"/>
          <w:kern w:val="0"/>
          <w:sz w:val="24"/>
          <w:szCs w:val="24"/>
          <w:highlight w:val="none"/>
          <w:lang w:val="en-US" w:eastAsia="zh-CN"/>
        </w:rPr>
        <w:t>《</w:t>
      </w:r>
      <w:r>
        <w:rPr>
          <w:rFonts w:hint="default" w:ascii="Times New Roman" w:hAnsi="Times New Roman" w:eastAsia="宋体" w:cs="Times New Roman"/>
          <w:b w:val="0"/>
          <w:bCs/>
          <w:color w:val="auto"/>
          <w:kern w:val="0"/>
          <w:sz w:val="24"/>
          <w:szCs w:val="24"/>
          <w:highlight w:val="none"/>
          <w:lang w:eastAsia="zh-CN"/>
        </w:rPr>
        <w:t>建设项目环境影响报告表编制技术指南（生态影响类）</w:t>
      </w:r>
      <w:r>
        <w:rPr>
          <w:rFonts w:hint="default" w:ascii="Times New Roman" w:hAnsi="Times New Roman" w:cs="Times New Roman"/>
          <w:b w:val="0"/>
          <w:bCs/>
          <w:color w:val="auto"/>
          <w:kern w:val="0"/>
          <w:sz w:val="24"/>
          <w:szCs w:val="24"/>
          <w:highlight w:val="none"/>
          <w:lang w:eastAsia="zh-CN"/>
        </w:rPr>
        <w:t>》</w:t>
      </w:r>
      <w:r>
        <w:rPr>
          <w:rFonts w:hint="default" w:ascii="Times New Roman" w:hAnsi="Times New Roman" w:eastAsia="宋体" w:cs="Times New Roman"/>
          <w:b w:val="0"/>
          <w:bCs/>
          <w:color w:val="auto"/>
          <w:kern w:val="0"/>
          <w:sz w:val="24"/>
          <w:szCs w:val="24"/>
          <w:highlight w:val="none"/>
          <w:lang w:eastAsia="zh-CN"/>
        </w:rPr>
        <w:t>（试行）。</w:t>
      </w:r>
    </w:p>
    <w:p w14:paraId="2E309FFB">
      <w:pPr>
        <w:pStyle w:val="4"/>
        <w:bidi w:val="0"/>
        <w:spacing w:line="360" w:lineRule="auto"/>
        <w:rPr>
          <w:rFonts w:hint="default" w:ascii="Times New Roman" w:hAnsi="Times New Roman" w:cs="Times New Roman" w:eastAsiaTheme="majorEastAsia"/>
          <w:color w:val="auto"/>
          <w:sz w:val="24"/>
          <w:szCs w:val="24"/>
          <w:highlight w:val="none"/>
          <w:lang w:eastAsia="zh-CN"/>
        </w:rPr>
      </w:pPr>
      <w:r>
        <w:rPr>
          <w:rFonts w:hint="default" w:ascii="Times New Roman" w:hAnsi="Times New Roman" w:cs="Times New Roman" w:eastAsiaTheme="majorEastAsia"/>
          <w:color w:val="auto"/>
          <w:sz w:val="24"/>
          <w:szCs w:val="24"/>
          <w:highlight w:val="none"/>
          <w:lang w:eastAsia="zh-CN"/>
        </w:rPr>
        <w:t>1.1.4 工程设计资料名称和编制单位</w:t>
      </w:r>
    </w:p>
    <w:p w14:paraId="13317D6A">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0000FF"/>
          <w:kern w:val="0"/>
          <w:sz w:val="24"/>
          <w:szCs w:val="24"/>
          <w:highlight w:val="yellow"/>
          <w:lang w:eastAsia="zh-CN"/>
        </w:rPr>
      </w:pPr>
      <w:r>
        <w:rPr>
          <w:rFonts w:hint="default" w:ascii="Times New Roman" w:hAnsi="Times New Roman" w:eastAsia="宋体" w:cs="Times New Roman"/>
          <w:b w:val="0"/>
          <w:bCs/>
          <w:color w:val="auto"/>
          <w:kern w:val="0"/>
          <w:sz w:val="24"/>
          <w:szCs w:val="24"/>
          <w:highlight w:val="none"/>
          <w:lang w:eastAsia="zh-CN"/>
        </w:rPr>
        <w:t>（</w:t>
      </w:r>
      <w:r>
        <w:rPr>
          <w:rFonts w:hint="default" w:ascii="Times New Roman" w:hAnsi="Times New Roman" w:eastAsia="宋体" w:cs="Times New Roman"/>
          <w:b w:val="0"/>
          <w:bCs/>
          <w:color w:val="auto"/>
          <w:kern w:val="0"/>
          <w:sz w:val="24"/>
          <w:szCs w:val="24"/>
          <w:highlight w:val="none"/>
          <w:lang w:val="en-US" w:eastAsia="zh-CN"/>
        </w:rPr>
        <w:t>1）</w:t>
      </w:r>
      <w:r>
        <w:rPr>
          <w:rFonts w:hint="default" w:ascii="Times New Roman" w:hAnsi="Times New Roman" w:eastAsia="宋体" w:cs="Times New Roman"/>
          <w:b w:val="0"/>
          <w:bCs/>
          <w:color w:val="auto"/>
          <w:kern w:val="0"/>
          <w:sz w:val="24"/>
          <w:szCs w:val="24"/>
          <w:highlight w:val="none"/>
          <w:lang w:eastAsia="zh-CN"/>
        </w:rPr>
        <w:t>《</w:t>
      </w:r>
      <w:r>
        <w:rPr>
          <w:rFonts w:hint="default" w:ascii="Times New Roman" w:hAnsi="Times New Roman" w:cs="Times New Roman"/>
          <w:b w:val="0"/>
          <w:bCs/>
          <w:color w:val="auto"/>
          <w:kern w:val="0"/>
          <w:sz w:val="24"/>
          <w:szCs w:val="24"/>
          <w:highlight w:val="none"/>
          <w:lang w:val="en-US" w:eastAsia="zh-CN"/>
        </w:rPr>
        <w:t>华润新能源额济纳旗100兆瓦风电项目</w:t>
      </w:r>
      <w:r>
        <w:rPr>
          <w:rFonts w:hint="default" w:ascii="Times New Roman" w:hAnsi="Times New Roman" w:eastAsia="宋体" w:cs="Times New Roman"/>
          <w:b w:val="0"/>
          <w:bCs/>
          <w:color w:val="auto"/>
          <w:kern w:val="0"/>
          <w:sz w:val="24"/>
          <w:szCs w:val="24"/>
          <w:highlight w:val="none"/>
          <w:lang w:eastAsia="zh-CN"/>
        </w:rPr>
        <w:t>可行性研究报告》，</w:t>
      </w:r>
      <w:r>
        <w:rPr>
          <w:rFonts w:hint="default" w:ascii="Times New Roman" w:hAnsi="Times New Roman" w:eastAsia="宋体" w:cs="Times New Roman"/>
          <w:b w:val="0"/>
          <w:bCs/>
          <w:color w:val="auto"/>
          <w:kern w:val="0"/>
          <w:sz w:val="24"/>
          <w:szCs w:val="24"/>
          <w:highlight w:val="none"/>
          <w:lang w:val="en-US" w:eastAsia="zh-CN"/>
        </w:rPr>
        <w:t>北京汇能电力设计院有限公司</w:t>
      </w:r>
      <w:r>
        <w:rPr>
          <w:rFonts w:hint="default" w:ascii="Times New Roman" w:hAnsi="Times New Roman" w:eastAsia="宋体" w:cs="Times New Roman"/>
          <w:b w:val="0"/>
          <w:bCs/>
          <w:color w:val="auto"/>
          <w:kern w:val="0"/>
          <w:sz w:val="24"/>
          <w:szCs w:val="24"/>
          <w:highlight w:val="none"/>
          <w:lang w:eastAsia="zh-CN"/>
        </w:rPr>
        <w:t>，202</w:t>
      </w:r>
      <w:r>
        <w:rPr>
          <w:rFonts w:hint="default" w:ascii="Times New Roman" w:hAnsi="Times New Roman" w:cs="Times New Roman"/>
          <w:b w:val="0"/>
          <w:bCs/>
          <w:color w:val="auto"/>
          <w:kern w:val="0"/>
          <w:sz w:val="24"/>
          <w:szCs w:val="24"/>
          <w:highlight w:val="none"/>
          <w:lang w:val="en-US" w:eastAsia="zh-CN"/>
        </w:rPr>
        <w:t>6</w:t>
      </w:r>
      <w:r>
        <w:rPr>
          <w:rFonts w:hint="default" w:ascii="Times New Roman" w:hAnsi="Times New Roman" w:eastAsia="宋体" w:cs="Times New Roman"/>
          <w:b w:val="0"/>
          <w:bCs/>
          <w:color w:val="auto"/>
          <w:kern w:val="0"/>
          <w:sz w:val="24"/>
          <w:szCs w:val="24"/>
          <w:highlight w:val="none"/>
          <w:lang w:eastAsia="zh-CN"/>
        </w:rPr>
        <w:t>年</w:t>
      </w:r>
      <w:r>
        <w:rPr>
          <w:rFonts w:hint="default" w:ascii="Times New Roman" w:hAnsi="Times New Roman" w:cs="Times New Roman"/>
          <w:b w:val="0"/>
          <w:bCs/>
          <w:color w:val="auto"/>
          <w:kern w:val="0"/>
          <w:sz w:val="24"/>
          <w:szCs w:val="24"/>
          <w:highlight w:val="none"/>
          <w:lang w:val="en-US" w:eastAsia="zh-CN"/>
        </w:rPr>
        <w:t>5</w:t>
      </w:r>
      <w:r>
        <w:rPr>
          <w:rFonts w:hint="default" w:ascii="Times New Roman" w:hAnsi="Times New Roman" w:eastAsia="宋体" w:cs="Times New Roman"/>
          <w:b w:val="0"/>
          <w:bCs/>
          <w:color w:val="auto"/>
          <w:kern w:val="0"/>
          <w:sz w:val="24"/>
          <w:szCs w:val="24"/>
          <w:highlight w:val="none"/>
          <w:lang w:eastAsia="zh-CN"/>
        </w:rPr>
        <w:t>月；</w:t>
      </w:r>
    </w:p>
    <w:p w14:paraId="61E0A470">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w:t>
      </w:r>
      <w:r>
        <w:rPr>
          <w:rFonts w:hint="default" w:ascii="Times New Roman" w:hAnsi="Times New Roman" w:eastAsia="宋体" w:cs="Times New Roman"/>
          <w:b w:val="0"/>
          <w:bCs/>
          <w:color w:val="auto"/>
          <w:kern w:val="0"/>
          <w:sz w:val="24"/>
          <w:szCs w:val="24"/>
          <w:highlight w:val="none"/>
          <w:lang w:val="en-US" w:eastAsia="zh-CN"/>
        </w:rPr>
        <w:t>2）建设单位提供其他资料</w:t>
      </w:r>
      <w:r>
        <w:rPr>
          <w:rFonts w:hint="default" w:ascii="Times New Roman" w:hAnsi="Times New Roman" w:eastAsia="宋体" w:cs="Times New Roman"/>
          <w:b w:val="0"/>
          <w:bCs/>
          <w:color w:val="auto"/>
          <w:kern w:val="0"/>
          <w:sz w:val="24"/>
          <w:szCs w:val="24"/>
          <w:highlight w:val="none"/>
          <w:lang w:eastAsia="zh-CN"/>
        </w:rPr>
        <w:t>。</w:t>
      </w:r>
    </w:p>
    <w:p w14:paraId="4A1356EC">
      <w:pPr>
        <w:pStyle w:val="3"/>
        <w:bidi w:val="0"/>
        <w:spacing w:line="360" w:lineRule="auto"/>
        <w:rPr>
          <w:rFonts w:hint="default" w:ascii="Times New Roman" w:hAnsi="Times New Roman" w:cs="Times New Roman" w:eastAsiaTheme="majorEastAsia"/>
          <w:color w:val="auto"/>
          <w:sz w:val="28"/>
          <w:szCs w:val="28"/>
          <w:highlight w:val="none"/>
          <w:lang w:eastAsia="zh-CN"/>
        </w:rPr>
      </w:pPr>
      <w:r>
        <w:rPr>
          <w:rFonts w:hint="default" w:ascii="Times New Roman" w:hAnsi="Times New Roman" w:cs="Times New Roman" w:eastAsiaTheme="majorEastAsia"/>
          <w:color w:val="auto"/>
          <w:sz w:val="28"/>
          <w:szCs w:val="28"/>
          <w:highlight w:val="none"/>
          <w:lang w:eastAsia="zh-CN"/>
        </w:rPr>
        <w:t>1.2 评价因子与评价标准</w:t>
      </w:r>
    </w:p>
    <w:p w14:paraId="086DE1E6">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（1）评价因子</w:t>
      </w:r>
    </w:p>
    <w:p w14:paraId="622E44D5">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现状评价因子：工频电场、工频磁场。</w:t>
      </w:r>
    </w:p>
    <w:p w14:paraId="3EDAFBB3">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预测评价因子：工频电场、工频磁场。</w:t>
      </w:r>
    </w:p>
    <w:p w14:paraId="36B79C78">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（2）评价标准</w:t>
      </w:r>
    </w:p>
    <w:p w14:paraId="74F2B767">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依据《电磁环境控制限值》（GB 8702-2014）表1“公众曝露控制限值”规定，</w:t>
      </w:r>
      <w:r>
        <w:rPr>
          <w:rFonts w:hint="default" w:ascii="Times New Roman" w:hAnsi="Times New Roman" w:eastAsia="Times New Roman" w:cs="Times New Roman"/>
          <w:color w:val="auto"/>
          <w:sz w:val="23"/>
          <w:szCs w:val="24"/>
          <w:highlight w:val="none"/>
        </w:rPr>
        <w:t>50Hz</w:t>
      </w:r>
      <w:r>
        <w:rPr>
          <w:rFonts w:hint="default" w:ascii="Times New Roman" w:hAnsi="Times New Roman" w:eastAsia="宋体" w:cs="Times New Roman"/>
          <w:color w:val="auto"/>
          <w:sz w:val="23"/>
          <w:szCs w:val="24"/>
          <w:highlight w:val="none"/>
        </w:rPr>
        <w:t>频率下，环境中工频电场强度的公众曝露控制限值</w:t>
      </w:r>
      <w:r>
        <w:rPr>
          <w:rFonts w:hint="default" w:ascii="Times New Roman" w:hAnsi="Times New Roman" w:eastAsia="Times New Roman" w:cs="Times New Roman"/>
          <w:color w:val="auto"/>
          <w:sz w:val="23"/>
          <w:szCs w:val="24"/>
          <w:highlight w:val="none"/>
        </w:rPr>
        <w:t>4000V/m</w:t>
      </w:r>
      <w:r>
        <w:rPr>
          <w:rFonts w:hint="default" w:ascii="Times New Roman" w:hAnsi="Times New Roman" w:eastAsia="宋体" w:cs="Times New Roman"/>
          <w:color w:val="auto"/>
          <w:sz w:val="23"/>
          <w:szCs w:val="24"/>
          <w:highlight w:val="none"/>
        </w:rPr>
        <w:t>和工频磁感应强度公众曝露控制限值</w:t>
      </w:r>
      <w:r>
        <w:rPr>
          <w:rFonts w:hint="default" w:ascii="Times New Roman" w:hAnsi="Times New Roman" w:eastAsia="Times New Roman" w:cs="Times New Roman"/>
          <w:color w:val="auto"/>
          <w:sz w:val="23"/>
          <w:szCs w:val="24"/>
          <w:highlight w:val="none"/>
        </w:rPr>
        <w:t>100μT</w:t>
      </w:r>
      <w:r>
        <w:rPr>
          <w:rFonts w:hint="default" w:ascii="Times New Roman" w:hAnsi="Times New Roman" w:eastAsia="宋体" w:cs="Times New Roman"/>
          <w:color w:val="auto"/>
          <w:sz w:val="23"/>
          <w:szCs w:val="24"/>
          <w:highlight w:val="none"/>
        </w:rPr>
        <w:t>的标准要求。</w:t>
      </w:r>
    </w:p>
    <w:p w14:paraId="64B724DE">
      <w:pPr>
        <w:pStyle w:val="3"/>
        <w:bidi w:val="0"/>
        <w:spacing w:line="360" w:lineRule="auto"/>
        <w:rPr>
          <w:rFonts w:hint="default" w:ascii="Times New Roman" w:hAnsi="Times New Roman" w:cs="Times New Roman" w:eastAsiaTheme="majorEastAsia"/>
          <w:color w:val="auto"/>
          <w:sz w:val="28"/>
          <w:szCs w:val="28"/>
          <w:highlight w:val="none"/>
          <w:lang w:eastAsia="zh-CN"/>
        </w:rPr>
      </w:pPr>
      <w:r>
        <w:rPr>
          <w:rFonts w:hint="default" w:ascii="Times New Roman" w:hAnsi="Times New Roman" w:cs="Times New Roman" w:eastAsiaTheme="majorEastAsia"/>
          <w:color w:val="auto"/>
          <w:sz w:val="28"/>
          <w:szCs w:val="28"/>
          <w:highlight w:val="none"/>
          <w:lang w:eastAsia="zh-CN"/>
        </w:rPr>
        <w:t>1.3 评价工作等级</w:t>
      </w:r>
    </w:p>
    <w:p w14:paraId="07D215C9">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依据《环境影响评价技术导则输变电》（HJ24-2020）中有关规定，</w:t>
      </w:r>
      <w:r>
        <w:rPr>
          <w:rFonts w:hint="default" w:ascii="Times New Roman" w:hAnsi="Times New Roman" w:cs="Times New Roman"/>
          <w:color w:val="auto"/>
          <w:highlight w:val="none"/>
          <w:lang w:val="en-US" w:eastAsia="zh-CN"/>
        </w:rPr>
        <w:t>本工程220kV升压站为户外式，评价工作等级确定为二级。</w:t>
      </w:r>
    </w:p>
    <w:p w14:paraId="28512236">
      <w:pPr>
        <w:pStyle w:val="3"/>
        <w:bidi w:val="0"/>
        <w:spacing w:line="360" w:lineRule="auto"/>
        <w:rPr>
          <w:rFonts w:hint="default" w:ascii="Times New Roman" w:hAnsi="Times New Roman" w:cs="Times New Roman" w:eastAsiaTheme="majorEastAsia"/>
          <w:color w:val="auto"/>
          <w:sz w:val="28"/>
          <w:szCs w:val="28"/>
          <w:highlight w:val="none"/>
          <w:lang w:eastAsia="zh-CN"/>
        </w:rPr>
      </w:pPr>
      <w:r>
        <w:rPr>
          <w:rFonts w:hint="default" w:ascii="Times New Roman" w:hAnsi="Times New Roman" w:cs="Times New Roman" w:eastAsiaTheme="majorEastAsia"/>
          <w:color w:val="auto"/>
          <w:sz w:val="28"/>
          <w:szCs w:val="28"/>
          <w:highlight w:val="none"/>
          <w:lang w:eastAsia="zh-CN"/>
        </w:rPr>
        <w:t>1.4 评价范围</w:t>
      </w:r>
    </w:p>
    <w:p w14:paraId="61139EB4">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80" w:firstLineChars="200"/>
        <w:textAlignment w:val="auto"/>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依据《环境影响评价技术导则输变电》（HJ24-2020），</w:t>
      </w:r>
      <w:r>
        <w:rPr>
          <w:rFonts w:hint="default" w:ascii="Times New Roman" w:hAnsi="Times New Roman" w:eastAsia="宋体" w:cs="Times New Roman"/>
          <w:color w:val="auto"/>
          <w:sz w:val="24"/>
          <w:szCs w:val="24"/>
          <w:highlight w:val="none"/>
        </w:rPr>
        <w:t>220kV</w:t>
      </w:r>
      <w:r>
        <w:rPr>
          <w:rFonts w:hint="default" w:ascii="Times New Roman" w:hAnsi="Times New Roman" w:eastAsia="宋体" w:cs="Times New Roman"/>
          <w:color w:val="auto"/>
          <w:sz w:val="24"/>
          <w:szCs w:val="24"/>
          <w:highlight w:val="none"/>
          <w:lang w:val="en-US" w:eastAsia="zh-CN"/>
        </w:rPr>
        <w:t>升压站</w:t>
      </w:r>
      <w:r>
        <w:rPr>
          <w:rFonts w:hint="default" w:ascii="Times New Roman" w:hAnsi="Times New Roman" w:cs="Times New Roman"/>
          <w:color w:val="auto"/>
          <w:highlight w:val="none"/>
          <w:lang w:val="en-US" w:eastAsia="zh-CN"/>
        </w:rPr>
        <w:t>电磁环境影响评价范围为站界外40m区域。</w:t>
      </w:r>
    </w:p>
    <w:p w14:paraId="73AD94E1">
      <w:pPr>
        <w:pStyle w:val="3"/>
        <w:bidi w:val="0"/>
        <w:spacing w:line="360" w:lineRule="auto"/>
        <w:rPr>
          <w:rFonts w:hint="default" w:ascii="Times New Roman" w:hAnsi="Times New Roman" w:cs="Times New Roman" w:eastAsiaTheme="majorEastAsia"/>
          <w:color w:val="auto"/>
          <w:sz w:val="28"/>
          <w:szCs w:val="28"/>
          <w:highlight w:val="none"/>
          <w:lang w:eastAsia="zh-CN"/>
        </w:rPr>
      </w:pPr>
      <w:r>
        <w:rPr>
          <w:rFonts w:hint="default" w:ascii="Times New Roman" w:hAnsi="Times New Roman" w:cs="Times New Roman" w:eastAsiaTheme="majorEastAsia"/>
          <w:color w:val="auto"/>
          <w:sz w:val="28"/>
          <w:szCs w:val="28"/>
          <w:highlight w:val="none"/>
          <w:lang w:eastAsia="zh-CN"/>
        </w:rPr>
        <w:t>1.5 电磁环境敏感目标</w:t>
      </w:r>
    </w:p>
    <w:p w14:paraId="26C612CD">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color w:val="auto"/>
          <w:kern w:val="0"/>
          <w:sz w:val="24"/>
          <w:szCs w:val="24"/>
          <w:highlight w:val="none"/>
          <w:lang w:eastAsia="zh-CN"/>
        </w:rPr>
        <w:t>根据《环境影响评价技术导则输变电》（HJ24-2020），电磁环境敏感目标包括住宅、学校、医院、办公楼、工厂等有公众居住、工作或学习的建筑物</w:t>
      </w:r>
      <w:r>
        <w:rPr>
          <w:rFonts w:hint="default" w:ascii="Times New Roman" w:hAnsi="Times New Roman" w:cs="Times New Roman"/>
          <w:b w:val="0"/>
          <w:bCs/>
          <w:color w:val="auto"/>
          <w:kern w:val="0"/>
          <w:sz w:val="24"/>
          <w:szCs w:val="24"/>
          <w:highlight w:val="none"/>
          <w:lang w:eastAsia="zh-CN"/>
        </w:rPr>
        <w:t>。</w:t>
      </w:r>
      <w:r>
        <w:rPr>
          <w:rFonts w:hint="default" w:ascii="Times New Roman" w:hAnsi="Times New Roman" w:cs="Times New Roman"/>
          <w:bCs/>
          <w:color w:val="auto"/>
          <w:kern w:val="0"/>
          <w:sz w:val="24"/>
          <w:szCs w:val="24"/>
          <w:highlight w:val="none"/>
          <w:lang w:val="en-US" w:eastAsia="zh-CN" w:bidi="ar-SA"/>
        </w:rPr>
        <w:t>根据调查，</w:t>
      </w:r>
      <w:r>
        <w:rPr>
          <w:rFonts w:hint="default" w:ascii="Times New Roman" w:hAnsi="Times New Roman" w:eastAsia="宋体" w:cs="Times New Roman"/>
          <w:bCs/>
          <w:color w:val="auto"/>
          <w:kern w:val="0"/>
          <w:sz w:val="24"/>
          <w:szCs w:val="24"/>
          <w:highlight w:val="none"/>
          <w:lang w:val="en-US" w:eastAsia="zh-CN" w:bidi="ar-SA"/>
        </w:rPr>
        <w:t>本工程220kV升压站评价范围内无电磁环境保护目标</w:t>
      </w:r>
      <w:r>
        <w:rPr>
          <w:rFonts w:hint="default" w:ascii="Times New Roman" w:hAnsi="Times New Roman" w:eastAsia="宋体" w:cs="Times New Roman"/>
          <w:color w:val="auto"/>
          <w:sz w:val="24"/>
          <w:szCs w:val="24"/>
          <w:highlight w:val="none"/>
        </w:rPr>
        <w:t>。</w:t>
      </w:r>
    </w:p>
    <w:p w14:paraId="7DA7D479">
      <w:pPr>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0000FF"/>
          <w:sz w:val="24"/>
          <w:szCs w:val="24"/>
          <w:highlight w:val="none"/>
        </w:rPr>
        <w:br w:type="page"/>
      </w:r>
    </w:p>
    <w:p w14:paraId="3E8C7D32">
      <w:pPr>
        <w:pStyle w:val="2"/>
        <w:bidi w:val="0"/>
        <w:spacing w:line="360" w:lineRule="auto"/>
        <w:rPr>
          <w:rFonts w:hint="default" w:ascii="Times New Roman" w:hAnsi="Times New Roman" w:cs="Times New Roman" w:eastAsiaTheme="majorEastAsia"/>
          <w:color w:val="auto"/>
          <w:highlight w:val="none"/>
          <w:lang w:val="en-US" w:eastAsia="zh-CN"/>
        </w:rPr>
      </w:pPr>
      <w:bookmarkStart w:id="29" w:name="_Toc26716"/>
      <w:r>
        <w:rPr>
          <w:rFonts w:hint="default" w:ascii="Times New Roman" w:hAnsi="Times New Roman" w:cs="Times New Roman" w:eastAsiaTheme="majorEastAsia"/>
          <w:color w:val="auto"/>
          <w:highlight w:val="none"/>
          <w:lang w:val="en-US" w:eastAsia="zh-CN"/>
        </w:rPr>
        <w:t>2 工程概况</w:t>
      </w:r>
      <w:bookmarkEnd w:id="29"/>
    </w:p>
    <w:p w14:paraId="73294CDA">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auto"/>
          <w:sz w:val="24"/>
          <w:highlight w:val="none"/>
          <w:lang w:val="en-US" w:eastAsia="zh"/>
        </w:rPr>
      </w:pPr>
      <w:r>
        <w:rPr>
          <w:rFonts w:hint="default" w:ascii="Times New Roman" w:hAnsi="Times New Roman" w:eastAsia="宋体" w:cs="Times New Roman"/>
          <w:color w:val="auto"/>
          <w:sz w:val="24"/>
          <w:highlight w:val="none"/>
          <w:lang w:val="en-US" w:eastAsia="zh"/>
        </w:rPr>
        <w:t>本项目为</w:t>
      </w:r>
      <w:r>
        <w:rPr>
          <w:rFonts w:hint="default" w:ascii="Times New Roman" w:hAnsi="Times New Roman" w:cs="Times New Roman"/>
          <w:color w:val="auto"/>
          <w:sz w:val="24"/>
          <w:highlight w:val="none"/>
          <w:lang w:val="en-US" w:eastAsia="zh-CN"/>
        </w:rPr>
        <w:t>华润新能源额济纳旗100兆瓦风电项目</w:t>
      </w:r>
      <w:r>
        <w:rPr>
          <w:rFonts w:hint="default" w:ascii="Times New Roman" w:hAnsi="Times New Roman" w:eastAsia="宋体" w:cs="Times New Roman"/>
          <w:color w:val="auto"/>
          <w:sz w:val="24"/>
          <w:highlight w:val="none"/>
          <w:lang w:val="en-US" w:eastAsia="zh"/>
        </w:rPr>
        <w:t>配套220kV升压站工程。项目位于</w:t>
      </w:r>
      <w:r>
        <w:rPr>
          <w:rFonts w:hint="default" w:ascii="Times New Roman" w:hAnsi="Times New Roman" w:cs="Times New Roman"/>
          <w:color w:val="auto"/>
          <w:sz w:val="24"/>
          <w:highlight w:val="none"/>
          <w:lang w:val="en-US" w:eastAsia="zh-CN"/>
        </w:rPr>
        <w:t>内蒙古自治区阿拉善盟额济纳旗温图高勒苏木东北部</w:t>
      </w:r>
      <w:r>
        <w:rPr>
          <w:rFonts w:hint="default" w:ascii="Times New Roman" w:hAnsi="Times New Roman" w:eastAsia="宋体" w:cs="Times New Roman"/>
          <w:color w:val="auto"/>
          <w:sz w:val="24"/>
          <w:highlight w:val="none"/>
          <w:lang w:val="en-US" w:eastAsia="zh"/>
        </w:rPr>
        <w:t>，220kV升压站中心坐标：34537576.262，4627785.685。</w:t>
      </w:r>
    </w:p>
    <w:p w14:paraId="6D02131A">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
        </w:rPr>
        <w:t>建设内容为：</w:t>
      </w:r>
      <w:r>
        <w:rPr>
          <w:rFonts w:hint="default" w:ascii="Times New Roman" w:hAnsi="Times New Roman" w:cs="Times New Roman"/>
          <w:color w:val="auto"/>
          <w:sz w:val="24"/>
          <w:highlight w:val="none"/>
          <w:lang w:val="en-US" w:eastAsia="zh-CN"/>
        </w:rPr>
        <w:t>本工程为新建220kV升压站工程，南北长111.5m，东西宽95m，升压站占地面积为10597m</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lang w:val="en-US" w:eastAsia="zh-CN"/>
        </w:rPr>
        <w:t>，占地类型为其他土地（裸岩石砾地）。</w:t>
      </w:r>
    </w:p>
    <w:p w14:paraId="554E3229">
      <w:pPr>
        <w:keepNext w:val="0"/>
        <w:keepLines w:val="0"/>
        <w:widowControl/>
        <w:suppressLineNumbers w:val="0"/>
        <w:spacing w:before="0" w:beforeAutospacing="0" w:after="0" w:afterAutospacing="0" w:line="360" w:lineRule="auto"/>
        <w:ind w:left="0" w:right="0" w:firstLine="480" w:firstLineChars="200"/>
        <w:contextualSpacing/>
        <w:rPr>
          <w:rFonts w:hint="default" w:ascii="Times New Roman" w:hAnsi="Times New Roman" w:eastAsia="宋体" w:cs="Times New Roman"/>
          <w:color w:val="0000FF"/>
          <w:sz w:val="24"/>
          <w:highlight w:val="none"/>
          <w:lang w:val="en-US" w:eastAsia="zh"/>
        </w:rPr>
      </w:pPr>
      <w:r>
        <w:rPr>
          <w:rFonts w:hint="default" w:ascii="Times New Roman" w:hAnsi="Times New Roman" w:cs="Times New Roman"/>
          <w:color w:val="auto"/>
          <w:sz w:val="24"/>
          <w:highlight w:val="none"/>
          <w:lang w:val="en-US" w:eastAsia="zh-CN"/>
        </w:rPr>
        <w:t>升压站的220kV电气主接线采用线变组型式设计，配制1台容量为100MVA双绕组变压器，采用户外布置，电压等级220/35kV。220kV配电装置采用SF6全封闭组合电器（GIS）设备，35kV配电装置采用SF6充气柜（短路水平按31.5kA选择），220kV出线1回，35kV出线4回，升压站35kV母线上安装1台SVG型无功动态补偿装置（容量±25Mvar）。</w:t>
      </w:r>
    </w:p>
    <w:p w14:paraId="1566FF29">
      <w:pPr>
        <w:pStyle w:val="2"/>
        <w:bidi w:val="0"/>
        <w:spacing w:line="360" w:lineRule="auto"/>
        <w:rPr>
          <w:rFonts w:hint="default" w:ascii="Times New Roman" w:hAnsi="Times New Roman" w:cs="Times New Roman" w:eastAsiaTheme="majorEastAsia"/>
          <w:color w:val="auto"/>
          <w:highlight w:val="none"/>
          <w:lang w:val="en-US" w:eastAsia="zh-CN"/>
        </w:rPr>
      </w:pPr>
      <w:bookmarkStart w:id="30" w:name="_Toc1834"/>
      <w:r>
        <w:rPr>
          <w:rFonts w:hint="default" w:ascii="Times New Roman" w:hAnsi="Times New Roman" w:cs="Times New Roman" w:eastAsiaTheme="majorEastAsia"/>
          <w:color w:val="auto"/>
          <w:highlight w:val="none"/>
          <w:lang w:val="en-US" w:eastAsia="zh-CN"/>
        </w:rPr>
        <w:t>3 电磁环境影响预测与评价</w:t>
      </w:r>
      <w:bookmarkEnd w:id="30"/>
    </w:p>
    <w:p w14:paraId="38C5BDCC">
      <w:pPr>
        <w:pStyle w:val="3"/>
        <w:bidi w:val="0"/>
        <w:spacing w:line="360" w:lineRule="auto"/>
        <w:rPr>
          <w:rFonts w:hint="default" w:ascii="Times New Roman" w:hAnsi="Times New Roman" w:cs="Times New Roman" w:eastAsiaTheme="majorEastAsia"/>
          <w:color w:val="auto"/>
          <w:sz w:val="28"/>
          <w:szCs w:val="28"/>
          <w:highlight w:val="none"/>
          <w:lang w:eastAsia="zh-CN"/>
        </w:rPr>
      </w:pPr>
      <w:r>
        <w:rPr>
          <w:rFonts w:hint="default" w:ascii="Times New Roman" w:hAnsi="Times New Roman" w:cs="Times New Roman" w:eastAsiaTheme="majorEastAsia"/>
          <w:color w:val="auto"/>
          <w:sz w:val="28"/>
          <w:szCs w:val="28"/>
          <w:highlight w:val="none"/>
          <w:lang w:eastAsia="zh-CN"/>
        </w:rPr>
        <w:t>3.1 电磁环境现状评价</w:t>
      </w:r>
    </w:p>
    <w:p w14:paraId="488F58AD">
      <w:pPr>
        <w:pStyle w:val="4"/>
        <w:bidi w:val="0"/>
        <w:spacing w:line="360" w:lineRule="auto"/>
        <w:rPr>
          <w:rFonts w:hint="default" w:ascii="Times New Roman" w:hAnsi="Times New Roman" w:cs="Times New Roman" w:eastAsiaTheme="majorEastAsia"/>
          <w:color w:val="auto"/>
          <w:sz w:val="24"/>
          <w:szCs w:val="24"/>
          <w:highlight w:val="none"/>
          <w:lang w:eastAsia="zh-CN"/>
        </w:rPr>
      </w:pPr>
      <w:r>
        <w:rPr>
          <w:rFonts w:hint="default" w:ascii="Times New Roman" w:hAnsi="Times New Roman" w:cs="Times New Roman" w:eastAsiaTheme="majorEastAsia"/>
          <w:color w:val="auto"/>
          <w:sz w:val="24"/>
          <w:szCs w:val="24"/>
          <w:highlight w:val="none"/>
          <w:lang w:eastAsia="zh-CN"/>
        </w:rPr>
        <w:t>3.1.1 工频电场、工频磁场环境现状监测</w:t>
      </w:r>
    </w:p>
    <w:p w14:paraId="4760D8A1">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（1）监测项目</w:t>
      </w:r>
    </w:p>
    <w:p w14:paraId="596883F7">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工频电场强度、工频磁感应强度。</w:t>
      </w:r>
    </w:p>
    <w:p w14:paraId="4D511672">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（2）监测方法</w:t>
      </w:r>
    </w:p>
    <w:p w14:paraId="020C70EB">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《交流输变电工程电磁环境监测方法（试行）》（HJ681-2013）。</w:t>
      </w:r>
    </w:p>
    <w:p w14:paraId="5FB4C866">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（3）测试仪器</w:t>
      </w:r>
    </w:p>
    <w:p w14:paraId="77386198">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（3）测试仪器</w:t>
      </w:r>
    </w:p>
    <w:p w14:paraId="5B490AAE">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仪器型号/名称：电磁辐射分析仪（SEM600）、电磁场探头（LF-01）</w:t>
      </w:r>
    </w:p>
    <w:p w14:paraId="742AD3D0">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仪器编号：</w:t>
      </w:r>
      <w:r>
        <w:rPr>
          <w:rFonts w:hint="default" w:ascii="Times New Roman" w:hAnsi="Times New Roman" w:cs="Times New Roman"/>
          <w:color w:val="auto"/>
          <w:szCs w:val="21"/>
          <w:u w:val="single"/>
          <w:lang w:val="en-US" w:eastAsia="zh-CN"/>
        </w:rPr>
        <w:t>YQ-143</w:t>
      </w:r>
      <w:r>
        <w:rPr>
          <w:rFonts w:hint="default" w:ascii="Times New Roman" w:hAnsi="Times New Roman" w:eastAsia="宋体" w:cs="Times New Roman"/>
          <w:b w:val="0"/>
          <w:bCs/>
          <w:color w:val="auto"/>
          <w:kern w:val="0"/>
          <w:sz w:val="24"/>
          <w:szCs w:val="24"/>
          <w:highlight w:val="none"/>
          <w:lang w:val="en-US" w:eastAsia="zh-CN"/>
        </w:rPr>
        <w:t xml:space="preserve">  出厂编号：D-2492/G-2487</w:t>
      </w:r>
    </w:p>
    <w:p w14:paraId="72F7EDB9">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工频电场测量范围： 0.5V/m-100kV/m  磁感应强度测量范围：10nT-3mT</w:t>
      </w:r>
    </w:p>
    <w:p w14:paraId="792BCF7D">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校准单位：安正计量检测有限公司</w:t>
      </w:r>
    </w:p>
    <w:p w14:paraId="7218084C">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校准证书编号：J202604032426-0001</w:t>
      </w:r>
    </w:p>
    <w:p w14:paraId="688144B0">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校准有效期：202</w:t>
      </w:r>
      <w:r>
        <w:rPr>
          <w:rFonts w:hint="default" w:ascii="Times New Roman" w:hAnsi="Times New Roman" w:cs="Times New Roman"/>
          <w:b w:val="0"/>
          <w:bCs/>
          <w:color w:val="auto"/>
          <w:kern w:val="0"/>
          <w:sz w:val="24"/>
          <w:szCs w:val="24"/>
          <w:highlight w:val="none"/>
          <w:lang w:val="en-US" w:eastAsia="zh-CN"/>
        </w:rPr>
        <w:t>6</w:t>
      </w:r>
      <w:r>
        <w:rPr>
          <w:rFonts w:hint="default" w:ascii="Times New Roman" w:hAnsi="Times New Roman" w:eastAsia="宋体" w:cs="Times New Roman"/>
          <w:b w:val="0"/>
          <w:bCs/>
          <w:color w:val="auto"/>
          <w:kern w:val="0"/>
          <w:sz w:val="24"/>
          <w:szCs w:val="24"/>
          <w:highlight w:val="none"/>
          <w:lang w:val="en-US" w:eastAsia="zh-CN"/>
        </w:rPr>
        <w:t>.</w:t>
      </w:r>
      <w:r>
        <w:rPr>
          <w:rFonts w:hint="default" w:ascii="Times New Roman" w:hAnsi="Times New Roman" w:cs="Times New Roman"/>
          <w:b w:val="0"/>
          <w:bCs/>
          <w:color w:val="auto"/>
          <w:kern w:val="0"/>
          <w:sz w:val="24"/>
          <w:szCs w:val="24"/>
          <w:highlight w:val="none"/>
          <w:lang w:val="en-US" w:eastAsia="zh-CN"/>
        </w:rPr>
        <w:t>4</w:t>
      </w:r>
      <w:r>
        <w:rPr>
          <w:rFonts w:hint="default" w:ascii="Times New Roman" w:hAnsi="Times New Roman" w:eastAsia="宋体" w:cs="Times New Roman"/>
          <w:b w:val="0"/>
          <w:bCs/>
          <w:color w:val="auto"/>
          <w:kern w:val="0"/>
          <w:sz w:val="24"/>
          <w:szCs w:val="24"/>
          <w:highlight w:val="none"/>
          <w:lang w:val="en-US" w:eastAsia="zh-CN"/>
        </w:rPr>
        <w:t>.</w:t>
      </w:r>
      <w:r>
        <w:rPr>
          <w:rFonts w:hint="default" w:ascii="Times New Roman" w:hAnsi="Times New Roman" w:cs="Times New Roman"/>
          <w:b w:val="0"/>
          <w:bCs/>
          <w:color w:val="auto"/>
          <w:kern w:val="0"/>
          <w:sz w:val="24"/>
          <w:szCs w:val="24"/>
          <w:highlight w:val="none"/>
          <w:lang w:val="en-US" w:eastAsia="zh-CN"/>
        </w:rPr>
        <w:t>8</w:t>
      </w:r>
      <w:r>
        <w:rPr>
          <w:rFonts w:hint="default" w:ascii="Times New Roman" w:hAnsi="Times New Roman" w:eastAsia="宋体" w:cs="Times New Roman"/>
          <w:b w:val="0"/>
          <w:bCs/>
          <w:color w:val="auto"/>
          <w:kern w:val="0"/>
          <w:sz w:val="24"/>
          <w:szCs w:val="24"/>
          <w:highlight w:val="none"/>
          <w:lang w:val="en-US" w:eastAsia="zh-CN"/>
        </w:rPr>
        <w:t>至202</w:t>
      </w:r>
      <w:r>
        <w:rPr>
          <w:rFonts w:hint="default" w:ascii="Times New Roman" w:hAnsi="Times New Roman" w:cs="Times New Roman"/>
          <w:b w:val="0"/>
          <w:bCs/>
          <w:color w:val="auto"/>
          <w:kern w:val="0"/>
          <w:sz w:val="24"/>
          <w:szCs w:val="24"/>
          <w:highlight w:val="none"/>
          <w:lang w:val="en-US" w:eastAsia="zh-CN"/>
        </w:rPr>
        <w:t>7</w:t>
      </w:r>
      <w:r>
        <w:rPr>
          <w:rFonts w:hint="default" w:ascii="Times New Roman" w:hAnsi="Times New Roman" w:eastAsia="宋体" w:cs="Times New Roman"/>
          <w:b w:val="0"/>
          <w:bCs/>
          <w:color w:val="auto"/>
          <w:kern w:val="0"/>
          <w:sz w:val="24"/>
          <w:szCs w:val="24"/>
          <w:highlight w:val="none"/>
          <w:lang w:val="en-US" w:eastAsia="zh-CN"/>
        </w:rPr>
        <w:t>.</w:t>
      </w:r>
      <w:r>
        <w:rPr>
          <w:rFonts w:hint="default" w:ascii="Times New Roman" w:hAnsi="Times New Roman" w:cs="Times New Roman"/>
          <w:b w:val="0"/>
          <w:bCs/>
          <w:color w:val="auto"/>
          <w:kern w:val="0"/>
          <w:sz w:val="24"/>
          <w:szCs w:val="24"/>
          <w:highlight w:val="none"/>
          <w:lang w:val="en-US" w:eastAsia="zh-CN"/>
        </w:rPr>
        <w:t>4</w:t>
      </w:r>
      <w:r>
        <w:rPr>
          <w:rFonts w:hint="default" w:ascii="Times New Roman" w:hAnsi="Times New Roman" w:eastAsia="宋体" w:cs="Times New Roman"/>
          <w:b w:val="0"/>
          <w:bCs/>
          <w:color w:val="auto"/>
          <w:kern w:val="0"/>
          <w:sz w:val="24"/>
          <w:szCs w:val="24"/>
          <w:highlight w:val="none"/>
          <w:lang w:val="en-US" w:eastAsia="zh-CN"/>
        </w:rPr>
        <w:t>.</w:t>
      </w:r>
      <w:r>
        <w:rPr>
          <w:rFonts w:hint="default" w:ascii="Times New Roman" w:hAnsi="Times New Roman" w:cs="Times New Roman"/>
          <w:b w:val="0"/>
          <w:bCs/>
          <w:color w:val="auto"/>
          <w:kern w:val="0"/>
          <w:sz w:val="24"/>
          <w:szCs w:val="24"/>
          <w:highlight w:val="none"/>
          <w:lang w:val="en-US" w:eastAsia="zh-CN"/>
        </w:rPr>
        <w:t>7</w:t>
      </w:r>
    </w:p>
    <w:p w14:paraId="2078B105">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0000FF"/>
          <w:kern w:val="0"/>
          <w:sz w:val="24"/>
          <w:szCs w:val="24"/>
          <w:highlight w:val="none"/>
          <w:lang w:val="en-US" w:eastAsia="zh-CN"/>
        </w:rPr>
        <w:t>（</w:t>
      </w:r>
      <w:r>
        <w:rPr>
          <w:rFonts w:hint="default" w:ascii="Times New Roman" w:hAnsi="Times New Roman" w:eastAsia="宋体" w:cs="Times New Roman"/>
          <w:b w:val="0"/>
          <w:bCs/>
          <w:color w:val="auto"/>
          <w:kern w:val="0"/>
          <w:sz w:val="24"/>
          <w:szCs w:val="24"/>
          <w:highlight w:val="none"/>
          <w:lang w:val="en-US" w:eastAsia="zh-CN"/>
        </w:rPr>
        <w:t>4）监测单位</w:t>
      </w:r>
    </w:p>
    <w:p w14:paraId="2EBC62AC">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内蒙古衡准检测有限公司</w:t>
      </w:r>
    </w:p>
    <w:p w14:paraId="4480CDD1">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（5）监测布点</w:t>
      </w:r>
    </w:p>
    <w:p w14:paraId="75413BB8">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本次环评</w:t>
      </w:r>
      <w:r>
        <w:rPr>
          <w:rFonts w:hint="default" w:ascii="Times New Roman" w:hAnsi="Times New Roman" w:eastAsia="宋体" w:cs="Times New Roman"/>
          <w:color w:val="auto"/>
          <w:highlight w:val="none"/>
        </w:rPr>
        <w:t>在</w:t>
      </w:r>
      <w:r>
        <w:rPr>
          <w:rFonts w:hint="default" w:ascii="Times New Roman" w:hAnsi="Times New Roman" w:cs="Times New Roman"/>
          <w:color w:val="auto"/>
          <w:highlight w:val="none"/>
          <w:lang w:val="en-US" w:eastAsia="zh-CN"/>
        </w:rPr>
        <w:t>升压站</w:t>
      </w:r>
      <w:r>
        <w:rPr>
          <w:rFonts w:hint="default" w:ascii="Times New Roman" w:hAnsi="Times New Roman" w:eastAsia="宋体" w:cs="Times New Roman"/>
          <w:color w:val="auto"/>
          <w:highlight w:val="none"/>
          <w:lang w:val="en-US" w:eastAsia="zh-CN"/>
        </w:rPr>
        <w:t>厂界四周</w:t>
      </w:r>
      <w:r>
        <w:rPr>
          <w:rFonts w:hint="default" w:ascii="Times New Roman" w:hAnsi="Times New Roman" w:eastAsia="宋体" w:cs="Times New Roman"/>
          <w:color w:val="auto"/>
          <w:highlight w:val="none"/>
        </w:rPr>
        <w:t>布设</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个电磁环境质量现状监测点</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b w:val="0"/>
          <w:bCs/>
          <w:color w:val="auto"/>
          <w:kern w:val="0"/>
          <w:sz w:val="24"/>
          <w:szCs w:val="24"/>
          <w:highlight w:val="none"/>
          <w:lang w:val="en-US" w:eastAsia="zh-CN"/>
        </w:rPr>
        <w:t>监测点位布置见附图</w:t>
      </w:r>
      <w:r>
        <w:rPr>
          <w:rFonts w:hint="eastAsia" w:ascii="Times New Roman" w:cs="Times New Roman"/>
          <w:b w:val="0"/>
          <w:bCs/>
          <w:color w:val="auto"/>
          <w:kern w:val="0"/>
          <w:sz w:val="24"/>
          <w:szCs w:val="24"/>
          <w:highlight w:val="none"/>
          <w:lang w:val="en-US" w:eastAsia="zh-CN"/>
        </w:rPr>
        <w:t>11</w:t>
      </w:r>
      <w:r>
        <w:rPr>
          <w:rFonts w:hint="default" w:ascii="Times New Roman" w:hAnsi="Times New Roman" w:eastAsia="宋体" w:cs="Times New Roman"/>
          <w:b w:val="0"/>
          <w:bCs/>
          <w:color w:val="auto"/>
          <w:kern w:val="0"/>
          <w:sz w:val="24"/>
          <w:szCs w:val="24"/>
          <w:highlight w:val="none"/>
          <w:lang w:val="en-US" w:eastAsia="zh-CN"/>
        </w:rPr>
        <w:t>所示。</w:t>
      </w:r>
    </w:p>
    <w:p w14:paraId="50F72CF7">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（6）监测频次</w:t>
      </w:r>
    </w:p>
    <w:p w14:paraId="066BE055">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每个测点在稳定情况下监测5次，每次测量观测时间≥15s，并读取稳定状态的最大值。</w:t>
      </w:r>
    </w:p>
    <w:p w14:paraId="3CE0CFDE">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（7）监测时间、气象条件</w:t>
      </w:r>
    </w:p>
    <w:p w14:paraId="37ED96A4">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表3-1  现场检测环境条件一览表</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2526"/>
        <w:gridCol w:w="1826"/>
        <w:gridCol w:w="1789"/>
        <w:gridCol w:w="2213"/>
      </w:tblGrid>
      <w:tr w14:paraId="4500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87" w:type="pct"/>
            <w:vAlign w:val="center"/>
          </w:tcPr>
          <w:p w14:paraId="13707AF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序号</w:t>
            </w:r>
          </w:p>
        </w:tc>
        <w:tc>
          <w:tcPr>
            <w:tcW w:w="1394" w:type="pct"/>
            <w:vAlign w:val="center"/>
          </w:tcPr>
          <w:p w14:paraId="096DBF96">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项目名称</w:t>
            </w:r>
          </w:p>
        </w:tc>
        <w:tc>
          <w:tcPr>
            <w:tcW w:w="1008" w:type="pct"/>
            <w:vAlign w:val="center"/>
          </w:tcPr>
          <w:p w14:paraId="238D6365">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检测对象名称</w:t>
            </w:r>
          </w:p>
        </w:tc>
        <w:tc>
          <w:tcPr>
            <w:tcW w:w="987" w:type="pct"/>
            <w:vAlign w:val="center"/>
          </w:tcPr>
          <w:p w14:paraId="1ECF63D2">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检测时间</w:t>
            </w:r>
          </w:p>
        </w:tc>
        <w:tc>
          <w:tcPr>
            <w:tcW w:w="1221" w:type="pct"/>
            <w:vAlign w:val="center"/>
          </w:tcPr>
          <w:p w14:paraId="789D0D9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天气条件</w:t>
            </w:r>
          </w:p>
        </w:tc>
      </w:tr>
      <w:tr w14:paraId="7AAD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387" w:type="pct"/>
            <w:vAlign w:val="center"/>
          </w:tcPr>
          <w:p w14:paraId="232AECA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1</w:t>
            </w:r>
          </w:p>
        </w:tc>
        <w:tc>
          <w:tcPr>
            <w:tcW w:w="1394" w:type="pct"/>
            <w:vAlign w:val="center"/>
          </w:tcPr>
          <w:p w14:paraId="796E5EBC">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华润新能源额济纳旗100兆瓦风电项目配套220kV升压站工程</w:t>
            </w:r>
          </w:p>
        </w:tc>
        <w:tc>
          <w:tcPr>
            <w:tcW w:w="1008" w:type="pct"/>
            <w:vAlign w:val="center"/>
          </w:tcPr>
          <w:p w14:paraId="7B14E9AA">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升压站</w:t>
            </w:r>
            <w:r>
              <w:rPr>
                <w:rFonts w:hint="default" w:ascii="Times New Roman" w:hAnsi="Times New Roman" w:eastAsia="宋体" w:cs="Times New Roman"/>
                <w:color w:val="auto"/>
                <w:sz w:val="21"/>
                <w:highlight w:val="none"/>
                <w:lang w:val="en-US" w:eastAsia="zh-CN"/>
              </w:rPr>
              <w:t>检测点</w:t>
            </w:r>
          </w:p>
        </w:tc>
        <w:tc>
          <w:tcPr>
            <w:tcW w:w="987" w:type="pct"/>
            <w:vAlign w:val="center"/>
          </w:tcPr>
          <w:p w14:paraId="5FA3C878">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202</w:t>
            </w:r>
            <w:r>
              <w:rPr>
                <w:rFonts w:hint="default" w:ascii="Times New Roman" w:hAnsi="Times New Roman" w:cs="Times New Roman"/>
                <w:color w:val="auto"/>
                <w:sz w:val="21"/>
                <w:highlight w:val="none"/>
                <w:lang w:val="en-US" w:eastAsia="zh-CN"/>
              </w:rPr>
              <w:t>6</w:t>
            </w:r>
            <w:r>
              <w:rPr>
                <w:rFonts w:hint="default" w:ascii="Times New Roman" w:hAnsi="Times New Roman" w:eastAsia="宋体" w:cs="Times New Roman"/>
                <w:color w:val="auto"/>
                <w:sz w:val="21"/>
                <w:highlight w:val="none"/>
                <w:lang w:val="en-US" w:eastAsia="zh-CN"/>
              </w:rPr>
              <w:t>年</w:t>
            </w:r>
            <w:r>
              <w:rPr>
                <w:rFonts w:hint="default" w:ascii="Times New Roman" w:hAnsi="Times New Roman" w:cs="Times New Roman"/>
                <w:color w:val="auto"/>
                <w:sz w:val="21"/>
                <w:highlight w:val="none"/>
                <w:lang w:val="en-US" w:eastAsia="zh-CN"/>
              </w:rPr>
              <w:t>7</w:t>
            </w:r>
            <w:r>
              <w:rPr>
                <w:rFonts w:hint="default" w:ascii="Times New Roman" w:hAnsi="Times New Roman" w:eastAsia="宋体" w:cs="Times New Roman"/>
                <w:color w:val="auto"/>
                <w:sz w:val="21"/>
                <w:highlight w:val="none"/>
                <w:lang w:val="en-US" w:eastAsia="zh-CN"/>
              </w:rPr>
              <w:t>月</w:t>
            </w:r>
            <w:r>
              <w:rPr>
                <w:rFonts w:hint="default" w:ascii="Times New Roman" w:hAnsi="Times New Roman" w:cs="Times New Roman"/>
                <w:color w:val="auto"/>
                <w:sz w:val="21"/>
                <w:highlight w:val="none"/>
                <w:lang w:val="en-US" w:eastAsia="zh-CN"/>
              </w:rPr>
              <w:t>7</w:t>
            </w:r>
            <w:r>
              <w:rPr>
                <w:rFonts w:hint="default" w:ascii="Times New Roman" w:hAnsi="Times New Roman" w:eastAsia="宋体" w:cs="Times New Roman"/>
                <w:color w:val="auto"/>
                <w:sz w:val="21"/>
                <w:highlight w:val="none"/>
                <w:lang w:val="en-US" w:eastAsia="zh-CN"/>
              </w:rPr>
              <w:t>日</w:t>
            </w:r>
          </w:p>
        </w:tc>
        <w:tc>
          <w:tcPr>
            <w:tcW w:w="1221" w:type="pct"/>
            <w:vAlign w:val="center"/>
          </w:tcPr>
          <w:p w14:paraId="06A9BE82">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天气：</w:t>
            </w:r>
            <w:r>
              <w:rPr>
                <w:rFonts w:hint="default" w:ascii="Times New Roman" w:hAnsi="Times New Roman" w:cs="Times New Roman"/>
                <w:color w:val="auto"/>
                <w:sz w:val="21"/>
                <w:szCs w:val="21"/>
                <w:u w:val="single"/>
                <w:lang w:val="en-US" w:eastAsia="zh-CN"/>
              </w:rPr>
              <w:t>晴</w:t>
            </w:r>
          </w:p>
          <w:p w14:paraId="32A601B9">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温度：</w:t>
            </w:r>
            <w:r>
              <w:rPr>
                <w:rFonts w:hint="default" w:ascii="Times New Roman" w:hAnsi="Times New Roman" w:cs="Times New Roman"/>
                <w:color w:val="auto"/>
                <w:sz w:val="21"/>
                <w:szCs w:val="21"/>
                <w:u w:val="single"/>
                <w:lang w:val="en-US" w:eastAsia="zh-CN"/>
              </w:rPr>
              <w:t>31.2</w:t>
            </w:r>
            <w:r>
              <w:rPr>
                <w:rFonts w:hint="default" w:ascii="Times New Roman" w:hAnsi="Times New Roman" w:eastAsia="宋体" w:cs="Times New Roman"/>
                <w:color w:val="auto"/>
                <w:sz w:val="21"/>
                <w:szCs w:val="21"/>
                <w:highlight w:val="none"/>
                <w:lang w:val="en-US" w:eastAsia="zh-CN"/>
              </w:rPr>
              <w:t>（℃）</w:t>
            </w:r>
          </w:p>
          <w:p w14:paraId="080B694D">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风速：</w:t>
            </w:r>
            <w:r>
              <w:rPr>
                <w:rFonts w:hint="default" w:ascii="Times New Roman" w:hAnsi="Times New Roman" w:cs="Times New Roman"/>
                <w:color w:val="auto"/>
                <w:sz w:val="21"/>
                <w:szCs w:val="21"/>
                <w:u w:val="single"/>
                <w:lang w:val="en-US" w:eastAsia="zh-CN"/>
              </w:rPr>
              <w:t>2.5</w:t>
            </w:r>
            <w:r>
              <w:rPr>
                <w:rFonts w:hint="default" w:ascii="Times New Roman" w:hAnsi="Times New Roman" w:eastAsia="宋体" w:cs="Times New Roman"/>
                <w:color w:val="auto"/>
                <w:sz w:val="21"/>
                <w:szCs w:val="21"/>
                <w:highlight w:val="none"/>
                <w:lang w:val="en-US" w:eastAsia="zh-CN"/>
              </w:rPr>
              <w:t>（m/s）</w:t>
            </w:r>
          </w:p>
          <w:p w14:paraId="128FA7D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szCs w:val="21"/>
                <w:highlight w:val="none"/>
                <w:lang w:val="en-US" w:eastAsia="zh-CN"/>
              </w:rPr>
              <w:t>相对湿度：</w:t>
            </w:r>
            <w:r>
              <w:rPr>
                <w:rFonts w:hint="default" w:ascii="Times New Roman" w:hAnsi="Times New Roman" w:cs="Times New Roman"/>
                <w:color w:val="auto"/>
                <w:sz w:val="21"/>
                <w:szCs w:val="21"/>
                <w:u w:val="single"/>
                <w:lang w:val="en-US" w:eastAsia="zh-CN"/>
              </w:rPr>
              <w:t>29.6</w:t>
            </w:r>
            <w:r>
              <w:rPr>
                <w:rFonts w:hint="default" w:ascii="Times New Roman" w:hAnsi="Times New Roman" w:eastAsia="宋体" w:cs="Times New Roman"/>
                <w:color w:val="auto"/>
                <w:sz w:val="21"/>
                <w:szCs w:val="21"/>
                <w:highlight w:val="none"/>
                <w:lang w:val="en-US" w:eastAsia="zh-CN"/>
              </w:rPr>
              <w:t>(%)</w:t>
            </w:r>
          </w:p>
        </w:tc>
      </w:tr>
    </w:tbl>
    <w:p w14:paraId="39256785">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（8）监测结果</w:t>
      </w:r>
    </w:p>
    <w:p w14:paraId="5D544B59">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auto"/>
          <w:kern w:val="0"/>
          <w:sz w:val="24"/>
          <w:szCs w:val="24"/>
          <w:highlight w:val="none"/>
          <w:lang w:val="en-US" w:eastAsia="zh-CN"/>
        </w:rPr>
      </w:pPr>
      <w:r>
        <w:rPr>
          <w:rFonts w:hint="default" w:ascii="Times New Roman" w:hAnsi="Times New Roman" w:eastAsia="宋体" w:cs="Times New Roman"/>
          <w:b w:val="0"/>
          <w:bCs/>
          <w:color w:val="auto"/>
          <w:kern w:val="0"/>
          <w:sz w:val="24"/>
          <w:szCs w:val="24"/>
          <w:highlight w:val="none"/>
          <w:lang w:val="en-US" w:eastAsia="zh-CN"/>
        </w:rPr>
        <w:t>本工程工频电场强度、工频磁感应强度现状监测结果见下表</w:t>
      </w:r>
      <w:r>
        <w:rPr>
          <w:rFonts w:hint="default" w:ascii="Times New Roman" w:hAnsi="Times New Roman" w:cs="Times New Roman"/>
          <w:b w:val="0"/>
          <w:bCs/>
          <w:color w:val="auto"/>
          <w:kern w:val="0"/>
          <w:sz w:val="24"/>
          <w:szCs w:val="24"/>
          <w:highlight w:val="none"/>
          <w:lang w:val="en-US" w:eastAsia="zh-CN"/>
        </w:rPr>
        <w:t>3</w:t>
      </w:r>
      <w:r>
        <w:rPr>
          <w:rFonts w:hint="default" w:ascii="Times New Roman" w:hAnsi="Times New Roman" w:eastAsia="宋体" w:cs="Times New Roman"/>
          <w:b w:val="0"/>
          <w:bCs/>
          <w:color w:val="auto"/>
          <w:kern w:val="0"/>
          <w:sz w:val="24"/>
          <w:szCs w:val="24"/>
          <w:highlight w:val="none"/>
          <w:lang w:val="en-US" w:eastAsia="zh-CN"/>
        </w:rPr>
        <w:t>-</w:t>
      </w:r>
      <w:r>
        <w:rPr>
          <w:rFonts w:hint="default" w:ascii="Times New Roman" w:hAnsi="Times New Roman" w:cs="Times New Roman"/>
          <w:b w:val="0"/>
          <w:bCs/>
          <w:color w:val="auto"/>
          <w:kern w:val="0"/>
          <w:sz w:val="24"/>
          <w:szCs w:val="24"/>
          <w:highlight w:val="none"/>
          <w:lang w:val="en-US" w:eastAsia="zh-CN"/>
        </w:rPr>
        <w:t>2</w:t>
      </w:r>
      <w:r>
        <w:rPr>
          <w:rFonts w:hint="default" w:ascii="Times New Roman" w:hAnsi="Times New Roman" w:eastAsia="宋体" w:cs="Times New Roman"/>
          <w:b w:val="0"/>
          <w:bCs/>
          <w:color w:val="auto"/>
          <w:kern w:val="0"/>
          <w:sz w:val="24"/>
          <w:szCs w:val="24"/>
          <w:highlight w:val="none"/>
          <w:lang w:val="en-US" w:eastAsia="zh-CN"/>
        </w:rPr>
        <w:t>所示。</w:t>
      </w:r>
    </w:p>
    <w:p w14:paraId="3437F628">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表3-2   工频电场、工频磁场测量结果一览表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8"/>
        <w:gridCol w:w="2763"/>
        <w:gridCol w:w="2568"/>
        <w:gridCol w:w="1961"/>
      </w:tblGrid>
      <w:tr w14:paraId="5F11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4"/>
            <w:vAlign w:val="center"/>
          </w:tcPr>
          <w:p w14:paraId="141ECCB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检测对象名称：</w:t>
            </w:r>
            <w:r>
              <w:rPr>
                <w:rFonts w:hint="eastAsia" w:ascii="Times New Roman" w:hAnsi="Times New Roman" w:cs="Times New Roman"/>
                <w:color w:val="auto"/>
                <w:sz w:val="21"/>
                <w:highlight w:val="none"/>
                <w:lang w:val="en-US" w:eastAsia="zh-CN"/>
              </w:rPr>
              <w:t>升压站</w:t>
            </w:r>
          </w:p>
        </w:tc>
      </w:tr>
      <w:tr w14:paraId="61FD5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976" w:type="pct"/>
            <w:vMerge w:val="restart"/>
            <w:vAlign w:val="center"/>
          </w:tcPr>
          <w:p w14:paraId="29B85FF7">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编号</w:t>
            </w:r>
          </w:p>
        </w:tc>
        <w:tc>
          <w:tcPr>
            <w:tcW w:w="1525" w:type="pct"/>
            <w:vMerge w:val="restart"/>
            <w:vAlign w:val="center"/>
          </w:tcPr>
          <w:p w14:paraId="331CC71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检测点位置</w:t>
            </w:r>
          </w:p>
        </w:tc>
        <w:tc>
          <w:tcPr>
            <w:tcW w:w="2497" w:type="pct"/>
            <w:gridSpan w:val="2"/>
            <w:vAlign w:val="center"/>
          </w:tcPr>
          <w:p w14:paraId="7B59DD6E">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标准场强值</w:t>
            </w:r>
          </w:p>
        </w:tc>
      </w:tr>
      <w:tr w14:paraId="21EE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76" w:type="pct"/>
            <w:vMerge w:val="continue"/>
            <w:vAlign w:val="center"/>
          </w:tcPr>
          <w:p w14:paraId="5E8F37A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p>
        </w:tc>
        <w:tc>
          <w:tcPr>
            <w:tcW w:w="1525" w:type="pct"/>
            <w:vMerge w:val="continue"/>
            <w:vAlign w:val="center"/>
          </w:tcPr>
          <w:p w14:paraId="06541949">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p>
        </w:tc>
        <w:tc>
          <w:tcPr>
            <w:tcW w:w="1417" w:type="pct"/>
            <w:vAlign w:val="center"/>
          </w:tcPr>
          <w:p w14:paraId="375270F0">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电场强度（V/m）</w:t>
            </w:r>
          </w:p>
        </w:tc>
        <w:tc>
          <w:tcPr>
            <w:tcW w:w="1080" w:type="pct"/>
            <w:vAlign w:val="center"/>
          </w:tcPr>
          <w:p w14:paraId="745B8AB8">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磁感应强度(μT)</w:t>
            </w:r>
          </w:p>
        </w:tc>
      </w:tr>
      <w:tr w14:paraId="7F19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76" w:type="pct"/>
            <w:vAlign w:val="center"/>
          </w:tcPr>
          <w:p w14:paraId="294D99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szCs w:val="21"/>
                <w:lang w:val="en-US" w:eastAsia="zh-CN"/>
              </w:rPr>
              <w:t>0707A</w:t>
            </w:r>
            <w:r>
              <w:rPr>
                <w:rFonts w:hint="default" w:ascii="Times New Roman" w:hAnsi="Times New Roman" w:eastAsia="宋体" w:cs="Times New Roman"/>
                <w:color w:val="auto"/>
                <w:sz w:val="21"/>
                <w:szCs w:val="21"/>
                <w:lang w:val="en-US" w:eastAsia="zh-CN"/>
              </w:rPr>
              <w:t>01</w:t>
            </w:r>
          </w:p>
        </w:tc>
        <w:tc>
          <w:tcPr>
            <w:tcW w:w="1525" w:type="pct"/>
            <w:vAlign w:val="center"/>
          </w:tcPr>
          <w:p w14:paraId="5B17A6DB">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9#升压站围墙东侧外5m处</w:t>
            </w:r>
          </w:p>
        </w:tc>
        <w:tc>
          <w:tcPr>
            <w:tcW w:w="1417" w:type="pct"/>
            <w:vAlign w:val="center"/>
          </w:tcPr>
          <w:p w14:paraId="0CEBF4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highlight w:val="none"/>
                <w:lang w:val="en-US" w:eastAsia="zh-CN"/>
              </w:rPr>
            </w:pPr>
            <w:r>
              <w:rPr>
                <w:rFonts w:hint="eastAsia"/>
                <w:color w:val="auto"/>
                <w:szCs w:val="21"/>
                <w:lang w:val="en-US" w:eastAsia="zh-CN"/>
              </w:rPr>
              <w:t>0.2332</w:t>
            </w:r>
          </w:p>
        </w:tc>
        <w:tc>
          <w:tcPr>
            <w:tcW w:w="1080" w:type="pct"/>
            <w:vAlign w:val="center"/>
          </w:tcPr>
          <w:p w14:paraId="1BE42F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highlight w:val="none"/>
                <w:lang w:val="en-US" w:eastAsia="zh-CN"/>
              </w:rPr>
            </w:pPr>
            <w:r>
              <w:rPr>
                <w:rFonts w:hint="eastAsia"/>
                <w:color w:val="auto"/>
                <w:szCs w:val="21"/>
                <w:lang w:val="en-US" w:eastAsia="zh-CN"/>
              </w:rPr>
              <w:t>0.0135</w:t>
            </w:r>
          </w:p>
        </w:tc>
      </w:tr>
      <w:tr w14:paraId="766B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76" w:type="pct"/>
            <w:vAlign w:val="center"/>
          </w:tcPr>
          <w:p w14:paraId="6AAD87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szCs w:val="21"/>
                <w:lang w:val="en-US" w:eastAsia="zh-CN"/>
              </w:rPr>
              <w:t>0707A</w:t>
            </w:r>
            <w:r>
              <w:rPr>
                <w:rFonts w:hint="default" w:ascii="Times New Roman" w:hAnsi="Times New Roman" w:eastAsia="宋体"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2</w:t>
            </w:r>
          </w:p>
        </w:tc>
        <w:tc>
          <w:tcPr>
            <w:tcW w:w="1525" w:type="pct"/>
            <w:vAlign w:val="center"/>
          </w:tcPr>
          <w:p w14:paraId="0008A384">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10#升压站围墙南侧外5m处</w:t>
            </w:r>
          </w:p>
        </w:tc>
        <w:tc>
          <w:tcPr>
            <w:tcW w:w="1417" w:type="pct"/>
            <w:vAlign w:val="center"/>
          </w:tcPr>
          <w:p w14:paraId="28464E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highlight w:val="none"/>
                <w:lang w:val="en-US" w:eastAsia="zh-CN"/>
              </w:rPr>
            </w:pPr>
            <w:r>
              <w:rPr>
                <w:rFonts w:hint="eastAsia"/>
                <w:color w:val="auto"/>
                <w:szCs w:val="21"/>
                <w:lang w:val="en-US" w:eastAsia="zh-CN"/>
              </w:rPr>
              <w:t>0.2323</w:t>
            </w:r>
          </w:p>
        </w:tc>
        <w:tc>
          <w:tcPr>
            <w:tcW w:w="1080" w:type="pct"/>
            <w:vAlign w:val="center"/>
          </w:tcPr>
          <w:p w14:paraId="37A73C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highlight w:val="none"/>
                <w:lang w:val="en-US" w:eastAsia="zh-CN"/>
              </w:rPr>
            </w:pPr>
            <w:r>
              <w:rPr>
                <w:rFonts w:hint="eastAsia"/>
                <w:color w:val="auto"/>
                <w:szCs w:val="21"/>
                <w:lang w:val="en-US" w:eastAsia="zh-CN"/>
              </w:rPr>
              <w:t>0.0132</w:t>
            </w:r>
          </w:p>
        </w:tc>
      </w:tr>
      <w:tr w14:paraId="6A4A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76" w:type="pct"/>
            <w:vAlign w:val="center"/>
          </w:tcPr>
          <w:p w14:paraId="1003CF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szCs w:val="21"/>
                <w:lang w:val="en-US" w:eastAsia="zh-CN"/>
              </w:rPr>
              <w:t>0707A</w:t>
            </w:r>
            <w:r>
              <w:rPr>
                <w:rFonts w:hint="default" w:ascii="Times New Roman" w:hAnsi="Times New Roman" w:eastAsia="宋体"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3</w:t>
            </w:r>
          </w:p>
        </w:tc>
        <w:tc>
          <w:tcPr>
            <w:tcW w:w="1525" w:type="pct"/>
            <w:shd w:val="clear" w:color="auto" w:fill="auto"/>
            <w:vAlign w:val="center"/>
          </w:tcPr>
          <w:p w14:paraId="024B5D53">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11#升压站围墙西侧外5m处</w:t>
            </w:r>
          </w:p>
        </w:tc>
        <w:tc>
          <w:tcPr>
            <w:tcW w:w="1417" w:type="pct"/>
            <w:vAlign w:val="center"/>
          </w:tcPr>
          <w:p w14:paraId="5E97D4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highlight w:val="none"/>
                <w:lang w:val="en-US" w:eastAsia="zh-CN"/>
              </w:rPr>
            </w:pPr>
            <w:r>
              <w:rPr>
                <w:rFonts w:hint="eastAsia"/>
                <w:color w:val="auto"/>
                <w:szCs w:val="21"/>
                <w:lang w:val="en-US" w:eastAsia="zh-CN"/>
              </w:rPr>
              <w:t>0.2376</w:t>
            </w:r>
          </w:p>
        </w:tc>
        <w:tc>
          <w:tcPr>
            <w:tcW w:w="1080" w:type="pct"/>
            <w:vAlign w:val="center"/>
          </w:tcPr>
          <w:p w14:paraId="7E3D8C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highlight w:val="none"/>
                <w:lang w:val="en-US" w:eastAsia="zh-CN"/>
              </w:rPr>
            </w:pPr>
            <w:r>
              <w:rPr>
                <w:rFonts w:hint="eastAsia"/>
                <w:color w:val="auto"/>
                <w:szCs w:val="21"/>
                <w:lang w:val="en-US" w:eastAsia="zh-CN"/>
              </w:rPr>
              <w:t>0.0142</w:t>
            </w:r>
          </w:p>
        </w:tc>
      </w:tr>
      <w:tr w14:paraId="7B24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76" w:type="pct"/>
            <w:vAlign w:val="center"/>
          </w:tcPr>
          <w:p w14:paraId="62635E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szCs w:val="21"/>
                <w:lang w:val="en-US" w:eastAsia="zh-CN"/>
              </w:rPr>
              <w:t>0707A</w:t>
            </w:r>
            <w:r>
              <w:rPr>
                <w:rFonts w:hint="default" w:ascii="Times New Roman" w:hAnsi="Times New Roman" w:eastAsia="宋体" w:cs="Times New Roman"/>
                <w:color w:val="auto"/>
                <w:sz w:val="21"/>
                <w:szCs w:val="21"/>
                <w:lang w:val="en-US" w:eastAsia="zh-CN"/>
              </w:rPr>
              <w:t>0</w:t>
            </w:r>
            <w:r>
              <w:rPr>
                <w:rFonts w:hint="eastAsia" w:ascii="Times New Roman" w:hAnsi="Times New Roman" w:eastAsia="宋体" w:cs="Times New Roman"/>
                <w:color w:val="auto"/>
                <w:sz w:val="21"/>
                <w:szCs w:val="21"/>
                <w:lang w:val="en-US" w:eastAsia="zh-CN"/>
              </w:rPr>
              <w:t>4</w:t>
            </w:r>
          </w:p>
        </w:tc>
        <w:tc>
          <w:tcPr>
            <w:tcW w:w="1525" w:type="pct"/>
            <w:shd w:val="clear" w:color="auto" w:fill="auto"/>
            <w:vAlign w:val="center"/>
          </w:tcPr>
          <w:p w14:paraId="49D2CE1C">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12#升压站围墙北侧外5m处</w:t>
            </w:r>
          </w:p>
        </w:tc>
        <w:tc>
          <w:tcPr>
            <w:tcW w:w="1417" w:type="pct"/>
            <w:vAlign w:val="center"/>
          </w:tcPr>
          <w:p w14:paraId="48DB5C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highlight w:val="none"/>
                <w:lang w:val="en-US" w:eastAsia="zh-CN"/>
              </w:rPr>
            </w:pPr>
            <w:r>
              <w:rPr>
                <w:rFonts w:hint="eastAsia"/>
                <w:color w:val="auto"/>
                <w:szCs w:val="21"/>
                <w:lang w:val="en-US" w:eastAsia="zh-CN"/>
              </w:rPr>
              <w:t>0.2259</w:t>
            </w:r>
          </w:p>
        </w:tc>
        <w:tc>
          <w:tcPr>
            <w:tcW w:w="1080" w:type="pct"/>
            <w:vAlign w:val="center"/>
          </w:tcPr>
          <w:p w14:paraId="46F43A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highlight w:val="none"/>
                <w:lang w:val="en-US" w:eastAsia="zh-CN"/>
              </w:rPr>
            </w:pPr>
            <w:r>
              <w:rPr>
                <w:rFonts w:hint="eastAsia"/>
                <w:color w:val="auto"/>
                <w:szCs w:val="21"/>
                <w:lang w:val="en-US" w:eastAsia="zh-CN"/>
              </w:rPr>
              <w:t>0.0128</w:t>
            </w:r>
          </w:p>
        </w:tc>
      </w:tr>
      <w:tr w14:paraId="4817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000" w:type="pct"/>
            <w:gridSpan w:val="4"/>
            <w:vAlign w:val="center"/>
          </w:tcPr>
          <w:p w14:paraId="45CEBCEB">
            <w:pPr>
              <w:pStyle w:val="65"/>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 xml:space="preserve">注：标准场强值=（电场强度/磁感应强度）5次检测数据平均值×校准因子       </w:t>
            </w:r>
          </w:p>
          <w:p w14:paraId="6348DC6B">
            <w:pPr>
              <w:pStyle w:val="65"/>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工频电场校准因子：（0.97） 磁感应强度校准因子：（0.94）</w:t>
            </w:r>
          </w:p>
        </w:tc>
      </w:tr>
      <w:tr w14:paraId="736C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vAlign w:val="center"/>
          </w:tcPr>
          <w:p w14:paraId="7FF02C96">
            <w:pPr>
              <w:pStyle w:val="65"/>
              <w:keepNext w:val="0"/>
              <w:keepLines w:val="0"/>
              <w:suppressLineNumbers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color w:val="auto"/>
                <w:sz w:val="21"/>
                <w:highlight w:val="none"/>
                <w:lang w:val="en-US" w:eastAsia="zh-CN"/>
              </w:rPr>
              <w:t>检测要求：每个点连续测5次，每次时间15秒，并读取稳定状态最大值；如读数是波动的，应每1min读一个数，取5min的平均值作为测量读数；探头距地面高度1.5m、检测人员与探头距离不小于2.5m。</w:t>
            </w:r>
          </w:p>
        </w:tc>
      </w:tr>
    </w:tbl>
    <w:p w14:paraId="71775BD4">
      <w:pPr>
        <w:pStyle w:val="4"/>
        <w:bidi w:val="0"/>
        <w:spacing w:line="360" w:lineRule="auto"/>
        <w:rPr>
          <w:rFonts w:hint="default" w:ascii="Times New Roman" w:hAnsi="Times New Roman" w:cs="Times New Roman" w:eastAsiaTheme="majorEastAsia"/>
          <w:color w:val="auto"/>
          <w:sz w:val="24"/>
          <w:szCs w:val="24"/>
          <w:highlight w:val="none"/>
          <w:lang w:eastAsia="zh-CN"/>
        </w:rPr>
      </w:pPr>
      <w:r>
        <w:rPr>
          <w:rFonts w:hint="default" w:ascii="Times New Roman" w:hAnsi="Times New Roman" w:cs="Times New Roman" w:eastAsiaTheme="majorEastAsia"/>
          <w:color w:val="auto"/>
          <w:sz w:val="24"/>
          <w:szCs w:val="24"/>
          <w:highlight w:val="none"/>
          <w:lang w:eastAsia="zh-CN"/>
        </w:rPr>
        <w:t>3.1.2 工频电场、工频磁场环境现状评价</w:t>
      </w:r>
    </w:p>
    <w:p w14:paraId="5E164BB9">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0"/>
          <w:highlight w:val="none"/>
          <w:lang w:eastAsia="zh"/>
        </w:rPr>
        <w:t>现状监测结果表明</w:t>
      </w:r>
      <w:r>
        <w:rPr>
          <w:rFonts w:hint="default" w:ascii="Times New Roman" w:hAnsi="Times New Roman" w:eastAsia="宋体" w:cs="Times New Roman"/>
          <w:color w:val="auto"/>
          <w:kern w:val="0"/>
          <w:sz w:val="24"/>
          <w:szCs w:val="20"/>
          <w:highlight w:val="none"/>
          <w:lang w:eastAsia="zh-CN"/>
        </w:rPr>
        <w:t>：</w:t>
      </w:r>
      <w:r>
        <w:rPr>
          <w:rFonts w:hint="eastAsia" w:ascii="Times New Roman" w:cs="Times New Roman"/>
          <w:color w:val="auto"/>
          <w:kern w:val="0"/>
          <w:sz w:val="24"/>
          <w:szCs w:val="20"/>
          <w:highlight w:val="none"/>
          <w:lang w:val="en-US" w:eastAsia="zh-CN"/>
        </w:rPr>
        <w:t>升压</w:t>
      </w:r>
      <w:r>
        <w:rPr>
          <w:rFonts w:hint="default" w:ascii="Times New Roman" w:hAnsi="Times New Roman" w:cs="Times New Roman"/>
          <w:color w:val="auto"/>
          <w:kern w:val="0"/>
          <w:sz w:val="24"/>
          <w:szCs w:val="20"/>
          <w:highlight w:val="none"/>
          <w:lang w:val="en-US" w:eastAsia="zh-CN"/>
        </w:rPr>
        <w:t>站厂界</w:t>
      </w:r>
      <w:r>
        <w:rPr>
          <w:rFonts w:hint="default" w:ascii="Times New Roman" w:hAnsi="Times New Roman" w:eastAsia="宋体" w:cs="Times New Roman"/>
          <w:color w:val="auto"/>
          <w:kern w:val="0"/>
          <w:sz w:val="24"/>
          <w:szCs w:val="20"/>
          <w:highlight w:val="none"/>
          <w:lang w:eastAsia="zh"/>
        </w:rPr>
        <w:t>处工频电场强度为（</w:t>
      </w:r>
      <w:r>
        <w:rPr>
          <w:rFonts w:hint="eastAsia" w:ascii="Times New Roman" w:hAnsi="Times New Roman" w:cs="Times New Roman"/>
          <w:color w:val="auto"/>
          <w:kern w:val="0"/>
          <w:sz w:val="24"/>
          <w:szCs w:val="20"/>
          <w:highlight w:val="none"/>
          <w:lang w:val="en-US" w:eastAsia="zh-CN"/>
        </w:rPr>
        <w:t>0.2259</w:t>
      </w:r>
      <w:r>
        <w:rPr>
          <w:rFonts w:hint="default" w:ascii="Times New Roman" w:hAnsi="Times New Roman" w:eastAsia="宋体" w:cs="Times New Roman"/>
          <w:color w:val="auto"/>
          <w:kern w:val="0"/>
          <w:sz w:val="24"/>
          <w:szCs w:val="20"/>
          <w:highlight w:val="none"/>
          <w:lang w:eastAsia="zh"/>
        </w:rPr>
        <w:t>～</w:t>
      </w:r>
      <w:r>
        <w:rPr>
          <w:rFonts w:hint="eastAsia" w:ascii="Times New Roman" w:hAnsi="Times New Roman" w:cs="Times New Roman"/>
          <w:color w:val="auto"/>
          <w:kern w:val="0"/>
          <w:sz w:val="24"/>
          <w:szCs w:val="20"/>
          <w:highlight w:val="none"/>
          <w:lang w:val="en-US" w:eastAsia="zh-CN"/>
        </w:rPr>
        <w:t>0.2376</w:t>
      </w:r>
      <w:r>
        <w:rPr>
          <w:rFonts w:hint="default" w:ascii="Times New Roman" w:hAnsi="Times New Roman" w:eastAsia="宋体" w:cs="Times New Roman"/>
          <w:color w:val="auto"/>
          <w:kern w:val="0"/>
          <w:sz w:val="24"/>
          <w:szCs w:val="20"/>
          <w:highlight w:val="none"/>
          <w:lang w:eastAsia="zh"/>
        </w:rPr>
        <w:t>）V/m，工频磁感应强度为（0.0</w:t>
      </w:r>
      <w:r>
        <w:rPr>
          <w:rFonts w:hint="eastAsia" w:ascii="Times New Roman" w:hAnsi="Times New Roman" w:cs="Times New Roman"/>
          <w:color w:val="auto"/>
          <w:kern w:val="0"/>
          <w:sz w:val="24"/>
          <w:szCs w:val="20"/>
          <w:highlight w:val="none"/>
          <w:lang w:val="en-US" w:eastAsia="zh-CN"/>
        </w:rPr>
        <w:t>128</w:t>
      </w:r>
      <w:r>
        <w:rPr>
          <w:rFonts w:hint="default" w:ascii="Times New Roman" w:hAnsi="Times New Roman" w:eastAsia="宋体" w:cs="Times New Roman"/>
          <w:color w:val="auto"/>
          <w:kern w:val="0"/>
          <w:sz w:val="24"/>
          <w:szCs w:val="20"/>
          <w:highlight w:val="none"/>
          <w:lang w:eastAsia="zh"/>
        </w:rPr>
        <w:t>～0.</w:t>
      </w:r>
      <w:r>
        <w:rPr>
          <w:rFonts w:hint="default" w:ascii="Times New Roman" w:hAnsi="Times New Roman" w:cs="Times New Roman"/>
          <w:color w:val="auto"/>
          <w:kern w:val="0"/>
          <w:sz w:val="24"/>
          <w:szCs w:val="20"/>
          <w:highlight w:val="none"/>
          <w:lang w:val="en-US" w:eastAsia="zh-CN"/>
        </w:rPr>
        <w:t>0</w:t>
      </w:r>
      <w:r>
        <w:rPr>
          <w:rFonts w:hint="eastAsia" w:ascii="Times New Roman" w:hAnsi="Times New Roman" w:cs="Times New Roman"/>
          <w:color w:val="auto"/>
          <w:kern w:val="0"/>
          <w:sz w:val="24"/>
          <w:szCs w:val="20"/>
          <w:highlight w:val="none"/>
          <w:lang w:val="en-US" w:eastAsia="zh-CN"/>
        </w:rPr>
        <w:t>142</w:t>
      </w:r>
      <w:r>
        <w:rPr>
          <w:rFonts w:hint="default" w:ascii="Times New Roman" w:hAnsi="Times New Roman" w:eastAsia="宋体" w:cs="Times New Roman"/>
          <w:color w:val="auto"/>
          <w:kern w:val="0"/>
          <w:sz w:val="24"/>
          <w:szCs w:val="20"/>
          <w:highlight w:val="none"/>
          <w:lang w:eastAsia="zh"/>
        </w:rPr>
        <w:t>）μT</w:t>
      </w:r>
      <w:r>
        <w:rPr>
          <w:rFonts w:hint="eastAsia" w:ascii="Times New Roman" w:hAnsi="Times New Roman" w:cs="Times New Roman"/>
          <w:color w:val="auto"/>
          <w:kern w:val="0"/>
          <w:sz w:val="24"/>
          <w:szCs w:val="20"/>
          <w:highlight w:val="none"/>
          <w:lang w:eastAsia="zh-CN"/>
        </w:rPr>
        <w:t>，</w:t>
      </w:r>
      <w:r>
        <w:rPr>
          <w:rFonts w:hint="default" w:ascii="Times New Roman" w:hAnsi="Times New Roman" w:cs="Times New Roman"/>
          <w:color w:val="auto"/>
          <w:kern w:val="0"/>
          <w:sz w:val="24"/>
          <w:szCs w:val="20"/>
          <w:highlight w:val="none"/>
          <w:lang w:val="en-US" w:eastAsia="zh-CN"/>
        </w:rPr>
        <w:t>均</w:t>
      </w:r>
      <w:r>
        <w:rPr>
          <w:rFonts w:hint="default" w:ascii="Times New Roman" w:hAnsi="Times New Roman" w:eastAsia="宋体" w:cs="Times New Roman"/>
          <w:color w:val="auto"/>
          <w:kern w:val="0"/>
          <w:sz w:val="24"/>
          <w:szCs w:val="20"/>
          <w:highlight w:val="none"/>
          <w:lang w:eastAsia="zh"/>
        </w:rPr>
        <w:t>满足</w:t>
      </w:r>
      <w:r>
        <w:rPr>
          <w:rFonts w:hint="default" w:ascii="Times New Roman" w:hAnsi="Times New Roman" w:eastAsia="宋体" w:cs="Times New Roman"/>
          <w:color w:val="auto"/>
          <w:sz w:val="23"/>
          <w:szCs w:val="24"/>
          <w:highlight w:val="none"/>
        </w:rPr>
        <w:t>《电磁环境控制限值》（</w:t>
      </w:r>
      <w:r>
        <w:rPr>
          <w:rFonts w:hint="default" w:ascii="Times New Roman" w:hAnsi="Times New Roman" w:eastAsia="Times New Roman" w:cs="Times New Roman"/>
          <w:color w:val="auto"/>
          <w:sz w:val="23"/>
          <w:szCs w:val="24"/>
          <w:highlight w:val="none"/>
        </w:rPr>
        <w:t>GB8702-2014</w:t>
      </w:r>
      <w:r>
        <w:rPr>
          <w:rFonts w:hint="default" w:ascii="Times New Roman" w:hAnsi="Times New Roman" w:eastAsia="宋体" w:cs="Times New Roman"/>
          <w:color w:val="auto"/>
          <w:sz w:val="23"/>
          <w:szCs w:val="24"/>
          <w:highlight w:val="none"/>
        </w:rPr>
        <w:t>），</w:t>
      </w:r>
      <w:r>
        <w:rPr>
          <w:rFonts w:hint="default" w:ascii="Times New Roman" w:hAnsi="Times New Roman" w:eastAsia="Times New Roman" w:cs="Times New Roman"/>
          <w:color w:val="auto"/>
          <w:sz w:val="23"/>
          <w:szCs w:val="24"/>
          <w:highlight w:val="none"/>
        </w:rPr>
        <w:t>50Hz</w:t>
      </w:r>
      <w:r>
        <w:rPr>
          <w:rFonts w:hint="default" w:ascii="Times New Roman" w:hAnsi="Times New Roman" w:eastAsia="宋体" w:cs="Times New Roman"/>
          <w:color w:val="auto"/>
          <w:sz w:val="23"/>
          <w:szCs w:val="24"/>
          <w:highlight w:val="none"/>
        </w:rPr>
        <w:t>频率下，环境中工频电场强度的公众曝露控制限值</w:t>
      </w:r>
      <w:r>
        <w:rPr>
          <w:rFonts w:hint="default" w:ascii="Times New Roman" w:hAnsi="Times New Roman" w:eastAsia="Times New Roman" w:cs="Times New Roman"/>
          <w:color w:val="auto"/>
          <w:sz w:val="23"/>
          <w:szCs w:val="24"/>
          <w:highlight w:val="none"/>
        </w:rPr>
        <w:t>4000V/m</w:t>
      </w:r>
      <w:r>
        <w:rPr>
          <w:rFonts w:hint="default" w:ascii="Times New Roman" w:hAnsi="Times New Roman" w:eastAsia="宋体" w:cs="Times New Roman"/>
          <w:color w:val="auto"/>
          <w:sz w:val="23"/>
          <w:szCs w:val="24"/>
          <w:highlight w:val="none"/>
        </w:rPr>
        <w:t>和工频磁感应强度公众曝露控制限值</w:t>
      </w:r>
      <w:r>
        <w:rPr>
          <w:rFonts w:hint="default" w:ascii="Times New Roman" w:hAnsi="Times New Roman" w:eastAsia="Times New Roman" w:cs="Times New Roman"/>
          <w:color w:val="auto"/>
          <w:sz w:val="23"/>
          <w:szCs w:val="24"/>
          <w:highlight w:val="none"/>
        </w:rPr>
        <w:t>100μT</w:t>
      </w:r>
      <w:r>
        <w:rPr>
          <w:rFonts w:hint="default" w:ascii="Times New Roman" w:hAnsi="Times New Roman" w:eastAsia="宋体" w:cs="Times New Roman"/>
          <w:color w:val="auto"/>
          <w:sz w:val="23"/>
          <w:szCs w:val="24"/>
          <w:highlight w:val="none"/>
        </w:rPr>
        <w:t>的标准要求。</w:t>
      </w:r>
    </w:p>
    <w:p w14:paraId="71DF1E1E">
      <w:pPr>
        <w:pStyle w:val="3"/>
        <w:bidi w:val="0"/>
        <w:spacing w:line="360" w:lineRule="auto"/>
        <w:rPr>
          <w:rFonts w:hint="default" w:ascii="Times New Roman" w:hAnsi="Times New Roman" w:cs="Times New Roman" w:eastAsiaTheme="majorEastAsia"/>
          <w:color w:val="auto"/>
          <w:sz w:val="28"/>
          <w:szCs w:val="28"/>
          <w:highlight w:val="none"/>
          <w:lang w:eastAsia="zh-CN"/>
        </w:rPr>
      </w:pPr>
      <w:r>
        <w:rPr>
          <w:rFonts w:hint="default" w:ascii="Times New Roman" w:hAnsi="Times New Roman" w:cs="Times New Roman" w:eastAsiaTheme="majorEastAsia"/>
          <w:color w:val="auto"/>
          <w:sz w:val="28"/>
          <w:szCs w:val="28"/>
          <w:highlight w:val="none"/>
          <w:lang w:eastAsia="zh-CN"/>
        </w:rPr>
        <w:t>3.2 电磁环境影响分析</w:t>
      </w:r>
    </w:p>
    <w:p w14:paraId="271C6B5E">
      <w:pPr>
        <w:pStyle w:val="4"/>
        <w:bidi w:val="0"/>
        <w:spacing w:line="360" w:lineRule="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eastAsia="zh-CN"/>
        </w:rPr>
        <w:t xml:space="preserve">3.2.1 </w:t>
      </w:r>
      <w:r>
        <w:rPr>
          <w:rFonts w:hint="default" w:ascii="Times New Roman" w:hAnsi="Times New Roman" w:eastAsia="宋体" w:cs="Times New Roman"/>
          <w:b/>
          <w:bCs/>
          <w:color w:val="auto"/>
          <w:sz w:val="24"/>
          <w:szCs w:val="24"/>
          <w:highlight w:val="none"/>
          <w:lang w:val="en-US" w:eastAsia="zh-CN"/>
        </w:rPr>
        <w:t>升压站</w:t>
      </w:r>
      <w:r>
        <w:rPr>
          <w:rFonts w:hint="default" w:ascii="Times New Roman" w:hAnsi="Times New Roman" w:eastAsia="宋体" w:cs="Times New Roman"/>
          <w:b/>
          <w:bCs/>
          <w:color w:val="auto"/>
          <w:sz w:val="24"/>
          <w:szCs w:val="24"/>
          <w:highlight w:val="none"/>
          <w:lang w:eastAsia="zh-CN"/>
        </w:rPr>
        <w:t>电磁环境影响分析</w:t>
      </w:r>
    </w:p>
    <w:p w14:paraId="54EF1BC6">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color w:val="auto"/>
          <w:kern w:val="0"/>
          <w:sz w:val="24"/>
          <w:szCs w:val="20"/>
          <w:highlight w:val="none"/>
          <w:lang w:val="en-US" w:eastAsia="zh-CN"/>
        </w:rPr>
        <w:t>升压站</w:t>
      </w:r>
      <w:r>
        <w:rPr>
          <w:rFonts w:hint="default" w:ascii="Times New Roman" w:hAnsi="Times New Roman" w:eastAsia="宋体" w:cs="Times New Roman"/>
          <w:color w:val="auto"/>
          <w:kern w:val="0"/>
          <w:sz w:val="24"/>
          <w:szCs w:val="20"/>
          <w:highlight w:val="none"/>
        </w:rPr>
        <w:t>电磁环境影响预测采用类比监测方式，将类比监测结果与评价标准直接比较的方法进行评价。</w:t>
      </w:r>
    </w:p>
    <w:p w14:paraId="45EB48E4">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color w:val="auto"/>
          <w:kern w:val="0"/>
          <w:sz w:val="24"/>
          <w:szCs w:val="20"/>
          <w:highlight w:val="none"/>
          <w:lang w:val="en-US" w:eastAsia="zh-CN"/>
        </w:rPr>
      </w:pPr>
      <w:r>
        <w:rPr>
          <w:rFonts w:hint="default" w:ascii="Times New Roman" w:hAnsi="Times New Roman" w:cs="Times New Roman"/>
          <w:b/>
          <w:bCs/>
          <w:color w:val="auto"/>
          <w:kern w:val="0"/>
          <w:sz w:val="24"/>
          <w:szCs w:val="20"/>
          <w:highlight w:val="none"/>
          <w:lang w:val="en-US" w:eastAsia="zh-CN"/>
        </w:rPr>
        <w:t>1、类比对象及可行性分析</w:t>
      </w:r>
    </w:p>
    <w:p w14:paraId="6A4CEB57">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t xml:space="preserve">为了解本项目投入运行后产生工频电磁场对周围环境的影响，本项目选择山东能源内蒙杭锦旗伊和乌素风电场100MW工程升压站新建工程220kV升压站作为类比监测对象，进行本项目电磁环境影响预测与评价。 </w:t>
      </w:r>
    </w:p>
    <w:p w14:paraId="66310C85">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0000FF"/>
          <w:kern w:val="0"/>
          <w:sz w:val="24"/>
          <w:szCs w:val="20"/>
          <w:highlight w:val="none"/>
          <w:lang w:val="en-US" w:eastAsia="zh-CN"/>
        </w:rPr>
      </w:pPr>
      <w:r>
        <w:rPr>
          <w:rFonts w:hint="default" w:ascii="Times New Roman" w:hAnsi="Times New Roman" w:cs="Times New Roman"/>
          <w:color w:val="000000" w:themeColor="text1"/>
          <w:kern w:val="0"/>
          <w:sz w:val="24"/>
          <w:szCs w:val="20"/>
          <w:highlight w:val="none"/>
          <w:lang w:val="en-US" w:eastAsia="zh-CN"/>
          <w14:textFill>
            <w14:solidFill>
              <w14:schemeClr w14:val="tx1"/>
            </w14:solidFill>
          </w14:textFill>
        </w:rPr>
        <w:t>电磁环境影响预测类比监测报告见附件13，本工</w:t>
      </w:r>
      <w:r>
        <w:rPr>
          <w:rFonts w:hint="default" w:ascii="Times New Roman" w:hAnsi="Times New Roman" w:cs="Times New Roman"/>
          <w:color w:val="auto"/>
          <w:kern w:val="0"/>
          <w:sz w:val="24"/>
          <w:szCs w:val="20"/>
          <w:highlight w:val="none"/>
          <w:lang w:val="en-US" w:eastAsia="zh-CN"/>
        </w:rPr>
        <w:t>程升压站与类比</w:t>
      </w:r>
      <w:r>
        <w:rPr>
          <w:rFonts w:hint="eastAsia" w:cs="Times New Roman"/>
          <w:color w:val="auto"/>
          <w:kern w:val="0"/>
          <w:sz w:val="24"/>
          <w:szCs w:val="20"/>
          <w:highlight w:val="none"/>
          <w:lang w:val="en-US" w:eastAsia="zh-CN"/>
        </w:rPr>
        <w:t>升压站</w:t>
      </w:r>
      <w:r>
        <w:rPr>
          <w:rFonts w:hint="default" w:ascii="Times New Roman" w:hAnsi="Times New Roman" w:cs="Times New Roman"/>
          <w:color w:val="auto"/>
          <w:kern w:val="0"/>
          <w:sz w:val="24"/>
          <w:szCs w:val="20"/>
          <w:highlight w:val="none"/>
          <w:lang w:val="en-US" w:eastAsia="zh-CN"/>
        </w:rPr>
        <w:t>工程对比情况详见下表。</w:t>
      </w:r>
    </w:p>
    <w:p w14:paraId="373E6145">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表3</w:t>
      </w:r>
      <w:r>
        <w:rPr>
          <w:rFonts w:hint="default" w:ascii="Times New Roman" w:hAnsi="Times New Roman" w:cs="Times New Roman"/>
          <w:b/>
          <w:bCs w:val="0"/>
          <w:color w:val="auto"/>
          <w:sz w:val="21"/>
          <w:szCs w:val="21"/>
          <w:highlight w:val="none"/>
          <w:lang w:val="en-US" w:eastAsia="zh-CN"/>
        </w:rPr>
        <w:t>-3</w:t>
      </w:r>
      <w:r>
        <w:rPr>
          <w:rFonts w:hint="default" w:ascii="Times New Roman" w:hAnsi="Times New Roman" w:eastAsia="宋体" w:cs="Times New Roman"/>
          <w:b/>
          <w:bCs w:val="0"/>
          <w:color w:val="auto"/>
          <w:sz w:val="21"/>
          <w:szCs w:val="21"/>
          <w:highlight w:val="none"/>
          <w:lang w:val="en-US" w:eastAsia="zh-CN"/>
        </w:rPr>
        <w:t xml:space="preserve">  本项目升压站与类比变电站工程对比情况表</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8"/>
        <w:gridCol w:w="2906"/>
        <w:gridCol w:w="2968"/>
        <w:gridCol w:w="1493"/>
      </w:tblGrid>
      <w:tr w14:paraId="7C1B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932" w:type="pct"/>
            <w:shd w:val="clear" w:color="auto" w:fill="auto"/>
            <w:vAlign w:val="center"/>
          </w:tcPr>
          <w:p w14:paraId="1D66DB97">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项目</w:t>
            </w:r>
          </w:p>
        </w:tc>
        <w:tc>
          <w:tcPr>
            <w:tcW w:w="1604" w:type="pct"/>
            <w:shd w:val="clear" w:color="auto" w:fill="auto"/>
            <w:vAlign w:val="center"/>
          </w:tcPr>
          <w:p w14:paraId="52B134A7">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本工程</w:t>
            </w:r>
          </w:p>
          <w:p w14:paraId="24755256">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eastAsia="宋体" w:cs="Times New Roman"/>
                <w:color w:val="auto"/>
                <w:sz w:val="21"/>
                <w:highlight w:val="none"/>
                <w:lang w:val="en-US" w:eastAsia="zh-CN"/>
              </w:rPr>
              <w:t>220千伏</w:t>
            </w:r>
            <w:r>
              <w:rPr>
                <w:rFonts w:hint="default" w:ascii="Times New Roman" w:hAnsi="Times New Roman" w:cs="Times New Roman"/>
                <w:color w:val="auto"/>
                <w:sz w:val="21"/>
                <w:highlight w:val="none"/>
                <w:lang w:val="en-US" w:eastAsia="zh-CN"/>
              </w:rPr>
              <w:t>升压</w:t>
            </w:r>
            <w:r>
              <w:rPr>
                <w:rFonts w:hint="default" w:ascii="Times New Roman" w:hAnsi="Times New Roman" w:eastAsia="宋体" w:cs="Times New Roman"/>
                <w:b w:val="0"/>
                <w:bCs/>
                <w:color w:val="auto"/>
                <w:sz w:val="21"/>
                <w:szCs w:val="21"/>
                <w:highlight w:val="none"/>
                <w:lang w:val="en-US" w:eastAsia="zh-CN"/>
              </w:rPr>
              <w:t>站]</w:t>
            </w:r>
          </w:p>
        </w:tc>
        <w:tc>
          <w:tcPr>
            <w:tcW w:w="1638" w:type="pct"/>
            <w:shd w:val="clear" w:color="auto" w:fill="auto"/>
            <w:vAlign w:val="center"/>
          </w:tcPr>
          <w:p w14:paraId="70693E41">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类比工程</w:t>
            </w:r>
          </w:p>
          <w:p w14:paraId="3177CA60">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[山东能源内蒙杭锦旗伊和乌素风电场100MW工程升压站新建工程220kV升压站]</w:t>
            </w:r>
          </w:p>
        </w:tc>
        <w:tc>
          <w:tcPr>
            <w:tcW w:w="824" w:type="pct"/>
            <w:shd w:val="clear" w:color="auto" w:fill="auto"/>
            <w:vAlign w:val="center"/>
          </w:tcPr>
          <w:p w14:paraId="2C58740F">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类比可行性</w:t>
            </w:r>
          </w:p>
        </w:tc>
      </w:tr>
      <w:tr w14:paraId="71E9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932" w:type="pct"/>
            <w:shd w:val="clear" w:color="auto" w:fill="auto"/>
            <w:vAlign w:val="center"/>
          </w:tcPr>
          <w:p w14:paraId="37DA454E">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建设规模</w:t>
            </w:r>
          </w:p>
        </w:tc>
        <w:tc>
          <w:tcPr>
            <w:tcW w:w="1604" w:type="pct"/>
            <w:shd w:val="clear" w:color="auto" w:fill="auto"/>
            <w:vAlign w:val="center"/>
          </w:tcPr>
          <w:p w14:paraId="198E9375">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cs="Times New Roman"/>
                <w:b w:val="0"/>
                <w:bCs/>
                <w:color w:val="auto"/>
                <w:sz w:val="21"/>
                <w:szCs w:val="21"/>
                <w:highlight w:val="none"/>
                <w:lang w:val="en-US" w:eastAsia="zh-CN"/>
              </w:rPr>
              <w:t>1</w:t>
            </w:r>
            <w:r>
              <w:rPr>
                <w:rFonts w:hint="eastAsia" w:ascii="Times New Roman" w:cs="Times New Roman"/>
                <w:b w:val="0"/>
                <w:bCs/>
                <w:color w:val="auto"/>
                <w:sz w:val="21"/>
                <w:szCs w:val="21"/>
                <w:highlight w:val="none"/>
                <w:lang w:val="en-US" w:eastAsia="zh-CN"/>
              </w:rPr>
              <w:t>0</w:t>
            </w:r>
            <w:r>
              <w:rPr>
                <w:rFonts w:hint="default" w:ascii="Times New Roman" w:hAnsi="Times New Roman" w:cs="Times New Roman"/>
                <w:b w:val="0"/>
                <w:bCs/>
                <w:color w:val="auto"/>
                <w:sz w:val="21"/>
                <w:szCs w:val="21"/>
                <w:highlight w:val="none"/>
                <w:lang w:val="en-US" w:eastAsia="zh-CN"/>
              </w:rPr>
              <w:t>0</w:t>
            </w:r>
            <w:r>
              <w:rPr>
                <w:rFonts w:hint="default" w:ascii="Times New Roman" w:hAnsi="Times New Roman" w:eastAsia="宋体" w:cs="Times New Roman"/>
                <w:b w:val="0"/>
                <w:bCs/>
                <w:color w:val="auto"/>
                <w:sz w:val="21"/>
                <w:szCs w:val="21"/>
                <w:highlight w:val="none"/>
                <w:lang w:val="en-US" w:eastAsia="zh-CN"/>
              </w:rPr>
              <w:t>MVA</w:t>
            </w:r>
            <w:r>
              <w:rPr>
                <w:rFonts w:hint="default" w:ascii="Times New Roman" w:hAnsi="Times New Roman" w:cs="Times New Roman"/>
                <w:b w:val="0"/>
                <w:bCs/>
                <w:color w:val="auto"/>
                <w:sz w:val="21"/>
                <w:szCs w:val="21"/>
                <w:highlight w:val="none"/>
                <w:lang w:val="en-US" w:eastAsia="zh-CN"/>
              </w:rPr>
              <w:t>主变</w:t>
            </w:r>
          </w:p>
        </w:tc>
        <w:tc>
          <w:tcPr>
            <w:tcW w:w="1638" w:type="pct"/>
            <w:shd w:val="clear" w:color="auto" w:fill="auto"/>
            <w:vAlign w:val="center"/>
          </w:tcPr>
          <w:p w14:paraId="2C09C2DE">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w:t>
            </w:r>
            <w:r>
              <w:rPr>
                <w:rFonts w:hint="default" w:ascii="Times New Roman" w:hAnsi="Times New Roman" w:cs="Times New Roman"/>
                <w:b w:val="0"/>
                <w:bCs/>
                <w:color w:val="auto"/>
                <w:sz w:val="21"/>
                <w:szCs w:val="21"/>
                <w:highlight w:val="none"/>
                <w:lang w:val="en-US" w:eastAsia="zh-CN"/>
              </w:rPr>
              <w:t>1</w:t>
            </w:r>
            <w:r>
              <w:rPr>
                <w:rFonts w:hint="eastAsia" w:ascii="Times New Roman" w:cs="Times New Roman"/>
                <w:b w:val="0"/>
                <w:bCs/>
                <w:color w:val="auto"/>
                <w:sz w:val="21"/>
                <w:szCs w:val="21"/>
                <w:highlight w:val="none"/>
                <w:lang w:val="en-US" w:eastAsia="zh-CN"/>
              </w:rPr>
              <w:t>0</w:t>
            </w:r>
            <w:r>
              <w:rPr>
                <w:rFonts w:hint="default" w:ascii="Times New Roman" w:hAnsi="Times New Roman" w:cs="Times New Roman"/>
                <w:b w:val="0"/>
                <w:bCs/>
                <w:color w:val="auto"/>
                <w:sz w:val="21"/>
                <w:szCs w:val="21"/>
                <w:highlight w:val="none"/>
                <w:lang w:val="en-US" w:eastAsia="zh-CN"/>
              </w:rPr>
              <w:t>0</w:t>
            </w:r>
            <w:r>
              <w:rPr>
                <w:rFonts w:hint="default" w:ascii="Times New Roman" w:hAnsi="Times New Roman" w:eastAsia="宋体" w:cs="Times New Roman"/>
                <w:b w:val="0"/>
                <w:bCs/>
                <w:color w:val="auto"/>
                <w:sz w:val="21"/>
                <w:szCs w:val="21"/>
                <w:highlight w:val="none"/>
                <w:lang w:val="en-US" w:eastAsia="zh-CN"/>
              </w:rPr>
              <w:t>MVA</w:t>
            </w:r>
            <w:r>
              <w:rPr>
                <w:rFonts w:hint="default" w:ascii="Times New Roman" w:hAnsi="Times New Roman" w:cs="Times New Roman"/>
                <w:b w:val="0"/>
                <w:bCs/>
                <w:color w:val="auto"/>
                <w:sz w:val="21"/>
                <w:szCs w:val="21"/>
                <w:highlight w:val="none"/>
                <w:lang w:val="en-US" w:eastAsia="zh-CN"/>
              </w:rPr>
              <w:t>主变</w:t>
            </w:r>
          </w:p>
        </w:tc>
        <w:tc>
          <w:tcPr>
            <w:tcW w:w="824" w:type="pct"/>
            <w:shd w:val="clear" w:color="auto" w:fill="auto"/>
            <w:vAlign w:val="center"/>
          </w:tcPr>
          <w:p w14:paraId="5A45AB26">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cs="Times New Roman"/>
                <w:b w:val="0"/>
                <w:bCs/>
                <w:color w:val="auto"/>
                <w:sz w:val="21"/>
                <w:szCs w:val="21"/>
                <w:highlight w:val="none"/>
                <w:lang w:val="en-US" w:eastAsia="zh-CN"/>
              </w:rPr>
              <w:t>相同</w:t>
            </w:r>
          </w:p>
        </w:tc>
      </w:tr>
      <w:tr w14:paraId="5D91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932" w:type="pct"/>
            <w:shd w:val="clear" w:color="auto" w:fill="auto"/>
            <w:vAlign w:val="center"/>
          </w:tcPr>
          <w:p w14:paraId="59558CB6">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电压等级</w:t>
            </w:r>
          </w:p>
        </w:tc>
        <w:tc>
          <w:tcPr>
            <w:tcW w:w="1604" w:type="pct"/>
            <w:shd w:val="clear" w:color="auto" w:fill="auto"/>
            <w:vAlign w:val="center"/>
          </w:tcPr>
          <w:p w14:paraId="4B49B7F0">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220kV</w:t>
            </w:r>
          </w:p>
        </w:tc>
        <w:tc>
          <w:tcPr>
            <w:tcW w:w="1638" w:type="pct"/>
            <w:shd w:val="clear" w:color="auto" w:fill="auto"/>
            <w:vAlign w:val="center"/>
          </w:tcPr>
          <w:p w14:paraId="3927B58A">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220kV</w:t>
            </w:r>
          </w:p>
        </w:tc>
        <w:tc>
          <w:tcPr>
            <w:tcW w:w="824" w:type="pct"/>
            <w:shd w:val="clear" w:color="auto" w:fill="auto"/>
            <w:vAlign w:val="center"/>
          </w:tcPr>
          <w:p w14:paraId="70046F91">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相同</w:t>
            </w:r>
          </w:p>
        </w:tc>
      </w:tr>
      <w:tr w14:paraId="5B62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2" w:type="pct"/>
            <w:shd w:val="clear" w:color="auto" w:fill="auto"/>
            <w:vAlign w:val="center"/>
          </w:tcPr>
          <w:p w14:paraId="4709AEA5">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主变容量</w:t>
            </w:r>
          </w:p>
        </w:tc>
        <w:tc>
          <w:tcPr>
            <w:tcW w:w="1604" w:type="pct"/>
            <w:shd w:val="clear" w:color="auto" w:fill="auto"/>
            <w:vAlign w:val="center"/>
          </w:tcPr>
          <w:p w14:paraId="56471C5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100</w:t>
            </w:r>
            <w:r>
              <w:rPr>
                <w:rFonts w:hint="default" w:ascii="Times New Roman" w:hAnsi="Times New Roman" w:eastAsia="宋体" w:cs="Times New Roman"/>
                <w:b w:val="0"/>
                <w:bCs/>
                <w:color w:val="auto"/>
                <w:sz w:val="21"/>
                <w:szCs w:val="21"/>
                <w:highlight w:val="none"/>
                <w:lang w:val="en-US" w:eastAsia="zh-CN"/>
              </w:rPr>
              <w:t>MVA</w:t>
            </w:r>
          </w:p>
        </w:tc>
        <w:tc>
          <w:tcPr>
            <w:tcW w:w="1638" w:type="pct"/>
            <w:shd w:val="clear" w:color="auto" w:fill="auto"/>
            <w:vAlign w:val="center"/>
          </w:tcPr>
          <w:p w14:paraId="0CD03B39">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1</w:t>
            </w:r>
            <w:r>
              <w:rPr>
                <w:rFonts w:hint="eastAsia" w:ascii="Times New Roman" w:cs="Times New Roman"/>
                <w:b w:val="0"/>
                <w:bCs/>
                <w:color w:val="auto"/>
                <w:sz w:val="21"/>
                <w:szCs w:val="21"/>
                <w:highlight w:val="none"/>
                <w:lang w:val="en-US" w:eastAsia="zh-CN"/>
              </w:rPr>
              <w:t>0</w:t>
            </w:r>
            <w:r>
              <w:rPr>
                <w:rFonts w:hint="default" w:ascii="Times New Roman" w:hAnsi="Times New Roman" w:cs="Times New Roman"/>
                <w:b w:val="0"/>
                <w:bCs/>
                <w:color w:val="auto"/>
                <w:sz w:val="21"/>
                <w:szCs w:val="21"/>
                <w:highlight w:val="none"/>
                <w:lang w:val="en-US" w:eastAsia="zh-CN"/>
              </w:rPr>
              <w:t>0MVA</w:t>
            </w:r>
          </w:p>
        </w:tc>
        <w:tc>
          <w:tcPr>
            <w:tcW w:w="824" w:type="pct"/>
            <w:shd w:val="clear" w:color="auto" w:fill="auto"/>
            <w:vAlign w:val="center"/>
          </w:tcPr>
          <w:p w14:paraId="4C7B3C86">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cs="Times New Roman"/>
                <w:b w:val="0"/>
                <w:bCs/>
                <w:color w:val="auto"/>
                <w:sz w:val="21"/>
                <w:szCs w:val="21"/>
                <w:highlight w:val="none"/>
                <w:lang w:val="en-US" w:eastAsia="zh-CN"/>
              </w:rPr>
              <w:t>相同</w:t>
            </w:r>
          </w:p>
        </w:tc>
      </w:tr>
      <w:tr w14:paraId="4CAD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32" w:type="pct"/>
            <w:shd w:val="clear" w:color="auto" w:fill="auto"/>
            <w:vAlign w:val="center"/>
          </w:tcPr>
          <w:p w14:paraId="4DC6EA07">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出线间隔回数</w:t>
            </w:r>
          </w:p>
        </w:tc>
        <w:tc>
          <w:tcPr>
            <w:tcW w:w="1604" w:type="pct"/>
            <w:shd w:val="clear" w:color="auto" w:fill="auto"/>
            <w:vAlign w:val="center"/>
          </w:tcPr>
          <w:p w14:paraId="7C945750">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lang w:val="en-US" w:eastAsia="zh-CN"/>
              </w:rPr>
              <w:t>回</w:t>
            </w:r>
          </w:p>
        </w:tc>
        <w:tc>
          <w:tcPr>
            <w:tcW w:w="1638" w:type="pct"/>
            <w:shd w:val="clear" w:color="auto" w:fill="auto"/>
            <w:vAlign w:val="center"/>
          </w:tcPr>
          <w:p w14:paraId="4BD9CDF9">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b w:val="0"/>
                <w:bCs/>
                <w:color w:val="auto"/>
                <w:sz w:val="21"/>
                <w:szCs w:val="21"/>
                <w:highlight w:val="none"/>
                <w:lang w:val="en-US" w:eastAsia="zh-CN"/>
              </w:rPr>
            </w:pPr>
            <w:r>
              <w:rPr>
                <w:rFonts w:hint="eastAsia" w:ascii="Times New Roman" w:cs="Times New Roman"/>
                <w:b w:val="0"/>
                <w:bCs/>
                <w:color w:val="auto"/>
                <w:sz w:val="21"/>
                <w:szCs w:val="21"/>
                <w:highlight w:val="none"/>
                <w:lang w:val="en-US" w:eastAsia="zh-CN"/>
              </w:rPr>
              <w:t>5</w:t>
            </w:r>
            <w:r>
              <w:rPr>
                <w:rFonts w:hint="default" w:ascii="Times New Roman" w:hAnsi="Times New Roman" w:cs="Times New Roman"/>
                <w:b w:val="0"/>
                <w:bCs/>
                <w:color w:val="auto"/>
                <w:sz w:val="21"/>
                <w:szCs w:val="21"/>
                <w:highlight w:val="none"/>
                <w:lang w:val="en-US" w:eastAsia="zh-CN"/>
              </w:rPr>
              <w:t>回</w:t>
            </w:r>
          </w:p>
        </w:tc>
        <w:tc>
          <w:tcPr>
            <w:tcW w:w="824" w:type="pct"/>
            <w:shd w:val="clear" w:color="auto" w:fill="auto"/>
            <w:vAlign w:val="center"/>
          </w:tcPr>
          <w:p w14:paraId="19E3BD1C">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小</w:t>
            </w:r>
            <w:r>
              <w:rPr>
                <w:rFonts w:hint="default" w:ascii="Times New Roman" w:hAnsi="Times New Roman" w:eastAsia="宋体" w:cs="Times New Roman"/>
                <w:b w:val="0"/>
                <w:bCs/>
                <w:color w:val="auto"/>
                <w:sz w:val="21"/>
                <w:szCs w:val="21"/>
                <w:highlight w:val="none"/>
                <w:lang w:val="en-US" w:eastAsia="zh-CN"/>
              </w:rPr>
              <w:t>于类比工程</w:t>
            </w:r>
          </w:p>
        </w:tc>
      </w:tr>
      <w:tr w14:paraId="126C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2" w:type="pct"/>
            <w:shd w:val="clear" w:color="auto" w:fill="auto"/>
            <w:vAlign w:val="center"/>
          </w:tcPr>
          <w:p w14:paraId="500B2340">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主变布置形式</w:t>
            </w:r>
          </w:p>
        </w:tc>
        <w:tc>
          <w:tcPr>
            <w:tcW w:w="1604" w:type="pct"/>
            <w:shd w:val="clear" w:color="auto" w:fill="auto"/>
            <w:vAlign w:val="center"/>
          </w:tcPr>
          <w:p w14:paraId="0010CCCC">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户外</w:t>
            </w:r>
          </w:p>
        </w:tc>
        <w:tc>
          <w:tcPr>
            <w:tcW w:w="1638" w:type="pct"/>
            <w:shd w:val="clear" w:color="auto" w:fill="auto"/>
            <w:vAlign w:val="center"/>
          </w:tcPr>
          <w:p w14:paraId="76F73253">
            <w:pPr>
              <w:pStyle w:val="65"/>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户外</w:t>
            </w:r>
          </w:p>
        </w:tc>
        <w:tc>
          <w:tcPr>
            <w:tcW w:w="824" w:type="pct"/>
            <w:shd w:val="clear" w:color="auto" w:fill="auto"/>
            <w:vAlign w:val="center"/>
          </w:tcPr>
          <w:p w14:paraId="282E9DD6">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相同</w:t>
            </w:r>
          </w:p>
        </w:tc>
      </w:tr>
      <w:tr w14:paraId="3CB5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32" w:type="pct"/>
            <w:shd w:val="clear" w:color="auto" w:fill="auto"/>
            <w:vAlign w:val="center"/>
          </w:tcPr>
          <w:p w14:paraId="5357B790">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占地面积</w:t>
            </w:r>
          </w:p>
        </w:tc>
        <w:tc>
          <w:tcPr>
            <w:tcW w:w="1604" w:type="pct"/>
            <w:shd w:val="clear" w:color="auto" w:fill="auto"/>
            <w:vAlign w:val="center"/>
          </w:tcPr>
          <w:p w14:paraId="1EA1A847">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cs="Times New Roman"/>
                <w:b w:val="0"/>
                <w:bCs/>
                <w:color w:val="auto"/>
                <w:sz w:val="21"/>
                <w:szCs w:val="21"/>
                <w:highlight w:val="none"/>
                <w:lang w:val="en-US" w:eastAsia="zh-CN"/>
              </w:rPr>
              <w:t>9004.39</w:t>
            </w:r>
            <w:r>
              <w:rPr>
                <w:rFonts w:hint="default" w:ascii="Times New Roman" w:hAnsi="Times New Roman" w:eastAsia="宋体" w:cs="Times New Roman"/>
                <w:b w:val="0"/>
                <w:bCs/>
                <w:color w:val="auto"/>
                <w:sz w:val="21"/>
                <w:szCs w:val="21"/>
                <w:highlight w:val="none"/>
                <w:lang w:val="en-US" w:eastAsia="zh-CN"/>
              </w:rPr>
              <w:t>m</w:t>
            </w:r>
            <w:r>
              <w:rPr>
                <w:rFonts w:hint="default" w:ascii="Times New Roman" w:hAnsi="Times New Roman" w:eastAsia="宋体" w:cs="Times New Roman"/>
                <w:b w:val="0"/>
                <w:bCs/>
                <w:color w:val="auto"/>
                <w:sz w:val="21"/>
                <w:szCs w:val="21"/>
                <w:highlight w:val="none"/>
                <w:vertAlign w:val="superscript"/>
                <w:lang w:val="en-US" w:eastAsia="zh-CN"/>
              </w:rPr>
              <w:t>2</w:t>
            </w:r>
          </w:p>
        </w:tc>
        <w:tc>
          <w:tcPr>
            <w:tcW w:w="1638" w:type="pct"/>
            <w:shd w:val="clear" w:color="auto" w:fill="auto"/>
            <w:vAlign w:val="center"/>
          </w:tcPr>
          <w:p w14:paraId="755F2B42">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cs="Times New Roman"/>
                <w:b w:val="0"/>
                <w:bCs/>
                <w:color w:val="auto"/>
                <w:sz w:val="21"/>
                <w:szCs w:val="21"/>
                <w:highlight w:val="none"/>
                <w:lang w:val="en-US" w:eastAsia="zh-CN"/>
              </w:rPr>
              <w:t>9375</w:t>
            </w:r>
            <w:r>
              <w:rPr>
                <w:rFonts w:hint="default" w:ascii="Times New Roman" w:hAnsi="Times New Roman" w:eastAsia="宋体" w:cs="Times New Roman"/>
                <w:b w:val="0"/>
                <w:bCs/>
                <w:color w:val="auto"/>
                <w:sz w:val="21"/>
                <w:szCs w:val="21"/>
                <w:highlight w:val="none"/>
                <w:lang w:val="en-US" w:eastAsia="zh-CN"/>
              </w:rPr>
              <w:t>m</w:t>
            </w:r>
            <w:r>
              <w:rPr>
                <w:rFonts w:hint="default" w:ascii="Times New Roman" w:hAnsi="Times New Roman" w:eastAsia="宋体" w:cs="Times New Roman"/>
                <w:b w:val="0"/>
                <w:bCs/>
                <w:color w:val="auto"/>
                <w:sz w:val="21"/>
                <w:szCs w:val="21"/>
                <w:highlight w:val="none"/>
                <w:vertAlign w:val="superscript"/>
                <w:lang w:val="en-US" w:eastAsia="zh-CN"/>
              </w:rPr>
              <w:t>2</w:t>
            </w:r>
          </w:p>
        </w:tc>
        <w:tc>
          <w:tcPr>
            <w:tcW w:w="824" w:type="pct"/>
            <w:shd w:val="clear" w:color="auto" w:fill="auto"/>
            <w:vAlign w:val="center"/>
          </w:tcPr>
          <w:p w14:paraId="4C3300C4">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cs="Times New Roman"/>
                <w:b w:val="0"/>
                <w:bCs/>
                <w:color w:val="auto"/>
                <w:sz w:val="21"/>
                <w:szCs w:val="21"/>
                <w:highlight w:val="none"/>
                <w:lang w:val="en-US" w:eastAsia="zh-CN"/>
              </w:rPr>
              <w:t>相似</w:t>
            </w:r>
          </w:p>
        </w:tc>
      </w:tr>
    </w:tbl>
    <w:p w14:paraId="729B346C">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t>由上表可知，本工程升压站和类比的山东能源内蒙杭锦旗伊和乌素风电场100MW工程升压站新建工程220kV升压站电压等级相同，而工频电场仅和运行电压、变电站布置型式相关。</w:t>
      </w:r>
    </w:p>
    <w:p w14:paraId="7C8EF106">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t>根据相关资料，本工程升压站和类比的山东能源内蒙杭锦旗伊和乌素风电场100MW工程升压站新建工程220kV升压站电压等级</w:t>
      </w:r>
      <w:r>
        <w:rPr>
          <w:rFonts w:hint="eastAsia" w:cs="Times New Roman"/>
          <w:color w:val="auto"/>
          <w:kern w:val="0"/>
          <w:sz w:val="24"/>
          <w:szCs w:val="20"/>
          <w:highlight w:val="none"/>
          <w:lang w:val="en-US" w:eastAsia="zh-CN"/>
        </w:rPr>
        <w:t>、</w:t>
      </w:r>
      <w:r>
        <w:rPr>
          <w:rFonts w:hint="default" w:ascii="Times New Roman" w:hAnsi="Times New Roman" w:cs="Times New Roman"/>
          <w:color w:val="auto"/>
          <w:kern w:val="0"/>
          <w:sz w:val="24"/>
          <w:szCs w:val="20"/>
          <w:highlight w:val="none"/>
          <w:lang w:val="en-US" w:eastAsia="zh-CN"/>
        </w:rPr>
        <w:t>建设规模、主变容量相同，变电站布置型式均为户外式，出线数量低于类比工程，占地面积</w:t>
      </w:r>
      <w:r>
        <w:rPr>
          <w:rFonts w:hint="eastAsia" w:cs="Times New Roman"/>
          <w:color w:val="auto"/>
          <w:kern w:val="0"/>
          <w:sz w:val="24"/>
          <w:szCs w:val="20"/>
          <w:highlight w:val="none"/>
          <w:lang w:val="en-US" w:eastAsia="zh-CN"/>
        </w:rPr>
        <w:t>与</w:t>
      </w:r>
      <w:r>
        <w:rPr>
          <w:rFonts w:hint="default" w:ascii="Times New Roman" w:hAnsi="Times New Roman" w:cs="Times New Roman"/>
          <w:color w:val="auto"/>
          <w:kern w:val="0"/>
          <w:sz w:val="24"/>
          <w:szCs w:val="20"/>
          <w:highlight w:val="none"/>
          <w:lang w:val="en-US" w:eastAsia="zh-CN"/>
        </w:rPr>
        <w:t>类比工程</w:t>
      </w:r>
      <w:r>
        <w:rPr>
          <w:rFonts w:hint="eastAsia" w:cs="Times New Roman"/>
          <w:color w:val="auto"/>
          <w:kern w:val="0"/>
          <w:sz w:val="24"/>
          <w:szCs w:val="20"/>
          <w:highlight w:val="none"/>
          <w:lang w:val="en-US" w:eastAsia="zh-CN"/>
        </w:rPr>
        <w:t>相似</w:t>
      </w:r>
      <w:r>
        <w:rPr>
          <w:rFonts w:hint="default" w:ascii="Times New Roman" w:hAnsi="Times New Roman" w:cs="Times New Roman"/>
          <w:color w:val="auto"/>
          <w:kern w:val="0"/>
          <w:sz w:val="24"/>
          <w:szCs w:val="20"/>
          <w:highlight w:val="none"/>
          <w:lang w:val="en-US" w:eastAsia="zh-CN"/>
        </w:rPr>
        <w:t>，故本次评价选择山东能源内蒙杭锦旗伊和乌素风电场100MW工程升压站新建工程220kV升压站作为类比对象具有可行性，其类比监测结果能代表本工程升压站投运后的电磁环境影响。</w:t>
      </w:r>
    </w:p>
    <w:p w14:paraId="56223755">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p>
    <w:p w14:paraId="209AEB82">
      <w:pPr>
        <w:keepNext w:val="0"/>
        <w:keepLines w:val="0"/>
        <w:suppressLineNumbers w:val="0"/>
        <w:spacing w:before="0" w:beforeAutospacing="0" w:after="0" w:afterAutospacing="0" w:line="360" w:lineRule="auto"/>
        <w:ind w:left="0" w:right="0" w:firstLine="480"/>
        <w:rPr>
          <w:rFonts w:hint="default" w:ascii="Times New Roman" w:hAnsi="Times New Roman" w:cs="Times New Roman"/>
          <w:b/>
          <w:bCs/>
          <w:color w:val="auto"/>
          <w:kern w:val="0"/>
          <w:sz w:val="24"/>
          <w:szCs w:val="20"/>
          <w:highlight w:val="none"/>
          <w:lang w:val="en-US" w:eastAsia="zh-CN"/>
        </w:rPr>
      </w:pPr>
      <w:r>
        <w:rPr>
          <w:rFonts w:hint="default" w:ascii="Times New Roman" w:hAnsi="Times New Roman" w:cs="Times New Roman"/>
          <w:b/>
          <w:bCs/>
          <w:color w:val="auto"/>
          <w:kern w:val="0"/>
          <w:sz w:val="24"/>
          <w:szCs w:val="20"/>
          <w:highlight w:val="none"/>
          <w:lang w:val="en-US" w:eastAsia="zh-CN"/>
        </w:rPr>
        <w:t>2、类比监测</w:t>
      </w:r>
    </w:p>
    <w:p w14:paraId="3CA4CB9B">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t>（1）监测单位</w:t>
      </w:r>
    </w:p>
    <w:p w14:paraId="111F3AC4">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t>内蒙古华盛环境科技有限公司</w:t>
      </w:r>
    </w:p>
    <w:p w14:paraId="17E1D3EA">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t>（2）监测时间及频率</w:t>
      </w:r>
    </w:p>
    <w:p w14:paraId="66C95CE4">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t>监测时间：202</w:t>
      </w:r>
      <w:r>
        <w:rPr>
          <w:rFonts w:hint="eastAsia" w:cs="Times New Roman"/>
          <w:color w:val="auto"/>
          <w:kern w:val="0"/>
          <w:sz w:val="24"/>
          <w:szCs w:val="20"/>
          <w:highlight w:val="none"/>
          <w:lang w:val="en-US" w:eastAsia="zh-CN"/>
        </w:rPr>
        <w:t>3</w:t>
      </w:r>
      <w:r>
        <w:rPr>
          <w:rFonts w:hint="default" w:ascii="Times New Roman" w:hAnsi="Times New Roman" w:cs="Times New Roman"/>
          <w:color w:val="auto"/>
          <w:kern w:val="0"/>
          <w:sz w:val="24"/>
          <w:szCs w:val="20"/>
          <w:highlight w:val="none"/>
          <w:lang w:val="en-US" w:eastAsia="zh-CN"/>
        </w:rPr>
        <w:t>年10月</w:t>
      </w:r>
      <w:r>
        <w:rPr>
          <w:rFonts w:hint="eastAsia" w:cs="Times New Roman"/>
          <w:color w:val="auto"/>
          <w:kern w:val="0"/>
          <w:sz w:val="24"/>
          <w:szCs w:val="20"/>
          <w:highlight w:val="none"/>
          <w:lang w:val="en-US" w:eastAsia="zh-CN"/>
        </w:rPr>
        <w:t>26</w:t>
      </w:r>
      <w:r>
        <w:rPr>
          <w:rFonts w:hint="default" w:ascii="Times New Roman" w:hAnsi="Times New Roman" w:cs="Times New Roman"/>
          <w:color w:val="auto"/>
          <w:kern w:val="0"/>
          <w:sz w:val="24"/>
          <w:szCs w:val="20"/>
          <w:highlight w:val="none"/>
          <w:lang w:val="en-US" w:eastAsia="zh-CN"/>
        </w:rPr>
        <w:t>日</w:t>
      </w:r>
    </w:p>
    <w:p w14:paraId="5A6C0FEC">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t>（</w:t>
      </w:r>
      <w:r>
        <w:rPr>
          <w:rFonts w:hint="eastAsia" w:cs="Times New Roman"/>
          <w:color w:val="auto"/>
          <w:kern w:val="0"/>
          <w:sz w:val="24"/>
          <w:szCs w:val="20"/>
          <w:highlight w:val="none"/>
          <w:lang w:val="en-US" w:eastAsia="zh-CN"/>
        </w:rPr>
        <w:t>3</w:t>
      </w:r>
      <w:r>
        <w:rPr>
          <w:rFonts w:hint="default" w:ascii="Times New Roman" w:hAnsi="Times New Roman" w:cs="Times New Roman"/>
          <w:color w:val="auto"/>
          <w:kern w:val="0"/>
          <w:sz w:val="24"/>
          <w:szCs w:val="20"/>
          <w:highlight w:val="none"/>
          <w:lang w:val="en-US" w:eastAsia="zh-CN"/>
        </w:rPr>
        <w:t>）运行工况</w:t>
      </w:r>
    </w:p>
    <w:p w14:paraId="40885EDE">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表3</w:t>
      </w:r>
      <w:r>
        <w:rPr>
          <w:rFonts w:hint="default" w:ascii="Times New Roman" w:hAnsi="Times New Roman" w:cs="Times New Roman"/>
          <w:b/>
          <w:bCs w:val="0"/>
          <w:color w:val="auto"/>
          <w:sz w:val="21"/>
          <w:szCs w:val="21"/>
          <w:highlight w:val="none"/>
          <w:lang w:val="en-US" w:eastAsia="zh-CN"/>
        </w:rPr>
        <w:t>-</w:t>
      </w:r>
      <w:r>
        <w:rPr>
          <w:rFonts w:hint="eastAsia" w:ascii="Times New Roman" w:cs="Times New Roman"/>
          <w:b/>
          <w:bCs w:val="0"/>
          <w:color w:val="auto"/>
          <w:sz w:val="21"/>
          <w:szCs w:val="21"/>
          <w:highlight w:val="none"/>
          <w:lang w:val="en-US" w:eastAsia="zh-CN"/>
        </w:rPr>
        <w:t>4</w:t>
      </w:r>
      <w:r>
        <w:rPr>
          <w:rFonts w:hint="default" w:ascii="Times New Roman" w:hAnsi="Times New Roman" w:eastAsia="宋体" w:cs="Times New Roman"/>
          <w:b/>
          <w:bCs w:val="0"/>
          <w:color w:val="auto"/>
          <w:sz w:val="21"/>
          <w:szCs w:val="21"/>
          <w:highlight w:val="none"/>
          <w:lang w:val="en-US" w:eastAsia="zh-CN"/>
        </w:rPr>
        <w:t xml:space="preserve"> 类比的山东能源内蒙杭锦旗伊和乌素风电场100MW工程升压站新建工程220kV升压站监测期间运行工况</w:t>
      </w:r>
    </w:p>
    <w:tbl>
      <w:tblPr>
        <w:tblStyle w:val="106"/>
        <w:tblW w:w="87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3"/>
        <w:gridCol w:w="2930"/>
        <w:gridCol w:w="1035"/>
        <w:gridCol w:w="1120"/>
        <w:gridCol w:w="1192"/>
        <w:gridCol w:w="1602"/>
      </w:tblGrid>
      <w:tr w14:paraId="0B940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823" w:type="dxa"/>
            <w:vAlign w:val="center"/>
          </w:tcPr>
          <w:p w14:paraId="03114BEC">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序号</w:t>
            </w:r>
          </w:p>
        </w:tc>
        <w:tc>
          <w:tcPr>
            <w:tcW w:w="2930" w:type="dxa"/>
            <w:shd w:val="clear" w:color="auto" w:fill="auto"/>
            <w:vAlign w:val="center"/>
          </w:tcPr>
          <w:p w14:paraId="24A343B9">
            <w:pPr>
              <w:pStyle w:val="105"/>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lang w:val="en-US" w:eastAsia="en-US" w:bidi="ar-SA"/>
              </w:rPr>
            </w:pPr>
            <w:r>
              <w:rPr>
                <w:rFonts w:hint="default" w:ascii="Times New Roman" w:hAnsi="Times New Roman" w:cs="Times New Roman"/>
                <w:color w:val="auto"/>
                <w:spacing w:val="0"/>
                <w:sz w:val="21"/>
                <w:szCs w:val="21"/>
              </w:rPr>
              <w:t>设备名称</w:t>
            </w:r>
          </w:p>
        </w:tc>
        <w:tc>
          <w:tcPr>
            <w:tcW w:w="1035" w:type="dxa"/>
            <w:shd w:val="clear" w:color="auto" w:fill="auto"/>
            <w:vAlign w:val="center"/>
          </w:tcPr>
          <w:p w14:paraId="05F042CA">
            <w:pPr>
              <w:pStyle w:val="105"/>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lang w:val="en-US" w:eastAsia="en-US" w:bidi="ar-SA"/>
              </w:rPr>
            </w:pPr>
            <w:r>
              <w:rPr>
                <w:rFonts w:hint="default" w:ascii="Times New Roman" w:hAnsi="Times New Roman" w:cs="Times New Roman"/>
                <w:color w:val="auto"/>
                <w:spacing w:val="0"/>
                <w:sz w:val="21"/>
                <w:szCs w:val="21"/>
              </w:rPr>
              <w:t>电压（kV）</w:t>
            </w:r>
          </w:p>
        </w:tc>
        <w:tc>
          <w:tcPr>
            <w:tcW w:w="1120" w:type="dxa"/>
            <w:shd w:val="clear" w:color="auto" w:fill="auto"/>
            <w:vAlign w:val="center"/>
          </w:tcPr>
          <w:p w14:paraId="29D4EFB9">
            <w:pPr>
              <w:pStyle w:val="105"/>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lang w:val="en-US" w:eastAsia="en-US" w:bidi="ar-SA"/>
              </w:rPr>
            </w:pPr>
            <w:r>
              <w:rPr>
                <w:rFonts w:hint="default" w:ascii="Times New Roman" w:hAnsi="Times New Roman" w:cs="Times New Roman"/>
                <w:color w:val="auto"/>
                <w:spacing w:val="0"/>
                <w:sz w:val="21"/>
                <w:szCs w:val="21"/>
              </w:rPr>
              <w:t>电流（A）</w:t>
            </w:r>
          </w:p>
        </w:tc>
        <w:tc>
          <w:tcPr>
            <w:tcW w:w="1192" w:type="dxa"/>
            <w:shd w:val="clear" w:color="auto" w:fill="auto"/>
            <w:vAlign w:val="center"/>
          </w:tcPr>
          <w:p w14:paraId="62F9A13B">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有功功率</w:t>
            </w:r>
          </w:p>
          <w:p w14:paraId="22334C69">
            <w:pPr>
              <w:pStyle w:val="105"/>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lang w:val="en-US" w:eastAsia="en-US" w:bidi="ar-SA"/>
              </w:rPr>
            </w:pPr>
            <w:r>
              <w:rPr>
                <w:rFonts w:hint="default" w:ascii="Times New Roman" w:hAnsi="Times New Roman" w:cs="Times New Roman"/>
                <w:color w:val="auto"/>
                <w:spacing w:val="0"/>
                <w:sz w:val="21"/>
                <w:szCs w:val="21"/>
              </w:rPr>
              <w:t>（MW）</w:t>
            </w:r>
          </w:p>
        </w:tc>
        <w:tc>
          <w:tcPr>
            <w:tcW w:w="1602" w:type="dxa"/>
            <w:shd w:val="clear" w:color="auto" w:fill="auto"/>
            <w:vAlign w:val="center"/>
          </w:tcPr>
          <w:p w14:paraId="1D159F79">
            <w:pPr>
              <w:pStyle w:val="105"/>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lang w:val="en-US" w:eastAsia="en-US" w:bidi="ar-SA"/>
              </w:rPr>
            </w:pPr>
            <w:r>
              <w:rPr>
                <w:rFonts w:hint="default" w:ascii="Times New Roman" w:hAnsi="Times New Roman" w:cs="Times New Roman"/>
                <w:color w:val="auto"/>
                <w:spacing w:val="0"/>
                <w:sz w:val="21"/>
                <w:szCs w:val="21"/>
              </w:rPr>
              <w:t>无功功率(Mvar）</w:t>
            </w:r>
          </w:p>
        </w:tc>
      </w:tr>
      <w:tr w14:paraId="4620F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823" w:type="dxa"/>
            <w:vAlign w:val="center"/>
          </w:tcPr>
          <w:p w14:paraId="622D3202">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1</w:t>
            </w:r>
          </w:p>
        </w:tc>
        <w:tc>
          <w:tcPr>
            <w:tcW w:w="2930" w:type="dxa"/>
            <w:vAlign w:val="center"/>
          </w:tcPr>
          <w:p w14:paraId="53229327">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主变</w:t>
            </w:r>
          </w:p>
        </w:tc>
        <w:tc>
          <w:tcPr>
            <w:tcW w:w="1035" w:type="dxa"/>
            <w:vAlign w:val="center"/>
          </w:tcPr>
          <w:p w14:paraId="11D4F9D7">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225.15</w:t>
            </w:r>
          </w:p>
        </w:tc>
        <w:tc>
          <w:tcPr>
            <w:tcW w:w="1120" w:type="dxa"/>
            <w:vAlign w:val="center"/>
          </w:tcPr>
          <w:p w14:paraId="1EB362E2">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135.19</w:t>
            </w:r>
          </w:p>
        </w:tc>
        <w:tc>
          <w:tcPr>
            <w:tcW w:w="1192" w:type="dxa"/>
            <w:vAlign w:val="center"/>
          </w:tcPr>
          <w:p w14:paraId="7CDF6A1D">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-52.3</w:t>
            </w:r>
          </w:p>
        </w:tc>
        <w:tc>
          <w:tcPr>
            <w:tcW w:w="1602" w:type="dxa"/>
            <w:vAlign w:val="center"/>
          </w:tcPr>
          <w:p w14:paraId="67D16398">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-2.94</w:t>
            </w:r>
          </w:p>
        </w:tc>
      </w:tr>
    </w:tbl>
    <w:p w14:paraId="394FCB5A">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t>（7）类比监测结果</w:t>
      </w:r>
    </w:p>
    <w:p w14:paraId="1628A1C2">
      <w:pPr>
        <w:spacing w:before="147" w:line="212" w:lineRule="auto"/>
        <w:jc w:val="center"/>
        <w:outlineLvl w:val="0"/>
        <w:rPr>
          <w:rFonts w:hint="default" w:ascii="Times New Roman" w:hAnsi="Times New Roman" w:eastAsia="宋体" w:cs="Times New Roman"/>
          <w:color w:val="auto"/>
          <w:sz w:val="21"/>
          <w:szCs w:val="21"/>
        </w:rPr>
      </w:pPr>
      <w:bookmarkStart w:id="31" w:name="_Toc5804"/>
      <w:r>
        <w:rPr>
          <w:rFonts w:hint="default" w:ascii="Times New Roman" w:hAnsi="Times New Roman" w:eastAsia="宋体" w:cs="Times New Roman"/>
          <w:b/>
          <w:bCs/>
          <w:color w:val="auto"/>
          <w:spacing w:val="-3"/>
          <w:sz w:val="21"/>
          <w:szCs w:val="21"/>
        </w:rPr>
        <w:t>表</w:t>
      </w:r>
      <w:r>
        <w:rPr>
          <w:rFonts w:hint="default" w:ascii="Times New Roman" w:hAnsi="Times New Roman" w:eastAsia="宋体" w:cs="Times New Roman"/>
          <w:color w:val="auto"/>
          <w:spacing w:val="-44"/>
          <w:sz w:val="21"/>
          <w:szCs w:val="21"/>
        </w:rPr>
        <w:t xml:space="preserve"> </w:t>
      </w:r>
      <w:r>
        <w:rPr>
          <w:rFonts w:hint="default" w:ascii="Times New Roman" w:hAnsi="Times New Roman" w:eastAsia="宋体" w:cs="Times New Roman"/>
          <w:b/>
          <w:bCs/>
          <w:color w:val="auto"/>
          <w:spacing w:val="-3"/>
          <w:sz w:val="21"/>
          <w:szCs w:val="21"/>
          <w:lang w:val="en-US" w:eastAsia="zh-CN"/>
        </w:rPr>
        <w:t>3-</w:t>
      </w:r>
      <w:r>
        <w:rPr>
          <w:rFonts w:hint="eastAsia" w:cs="Times New Roman"/>
          <w:b/>
          <w:bCs/>
          <w:color w:val="auto"/>
          <w:spacing w:val="-3"/>
          <w:sz w:val="21"/>
          <w:szCs w:val="21"/>
          <w:lang w:val="en-US" w:eastAsia="zh-CN"/>
        </w:rPr>
        <w:t>5</w:t>
      </w:r>
      <w:r>
        <w:rPr>
          <w:rFonts w:hint="default" w:ascii="Times New Roman" w:hAnsi="Times New Roman" w:eastAsia="Times New Roman" w:cs="Times New Roman"/>
          <w:b/>
          <w:bCs/>
          <w:color w:val="auto"/>
          <w:spacing w:val="15"/>
          <w:sz w:val="21"/>
          <w:szCs w:val="21"/>
        </w:rPr>
        <w:t xml:space="preserve"> </w:t>
      </w:r>
      <w:r>
        <w:rPr>
          <w:rFonts w:hint="default" w:ascii="Times New Roman" w:hAnsi="Times New Roman" w:eastAsia="宋体" w:cs="Times New Roman"/>
          <w:b/>
          <w:bCs/>
          <w:color w:val="auto"/>
          <w:spacing w:val="-3"/>
          <w:sz w:val="21"/>
          <w:szCs w:val="21"/>
        </w:rPr>
        <w:t>山东能源内蒙杭锦旗伊和乌素风电场100MW工程升压站新建工程220kV升压站电磁环境监测结果</w:t>
      </w:r>
      <w:bookmarkEnd w:id="31"/>
    </w:p>
    <w:tbl>
      <w:tblPr>
        <w:tblStyle w:val="106"/>
        <w:tblW w:w="87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3517"/>
        <w:gridCol w:w="988"/>
        <w:gridCol w:w="1745"/>
        <w:gridCol w:w="1602"/>
      </w:tblGrid>
      <w:tr w14:paraId="20370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4367" w:type="dxa"/>
            <w:gridSpan w:val="2"/>
            <w:vAlign w:val="center"/>
          </w:tcPr>
          <w:p w14:paraId="3B0B19EA">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监测点位置</w:t>
            </w:r>
          </w:p>
        </w:tc>
        <w:tc>
          <w:tcPr>
            <w:tcW w:w="988" w:type="dxa"/>
            <w:vAlign w:val="center"/>
          </w:tcPr>
          <w:p w14:paraId="1FF1523E">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测试高度</w:t>
            </w:r>
          </w:p>
        </w:tc>
        <w:tc>
          <w:tcPr>
            <w:tcW w:w="1745" w:type="dxa"/>
            <w:vAlign w:val="center"/>
          </w:tcPr>
          <w:p w14:paraId="092B2743">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工频电场强度</w:t>
            </w:r>
          </w:p>
          <w:p w14:paraId="724EB4CC">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（V/m）</w:t>
            </w:r>
          </w:p>
        </w:tc>
        <w:tc>
          <w:tcPr>
            <w:tcW w:w="1602" w:type="dxa"/>
            <w:vAlign w:val="center"/>
          </w:tcPr>
          <w:p w14:paraId="4E85DF7E">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工频磁感应强度(µT）</w:t>
            </w:r>
          </w:p>
        </w:tc>
      </w:tr>
      <w:tr w14:paraId="1C7D6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850" w:type="dxa"/>
            <w:vMerge w:val="restart"/>
            <w:tcBorders>
              <w:bottom w:val="nil"/>
            </w:tcBorders>
            <w:vAlign w:val="center"/>
          </w:tcPr>
          <w:p w14:paraId="65C96091">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伊和乌素风电场220kV升压站</w:t>
            </w:r>
          </w:p>
        </w:tc>
        <w:tc>
          <w:tcPr>
            <w:tcW w:w="3517" w:type="dxa"/>
            <w:vAlign w:val="center"/>
          </w:tcPr>
          <w:p w14:paraId="5D73C6D8">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220kV</w:t>
            </w:r>
            <w:r>
              <w:rPr>
                <w:rFonts w:hint="eastAsia" w:ascii="Times New Roman" w:hAnsi="Times New Roman" w:cs="Times New Roman"/>
                <w:color w:val="auto"/>
                <w:spacing w:val="0"/>
                <w:sz w:val="21"/>
                <w:szCs w:val="21"/>
                <w:lang w:val="en-US" w:eastAsia="zh-CN"/>
              </w:rPr>
              <w:t>升压站东</w:t>
            </w:r>
            <w:r>
              <w:rPr>
                <w:rFonts w:hint="default" w:ascii="Times New Roman" w:hAnsi="Times New Roman" w:cs="Times New Roman"/>
                <w:color w:val="auto"/>
                <w:spacing w:val="0"/>
                <w:sz w:val="21"/>
                <w:szCs w:val="21"/>
              </w:rPr>
              <w:t>侧围墙外5m</w:t>
            </w:r>
          </w:p>
        </w:tc>
        <w:tc>
          <w:tcPr>
            <w:tcW w:w="988" w:type="dxa"/>
            <w:vAlign w:val="center"/>
          </w:tcPr>
          <w:p w14:paraId="41C995B5">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1.5m</w:t>
            </w:r>
          </w:p>
        </w:tc>
        <w:tc>
          <w:tcPr>
            <w:tcW w:w="1745" w:type="dxa"/>
            <w:vAlign w:val="center"/>
          </w:tcPr>
          <w:p w14:paraId="692DE287">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64.60</w:t>
            </w:r>
          </w:p>
        </w:tc>
        <w:tc>
          <w:tcPr>
            <w:tcW w:w="1602" w:type="dxa"/>
            <w:vAlign w:val="center"/>
          </w:tcPr>
          <w:p w14:paraId="6406AE61">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0.60</w:t>
            </w:r>
          </w:p>
        </w:tc>
      </w:tr>
      <w:tr w14:paraId="27549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850" w:type="dxa"/>
            <w:vMerge w:val="continue"/>
            <w:tcBorders>
              <w:top w:val="nil"/>
              <w:bottom w:val="nil"/>
            </w:tcBorders>
            <w:vAlign w:val="center"/>
          </w:tcPr>
          <w:p w14:paraId="3DA37010">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p>
        </w:tc>
        <w:tc>
          <w:tcPr>
            <w:tcW w:w="3517" w:type="dxa"/>
            <w:vAlign w:val="center"/>
          </w:tcPr>
          <w:p w14:paraId="4565CB0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220kV</w:t>
            </w:r>
            <w:r>
              <w:rPr>
                <w:rFonts w:hint="eastAsia" w:ascii="Times New Roman" w:hAnsi="Times New Roman" w:cs="Times New Roman"/>
                <w:color w:val="auto"/>
                <w:spacing w:val="0"/>
                <w:sz w:val="21"/>
                <w:szCs w:val="21"/>
                <w:lang w:val="en-US" w:eastAsia="zh-CN"/>
              </w:rPr>
              <w:t>升压站南</w:t>
            </w:r>
            <w:r>
              <w:rPr>
                <w:rFonts w:hint="default" w:ascii="Times New Roman" w:hAnsi="Times New Roman" w:cs="Times New Roman"/>
                <w:color w:val="auto"/>
                <w:spacing w:val="0"/>
                <w:sz w:val="21"/>
                <w:szCs w:val="21"/>
              </w:rPr>
              <w:t>侧围墙外5m</w:t>
            </w:r>
          </w:p>
        </w:tc>
        <w:tc>
          <w:tcPr>
            <w:tcW w:w="988" w:type="dxa"/>
            <w:vAlign w:val="center"/>
          </w:tcPr>
          <w:p w14:paraId="7DB19980">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1.5m</w:t>
            </w:r>
          </w:p>
        </w:tc>
        <w:tc>
          <w:tcPr>
            <w:tcW w:w="1745" w:type="dxa"/>
            <w:vAlign w:val="center"/>
          </w:tcPr>
          <w:p w14:paraId="3BDD78EC">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67.36</w:t>
            </w:r>
          </w:p>
        </w:tc>
        <w:tc>
          <w:tcPr>
            <w:tcW w:w="1602" w:type="dxa"/>
            <w:vAlign w:val="center"/>
          </w:tcPr>
          <w:p w14:paraId="35CBDE16">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0.68</w:t>
            </w:r>
          </w:p>
        </w:tc>
      </w:tr>
      <w:tr w14:paraId="72DF8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0" w:type="dxa"/>
            <w:vMerge w:val="continue"/>
            <w:tcBorders>
              <w:top w:val="nil"/>
              <w:bottom w:val="nil"/>
            </w:tcBorders>
            <w:vAlign w:val="center"/>
          </w:tcPr>
          <w:p w14:paraId="46C8DFC4">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p>
        </w:tc>
        <w:tc>
          <w:tcPr>
            <w:tcW w:w="3517" w:type="dxa"/>
            <w:vAlign w:val="center"/>
          </w:tcPr>
          <w:p w14:paraId="66DEED6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220kV</w:t>
            </w:r>
            <w:r>
              <w:rPr>
                <w:rFonts w:hint="eastAsia" w:ascii="Times New Roman" w:hAnsi="Times New Roman" w:cs="Times New Roman"/>
                <w:color w:val="auto"/>
                <w:spacing w:val="0"/>
                <w:sz w:val="21"/>
                <w:szCs w:val="21"/>
                <w:lang w:val="en-US" w:eastAsia="zh-CN"/>
              </w:rPr>
              <w:t>升压站西</w:t>
            </w:r>
            <w:r>
              <w:rPr>
                <w:rFonts w:hint="default" w:ascii="Times New Roman" w:hAnsi="Times New Roman" w:cs="Times New Roman"/>
                <w:color w:val="auto"/>
                <w:spacing w:val="0"/>
                <w:sz w:val="21"/>
                <w:szCs w:val="21"/>
              </w:rPr>
              <w:t>侧围墙外5m</w:t>
            </w:r>
          </w:p>
        </w:tc>
        <w:tc>
          <w:tcPr>
            <w:tcW w:w="988" w:type="dxa"/>
            <w:vAlign w:val="center"/>
          </w:tcPr>
          <w:p w14:paraId="481C8E86">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1.5m</w:t>
            </w:r>
          </w:p>
        </w:tc>
        <w:tc>
          <w:tcPr>
            <w:tcW w:w="1745" w:type="dxa"/>
            <w:vAlign w:val="center"/>
          </w:tcPr>
          <w:p w14:paraId="63C6A7FC">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65.22</w:t>
            </w:r>
          </w:p>
        </w:tc>
        <w:tc>
          <w:tcPr>
            <w:tcW w:w="1602" w:type="dxa"/>
            <w:vAlign w:val="center"/>
          </w:tcPr>
          <w:p w14:paraId="1BCD70A5">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0.64</w:t>
            </w:r>
          </w:p>
        </w:tc>
      </w:tr>
      <w:tr w14:paraId="72DCE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850" w:type="dxa"/>
            <w:vMerge w:val="continue"/>
            <w:tcBorders>
              <w:top w:val="nil"/>
            </w:tcBorders>
            <w:vAlign w:val="center"/>
          </w:tcPr>
          <w:p w14:paraId="29115BAC">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p>
        </w:tc>
        <w:tc>
          <w:tcPr>
            <w:tcW w:w="3517" w:type="dxa"/>
            <w:vAlign w:val="center"/>
          </w:tcPr>
          <w:p w14:paraId="48D317D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220kV</w:t>
            </w:r>
            <w:r>
              <w:rPr>
                <w:rFonts w:hint="eastAsia" w:ascii="Times New Roman" w:hAnsi="Times New Roman" w:cs="Times New Roman"/>
                <w:color w:val="auto"/>
                <w:spacing w:val="0"/>
                <w:sz w:val="21"/>
                <w:szCs w:val="21"/>
                <w:lang w:val="en-US" w:eastAsia="zh-CN"/>
              </w:rPr>
              <w:t>升压站北</w:t>
            </w:r>
            <w:r>
              <w:rPr>
                <w:rFonts w:hint="default" w:ascii="Times New Roman" w:hAnsi="Times New Roman" w:cs="Times New Roman"/>
                <w:color w:val="auto"/>
                <w:spacing w:val="0"/>
                <w:sz w:val="21"/>
                <w:szCs w:val="21"/>
              </w:rPr>
              <w:t>侧围墙外5m</w:t>
            </w:r>
          </w:p>
        </w:tc>
        <w:tc>
          <w:tcPr>
            <w:tcW w:w="988" w:type="dxa"/>
            <w:vAlign w:val="center"/>
          </w:tcPr>
          <w:p w14:paraId="7E285552">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1.5m</w:t>
            </w:r>
          </w:p>
        </w:tc>
        <w:tc>
          <w:tcPr>
            <w:tcW w:w="1745" w:type="dxa"/>
            <w:vAlign w:val="center"/>
          </w:tcPr>
          <w:p w14:paraId="008A3E30">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67.56</w:t>
            </w:r>
          </w:p>
        </w:tc>
        <w:tc>
          <w:tcPr>
            <w:tcW w:w="1602" w:type="dxa"/>
            <w:vAlign w:val="center"/>
          </w:tcPr>
          <w:p w14:paraId="42D1B3EF">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0"/>
                <w:sz w:val="21"/>
                <w:szCs w:val="21"/>
                <w:lang w:val="en-US" w:eastAsia="zh-CN"/>
              </w:rPr>
            </w:pPr>
            <w:r>
              <w:rPr>
                <w:rFonts w:hint="eastAsia" w:ascii="Times New Roman" w:hAnsi="Times New Roman" w:cs="Times New Roman"/>
                <w:color w:val="auto"/>
                <w:spacing w:val="0"/>
                <w:sz w:val="21"/>
                <w:szCs w:val="21"/>
                <w:lang w:val="en-US" w:eastAsia="zh-CN"/>
              </w:rPr>
              <w:t>0.62</w:t>
            </w:r>
          </w:p>
        </w:tc>
      </w:tr>
      <w:tr w14:paraId="7624F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5355" w:type="dxa"/>
            <w:gridSpan w:val="3"/>
            <w:vAlign w:val="center"/>
          </w:tcPr>
          <w:p w14:paraId="3842625D">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达标情况</w:t>
            </w:r>
          </w:p>
        </w:tc>
        <w:tc>
          <w:tcPr>
            <w:tcW w:w="1745" w:type="dxa"/>
            <w:vAlign w:val="center"/>
          </w:tcPr>
          <w:p w14:paraId="2B7392A0">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达标</w:t>
            </w:r>
          </w:p>
        </w:tc>
        <w:tc>
          <w:tcPr>
            <w:tcW w:w="1602" w:type="dxa"/>
            <w:vAlign w:val="center"/>
          </w:tcPr>
          <w:p w14:paraId="110728CC">
            <w:pPr>
              <w:pStyle w:val="105"/>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0"/>
                <w:sz w:val="21"/>
                <w:szCs w:val="21"/>
              </w:rPr>
            </w:pPr>
            <w:r>
              <w:rPr>
                <w:rFonts w:hint="default" w:ascii="Times New Roman" w:hAnsi="Times New Roman" w:cs="Times New Roman"/>
                <w:color w:val="auto"/>
                <w:spacing w:val="0"/>
                <w:sz w:val="21"/>
                <w:szCs w:val="21"/>
              </w:rPr>
              <w:t>达标</w:t>
            </w:r>
          </w:p>
        </w:tc>
      </w:tr>
    </w:tbl>
    <w:p w14:paraId="1E2A5764">
      <w:pPr>
        <w:kinsoku w:val="0"/>
        <w:overflowPunct w:val="0"/>
        <w:spacing w:beforeLines="0" w:afterLines="0" w:line="360" w:lineRule="auto"/>
        <w:ind w:left="116"/>
        <w:jc w:val="center"/>
        <w:rPr>
          <w:rFonts w:hint="default" w:ascii="Times New Roman" w:hAnsi="Times New Roman" w:cs="Times New Roman"/>
          <w:color w:val="auto"/>
          <w:kern w:val="0"/>
          <w:sz w:val="24"/>
          <w:szCs w:val="20"/>
          <w:highlight w:val="none"/>
          <w:lang w:val="en-US" w:eastAsia="zh-CN"/>
        </w:rPr>
      </w:pPr>
      <w:r>
        <w:rPr>
          <w:rFonts w:hint="eastAsia" w:cs="Times New Roman"/>
          <w:color w:val="auto"/>
          <w:kern w:val="0"/>
          <w:sz w:val="24"/>
          <w:szCs w:val="20"/>
          <w:highlight w:val="none"/>
          <w:lang w:val="en-US" w:eastAsia="zh-CN"/>
        </w:rPr>
        <w:t xml:space="preserve">  </w:t>
      </w:r>
      <w:r>
        <w:rPr>
          <w:rFonts w:hint="default" w:ascii="Times New Roman" w:hAnsi="Times New Roman" w:cs="Times New Roman"/>
          <w:color w:val="auto"/>
          <w:kern w:val="0"/>
          <w:sz w:val="24"/>
          <w:szCs w:val="20"/>
          <w:highlight w:val="none"/>
          <w:lang w:val="en-US" w:eastAsia="zh-CN"/>
        </w:rPr>
        <w:t>由以上监测结果可以看出，伊和乌素风电场220kV升压站厂界四周的工频电场强</w:t>
      </w:r>
    </w:p>
    <w:p w14:paraId="53417AB3">
      <w:pPr>
        <w:kinsoku w:val="0"/>
        <w:overflowPunct w:val="0"/>
        <w:spacing w:beforeLines="0" w:afterLines="0" w:line="360" w:lineRule="auto"/>
        <w:ind w:left="116"/>
        <w:jc w:val="both"/>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t>度测量值在64.60~67.56V/m，均小于4000V/m的评价标准限值要求；升压站厂界四周工频磁感应强度测量值在0.60~0.68μT，均小于100µT标准限值要求。</w:t>
      </w:r>
    </w:p>
    <w:p w14:paraId="6290DAF9">
      <w:pPr>
        <w:kinsoku w:val="0"/>
        <w:overflowPunct w:val="0"/>
        <w:spacing w:beforeLines="0" w:afterLines="0" w:line="360" w:lineRule="auto"/>
        <w:ind w:left="116"/>
        <w:jc w:val="center"/>
        <w:rPr>
          <w:rFonts w:hint="default" w:ascii="Times New Roman" w:hAnsi="Times New Roman" w:cs="Times New Roman"/>
          <w:color w:val="auto"/>
          <w:kern w:val="0"/>
          <w:sz w:val="24"/>
          <w:szCs w:val="20"/>
          <w:highlight w:val="none"/>
          <w:lang w:val="en-US" w:eastAsia="zh-CN"/>
        </w:rPr>
      </w:pPr>
      <w:r>
        <w:rPr>
          <w:rFonts w:hint="default" w:ascii="Times New Roman" w:hAnsi="Times New Roman" w:cs="Times New Roman"/>
          <w:color w:val="auto"/>
          <w:kern w:val="0"/>
          <w:sz w:val="24"/>
          <w:szCs w:val="20"/>
          <w:highlight w:val="none"/>
          <w:lang w:val="en-US" w:eastAsia="zh-CN"/>
        </w:rPr>
        <w:drawing>
          <wp:inline distT="0" distB="0" distL="114300" distR="114300">
            <wp:extent cx="5010150" cy="2914650"/>
            <wp:effectExtent l="0" t="0" r="3810" b="11430"/>
            <wp:docPr id="92" name="图片 92" descr="ce23d65f-d2ae-47df-8895-bf307d70f3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ce23d65f-d2ae-47df-8895-bf307d70f3ec"/>
                    <pic:cNvPicPr>
                      <a:picLocks noChangeAspect="1"/>
                    </pic:cNvPicPr>
                  </pic:nvPicPr>
                  <pic:blipFill>
                    <a:blip r:embed="rId37"/>
                    <a:stretch>
                      <a:fillRect/>
                    </a:stretch>
                  </pic:blipFill>
                  <pic:spPr>
                    <a:xfrm>
                      <a:off x="0" y="0"/>
                      <a:ext cx="5010150" cy="2914650"/>
                    </a:xfrm>
                    <a:prstGeom prst="rect">
                      <a:avLst/>
                    </a:prstGeom>
                  </pic:spPr>
                </pic:pic>
              </a:graphicData>
            </a:graphic>
          </wp:inline>
        </w:drawing>
      </w:r>
    </w:p>
    <w:p w14:paraId="050197A5">
      <w:pPr>
        <w:pStyle w:val="65"/>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cs="Times New Roman"/>
          <w:b/>
          <w:bCs w:val="0"/>
          <w:color w:val="auto"/>
          <w:sz w:val="21"/>
          <w:szCs w:val="21"/>
          <w:highlight w:val="none"/>
          <w:lang w:val="en-US" w:eastAsia="zh-CN"/>
        </w:rPr>
        <w:t>图3-1</w:t>
      </w:r>
      <w:r>
        <w:rPr>
          <w:rFonts w:hint="default" w:ascii="Times New Roman" w:hAnsi="Times New Roman" w:eastAsia="宋体" w:cs="Times New Roman"/>
          <w:b/>
          <w:bCs w:val="0"/>
          <w:color w:val="auto"/>
          <w:sz w:val="21"/>
          <w:szCs w:val="21"/>
          <w:highlight w:val="none"/>
          <w:lang w:val="en-US" w:eastAsia="zh-CN"/>
        </w:rPr>
        <w:t>类比变电站监测点位图</w:t>
      </w:r>
    </w:p>
    <w:p w14:paraId="6C4C740A">
      <w:pPr>
        <w:pStyle w:val="4"/>
        <w:bidi w:val="0"/>
        <w:spacing w:line="360" w:lineRule="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eastAsia="zh-CN"/>
        </w:rPr>
        <w:t>3.2.</w:t>
      </w: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eastAsia="zh-CN"/>
        </w:rPr>
        <w:t xml:space="preserve"> 本项目</w:t>
      </w:r>
      <w:r>
        <w:rPr>
          <w:rFonts w:hint="default" w:ascii="Times New Roman" w:hAnsi="Times New Roman" w:eastAsia="宋体" w:cs="Times New Roman"/>
          <w:b/>
          <w:bCs/>
          <w:color w:val="auto"/>
          <w:sz w:val="24"/>
          <w:szCs w:val="24"/>
          <w:highlight w:val="none"/>
          <w:lang w:val="en-US" w:eastAsia="zh-CN"/>
        </w:rPr>
        <w:t>升压站</w:t>
      </w:r>
      <w:r>
        <w:rPr>
          <w:rFonts w:hint="default" w:ascii="Times New Roman" w:hAnsi="Times New Roman" w:eastAsia="宋体" w:cs="Times New Roman"/>
          <w:b/>
          <w:bCs/>
          <w:color w:val="auto"/>
          <w:sz w:val="24"/>
          <w:szCs w:val="24"/>
          <w:highlight w:val="none"/>
          <w:lang w:eastAsia="zh-CN"/>
        </w:rPr>
        <w:t>电磁环境影响评价结论</w:t>
      </w:r>
    </w:p>
    <w:p w14:paraId="0F2DEF9A">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color w:val="auto"/>
          <w:kern w:val="0"/>
          <w:sz w:val="24"/>
          <w:szCs w:val="20"/>
          <w:highlight w:val="none"/>
        </w:rPr>
        <w:t>根据类比监测结果，本项目新建</w:t>
      </w:r>
      <w:r>
        <w:rPr>
          <w:rFonts w:hint="default" w:ascii="Times New Roman" w:hAnsi="Times New Roman" w:cs="Times New Roman"/>
          <w:color w:val="auto"/>
          <w:kern w:val="0"/>
          <w:sz w:val="24"/>
          <w:szCs w:val="20"/>
          <w:highlight w:val="none"/>
          <w:lang w:val="en-US" w:eastAsia="zh-CN"/>
        </w:rPr>
        <w:t>1</w:t>
      </w:r>
      <w:r>
        <w:rPr>
          <w:rFonts w:hint="default" w:ascii="Times New Roman" w:hAnsi="Times New Roman" w:eastAsia="宋体" w:cs="Times New Roman"/>
          <w:color w:val="auto"/>
          <w:kern w:val="0"/>
          <w:sz w:val="24"/>
          <w:szCs w:val="20"/>
          <w:highlight w:val="none"/>
        </w:rPr>
        <w:t>×1</w:t>
      </w:r>
      <w:r>
        <w:rPr>
          <w:rFonts w:hint="default" w:ascii="Times New Roman" w:hAnsi="Times New Roman" w:cs="Times New Roman"/>
          <w:color w:val="auto"/>
          <w:kern w:val="0"/>
          <w:sz w:val="24"/>
          <w:szCs w:val="20"/>
          <w:highlight w:val="none"/>
          <w:lang w:val="en-US" w:eastAsia="zh-CN"/>
        </w:rPr>
        <w:t>0</w:t>
      </w:r>
      <w:r>
        <w:rPr>
          <w:rFonts w:hint="default" w:ascii="Times New Roman" w:hAnsi="Times New Roman" w:eastAsia="宋体" w:cs="Times New Roman"/>
          <w:color w:val="auto"/>
          <w:kern w:val="0"/>
          <w:sz w:val="24"/>
          <w:szCs w:val="20"/>
          <w:highlight w:val="none"/>
        </w:rPr>
        <w:t>0MVA主变器投运后，工频电场强度、工频磁感应强度满足《电磁环境控制限值》（GB8702-2014）4000V/m和100μT公众曝露控制限值的评价标准要求。</w:t>
      </w:r>
    </w:p>
    <w:p w14:paraId="3169B10E">
      <w:pPr>
        <w:pStyle w:val="2"/>
        <w:bidi w:val="0"/>
        <w:spacing w:line="360" w:lineRule="auto"/>
        <w:rPr>
          <w:rFonts w:hint="default" w:ascii="Times New Roman" w:hAnsi="Times New Roman" w:cs="Times New Roman" w:eastAsiaTheme="majorEastAsia"/>
          <w:color w:val="auto"/>
          <w:highlight w:val="none"/>
          <w:lang w:val="en-US" w:eastAsia="zh-CN"/>
        </w:rPr>
      </w:pPr>
      <w:bookmarkStart w:id="32" w:name="_Toc22288"/>
      <w:r>
        <w:rPr>
          <w:rFonts w:hint="default" w:ascii="Times New Roman" w:hAnsi="Times New Roman" w:cs="Times New Roman" w:eastAsiaTheme="majorEastAsia"/>
          <w:color w:val="auto"/>
          <w:highlight w:val="none"/>
          <w:lang w:val="en-US" w:eastAsia="zh-CN"/>
        </w:rPr>
        <w:t>4 电磁环境保护措施</w:t>
      </w:r>
      <w:bookmarkEnd w:id="32"/>
    </w:p>
    <w:p w14:paraId="767B23F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（1）选择电磁源强低的设备；合理布局，在满足电气布局设计要求的前提下，加大主变与站界的距离；设置明显的警告标志。</w:t>
      </w:r>
    </w:p>
    <w:p w14:paraId="51BD2512">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（2）建设实体围墙来屏蔽、吸收电磁辐射；加强站区围墙高度等措施来屏蔽、吸收电磁辐射，尽可能减小户外的电磁场强度。</w:t>
      </w:r>
    </w:p>
    <w:p w14:paraId="475E6320">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（3）在安装高压设备时，保证所有的固定螺栓都可靠拧紧，导电元件尽可能接地、或连接导线电位，提高屏蔽效果。</w:t>
      </w:r>
    </w:p>
    <w:p w14:paraId="525F9C3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（4）对站内工作人员进行电磁环境知识的培训，减少在高电磁场区的停留时间，以减小电磁场对工作人员的影响。</w:t>
      </w:r>
    </w:p>
    <w:p w14:paraId="1DA1C7FF">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0000FF"/>
          <w:kern w:val="0"/>
          <w:sz w:val="24"/>
          <w:szCs w:val="20"/>
          <w:highlight w:val="none"/>
        </w:rPr>
      </w:pPr>
      <w:r>
        <w:rPr>
          <w:rFonts w:hint="default" w:ascii="Times New Roman" w:hAnsi="Times New Roman" w:eastAsia="宋体" w:cs="Times New Roman"/>
          <w:color w:val="auto"/>
          <w:kern w:val="0"/>
          <w:sz w:val="24"/>
          <w:szCs w:val="20"/>
          <w:highlight w:val="none"/>
          <w:lang w:val="en-US" w:eastAsia="zh-CN"/>
        </w:rPr>
        <w:t>（5）定期对设备进行维护与检修，经常监测其周围的电磁辐射强度。在确保设备与线路正常运行的情况下，减少放电、电晕等现象的发生，以减少电磁场对周边敏感目标的影响。</w:t>
      </w:r>
    </w:p>
    <w:p w14:paraId="49624202">
      <w:pPr>
        <w:pStyle w:val="2"/>
        <w:bidi w:val="0"/>
        <w:spacing w:line="360" w:lineRule="auto"/>
        <w:rPr>
          <w:rFonts w:hint="default" w:ascii="Times New Roman" w:hAnsi="Times New Roman" w:cs="Times New Roman" w:eastAsiaTheme="majorEastAsia"/>
          <w:color w:val="auto"/>
          <w:highlight w:val="none"/>
          <w:lang w:val="en-US" w:eastAsia="zh-CN"/>
        </w:rPr>
      </w:pPr>
      <w:bookmarkStart w:id="33" w:name="_Toc28953"/>
      <w:r>
        <w:rPr>
          <w:rFonts w:hint="default" w:ascii="Times New Roman" w:hAnsi="Times New Roman" w:cs="Times New Roman" w:eastAsiaTheme="majorEastAsia"/>
          <w:color w:val="auto"/>
          <w:highlight w:val="none"/>
          <w:lang w:val="en-US" w:eastAsia="zh-CN"/>
        </w:rPr>
        <w:t>5 评价结论</w:t>
      </w:r>
      <w:bookmarkEnd w:id="33"/>
    </w:p>
    <w:p w14:paraId="60C50402">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根据《环境影响评价技术导则 输变电》（HJ24-2020）的要求，本次评价采用类比分析的方法分析</w:t>
      </w:r>
      <w:r>
        <w:rPr>
          <w:rFonts w:hint="default" w:ascii="Times New Roman" w:hAnsi="Times New Roman" w:eastAsia="宋体" w:cs="Times New Roman"/>
          <w:b w:val="0"/>
          <w:bCs/>
          <w:color w:val="auto"/>
          <w:kern w:val="0"/>
          <w:sz w:val="24"/>
          <w:szCs w:val="24"/>
          <w:highlight w:val="none"/>
          <w:lang w:val="en-US" w:eastAsia="zh-CN"/>
        </w:rPr>
        <w:t>升压站</w:t>
      </w:r>
      <w:r>
        <w:rPr>
          <w:rFonts w:hint="default" w:ascii="Times New Roman" w:hAnsi="Times New Roman" w:eastAsia="宋体" w:cs="Times New Roman"/>
          <w:b w:val="0"/>
          <w:bCs/>
          <w:color w:val="auto"/>
          <w:kern w:val="0"/>
          <w:sz w:val="24"/>
          <w:szCs w:val="24"/>
          <w:highlight w:val="none"/>
          <w:lang w:eastAsia="zh-CN"/>
        </w:rPr>
        <w:t>对周围电磁场环境的影响，通过类比分析可知，本项目运营后，</w:t>
      </w:r>
      <w:r>
        <w:rPr>
          <w:rFonts w:hint="default" w:ascii="Times New Roman" w:hAnsi="Times New Roman" w:eastAsia="宋体" w:cs="Times New Roman"/>
          <w:b w:val="0"/>
          <w:bCs/>
          <w:color w:val="auto"/>
          <w:kern w:val="0"/>
          <w:sz w:val="24"/>
          <w:szCs w:val="24"/>
          <w:highlight w:val="none"/>
          <w:lang w:val="en-US" w:eastAsia="zh-CN"/>
        </w:rPr>
        <w:t>升压站</w:t>
      </w:r>
      <w:r>
        <w:rPr>
          <w:rFonts w:hint="default" w:ascii="Times New Roman" w:hAnsi="Times New Roman" w:eastAsia="宋体" w:cs="Times New Roman"/>
          <w:b w:val="0"/>
          <w:bCs/>
          <w:color w:val="auto"/>
          <w:kern w:val="0"/>
          <w:sz w:val="24"/>
          <w:szCs w:val="24"/>
          <w:highlight w:val="none"/>
          <w:lang w:eastAsia="zh-CN"/>
        </w:rPr>
        <w:t>四周的工频电场强度、工频磁感应强度也能满足《电磁环境控制限值》（GB8702-2014）4000V/m和100μT公众曝露控制限值要求。</w:t>
      </w:r>
    </w:p>
    <w:p w14:paraId="122C7808">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val="0"/>
          <w:bCs/>
          <w:color w:val="auto"/>
          <w:kern w:val="0"/>
          <w:sz w:val="24"/>
          <w:szCs w:val="24"/>
          <w:highlight w:val="none"/>
          <w:lang w:eastAsia="zh-CN"/>
        </w:rPr>
      </w:pPr>
      <w:r>
        <w:rPr>
          <w:rFonts w:hint="default" w:ascii="Times New Roman" w:hAnsi="Times New Roman" w:eastAsia="宋体" w:cs="Times New Roman"/>
          <w:b w:val="0"/>
          <w:bCs/>
          <w:color w:val="auto"/>
          <w:kern w:val="0"/>
          <w:sz w:val="24"/>
          <w:szCs w:val="24"/>
          <w:highlight w:val="none"/>
          <w:lang w:eastAsia="zh-CN"/>
        </w:rPr>
        <w:t>在采取上述措施以后，本工程产生的电磁环境影响均可满足《电磁环境控制限值》（GB8702-2014）相应控制限值的要求。</w:t>
      </w:r>
    </w:p>
    <w:p w14:paraId="1F8CF234">
      <w:pPr>
        <w:pStyle w:val="65"/>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firstLine="482"/>
        <w:jc w:val="both"/>
        <w:textAlignment w:val="auto"/>
        <w:rPr>
          <w:rFonts w:hint="default" w:ascii="Times New Roman" w:hAnsi="Times New Roman" w:eastAsia="宋体" w:cs="Times New Roman"/>
          <w:b w:val="0"/>
          <w:bCs/>
          <w:color w:val="0000FF"/>
          <w:kern w:val="0"/>
          <w:sz w:val="24"/>
          <w:szCs w:val="24"/>
          <w:highlight w:val="none"/>
          <w:lang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7D6D25EA">
      <w:pPr>
        <w:ind w:firstLine="0" w:firstLineChars="0"/>
        <w:jc w:val="left"/>
        <w:outlineLvl w:val="0"/>
        <w:rPr>
          <w:rFonts w:hint="default" w:ascii="Times New Roman" w:hAnsi="Times New Roman" w:cs="Times New Roman"/>
          <w:b/>
          <w:bCs/>
          <w:color w:val="auto"/>
          <w:sz w:val="24"/>
          <w:szCs w:val="24"/>
          <w:highlight w:val="none"/>
          <w:lang w:val="en-US" w:eastAsia="zh-CN"/>
        </w:rPr>
      </w:pPr>
      <w:bookmarkStart w:id="34" w:name="_Toc4527"/>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val="en-US" w:eastAsia="zh-CN"/>
        </w:rPr>
        <w:t>件1 委托书</w:t>
      </w:r>
    </w:p>
    <w:p w14:paraId="64024935">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7CE25315">
      <w:pPr>
        <w:ind w:firstLine="0" w:firstLineChars="0"/>
        <w:jc w:val="left"/>
        <w:outlineLvl w:val="0"/>
        <w:rPr>
          <w:rFonts w:hint="default" w:ascii="Times New Roman" w:hAnsi="Times New Roman" w:cs="Times New Roman"/>
          <w:b/>
          <w:bCs/>
          <w:color w:val="auto"/>
          <w:sz w:val="24"/>
          <w:szCs w:val="24"/>
          <w:highlight w:val="none"/>
          <w:lang w:val="en-US" w:eastAsia="zh-CN"/>
        </w:rPr>
        <w:sectPr>
          <w:headerReference r:id="rId6" w:type="default"/>
          <w:footerReference r:id="rId7"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cs="Times New Roman"/>
          <w:b/>
          <w:bCs/>
          <w:color w:val="auto"/>
          <w:sz w:val="24"/>
          <w:szCs w:val="24"/>
          <w:highlight w:val="none"/>
          <w:lang w:val="en-US" w:eastAsia="zh-CN"/>
        </w:rPr>
        <w:drawing>
          <wp:inline distT="0" distB="0" distL="114300" distR="114300">
            <wp:extent cx="5610860" cy="7938135"/>
            <wp:effectExtent l="0" t="0" r="12700" b="1905"/>
            <wp:docPr id="27" name="图片 27" descr="586a3f9ddf5b87bb16e709e6f46a63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586a3f9ddf5b87bb16e709e6f46a637d"/>
                    <pic:cNvPicPr>
                      <a:picLocks noChangeAspect="1"/>
                    </pic:cNvPicPr>
                  </pic:nvPicPr>
                  <pic:blipFill>
                    <a:blip r:embed="rId38"/>
                    <a:stretch>
                      <a:fillRect/>
                    </a:stretch>
                  </pic:blipFill>
                  <pic:spPr>
                    <a:xfrm>
                      <a:off x="0" y="0"/>
                      <a:ext cx="5610860" cy="7938135"/>
                    </a:xfrm>
                    <a:prstGeom prst="rect">
                      <a:avLst/>
                    </a:prstGeom>
                  </pic:spPr>
                </pic:pic>
              </a:graphicData>
            </a:graphic>
          </wp:inline>
        </w:drawing>
      </w:r>
    </w:p>
    <w:p w14:paraId="64F7A3B8">
      <w:pPr>
        <w:ind w:firstLine="0" w:firstLineChars="0"/>
        <w:jc w:val="left"/>
        <w:outlineLvl w:val="0"/>
        <w:rPr>
          <w:rFonts w:hint="default" w:ascii="Times New Roman" w:hAnsi="Times New Roman" w:eastAsia="宋体" w:cs="Times New Roman"/>
          <w:b/>
          <w:bCs/>
          <w:color w:val="auto"/>
          <w:sz w:val="24"/>
          <w:szCs w:val="24"/>
          <w:highlight w:val="none"/>
          <w:vertAlign w:val="baseline"/>
          <w:lang w:val="en-US" w:eastAsia="zh-CN"/>
        </w:rPr>
      </w:pPr>
      <w:r>
        <w:rPr>
          <w:rFonts w:hint="default" w:ascii="Times New Roman" w:hAnsi="Times New Roman" w:cs="Times New Roman"/>
          <w:b/>
          <w:bCs/>
          <w:color w:val="auto"/>
          <w:sz w:val="24"/>
          <w:szCs w:val="24"/>
          <w:highlight w:val="none"/>
          <w:lang w:val="en-US" w:eastAsia="zh-CN"/>
        </w:rPr>
        <w:t xml:space="preserve">附件2 </w:t>
      </w:r>
      <w:r>
        <w:rPr>
          <w:rFonts w:hint="default" w:ascii="Times New Roman" w:hAnsi="Times New Roman" w:cs="Times New Roman"/>
          <w:b/>
          <w:bCs/>
          <w:color w:val="auto"/>
          <w:sz w:val="24"/>
          <w:szCs w:val="24"/>
          <w:highlight w:val="none"/>
          <w:lang w:eastAsia="zh-CN"/>
        </w:rPr>
        <w:t>项目</w:t>
      </w:r>
      <w:r>
        <w:rPr>
          <w:rFonts w:hint="default" w:ascii="Times New Roman" w:hAnsi="Times New Roman" w:cs="Times New Roman"/>
          <w:b/>
          <w:bCs/>
          <w:color w:val="auto"/>
          <w:sz w:val="24"/>
          <w:szCs w:val="24"/>
          <w:highlight w:val="none"/>
          <w:lang w:val="en-US" w:eastAsia="zh-CN"/>
        </w:rPr>
        <w:t>核准批复</w:t>
      </w:r>
      <w:bookmarkEnd w:id="34"/>
    </w:p>
    <w:p w14:paraId="291ADD62">
      <w:pPr>
        <w:pStyle w:val="38"/>
        <w:ind w:left="0" w:leftChars="0" w:firstLine="0" w:firstLineChars="0"/>
        <w:rPr>
          <w:rFonts w:hint="default" w:ascii="Times New Roman" w:hAnsi="Times New Roman" w:eastAsia="宋体" w:cs="Times New Roman"/>
          <w:color w:val="auto"/>
          <w:highlight w:val="none"/>
          <w:lang w:eastAsia="zh-CN"/>
        </w:rPr>
      </w:pPr>
    </w:p>
    <w:p w14:paraId="7D96BCA7">
      <w:pP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615940" cy="8016240"/>
            <wp:effectExtent l="0" t="0" r="7620" b="0"/>
            <wp:docPr id="6" name="图片 6" descr="616001f90e8888d59d034fa3813e05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16001f90e8888d59d034fa3813e05cd"/>
                    <pic:cNvPicPr>
                      <a:picLocks noChangeAspect="1"/>
                    </pic:cNvPicPr>
                  </pic:nvPicPr>
                  <pic:blipFill>
                    <a:blip r:embed="rId39"/>
                    <a:stretch>
                      <a:fillRect/>
                    </a:stretch>
                  </pic:blipFill>
                  <pic:spPr>
                    <a:xfrm>
                      <a:off x="0" y="0"/>
                      <a:ext cx="5615940" cy="8016240"/>
                    </a:xfrm>
                    <a:prstGeom prst="rect">
                      <a:avLst/>
                    </a:prstGeom>
                  </pic:spPr>
                </pic:pic>
              </a:graphicData>
            </a:graphic>
          </wp:inline>
        </w:drawing>
      </w:r>
      <w:r>
        <w:rPr>
          <w:rFonts w:hint="default" w:ascii="Times New Roman" w:hAnsi="Times New Roman" w:cs="Times New Roman"/>
          <w:color w:val="auto"/>
          <w:highlight w:val="none"/>
        </w:rPr>
        <w:drawing>
          <wp:inline distT="0" distB="0" distL="114300" distR="114300">
            <wp:extent cx="5610860" cy="7869555"/>
            <wp:effectExtent l="0" t="0" r="12700" b="9525"/>
            <wp:docPr id="10" name="图片 10" descr="阿拉善盟能源局关于核准华润新能源额济纳旗100兆瓦风电项目的通知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阿拉善盟能源局关于核准华润新能源额济纳旗100兆瓦风电项目的通知_页面_2"/>
                    <pic:cNvPicPr>
                      <a:picLocks noChangeAspect="1"/>
                    </pic:cNvPicPr>
                  </pic:nvPicPr>
                  <pic:blipFill>
                    <a:blip r:embed="rId40"/>
                    <a:stretch>
                      <a:fillRect/>
                    </a:stretch>
                  </pic:blipFill>
                  <pic:spPr>
                    <a:xfrm>
                      <a:off x="0" y="0"/>
                      <a:ext cx="5610860" cy="7869555"/>
                    </a:xfrm>
                    <a:prstGeom prst="rect">
                      <a:avLst/>
                    </a:prstGeom>
                  </pic:spPr>
                </pic:pic>
              </a:graphicData>
            </a:graphic>
          </wp:inline>
        </w:drawing>
      </w:r>
      <w:r>
        <w:rPr>
          <w:rFonts w:hint="default" w:ascii="Times New Roman" w:hAnsi="Times New Roman" w:cs="Times New Roman"/>
          <w:color w:val="auto"/>
          <w:highlight w:val="none"/>
        </w:rPr>
        <w:drawing>
          <wp:inline distT="0" distB="0" distL="114300" distR="114300">
            <wp:extent cx="5610860" cy="7869555"/>
            <wp:effectExtent l="0" t="0" r="12700" b="9525"/>
            <wp:docPr id="11" name="图片 11" descr="阿拉善盟能源局关于核准华润新能源额济纳旗100兆瓦风电项目的通知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阿拉善盟能源局关于核准华润新能源额济纳旗100兆瓦风电项目的通知_页面_3"/>
                    <pic:cNvPicPr>
                      <a:picLocks noChangeAspect="1"/>
                    </pic:cNvPicPr>
                  </pic:nvPicPr>
                  <pic:blipFill>
                    <a:blip r:embed="rId41"/>
                    <a:stretch>
                      <a:fillRect/>
                    </a:stretch>
                  </pic:blipFill>
                  <pic:spPr>
                    <a:xfrm>
                      <a:off x="0" y="0"/>
                      <a:ext cx="5610860" cy="7869555"/>
                    </a:xfrm>
                    <a:prstGeom prst="rect">
                      <a:avLst/>
                    </a:prstGeom>
                  </pic:spPr>
                </pic:pic>
              </a:graphicData>
            </a:graphic>
          </wp:inline>
        </w:drawing>
      </w:r>
      <w:r>
        <w:rPr>
          <w:rFonts w:hint="default" w:ascii="Times New Roman" w:hAnsi="Times New Roman" w:cs="Times New Roman"/>
          <w:color w:val="auto"/>
          <w:highlight w:val="none"/>
        </w:rPr>
        <w:drawing>
          <wp:inline distT="0" distB="0" distL="114300" distR="114300">
            <wp:extent cx="5615940" cy="7947660"/>
            <wp:effectExtent l="0" t="0" r="7620" b="7620"/>
            <wp:docPr id="9" name="图片 9" descr="de0399ee0e2d6d547d826c4b40f8cd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e0399ee0e2d6d547d826c4b40f8cd5e"/>
                    <pic:cNvPicPr>
                      <a:picLocks noChangeAspect="1"/>
                    </pic:cNvPicPr>
                  </pic:nvPicPr>
                  <pic:blipFill>
                    <a:blip r:embed="rId42"/>
                    <a:stretch>
                      <a:fillRect/>
                    </a:stretch>
                  </pic:blipFill>
                  <pic:spPr>
                    <a:xfrm>
                      <a:off x="0" y="0"/>
                      <a:ext cx="5615940" cy="7947660"/>
                    </a:xfrm>
                    <a:prstGeom prst="rect">
                      <a:avLst/>
                    </a:prstGeom>
                  </pic:spPr>
                </pic:pic>
              </a:graphicData>
            </a:graphic>
          </wp:inline>
        </w:drawing>
      </w:r>
      <w:r>
        <w:rPr>
          <w:rFonts w:hint="default" w:ascii="Times New Roman" w:hAnsi="Times New Roman" w:cs="Times New Roman"/>
          <w:color w:val="auto"/>
          <w:highlight w:val="none"/>
        </w:rPr>
        <w:br w:type="page"/>
      </w:r>
    </w:p>
    <w:p w14:paraId="471068E9">
      <w:pPr>
        <w:ind w:firstLine="0" w:firstLineChars="0"/>
        <w:jc w:val="left"/>
        <w:outlineLvl w:val="0"/>
        <w:rPr>
          <w:rFonts w:hint="default" w:ascii="Times New Roman" w:hAnsi="Times New Roman" w:eastAsia="宋体" w:cs="Times New Roman"/>
          <w:b/>
          <w:bCs/>
          <w:color w:val="auto"/>
          <w:sz w:val="24"/>
          <w:szCs w:val="24"/>
          <w:highlight w:val="none"/>
          <w:vertAlign w:val="baseline"/>
          <w:lang w:val="en-US" w:eastAsia="zh-CN"/>
        </w:rPr>
      </w:pPr>
      <w:bookmarkStart w:id="35" w:name="_Toc25962"/>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val="en-US" w:eastAsia="zh-CN"/>
        </w:rPr>
        <w:t xml:space="preserve">件3 </w:t>
      </w:r>
      <w:bookmarkEnd w:id="35"/>
      <w:r>
        <w:rPr>
          <w:rFonts w:hint="default" w:ascii="Times New Roman" w:hAnsi="Times New Roman" w:cs="Times New Roman"/>
          <w:b/>
          <w:bCs/>
          <w:color w:val="auto"/>
          <w:sz w:val="24"/>
          <w:szCs w:val="24"/>
          <w:highlight w:val="none"/>
          <w:lang w:val="en-US" w:eastAsia="zh-CN"/>
        </w:rPr>
        <w:t>用地预审与选址意见书批复</w:t>
      </w:r>
    </w:p>
    <w:p w14:paraId="48CCAE59">
      <w:pPr>
        <w:pStyle w:val="38"/>
        <w:ind w:left="0" w:leftChars="0" w:firstLine="0" w:firstLineChars="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5608320" cy="8054340"/>
            <wp:effectExtent l="0" t="0" r="0" b="7620"/>
            <wp:docPr id="14" name="图片 14" descr="a79e0a4a14085f390ea515296ec1c1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a79e0a4a14085f390ea515296ec1c15c"/>
                    <pic:cNvPicPr>
                      <a:picLocks noChangeAspect="1"/>
                    </pic:cNvPicPr>
                  </pic:nvPicPr>
                  <pic:blipFill>
                    <a:blip r:embed="rId43"/>
                    <a:stretch>
                      <a:fillRect/>
                    </a:stretch>
                  </pic:blipFill>
                  <pic:spPr>
                    <a:xfrm>
                      <a:off x="0" y="0"/>
                      <a:ext cx="5608320" cy="8054340"/>
                    </a:xfrm>
                    <a:prstGeom prst="rect">
                      <a:avLst/>
                    </a:prstGeom>
                  </pic:spPr>
                </pic:pic>
              </a:graphicData>
            </a:graphic>
          </wp:inline>
        </w:drawing>
      </w:r>
      <w:r>
        <w:rPr>
          <w:rFonts w:hint="default" w:ascii="Times New Roman" w:hAnsi="Times New Roman" w:eastAsia="宋体" w:cs="Times New Roman"/>
          <w:color w:val="auto"/>
          <w:highlight w:val="none"/>
          <w:lang w:eastAsia="zh-CN"/>
        </w:rPr>
        <w:drawing>
          <wp:inline distT="0" distB="0" distL="114300" distR="114300">
            <wp:extent cx="5593080" cy="7909560"/>
            <wp:effectExtent l="0" t="0" r="0" b="0"/>
            <wp:docPr id="98" name="图片 98" descr="f2d410456ec7cd34ddd7cd5f57dff4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f2d410456ec7cd34ddd7cd5f57dff4b7"/>
                    <pic:cNvPicPr>
                      <a:picLocks noChangeAspect="1"/>
                    </pic:cNvPicPr>
                  </pic:nvPicPr>
                  <pic:blipFill>
                    <a:blip r:embed="rId44"/>
                    <a:stretch>
                      <a:fillRect/>
                    </a:stretch>
                  </pic:blipFill>
                  <pic:spPr>
                    <a:xfrm>
                      <a:off x="0" y="0"/>
                      <a:ext cx="5593080" cy="7909560"/>
                    </a:xfrm>
                    <a:prstGeom prst="rect">
                      <a:avLst/>
                    </a:prstGeom>
                  </pic:spPr>
                </pic:pic>
              </a:graphicData>
            </a:graphic>
          </wp:inline>
        </w:drawing>
      </w:r>
    </w:p>
    <w:p w14:paraId="32F68778">
      <w:pPr>
        <w:rPr>
          <w:rFonts w:hint="default" w:ascii="Times New Roman" w:hAnsi="Times New Roman" w:cs="Times New Roman"/>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cs="Times New Roman"/>
          <w:color w:val="auto"/>
          <w:highlight w:val="none"/>
        </w:rPr>
        <w:br w:type="page"/>
      </w:r>
    </w:p>
    <w:p w14:paraId="6EC55997">
      <w:pPr>
        <w:ind w:firstLine="0" w:firstLineChars="0"/>
        <w:jc w:val="left"/>
        <w:outlineLvl w:val="0"/>
        <w:rPr>
          <w:rFonts w:hint="default" w:ascii="Times New Roman" w:hAnsi="Times New Roman" w:cs="Times New Roman"/>
          <w:b/>
          <w:bCs/>
          <w:color w:val="auto"/>
          <w:sz w:val="24"/>
          <w:szCs w:val="24"/>
          <w:highlight w:val="none"/>
          <w:lang w:val="en-US" w:eastAsia="zh-CN"/>
        </w:rPr>
      </w:pPr>
      <w:bookmarkStart w:id="36" w:name="_Toc21782"/>
      <w:r>
        <w:rPr>
          <w:rFonts w:hint="default" w:ascii="Times New Roman" w:hAnsi="Times New Roman" w:cs="Times New Roman"/>
          <w:b/>
          <w:bCs/>
          <w:color w:val="auto"/>
          <w:sz w:val="24"/>
          <w:szCs w:val="24"/>
          <w:highlight w:val="none"/>
          <w:lang w:val="en-US" w:eastAsia="zh-CN"/>
        </w:rPr>
        <w:t>附件</w:t>
      </w:r>
      <w:bookmarkEnd w:id="36"/>
      <w:r>
        <w:rPr>
          <w:rFonts w:hint="default" w:ascii="Times New Roman" w:hAnsi="Times New Roman" w:cs="Times New Roman"/>
          <w:b/>
          <w:bCs/>
          <w:color w:val="auto"/>
          <w:sz w:val="24"/>
          <w:szCs w:val="24"/>
          <w:highlight w:val="none"/>
          <w:lang w:val="en-US" w:eastAsia="zh-CN"/>
        </w:rPr>
        <w:t>4 额济纳旗文化旅游广电局文件</w:t>
      </w:r>
    </w:p>
    <w:p w14:paraId="3DFC2339">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58D26059">
      <w:pPr>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5615940" cy="7940040"/>
            <wp:effectExtent l="0" t="0" r="7620" b="0"/>
            <wp:docPr id="99" name="图片 99" descr="7943406be9932c14259d62e2addc87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7943406be9932c14259d62e2addc870f"/>
                    <pic:cNvPicPr>
                      <a:picLocks noChangeAspect="1"/>
                    </pic:cNvPicPr>
                  </pic:nvPicPr>
                  <pic:blipFill>
                    <a:blip r:embed="rId45"/>
                    <a:stretch>
                      <a:fillRect/>
                    </a:stretch>
                  </pic:blipFill>
                  <pic:spPr>
                    <a:xfrm>
                      <a:off x="0" y="0"/>
                      <a:ext cx="5615940" cy="7940040"/>
                    </a:xfrm>
                    <a:prstGeom prst="rect">
                      <a:avLst/>
                    </a:prstGeom>
                  </pic:spPr>
                </pic:pic>
              </a:graphicData>
            </a:graphic>
          </wp:inline>
        </w:drawing>
      </w:r>
      <w:r>
        <w:rPr>
          <w:rFonts w:hint="default" w:ascii="Times New Roman" w:hAnsi="Times New Roman" w:eastAsia="宋体" w:cs="Times New Roman"/>
          <w:color w:val="auto"/>
          <w:highlight w:val="none"/>
          <w:lang w:eastAsia="zh-CN"/>
        </w:rPr>
        <w:drawing>
          <wp:inline distT="0" distB="0" distL="114300" distR="114300">
            <wp:extent cx="5615940" cy="7940040"/>
            <wp:effectExtent l="0" t="0" r="7620" b="0"/>
            <wp:docPr id="100" name="图片 100" descr="646bfdbfa9c1e6a4302dfd5da6faf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646bfdbfa9c1e6a4302dfd5da6faf855"/>
                    <pic:cNvPicPr>
                      <a:picLocks noChangeAspect="1"/>
                    </pic:cNvPicPr>
                  </pic:nvPicPr>
                  <pic:blipFill>
                    <a:blip r:embed="rId46"/>
                    <a:stretch>
                      <a:fillRect/>
                    </a:stretch>
                  </pic:blipFill>
                  <pic:spPr>
                    <a:xfrm>
                      <a:off x="0" y="0"/>
                      <a:ext cx="5615940" cy="7940040"/>
                    </a:xfrm>
                    <a:prstGeom prst="rect">
                      <a:avLst/>
                    </a:prstGeom>
                  </pic:spPr>
                </pic:pic>
              </a:graphicData>
            </a:graphic>
          </wp:inline>
        </w:drawing>
      </w:r>
    </w:p>
    <w:p w14:paraId="10E39547">
      <w:pPr>
        <w:bidi w:val="0"/>
        <w:rPr>
          <w:rFonts w:hint="default" w:ascii="Times New Roman" w:hAnsi="Times New Roman" w:eastAsia="宋体" w:cs="Times New Roman"/>
          <w:color w:val="auto"/>
          <w:highlight w:val="none"/>
          <w:lang w:eastAsia="zh-CN"/>
        </w:rPr>
      </w:pPr>
    </w:p>
    <w:p w14:paraId="308C4A9F">
      <w:pPr>
        <w:bidi w:val="0"/>
        <w:rPr>
          <w:rFonts w:hint="default" w:ascii="Times New Roman" w:hAnsi="Times New Roman" w:cs="Times New Roman"/>
          <w:color w:val="auto"/>
          <w:highlight w:val="none"/>
        </w:rPr>
      </w:pPr>
    </w:p>
    <w:p w14:paraId="74AA34FC">
      <w:pPr>
        <w:ind w:firstLine="0" w:firstLineChars="0"/>
        <w:jc w:val="left"/>
        <w:outlineLvl w:val="0"/>
        <w:rPr>
          <w:rFonts w:hint="default" w:ascii="Times New Roman" w:hAnsi="Times New Roman" w:cs="Times New Roman"/>
          <w:b/>
          <w:bCs/>
          <w:color w:val="auto"/>
          <w:sz w:val="24"/>
          <w:szCs w:val="24"/>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5F7F7D89">
      <w:pPr>
        <w:ind w:firstLine="0" w:firstLineChars="0"/>
        <w:jc w:val="left"/>
        <w:outlineLvl w:val="0"/>
        <w:rPr>
          <w:rFonts w:hint="default" w:ascii="Times New Roman" w:hAnsi="Times New Roman" w:eastAsia="宋体" w:cs="Times New Roman"/>
          <w:b/>
          <w:bCs/>
          <w:color w:val="auto"/>
          <w:sz w:val="24"/>
          <w:szCs w:val="24"/>
          <w:highlight w:val="none"/>
          <w:vertAlign w:val="baseline"/>
          <w:lang w:val="en-US" w:eastAsia="zh-CN"/>
        </w:rPr>
      </w:pPr>
      <w:bookmarkStart w:id="37" w:name="_Toc6377"/>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val="en-US" w:eastAsia="zh-CN"/>
        </w:rPr>
        <w:t>件</w:t>
      </w:r>
      <w:bookmarkEnd w:id="37"/>
      <w:r>
        <w:rPr>
          <w:rFonts w:hint="default" w:ascii="Times New Roman" w:hAnsi="Times New Roman" w:cs="Times New Roman"/>
          <w:b/>
          <w:bCs/>
          <w:color w:val="auto"/>
          <w:sz w:val="24"/>
          <w:szCs w:val="24"/>
          <w:highlight w:val="none"/>
          <w:lang w:val="en-US" w:eastAsia="zh-CN"/>
        </w:rPr>
        <w:t>5  阿拉善盟生态环境局额济纳旗分局文件</w:t>
      </w:r>
      <w:r>
        <w:rPr>
          <w:rFonts w:hint="default" w:ascii="Times New Roman" w:hAnsi="Times New Roman" w:eastAsia="宋体" w:cs="Times New Roman"/>
          <w:b/>
          <w:bCs/>
          <w:color w:val="auto"/>
          <w:sz w:val="24"/>
          <w:szCs w:val="24"/>
          <w:highlight w:val="none"/>
          <w:vertAlign w:val="baseline"/>
          <w:lang w:val="en-US" w:eastAsia="zh-CN"/>
        </w:rPr>
        <w:drawing>
          <wp:inline distT="0" distB="0" distL="114300" distR="114300">
            <wp:extent cx="5615940" cy="7940040"/>
            <wp:effectExtent l="0" t="0" r="7620" b="0"/>
            <wp:docPr id="101" name="图片 101" descr="0e35e4a7c5030608f5957c831b604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0e35e4a7c5030608f5957c831b604680"/>
                    <pic:cNvPicPr>
                      <a:picLocks noChangeAspect="1"/>
                    </pic:cNvPicPr>
                  </pic:nvPicPr>
                  <pic:blipFill>
                    <a:blip r:embed="rId47"/>
                    <a:stretch>
                      <a:fillRect/>
                    </a:stretch>
                  </pic:blipFill>
                  <pic:spPr>
                    <a:xfrm>
                      <a:off x="0" y="0"/>
                      <a:ext cx="5615940" cy="7940040"/>
                    </a:xfrm>
                    <a:prstGeom prst="rect">
                      <a:avLst/>
                    </a:prstGeom>
                  </pic:spPr>
                </pic:pic>
              </a:graphicData>
            </a:graphic>
          </wp:inline>
        </w:drawing>
      </w:r>
    </w:p>
    <w:p w14:paraId="3FA89EE3">
      <w:pPr>
        <w:pStyle w:val="38"/>
        <w:ind w:left="0" w:lef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5610860" cy="7934960"/>
            <wp:effectExtent l="9525" t="9525" r="18415" b="10795"/>
            <wp:docPr id="21" name="图片 21" descr="2环保局复函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环保局复函_页面_2"/>
                    <pic:cNvPicPr>
                      <a:picLocks noChangeAspect="1"/>
                    </pic:cNvPicPr>
                  </pic:nvPicPr>
                  <pic:blipFill>
                    <a:blip r:embed="rId48"/>
                    <a:stretch>
                      <a:fillRect/>
                    </a:stretch>
                  </pic:blipFill>
                  <pic:spPr>
                    <a:xfrm>
                      <a:off x="0" y="0"/>
                      <a:ext cx="5610860" cy="7934960"/>
                    </a:xfrm>
                    <a:prstGeom prst="rect">
                      <a:avLst/>
                    </a:prstGeom>
                    <a:ln>
                      <a:solidFill>
                        <a:schemeClr val="tx1"/>
                      </a:solidFill>
                    </a:ln>
                  </pic:spPr>
                </pic:pic>
              </a:graphicData>
            </a:graphic>
          </wp:inline>
        </w:drawing>
      </w:r>
    </w:p>
    <w:p w14:paraId="6ED93E41">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br w:type="page"/>
      </w:r>
    </w:p>
    <w:p w14:paraId="799D3DFF">
      <w:pPr>
        <w:ind w:firstLine="0" w:firstLineChars="0"/>
        <w:jc w:val="left"/>
        <w:outlineLvl w:val="0"/>
        <w:rPr>
          <w:rFonts w:hint="default" w:ascii="Times New Roman" w:hAnsi="Times New Roman" w:eastAsia="宋体" w:cs="Times New Roman"/>
          <w:b/>
          <w:bCs/>
          <w:color w:val="auto"/>
          <w:sz w:val="24"/>
          <w:szCs w:val="24"/>
          <w:highlight w:val="none"/>
          <w:vertAlign w:val="baseline"/>
          <w:lang w:val="en-US" w:eastAsia="zh-CN"/>
        </w:rPr>
      </w:pPr>
      <w:bookmarkStart w:id="38" w:name="_Toc23198"/>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val="en-US" w:eastAsia="zh-CN"/>
        </w:rPr>
        <w:t xml:space="preserve">件6 </w:t>
      </w:r>
      <w:bookmarkEnd w:id="38"/>
      <w:r>
        <w:rPr>
          <w:rFonts w:hint="default" w:ascii="Times New Roman" w:hAnsi="Times New Roman" w:cs="Times New Roman"/>
          <w:b/>
          <w:bCs/>
          <w:color w:val="auto"/>
          <w:sz w:val="24"/>
          <w:szCs w:val="24"/>
          <w:highlight w:val="none"/>
          <w:lang w:val="en-US" w:eastAsia="zh-CN"/>
        </w:rPr>
        <w:t>额济纳旗交通运输局文件</w:t>
      </w:r>
      <w:r>
        <w:rPr>
          <w:rFonts w:hint="default" w:ascii="Times New Roman" w:hAnsi="Times New Roman" w:eastAsia="宋体" w:cs="Times New Roman"/>
          <w:b/>
          <w:bCs/>
          <w:color w:val="auto"/>
          <w:sz w:val="24"/>
          <w:szCs w:val="24"/>
          <w:highlight w:val="none"/>
          <w:vertAlign w:val="baseline"/>
          <w:lang w:val="en-US" w:eastAsia="zh-CN"/>
        </w:rPr>
        <w:drawing>
          <wp:inline distT="0" distB="0" distL="114300" distR="114300">
            <wp:extent cx="5615940" cy="7940040"/>
            <wp:effectExtent l="0" t="0" r="7620" b="0"/>
            <wp:docPr id="102" name="图片 102" descr="056abc58e85d94ce23cf5576fa128d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056abc58e85d94ce23cf5576fa128df3"/>
                    <pic:cNvPicPr>
                      <a:picLocks noChangeAspect="1"/>
                    </pic:cNvPicPr>
                  </pic:nvPicPr>
                  <pic:blipFill>
                    <a:blip r:embed="rId49"/>
                    <a:stretch>
                      <a:fillRect/>
                    </a:stretch>
                  </pic:blipFill>
                  <pic:spPr>
                    <a:xfrm>
                      <a:off x="0" y="0"/>
                      <a:ext cx="5615940" cy="7940040"/>
                    </a:xfrm>
                    <a:prstGeom prst="rect">
                      <a:avLst/>
                    </a:prstGeom>
                  </pic:spPr>
                </pic:pic>
              </a:graphicData>
            </a:graphic>
          </wp:inline>
        </w:drawing>
      </w:r>
    </w:p>
    <w:p w14:paraId="78DF296A">
      <w:pPr>
        <w:pStyle w:val="38"/>
        <w:ind w:left="0" w:lef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5615940" cy="7940040"/>
            <wp:effectExtent l="0" t="0" r="7620" b="0"/>
            <wp:docPr id="103" name="图片 103" descr="90ebd7318743525feff4e4938f92ac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90ebd7318743525feff4e4938f92ac5a"/>
                    <pic:cNvPicPr>
                      <a:picLocks noChangeAspect="1"/>
                    </pic:cNvPicPr>
                  </pic:nvPicPr>
                  <pic:blipFill>
                    <a:blip r:embed="rId50"/>
                    <a:stretch>
                      <a:fillRect/>
                    </a:stretch>
                  </pic:blipFill>
                  <pic:spPr>
                    <a:xfrm>
                      <a:off x="0" y="0"/>
                      <a:ext cx="5615940" cy="7940040"/>
                    </a:xfrm>
                    <a:prstGeom prst="rect">
                      <a:avLst/>
                    </a:prstGeom>
                  </pic:spPr>
                </pic:pic>
              </a:graphicData>
            </a:graphic>
          </wp:inline>
        </w:drawing>
      </w:r>
    </w:p>
    <w:p w14:paraId="42E68E27">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br w:type="page"/>
      </w:r>
    </w:p>
    <w:p w14:paraId="2F4F456B">
      <w:pPr>
        <w:ind w:firstLine="0" w:firstLineChars="0"/>
        <w:jc w:val="left"/>
        <w:outlineLvl w:val="0"/>
        <w:rPr>
          <w:rFonts w:hint="default" w:ascii="Times New Roman" w:hAnsi="Times New Roman" w:cs="Times New Roman"/>
          <w:b/>
          <w:bCs/>
          <w:color w:val="auto"/>
          <w:sz w:val="24"/>
          <w:szCs w:val="24"/>
          <w:highlight w:val="none"/>
        </w:rPr>
        <w:sectPr>
          <w:headerReference r:id="rId8" w:type="default"/>
          <w:footerReference r:id="rId9"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bookmarkStart w:id="39" w:name="_Toc23777"/>
    </w:p>
    <w:p w14:paraId="5632D568">
      <w:pPr>
        <w:ind w:firstLine="0" w:firstLineChars="0"/>
        <w:jc w:val="left"/>
        <w:outlineLvl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val="en-US" w:eastAsia="zh-CN"/>
        </w:rPr>
        <w:t>件7 额济纳旗林业和草原局文件</w:t>
      </w:r>
      <w:r>
        <w:rPr>
          <w:rFonts w:hint="default" w:ascii="Times New Roman" w:hAnsi="Times New Roman" w:cs="Times New Roman"/>
          <w:b/>
          <w:bCs/>
          <w:color w:val="auto"/>
          <w:sz w:val="24"/>
          <w:szCs w:val="24"/>
          <w:highlight w:val="none"/>
          <w:lang w:val="en-US" w:eastAsia="zh-CN"/>
        </w:rPr>
        <w:drawing>
          <wp:inline distT="0" distB="0" distL="114300" distR="114300">
            <wp:extent cx="5615940" cy="7940040"/>
            <wp:effectExtent l="0" t="0" r="7620" b="0"/>
            <wp:docPr id="104" name="图片 104" descr="97ad89b36dabb9cf964f45b6a79d7e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97ad89b36dabb9cf964f45b6a79d7e6a"/>
                    <pic:cNvPicPr>
                      <a:picLocks noChangeAspect="1"/>
                    </pic:cNvPicPr>
                  </pic:nvPicPr>
                  <pic:blipFill>
                    <a:blip r:embed="rId51"/>
                    <a:stretch>
                      <a:fillRect/>
                    </a:stretch>
                  </pic:blipFill>
                  <pic:spPr>
                    <a:xfrm>
                      <a:off x="0" y="0"/>
                      <a:ext cx="5615940" cy="7940040"/>
                    </a:xfrm>
                    <a:prstGeom prst="rect">
                      <a:avLst/>
                    </a:prstGeom>
                  </pic:spPr>
                </pic:pic>
              </a:graphicData>
            </a:graphic>
          </wp:inline>
        </w:drawing>
      </w:r>
    </w:p>
    <w:p w14:paraId="4B02AB33">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01F3C1DB">
      <w:pPr>
        <w:ind w:firstLine="0" w:firstLineChars="0"/>
        <w:jc w:val="left"/>
        <w:outlineLvl w:val="0"/>
        <w:rPr>
          <w:rFonts w:hint="default" w:ascii="Times New Roman" w:hAnsi="Times New Roman" w:cs="Times New Roman"/>
          <w:b/>
          <w:bCs/>
          <w:color w:val="auto"/>
          <w:sz w:val="24"/>
          <w:szCs w:val="24"/>
          <w:highlight w:val="none"/>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cs="Times New Roman"/>
          <w:b/>
          <w:bCs/>
          <w:color w:val="auto"/>
          <w:sz w:val="24"/>
          <w:szCs w:val="24"/>
          <w:highlight w:val="none"/>
          <w:lang w:val="en-US" w:eastAsia="zh-CN"/>
        </w:rPr>
        <w:drawing>
          <wp:inline distT="0" distB="0" distL="114300" distR="114300">
            <wp:extent cx="5615940" cy="7940040"/>
            <wp:effectExtent l="0" t="0" r="7620" b="0"/>
            <wp:docPr id="105" name="图片 105" descr="4add4ae3b749a3f52b1add02c709e4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4add4ae3b749a3f52b1add02c709e4b7"/>
                    <pic:cNvPicPr>
                      <a:picLocks noChangeAspect="1"/>
                    </pic:cNvPicPr>
                  </pic:nvPicPr>
                  <pic:blipFill>
                    <a:blip r:embed="rId52"/>
                    <a:stretch>
                      <a:fillRect/>
                    </a:stretch>
                  </pic:blipFill>
                  <pic:spPr>
                    <a:xfrm>
                      <a:off x="0" y="0"/>
                      <a:ext cx="5615940" cy="7940040"/>
                    </a:xfrm>
                    <a:prstGeom prst="rect">
                      <a:avLst/>
                    </a:prstGeom>
                  </pic:spPr>
                </pic:pic>
              </a:graphicData>
            </a:graphic>
          </wp:inline>
        </w:drawing>
      </w:r>
    </w:p>
    <w:p w14:paraId="7D3891C0">
      <w:pPr>
        <w:ind w:firstLine="0" w:firstLineChars="0"/>
        <w:jc w:val="left"/>
        <w:outlineLvl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val="en-US" w:eastAsia="zh-CN"/>
        </w:rPr>
        <w:t>件8 额额济纳旗水务局文件</w:t>
      </w:r>
      <w:r>
        <w:rPr>
          <w:rFonts w:hint="default" w:ascii="Times New Roman" w:hAnsi="Times New Roman" w:cs="Times New Roman"/>
          <w:b/>
          <w:bCs/>
          <w:color w:val="auto"/>
          <w:sz w:val="24"/>
          <w:szCs w:val="24"/>
          <w:highlight w:val="none"/>
          <w:lang w:val="en-US" w:eastAsia="zh-CN"/>
        </w:rPr>
        <w:drawing>
          <wp:inline distT="0" distB="0" distL="114300" distR="114300">
            <wp:extent cx="5615940" cy="7940040"/>
            <wp:effectExtent l="0" t="0" r="7620" b="0"/>
            <wp:docPr id="106" name="图片 106" descr="d00439ff1142eedb31ff2c83a4bc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d00439ff1142eedb31ff2c83a4bc2363"/>
                    <pic:cNvPicPr>
                      <a:picLocks noChangeAspect="1"/>
                    </pic:cNvPicPr>
                  </pic:nvPicPr>
                  <pic:blipFill>
                    <a:blip r:embed="rId53"/>
                    <a:stretch>
                      <a:fillRect/>
                    </a:stretch>
                  </pic:blipFill>
                  <pic:spPr>
                    <a:xfrm>
                      <a:off x="0" y="0"/>
                      <a:ext cx="5615940" cy="7940040"/>
                    </a:xfrm>
                    <a:prstGeom prst="rect">
                      <a:avLst/>
                    </a:prstGeom>
                  </pic:spPr>
                </pic:pic>
              </a:graphicData>
            </a:graphic>
          </wp:inline>
        </w:drawing>
      </w:r>
    </w:p>
    <w:p w14:paraId="11C9AF8F">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20500EA5">
      <w:pPr>
        <w:ind w:firstLine="0" w:firstLineChars="0"/>
        <w:jc w:val="left"/>
        <w:outlineLvl w:val="0"/>
        <w:rPr>
          <w:rFonts w:hint="default" w:ascii="Times New Roman" w:hAnsi="Times New Roman" w:cs="Times New Roman"/>
          <w:b/>
          <w:bCs/>
          <w:color w:val="auto"/>
          <w:sz w:val="24"/>
          <w:szCs w:val="24"/>
          <w:highlight w:val="none"/>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cs="Times New Roman"/>
          <w:b/>
          <w:bCs/>
          <w:color w:val="auto"/>
          <w:sz w:val="24"/>
          <w:szCs w:val="24"/>
          <w:highlight w:val="none"/>
          <w:lang w:val="en-US" w:eastAsia="zh-CN"/>
        </w:rPr>
        <w:drawing>
          <wp:inline distT="0" distB="0" distL="114300" distR="114300">
            <wp:extent cx="5615940" cy="7940040"/>
            <wp:effectExtent l="0" t="0" r="7620" b="0"/>
            <wp:docPr id="107" name="图片 107" descr="51434da294776380e2be855a70a90c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51434da294776380e2be855a70a90c2e"/>
                    <pic:cNvPicPr>
                      <a:picLocks noChangeAspect="1"/>
                    </pic:cNvPicPr>
                  </pic:nvPicPr>
                  <pic:blipFill>
                    <a:blip r:embed="rId54"/>
                    <a:stretch>
                      <a:fillRect/>
                    </a:stretch>
                  </pic:blipFill>
                  <pic:spPr>
                    <a:xfrm>
                      <a:off x="0" y="0"/>
                      <a:ext cx="5615940" cy="7940040"/>
                    </a:xfrm>
                    <a:prstGeom prst="rect">
                      <a:avLst/>
                    </a:prstGeom>
                  </pic:spPr>
                </pic:pic>
              </a:graphicData>
            </a:graphic>
          </wp:inline>
        </w:drawing>
      </w:r>
    </w:p>
    <w:p w14:paraId="742E8E5E">
      <w:pPr>
        <w:ind w:firstLine="0" w:firstLineChars="0"/>
        <w:jc w:val="left"/>
        <w:outlineLvl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val="en-US" w:eastAsia="zh-CN"/>
        </w:rPr>
        <w:t>件9 温图高勒苏木人民政府文件</w:t>
      </w:r>
      <w:r>
        <w:rPr>
          <w:rFonts w:hint="default" w:ascii="Times New Roman" w:hAnsi="Times New Roman" w:cs="Times New Roman"/>
          <w:b/>
          <w:bCs/>
          <w:color w:val="auto"/>
          <w:sz w:val="24"/>
          <w:szCs w:val="24"/>
          <w:highlight w:val="none"/>
          <w:lang w:val="en-US" w:eastAsia="zh-CN"/>
        </w:rPr>
        <w:drawing>
          <wp:inline distT="0" distB="0" distL="114300" distR="114300">
            <wp:extent cx="5615940" cy="7940040"/>
            <wp:effectExtent l="0" t="0" r="7620" b="0"/>
            <wp:docPr id="108" name="图片 108" descr="093c95ef6817493d7d5858bd5a8b9c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093c95ef6817493d7d5858bd5a8b9c21"/>
                    <pic:cNvPicPr>
                      <a:picLocks noChangeAspect="1"/>
                    </pic:cNvPicPr>
                  </pic:nvPicPr>
                  <pic:blipFill>
                    <a:blip r:embed="rId55"/>
                    <a:stretch>
                      <a:fillRect/>
                    </a:stretch>
                  </pic:blipFill>
                  <pic:spPr>
                    <a:xfrm>
                      <a:off x="0" y="0"/>
                      <a:ext cx="5615940" cy="7940040"/>
                    </a:xfrm>
                    <a:prstGeom prst="rect">
                      <a:avLst/>
                    </a:prstGeom>
                  </pic:spPr>
                </pic:pic>
              </a:graphicData>
            </a:graphic>
          </wp:inline>
        </w:drawing>
      </w:r>
    </w:p>
    <w:p w14:paraId="4728D133">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5BCE6447">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6F0BF2CA">
      <w:pPr>
        <w:ind w:firstLine="0" w:firstLineChars="0"/>
        <w:jc w:val="left"/>
        <w:outlineLvl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drawing>
          <wp:inline distT="0" distB="0" distL="114300" distR="114300">
            <wp:extent cx="5615940" cy="7940040"/>
            <wp:effectExtent l="0" t="0" r="7620" b="0"/>
            <wp:docPr id="109" name="图片 109" descr="4f17e88ea56af7730a4f0bf566b959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4f17e88ea56af7730a4f0bf566b9599a"/>
                    <pic:cNvPicPr>
                      <a:picLocks noChangeAspect="1"/>
                    </pic:cNvPicPr>
                  </pic:nvPicPr>
                  <pic:blipFill>
                    <a:blip r:embed="rId56"/>
                    <a:stretch>
                      <a:fillRect/>
                    </a:stretch>
                  </pic:blipFill>
                  <pic:spPr>
                    <a:xfrm>
                      <a:off x="0" y="0"/>
                      <a:ext cx="5615940" cy="7940040"/>
                    </a:xfrm>
                    <a:prstGeom prst="rect">
                      <a:avLst/>
                    </a:prstGeom>
                  </pic:spPr>
                </pic:pic>
              </a:graphicData>
            </a:graphic>
          </wp:inline>
        </w:drawing>
      </w:r>
    </w:p>
    <w:p w14:paraId="3D7662DA">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1F6C7C27">
      <w:pPr>
        <w:ind w:firstLine="0" w:firstLineChars="0"/>
        <w:jc w:val="left"/>
        <w:outlineLvl w:val="0"/>
        <w:rPr>
          <w:rFonts w:hint="default" w:ascii="Times New Roman" w:hAnsi="Times New Roman" w:cs="Times New Roman"/>
          <w:b/>
          <w:bCs/>
          <w:color w:val="auto"/>
          <w:sz w:val="24"/>
          <w:szCs w:val="24"/>
          <w:highlight w:val="none"/>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5660E7D">
      <w:pPr>
        <w:ind w:firstLine="0" w:firstLineChars="0"/>
        <w:jc w:val="left"/>
        <w:outlineLvl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val="en-US" w:eastAsia="zh-CN"/>
        </w:rPr>
        <w:t>件10 额济纳旗自然资源局文件</w:t>
      </w:r>
      <w:r>
        <w:rPr>
          <w:rFonts w:hint="default" w:ascii="Times New Roman" w:hAnsi="Times New Roman" w:cs="Times New Roman"/>
          <w:b/>
          <w:bCs/>
          <w:color w:val="auto"/>
          <w:sz w:val="24"/>
          <w:szCs w:val="24"/>
          <w:highlight w:val="none"/>
          <w:lang w:val="en-US" w:eastAsia="zh-CN"/>
        </w:rPr>
        <w:drawing>
          <wp:inline distT="0" distB="0" distL="114300" distR="114300">
            <wp:extent cx="5615940" cy="7940040"/>
            <wp:effectExtent l="0" t="0" r="7620" b="0"/>
            <wp:docPr id="110" name="图片 110" descr="54e683cf9d379213f0442de05bf6a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54e683cf9d379213f0442de05bf6a00d"/>
                    <pic:cNvPicPr>
                      <a:picLocks noChangeAspect="1"/>
                    </pic:cNvPicPr>
                  </pic:nvPicPr>
                  <pic:blipFill>
                    <a:blip r:embed="rId57"/>
                    <a:stretch>
                      <a:fillRect/>
                    </a:stretch>
                  </pic:blipFill>
                  <pic:spPr>
                    <a:xfrm>
                      <a:off x="0" y="0"/>
                      <a:ext cx="5615940" cy="7940040"/>
                    </a:xfrm>
                    <a:prstGeom prst="rect">
                      <a:avLst/>
                    </a:prstGeom>
                  </pic:spPr>
                </pic:pic>
              </a:graphicData>
            </a:graphic>
          </wp:inline>
        </w:drawing>
      </w:r>
      <w:r>
        <w:rPr>
          <w:rFonts w:hint="default" w:ascii="Times New Roman" w:hAnsi="Times New Roman" w:cs="Times New Roman"/>
          <w:b/>
          <w:bCs/>
          <w:color w:val="auto"/>
          <w:sz w:val="24"/>
          <w:szCs w:val="24"/>
          <w:highlight w:val="none"/>
          <w:lang w:val="en-US" w:eastAsia="zh-CN"/>
        </w:rPr>
        <w:drawing>
          <wp:inline distT="0" distB="0" distL="114300" distR="114300">
            <wp:extent cx="5614035" cy="7978140"/>
            <wp:effectExtent l="0" t="0" r="9525" b="7620"/>
            <wp:docPr id="111" name="图片 111" descr="e6bc5fee4593a0ac17272b8bbd31ab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e6bc5fee4593a0ac17272b8bbd31ab61"/>
                    <pic:cNvPicPr>
                      <a:picLocks noChangeAspect="1"/>
                    </pic:cNvPicPr>
                  </pic:nvPicPr>
                  <pic:blipFill>
                    <a:blip r:embed="rId58"/>
                    <a:stretch>
                      <a:fillRect/>
                    </a:stretch>
                  </pic:blipFill>
                  <pic:spPr>
                    <a:xfrm>
                      <a:off x="0" y="0"/>
                      <a:ext cx="5614035" cy="7978140"/>
                    </a:xfrm>
                    <a:prstGeom prst="rect">
                      <a:avLst/>
                    </a:prstGeom>
                  </pic:spPr>
                </pic:pic>
              </a:graphicData>
            </a:graphic>
          </wp:inline>
        </w:drawing>
      </w:r>
    </w:p>
    <w:p w14:paraId="4BFA84FA">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6933DB45">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4795FE64">
      <w:pPr>
        <w:pStyle w:val="9"/>
        <w:rPr>
          <w:rFonts w:hint="default"/>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51B7BDB9">
      <w:pPr>
        <w:ind w:firstLine="0" w:firstLineChars="0"/>
        <w:jc w:val="left"/>
        <w:outlineLvl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附件11 额济纳旗人民武装部文件</w:t>
      </w:r>
      <w:r>
        <w:rPr>
          <w:rFonts w:hint="default" w:ascii="Times New Roman" w:hAnsi="Times New Roman" w:cs="Times New Roman"/>
          <w:b/>
          <w:bCs/>
          <w:color w:val="auto"/>
          <w:sz w:val="24"/>
          <w:szCs w:val="24"/>
          <w:highlight w:val="none"/>
          <w:lang w:val="en-US" w:eastAsia="zh-CN"/>
        </w:rPr>
        <w:drawing>
          <wp:inline distT="0" distB="0" distL="114300" distR="114300">
            <wp:extent cx="5615940" cy="7932420"/>
            <wp:effectExtent l="0" t="0" r="7620" b="7620"/>
            <wp:docPr id="113" name="图片 113" descr="3a810d8cd59ca95cf547c80e699cf8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3a810d8cd59ca95cf547c80e699cf80d"/>
                    <pic:cNvPicPr>
                      <a:picLocks noChangeAspect="1"/>
                    </pic:cNvPicPr>
                  </pic:nvPicPr>
                  <pic:blipFill>
                    <a:blip r:embed="rId59"/>
                    <a:stretch>
                      <a:fillRect/>
                    </a:stretch>
                  </pic:blipFill>
                  <pic:spPr>
                    <a:xfrm>
                      <a:off x="0" y="0"/>
                      <a:ext cx="5615940" cy="7932420"/>
                    </a:xfrm>
                    <a:prstGeom prst="rect">
                      <a:avLst/>
                    </a:prstGeom>
                  </pic:spPr>
                </pic:pic>
              </a:graphicData>
            </a:graphic>
          </wp:inline>
        </w:drawing>
      </w:r>
    </w:p>
    <w:p w14:paraId="4E4CC31E">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44FE5BB9">
      <w:pPr>
        <w:ind w:firstLine="0" w:firstLineChars="0"/>
        <w:jc w:val="left"/>
        <w:outlineLvl w:val="0"/>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eastAsia="zh-CN"/>
        </w:rPr>
        <w:drawing>
          <wp:inline distT="0" distB="0" distL="114300" distR="114300">
            <wp:extent cx="5608955" cy="7931785"/>
            <wp:effectExtent l="0" t="0" r="14605" b="8255"/>
            <wp:docPr id="37" name="图片 37" descr="8武装部复函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8武装部复函_页面_2"/>
                    <pic:cNvPicPr>
                      <a:picLocks noChangeAspect="1"/>
                    </pic:cNvPicPr>
                  </pic:nvPicPr>
                  <pic:blipFill>
                    <a:blip r:embed="rId60"/>
                    <a:stretch>
                      <a:fillRect/>
                    </a:stretch>
                  </pic:blipFill>
                  <pic:spPr>
                    <a:xfrm>
                      <a:off x="0" y="0"/>
                      <a:ext cx="5608955" cy="7931785"/>
                    </a:xfrm>
                    <a:prstGeom prst="rect">
                      <a:avLst/>
                    </a:prstGeom>
                  </pic:spPr>
                </pic:pic>
              </a:graphicData>
            </a:graphic>
          </wp:inline>
        </w:drawing>
      </w:r>
    </w:p>
    <w:p w14:paraId="4D778C04">
      <w:pPr>
        <w:ind w:firstLine="0" w:firstLineChars="0"/>
        <w:jc w:val="left"/>
        <w:outlineLvl w:val="0"/>
        <w:rPr>
          <w:rFonts w:hint="default" w:ascii="Times New Roman" w:hAnsi="Times New Roman" w:eastAsia="宋体" w:cs="Times New Roman"/>
          <w:b/>
          <w:bCs/>
          <w:color w:val="auto"/>
          <w:sz w:val="24"/>
          <w:szCs w:val="24"/>
          <w:highlight w:val="none"/>
          <w:lang w:eastAsia="zh-CN"/>
        </w:rPr>
      </w:pPr>
    </w:p>
    <w:p w14:paraId="3B2E811E">
      <w:pPr>
        <w:ind w:firstLine="0" w:firstLineChars="0"/>
        <w:jc w:val="left"/>
        <w:outlineLvl w:val="0"/>
        <w:rPr>
          <w:rFonts w:hint="default" w:ascii="Times New Roman" w:hAnsi="Times New Roman" w:eastAsia="宋体" w:cs="Times New Roman"/>
          <w:b/>
          <w:bCs/>
          <w:color w:val="auto"/>
          <w:sz w:val="24"/>
          <w:szCs w:val="24"/>
          <w:highlight w:val="none"/>
          <w:lang w:eastAsia="zh-CN"/>
        </w:rPr>
      </w:pPr>
    </w:p>
    <w:p w14:paraId="2F911F6E">
      <w:pPr>
        <w:ind w:firstLine="0" w:firstLineChars="0"/>
        <w:jc w:val="left"/>
        <w:outlineLvl w:val="0"/>
        <w:rPr>
          <w:rFonts w:hint="default" w:ascii="Times New Roman" w:hAnsi="Times New Roman" w:eastAsia="宋体" w:cs="Times New Roman"/>
          <w:b/>
          <w:bCs/>
          <w:color w:val="auto"/>
          <w:sz w:val="24"/>
          <w:szCs w:val="24"/>
          <w:highlight w:val="none"/>
          <w:lang w:eastAsia="zh-CN"/>
        </w:rPr>
      </w:pPr>
    </w:p>
    <w:p w14:paraId="78F76945">
      <w:pPr>
        <w:ind w:firstLine="0" w:firstLineChars="0"/>
        <w:jc w:val="left"/>
        <w:outlineLvl w:val="0"/>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附件12额济纳旗文物保护中心文件</w:t>
      </w:r>
      <w:r>
        <w:rPr>
          <w:rFonts w:hint="default" w:cs="Times New Roman"/>
          <w:b/>
          <w:bCs/>
          <w:color w:val="auto"/>
          <w:sz w:val="24"/>
          <w:szCs w:val="24"/>
          <w:highlight w:val="none"/>
          <w:lang w:val="en-US" w:eastAsia="zh-CN"/>
        </w:rPr>
        <w:drawing>
          <wp:inline distT="0" distB="0" distL="114300" distR="114300">
            <wp:extent cx="5151120" cy="7277100"/>
            <wp:effectExtent l="0" t="0" r="0" b="7620"/>
            <wp:docPr id="114" name="图片 114" descr="5b8f86f7da43864ed313e149ccd6d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5b8f86f7da43864ed313e149ccd6d129"/>
                    <pic:cNvPicPr>
                      <a:picLocks noChangeAspect="1"/>
                    </pic:cNvPicPr>
                  </pic:nvPicPr>
                  <pic:blipFill>
                    <a:blip r:embed="rId61"/>
                    <a:stretch>
                      <a:fillRect/>
                    </a:stretch>
                  </pic:blipFill>
                  <pic:spPr>
                    <a:xfrm>
                      <a:off x="0" y="0"/>
                      <a:ext cx="5151120" cy="7277100"/>
                    </a:xfrm>
                    <a:prstGeom prst="rect">
                      <a:avLst/>
                    </a:prstGeom>
                  </pic:spPr>
                </pic:pic>
              </a:graphicData>
            </a:graphic>
          </wp:inline>
        </w:drawing>
      </w:r>
    </w:p>
    <w:p w14:paraId="779CCDC9">
      <w:pPr>
        <w:ind w:firstLine="0" w:firstLineChars="0"/>
        <w:jc w:val="left"/>
        <w:outlineLvl w:val="0"/>
        <w:rPr>
          <w:rFonts w:hint="default" w:ascii="Times New Roman" w:hAnsi="Times New Roman" w:eastAsia="宋体" w:cs="Times New Roman"/>
          <w:b/>
          <w:bCs/>
          <w:color w:val="auto"/>
          <w:sz w:val="24"/>
          <w:szCs w:val="24"/>
          <w:highlight w:val="none"/>
          <w:lang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eastAsia="宋体" w:cs="Times New Roman"/>
          <w:b/>
          <w:bCs/>
          <w:color w:val="auto"/>
          <w:sz w:val="24"/>
          <w:szCs w:val="24"/>
          <w:highlight w:val="none"/>
          <w:lang w:eastAsia="zh-CN"/>
        </w:rPr>
        <w:drawing>
          <wp:inline distT="0" distB="0" distL="114300" distR="114300">
            <wp:extent cx="5615940" cy="7940040"/>
            <wp:effectExtent l="0" t="0" r="7620" b="0"/>
            <wp:docPr id="115" name="图片 115" descr="55d21aca15e7a14d2c0a9cd92d946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55d21aca15e7a14d2c0a9cd92d946018"/>
                    <pic:cNvPicPr>
                      <a:picLocks noChangeAspect="1"/>
                    </pic:cNvPicPr>
                  </pic:nvPicPr>
                  <pic:blipFill>
                    <a:blip r:embed="rId62"/>
                    <a:stretch>
                      <a:fillRect/>
                    </a:stretch>
                  </pic:blipFill>
                  <pic:spPr>
                    <a:xfrm>
                      <a:off x="0" y="0"/>
                      <a:ext cx="5615940" cy="7940040"/>
                    </a:xfrm>
                    <a:prstGeom prst="rect">
                      <a:avLst/>
                    </a:prstGeom>
                  </pic:spPr>
                </pic:pic>
              </a:graphicData>
            </a:graphic>
          </wp:inline>
        </w:drawing>
      </w:r>
    </w:p>
    <w:p w14:paraId="073640DA">
      <w:pPr>
        <w:ind w:firstLine="0" w:firstLineChars="0"/>
        <w:jc w:val="left"/>
        <w:outlineLvl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附件1</w:t>
      </w:r>
      <w:r>
        <w:rPr>
          <w:rFonts w:hint="eastAsia"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 xml:space="preserve"> 现状监测报告</w:t>
      </w:r>
      <w:r>
        <w:rPr>
          <w:rFonts w:hint="default" w:ascii="Times New Roman" w:hAnsi="Times New Roman" w:cs="Times New Roman"/>
          <w:b/>
          <w:bCs/>
          <w:color w:val="auto"/>
          <w:sz w:val="24"/>
          <w:szCs w:val="24"/>
          <w:highlight w:val="none"/>
          <w:lang w:val="en-US" w:eastAsia="zh-CN"/>
        </w:rPr>
        <w:drawing>
          <wp:inline distT="0" distB="0" distL="114300" distR="114300">
            <wp:extent cx="5614035" cy="7955280"/>
            <wp:effectExtent l="0" t="0" r="9525" b="0"/>
            <wp:docPr id="28" name="图片 28" descr="cf2ac7f11de1623d4e952b8bb2fd65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f2ac7f11de1623d4e952b8bb2fd65bc"/>
                    <pic:cNvPicPr>
                      <a:picLocks noChangeAspect="1"/>
                    </pic:cNvPicPr>
                  </pic:nvPicPr>
                  <pic:blipFill>
                    <a:blip r:embed="rId63"/>
                    <a:stretch>
                      <a:fillRect/>
                    </a:stretch>
                  </pic:blipFill>
                  <pic:spPr>
                    <a:xfrm>
                      <a:off x="0" y="0"/>
                      <a:ext cx="5614035" cy="7955280"/>
                    </a:xfrm>
                    <a:prstGeom prst="rect">
                      <a:avLst/>
                    </a:prstGeom>
                  </pic:spPr>
                </pic:pic>
              </a:graphicData>
            </a:graphic>
          </wp:inline>
        </w:drawing>
      </w:r>
      <w:r>
        <w:rPr>
          <w:rFonts w:hint="default" w:ascii="Times New Roman" w:hAnsi="Times New Roman" w:cs="Times New Roman"/>
          <w:b/>
          <w:bCs/>
          <w:color w:val="auto"/>
          <w:sz w:val="24"/>
          <w:szCs w:val="24"/>
          <w:highlight w:val="none"/>
          <w:lang w:val="en-US" w:eastAsia="zh-CN"/>
        </w:rPr>
        <w:drawing>
          <wp:inline distT="0" distB="0" distL="114300" distR="114300">
            <wp:extent cx="5615940" cy="7924800"/>
            <wp:effectExtent l="0" t="0" r="7620" b="0"/>
            <wp:docPr id="29" name="图片 29" descr="76db9616ffae6d706f382dee42f5d4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76db9616ffae6d706f382dee42f5d4da"/>
                    <pic:cNvPicPr>
                      <a:picLocks noChangeAspect="1"/>
                    </pic:cNvPicPr>
                  </pic:nvPicPr>
                  <pic:blipFill>
                    <a:blip r:embed="rId64"/>
                    <a:stretch>
                      <a:fillRect/>
                    </a:stretch>
                  </pic:blipFill>
                  <pic:spPr>
                    <a:xfrm>
                      <a:off x="0" y="0"/>
                      <a:ext cx="5615940" cy="7924800"/>
                    </a:xfrm>
                    <a:prstGeom prst="rect">
                      <a:avLst/>
                    </a:prstGeom>
                  </pic:spPr>
                </pic:pic>
              </a:graphicData>
            </a:graphic>
          </wp:inline>
        </w:drawing>
      </w:r>
      <w:r>
        <w:rPr>
          <w:rFonts w:hint="default" w:ascii="Times New Roman" w:hAnsi="Times New Roman" w:cs="Times New Roman"/>
          <w:b/>
          <w:bCs/>
          <w:color w:val="auto"/>
          <w:sz w:val="24"/>
          <w:szCs w:val="24"/>
          <w:highlight w:val="none"/>
          <w:lang w:val="en-US" w:eastAsia="zh-CN"/>
        </w:rPr>
        <w:drawing>
          <wp:inline distT="0" distB="0" distL="114300" distR="114300">
            <wp:extent cx="5615940" cy="7940040"/>
            <wp:effectExtent l="0" t="0" r="7620" b="0"/>
            <wp:docPr id="30" name="图片 30" descr="6e4488c247089d3dc8b850fc97f73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6e4488c247089d3dc8b850fc97f73593"/>
                    <pic:cNvPicPr>
                      <a:picLocks noChangeAspect="1"/>
                    </pic:cNvPicPr>
                  </pic:nvPicPr>
                  <pic:blipFill>
                    <a:blip r:embed="rId65"/>
                    <a:stretch>
                      <a:fillRect/>
                    </a:stretch>
                  </pic:blipFill>
                  <pic:spPr>
                    <a:xfrm>
                      <a:off x="0" y="0"/>
                      <a:ext cx="5615940" cy="7940040"/>
                    </a:xfrm>
                    <a:prstGeom prst="rect">
                      <a:avLst/>
                    </a:prstGeom>
                  </pic:spPr>
                </pic:pic>
              </a:graphicData>
            </a:graphic>
          </wp:inline>
        </w:drawing>
      </w:r>
      <w:r>
        <w:rPr>
          <w:rFonts w:hint="default" w:ascii="Times New Roman" w:hAnsi="Times New Roman" w:cs="Times New Roman"/>
          <w:b/>
          <w:bCs/>
          <w:color w:val="auto"/>
          <w:sz w:val="24"/>
          <w:szCs w:val="24"/>
          <w:highlight w:val="none"/>
          <w:lang w:val="en-US" w:eastAsia="zh-CN"/>
        </w:rPr>
        <w:drawing>
          <wp:inline distT="0" distB="0" distL="114300" distR="114300">
            <wp:extent cx="5615940" cy="7901940"/>
            <wp:effectExtent l="0" t="0" r="7620" b="7620"/>
            <wp:docPr id="31" name="图片 31" descr="fc7ab00a6a6a1e5a97e88cfc485b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fc7ab00a6a6a1e5a97e88cfc485b2323"/>
                    <pic:cNvPicPr>
                      <a:picLocks noChangeAspect="1"/>
                    </pic:cNvPicPr>
                  </pic:nvPicPr>
                  <pic:blipFill>
                    <a:blip r:embed="rId66"/>
                    <a:stretch>
                      <a:fillRect/>
                    </a:stretch>
                  </pic:blipFill>
                  <pic:spPr>
                    <a:xfrm>
                      <a:off x="0" y="0"/>
                      <a:ext cx="5615940" cy="7901940"/>
                    </a:xfrm>
                    <a:prstGeom prst="rect">
                      <a:avLst/>
                    </a:prstGeom>
                  </pic:spPr>
                </pic:pic>
              </a:graphicData>
            </a:graphic>
          </wp:inline>
        </w:drawing>
      </w:r>
    </w:p>
    <w:p w14:paraId="20E354A3">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510DC3BE">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7A1A63E8">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7EA8927F">
      <w:pPr>
        <w:ind w:firstLine="0" w:firstLineChars="0"/>
        <w:jc w:val="left"/>
        <w:outlineLvl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drawing>
          <wp:inline distT="0" distB="0" distL="114300" distR="114300">
            <wp:extent cx="5615940" cy="7924800"/>
            <wp:effectExtent l="0" t="0" r="7620" b="0"/>
            <wp:docPr id="32" name="图片 32" descr="e5b6e986b155b6a9c4c058a7110be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5b6e986b155b6a9c4c058a7110be139"/>
                    <pic:cNvPicPr>
                      <a:picLocks noChangeAspect="1"/>
                    </pic:cNvPicPr>
                  </pic:nvPicPr>
                  <pic:blipFill>
                    <a:blip r:embed="rId67"/>
                    <a:stretch>
                      <a:fillRect/>
                    </a:stretch>
                  </pic:blipFill>
                  <pic:spPr>
                    <a:xfrm>
                      <a:off x="0" y="0"/>
                      <a:ext cx="5615940" cy="7924800"/>
                    </a:xfrm>
                    <a:prstGeom prst="rect">
                      <a:avLst/>
                    </a:prstGeom>
                  </pic:spPr>
                </pic:pic>
              </a:graphicData>
            </a:graphic>
          </wp:inline>
        </w:drawing>
      </w:r>
    </w:p>
    <w:p w14:paraId="12AA369C">
      <w:pPr>
        <w:ind w:firstLine="0" w:firstLineChars="0"/>
        <w:jc w:val="left"/>
        <w:outlineLvl w:val="0"/>
        <w:rPr>
          <w:rFonts w:hint="default" w:ascii="Times New Roman" w:hAnsi="Times New Roman" w:cs="Times New Roman"/>
          <w:b/>
          <w:bCs/>
          <w:color w:val="auto"/>
          <w:sz w:val="24"/>
          <w:szCs w:val="24"/>
          <w:highlight w:val="none"/>
        </w:rPr>
      </w:pPr>
    </w:p>
    <w:p w14:paraId="301D36C2">
      <w:pPr>
        <w:ind w:firstLine="0" w:firstLineChars="0"/>
        <w:jc w:val="left"/>
        <w:outlineLvl w:val="0"/>
        <w:rPr>
          <w:rFonts w:hint="default" w:ascii="Times New Roman" w:hAnsi="Times New Roman" w:cs="Times New Roman"/>
          <w:b/>
          <w:bCs/>
          <w:color w:val="auto"/>
          <w:sz w:val="24"/>
          <w:szCs w:val="24"/>
          <w:highlight w:val="none"/>
        </w:rPr>
      </w:pPr>
    </w:p>
    <w:p w14:paraId="23BD496E">
      <w:pPr>
        <w:ind w:firstLine="0" w:firstLineChars="0"/>
        <w:jc w:val="left"/>
        <w:outlineLvl w:val="0"/>
        <w:rPr>
          <w:rFonts w:hint="default" w:ascii="Times New Roman" w:hAnsi="Times New Roman" w:cs="Times New Roman"/>
          <w:b/>
          <w:bCs/>
          <w:color w:val="auto"/>
          <w:sz w:val="24"/>
          <w:szCs w:val="24"/>
          <w:highlight w:val="none"/>
        </w:rPr>
      </w:pPr>
    </w:p>
    <w:p w14:paraId="06A2926E">
      <w:pPr>
        <w:ind w:firstLine="0" w:firstLineChars="0"/>
        <w:jc w:val="left"/>
        <w:outlineLvl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val="en-US" w:eastAsia="zh-CN"/>
        </w:rPr>
        <w:t>件1</w:t>
      </w:r>
      <w:r>
        <w:rPr>
          <w:rFonts w:hint="eastAsia" w:cs="Times New Roman"/>
          <w:b/>
          <w:bCs/>
          <w:color w:val="auto"/>
          <w:sz w:val="24"/>
          <w:szCs w:val="24"/>
          <w:highlight w:val="none"/>
          <w:lang w:val="en-US" w:eastAsia="zh-CN"/>
        </w:rPr>
        <w:t>4</w:t>
      </w:r>
      <w:r>
        <w:rPr>
          <w:rFonts w:hint="default" w:ascii="Times New Roman" w:hAnsi="Times New Roman" w:cs="Times New Roman"/>
          <w:b/>
          <w:bCs/>
          <w:color w:val="auto"/>
          <w:sz w:val="24"/>
          <w:szCs w:val="24"/>
          <w:highlight w:val="none"/>
          <w:lang w:val="en-US" w:eastAsia="zh-CN"/>
        </w:rPr>
        <w:t>类比报告</w:t>
      </w:r>
      <w:bookmarkEnd w:id="39"/>
    </w:p>
    <w:p w14:paraId="09E28CF9">
      <w:pPr>
        <w:ind w:firstLine="0" w:firstLineChars="0"/>
        <w:jc w:val="left"/>
        <w:outlineLvl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drawing>
          <wp:inline distT="0" distB="0" distL="114300" distR="114300">
            <wp:extent cx="5612130" cy="7612380"/>
            <wp:effectExtent l="0" t="0" r="11430" b="7620"/>
            <wp:docPr id="33" name="图片 33" descr="dd3314bc6887f22fceccc62ecfb7c6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dd3314bc6887f22fceccc62ecfb7c63c"/>
                    <pic:cNvPicPr>
                      <a:picLocks noChangeAspect="1"/>
                    </pic:cNvPicPr>
                  </pic:nvPicPr>
                  <pic:blipFill>
                    <a:blip r:embed="rId68"/>
                    <a:stretch>
                      <a:fillRect/>
                    </a:stretch>
                  </pic:blipFill>
                  <pic:spPr>
                    <a:xfrm>
                      <a:off x="0" y="0"/>
                      <a:ext cx="5612130" cy="7612380"/>
                    </a:xfrm>
                    <a:prstGeom prst="rect">
                      <a:avLst/>
                    </a:prstGeom>
                  </pic:spPr>
                </pic:pic>
              </a:graphicData>
            </a:graphic>
          </wp:inline>
        </w:drawing>
      </w:r>
    </w:p>
    <w:p w14:paraId="07CBB044">
      <w:pPr>
        <w:ind w:firstLine="0" w:firstLineChars="0"/>
        <w:jc w:val="left"/>
        <w:outlineLvl w:val="0"/>
        <w:rPr>
          <w:rFonts w:hint="default" w:ascii="Times New Roman" w:hAnsi="Times New Roman" w:cs="Times New Roman"/>
          <w:b/>
          <w:bCs/>
          <w:color w:val="auto"/>
          <w:sz w:val="24"/>
          <w:szCs w:val="24"/>
          <w:highlight w:val="none"/>
          <w:lang w:val="en-US" w:eastAsia="zh-CN"/>
        </w:rPr>
      </w:pPr>
    </w:p>
    <w:p w14:paraId="0517F9A4">
      <w:pPr>
        <w:ind w:firstLine="0" w:firstLineChars="0"/>
        <w:jc w:val="both"/>
        <w:outlineLvl w:val="0"/>
        <w:rPr>
          <w:rFonts w:hint="eastAsia" w:ascii="Times New Roman" w:hAnsi="Times New Roman" w:eastAsia="宋体" w:cs="Times New Roman"/>
          <w:position w:val="-302"/>
          <w:lang w:eastAsia="zh-CN"/>
        </w:rPr>
      </w:pPr>
      <w:bookmarkStart w:id="40" w:name="_Toc22929"/>
      <w:bookmarkStart w:id="41" w:name="_Toc3385"/>
      <w:bookmarkStart w:id="42" w:name="_Toc15978"/>
      <w:r>
        <w:rPr>
          <w:rFonts w:hint="eastAsia" w:ascii="Times New Roman" w:hAnsi="Times New Roman" w:eastAsia="宋体" w:cs="Times New Roman"/>
          <w:position w:val="-302"/>
          <w:lang w:eastAsia="zh-CN"/>
        </w:rPr>
        <w:drawing>
          <wp:inline distT="0" distB="0" distL="114300" distR="114300">
            <wp:extent cx="5610860" cy="7475855"/>
            <wp:effectExtent l="0" t="0" r="12700" b="6985"/>
            <wp:docPr id="35" name="图片 35" descr="54ac751b6678bdcd29a8d602279555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54ac751b6678bdcd29a8d602279555ef"/>
                    <pic:cNvPicPr>
                      <a:picLocks noChangeAspect="1"/>
                    </pic:cNvPicPr>
                  </pic:nvPicPr>
                  <pic:blipFill>
                    <a:blip r:embed="rId69"/>
                    <a:stretch>
                      <a:fillRect/>
                    </a:stretch>
                  </pic:blipFill>
                  <pic:spPr>
                    <a:xfrm>
                      <a:off x="0" y="0"/>
                      <a:ext cx="5610860" cy="7475855"/>
                    </a:xfrm>
                    <a:prstGeom prst="rect">
                      <a:avLst/>
                    </a:prstGeom>
                  </pic:spPr>
                </pic:pic>
              </a:graphicData>
            </a:graphic>
          </wp:inline>
        </w:drawing>
      </w:r>
    </w:p>
    <w:p w14:paraId="12E1F69C">
      <w:pPr>
        <w:ind w:firstLine="0" w:firstLineChars="0"/>
        <w:jc w:val="both"/>
        <w:outlineLvl w:val="0"/>
        <w:rPr>
          <w:rFonts w:hint="eastAsia" w:ascii="Times New Roman" w:hAnsi="Times New Roman" w:eastAsia="宋体" w:cs="Times New Roman"/>
          <w:position w:val="-302"/>
          <w:lang w:eastAsia="zh-CN"/>
        </w:rPr>
      </w:pPr>
      <w:r>
        <w:rPr>
          <w:rFonts w:hint="eastAsia" w:ascii="Times New Roman" w:hAnsi="Times New Roman" w:eastAsia="宋体" w:cs="Times New Roman"/>
          <w:position w:val="-302"/>
          <w:lang w:eastAsia="zh-CN"/>
        </w:rPr>
        <w:drawing>
          <wp:inline distT="0" distB="0" distL="114300" distR="114300">
            <wp:extent cx="5615305" cy="7526655"/>
            <wp:effectExtent l="0" t="0" r="8255" b="1905"/>
            <wp:docPr id="41" name="图片 41" descr="c97bb3d0a53e477eb28095c29186ba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c97bb3d0a53e477eb28095c29186ba4b"/>
                    <pic:cNvPicPr>
                      <a:picLocks noChangeAspect="1"/>
                    </pic:cNvPicPr>
                  </pic:nvPicPr>
                  <pic:blipFill>
                    <a:blip r:embed="rId70"/>
                    <a:stretch>
                      <a:fillRect/>
                    </a:stretch>
                  </pic:blipFill>
                  <pic:spPr>
                    <a:xfrm>
                      <a:off x="0" y="0"/>
                      <a:ext cx="5615305" cy="7526655"/>
                    </a:xfrm>
                    <a:prstGeom prst="rect">
                      <a:avLst/>
                    </a:prstGeom>
                  </pic:spPr>
                </pic:pic>
              </a:graphicData>
            </a:graphic>
          </wp:inline>
        </w:drawing>
      </w:r>
    </w:p>
    <w:p w14:paraId="619278D5">
      <w:pPr>
        <w:ind w:firstLine="0" w:firstLineChars="0"/>
        <w:jc w:val="both"/>
        <w:outlineLvl w:val="0"/>
        <w:rPr>
          <w:rFonts w:hint="eastAsia" w:ascii="Times New Roman" w:hAnsi="Times New Roman" w:eastAsia="宋体" w:cs="Times New Roman"/>
          <w:position w:val="-302"/>
          <w:lang w:eastAsia="zh-CN"/>
        </w:rPr>
      </w:pPr>
      <w:r>
        <w:rPr>
          <w:rFonts w:hint="eastAsia" w:ascii="Times New Roman" w:hAnsi="Times New Roman" w:eastAsia="宋体" w:cs="Times New Roman"/>
          <w:position w:val="-302"/>
          <w:lang w:eastAsia="zh-CN"/>
        </w:rPr>
        <w:drawing>
          <wp:inline distT="0" distB="0" distL="114300" distR="114300">
            <wp:extent cx="5588000" cy="7982585"/>
            <wp:effectExtent l="0" t="0" r="5080" b="3175"/>
            <wp:docPr id="96" name="图片 96" descr="1b6bcb69-f58f-47c0-9686-7b16976f93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1b6bcb69-f58f-47c0-9686-7b16976f936d"/>
                    <pic:cNvPicPr>
                      <a:picLocks noChangeAspect="1"/>
                    </pic:cNvPicPr>
                  </pic:nvPicPr>
                  <pic:blipFill>
                    <a:blip r:embed="rId71"/>
                    <a:stretch>
                      <a:fillRect/>
                    </a:stretch>
                  </pic:blipFill>
                  <pic:spPr>
                    <a:xfrm>
                      <a:off x="0" y="0"/>
                      <a:ext cx="5588000" cy="7982585"/>
                    </a:xfrm>
                    <a:prstGeom prst="rect">
                      <a:avLst/>
                    </a:prstGeom>
                  </pic:spPr>
                </pic:pic>
              </a:graphicData>
            </a:graphic>
          </wp:inline>
        </w:drawing>
      </w:r>
    </w:p>
    <w:p w14:paraId="32236DB9">
      <w:pPr>
        <w:ind w:firstLine="0" w:firstLineChars="0"/>
        <w:jc w:val="both"/>
        <w:outlineLvl w:val="0"/>
        <w:rPr>
          <w:rFonts w:hint="eastAsia" w:ascii="Times New Roman" w:hAnsi="Times New Roman" w:eastAsia="宋体" w:cs="Times New Roman"/>
          <w:position w:val="-302"/>
          <w:lang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ascii="Times New Roman" w:hAnsi="Times New Roman" w:eastAsia="宋体" w:cs="Times New Roman"/>
          <w:position w:val="-302"/>
          <w:lang w:eastAsia="zh-CN"/>
        </w:rPr>
        <w:drawing>
          <wp:inline distT="0" distB="0" distL="114300" distR="114300">
            <wp:extent cx="5610860" cy="7513320"/>
            <wp:effectExtent l="0" t="0" r="12700" b="0"/>
            <wp:docPr id="42" name="图片 42" descr="d684ffd1de2779359296e9fcc9dbf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d684ffd1de2779359296e9fcc9dbf762"/>
                    <pic:cNvPicPr>
                      <a:picLocks noChangeAspect="1"/>
                    </pic:cNvPicPr>
                  </pic:nvPicPr>
                  <pic:blipFill>
                    <a:blip r:embed="rId72"/>
                    <a:stretch>
                      <a:fillRect/>
                    </a:stretch>
                  </pic:blipFill>
                  <pic:spPr>
                    <a:xfrm>
                      <a:off x="0" y="0"/>
                      <a:ext cx="5610860" cy="7513320"/>
                    </a:xfrm>
                    <a:prstGeom prst="rect">
                      <a:avLst/>
                    </a:prstGeom>
                  </pic:spPr>
                </pic:pic>
              </a:graphicData>
            </a:graphic>
          </wp:inline>
        </w:drawing>
      </w:r>
    </w:p>
    <w:p w14:paraId="7CD49702">
      <w:pPr>
        <w:ind w:firstLine="0" w:firstLineChars="0"/>
        <w:jc w:val="both"/>
        <w:outlineLvl w:val="0"/>
        <w:rPr>
          <w:rFonts w:hint="default" w:ascii="Times New Roman" w:hAnsi="Times New Roman" w:cs="Times New Roman"/>
          <w:b/>
          <w:bCs/>
          <w:color w:val="auto"/>
          <w:sz w:val="24"/>
          <w:szCs w:val="24"/>
          <w:highlight w:val="none"/>
          <w:lang w:eastAsia="zh-CN"/>
        </w:rPr>
      </w:pPr>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eastAsia="zh-CN"/>
        </w:rPr>
        <w:t>图</w:t>
      </w:r>
      <w:r>
        <w:rPr>
          <w:rFonts w:hint="default" w:ascii="Times New Roman" w:hAnsi="Times New Roman" w:cs="Times New Roman"/>
          <w:b/>
          <w:bCs/>
          <w:color w:val="auto"/>
          <w:sz w:val="24"/>
          <w:szCs w:val="24"/>
          <w:highlight w:val="none"/>
        </w:rPr>
        <w:t>1</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lang w:eastAsia="zh-CN"/>
        </w:rPr>
        <w:t>项目地理位置图</w:t>
      </w:r>
      <w:bookmarkEnd w:id="40"/>
      <w:bookmarkEnd w:id="41"/>
      <w:bookmarkEnd w:id="42"/>
    </w:p>
    <w:p w14:paraId="6281EE86">
      <w:pPr>
        <w:ind w:firstLine="0" w:firstLineChars="0"/>
        <w:jc w:val="center"/>
        <w:outlineLvl w:val="0"/>
        <w:rPr>
          <w:rFonts w:hint="default" w:ascii="Times New Roman" w:hAnsi="Times New Roman" w:cs="Times New Roman"/>
          <w:color w:val="auto"/>
        </w:rPr>
      </w:pPr>
      <w:r>
        <w:rPr>
          <w:rFonts w:hint="default" w:ascii="Times New Roman" w:hAnsi="Times New Roman" w:cs="Times New Roman"/>
          <w:color w:val="auto"/>
        </w:rPr>
        <mc:AlternateContent>
          <mc:Choice Requires="wps">
            <w:drawing>
              <wp:anchor distT="0" distB="0" distL="114300" distR="114300" simplePos="0" relativeHeight="251665408" behindDoc="0" locked="0" layoutInCell="1" allowOverlap="1">
                <wp:simplePos x="0" y="0"/>
                <wp:positionH relativeFrom="column">
                  <wp:posOffset>4488180</wp:posOffset>
                </wp:positionH>
                <wp:positionV relativeFrom="paragraph">
                  <wp:posOffset>1284605</wp:posOffset>
                </wp:positionV>
                <wp:extent cx="619760" cy="333375"/>
                <wp:effectExtent l="66675" t="304165" r="14605" b="17780"/>
                <wp:wrapNone/>
                <wp:docPr id="48" name="矩形标注 48"/>
                <wp:cNvGraphicFramePr/>
                <a:graphic xmlns:a="http://schemas.openxmlformats.org/drawingml/2006/main">
                  <a:graphicData uri="http://schemas.microsoft.com/office/word/2010/wordprocessingShape">
                    <wps:wsp>
                      <wps:cNvSpPr/>
                      <wps:spPr>
                        <a:xfrm>
                          <a:off x="0" y="0"/>
                          <a:ext cx="619760" cy="333375"/>
                        </a:xfrm>
                        <a:prstGeom prst="wedgeRectCallout">
                          <a:avLst>
                            <a:gd name="adj1" fmla="val -57884"/>
                            <a:gd name="adj2" fmla="val -134375"/>
                          </a:avLst>
                        </a:prstGeom>
                        <a:solidFill>
                          <a:srgbClr val="FFFFFF"/>
                        </a:solidFill>
                        <a:ln w="9525" cap="flat" cmpd="sng">
                          <a:solidFill>
                            <a:srgbClr val="000000"/>
                          </a:solidFill>
                          <a:prstDash val="solid"/>
                          <a:miter/>
                          <a:headEnd type="none" w="med" len="med"/>
                          <a:tailEnd type="none" w="med" len="med"/>
                        </a:ln>
                      </wps:spPr>
                      <wps:txbx>
                        <w:txbxContent>
                          <w:p w14:paraId="1A8B3961">
                            <w:pPr>
                              <w:rPr>
                                <w:rFonts w:hint="eastAsia" w:eastAsia="宋体"/>
                                <w:lang w:eastAsia="zh-CN"/>
                              </w:rPr>
                            </w:pPr>
                            <w:r>
                              <w:rPr>
                                <w:rFonts w:hint="eastAsia" w:eastAsia="宋体"/>
                                <w:lang w:eastAsia="zh-CN"/>
                              </w:rPr>
                              <w:t>本项目</w:t>
                            </w:r>
                          </w:p>
                        </w:txbxContent>
                      </wps:txbx>
                      <wps:bodyPr upright="1"/>
                    </wps:wsp>
                  </a:graphicData>
                </a:graphic>
              </wp:anchor>
            </w:drawing>
          </mc:Choice>
          <mc:Fallback>
            <w:pict>
              <v:shape id="_x0000_s1026" o:spid="_x0000_s1026" o:spt="61" type="#_x0000_t61" style="position:absolute;left:0pt;margin-left:353.4pt;margin-top:101.15pt;height:26.25pt;width:48.8pt;z-index:251665408;mso-width-relative:page;mso-height-relative:page;" fillcolor="#FFFFFF" filled="t" stroked="t" coordsize="21600,21600" o:gfxdata="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PHaUIdUAAAALAQAADwAAAAAAAAABACAAAAAiAAAAZHJzL2Rvd25yZXYueG1s&#10;UEsBAhQAFAAAAAgAh07iQPd/Zt80AgAAkAQAAA4AAAAAAAAAAQAgAAAAJAEAAGRycy9lMm9Eb2Mu&#10;eG1sUEsFBgAAAAAGAAYAWQEAAMoFAAAAAA==&#10;" adj="-1703,-18225">
                <v:fill on="t" focussize="0,0"/>
                <v:stroke color="#000000" joinstyle="miter"/>
                <v:imagedata o:title=""/>
                <o:lock v:ext="edit" aspectratio="f"/>
                <v:textbox>
                  <w:txbxContent>
                    <w:p w14:paraId="1A8B3961">
                      <w:pPr>
                        <w:rPr>
                          <w:rFonts w:hint="eastAsia" w:eastAsia="宋体"/>
                          <w:lang w:eastAsia="zh-CN"/>
                        </w:rPr>
                      </w:pPr>
                      <w:r>
                        <w:rPr>
                          <w:rFonts w:hint="eastAsia" w:eastAsia="宋体"/>
                          <w:lang w:eastAsia="zh-CN"/>
                        </w:rPr>
                        <w:t>本项目</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66432" behindDoc="0" locked="0" layoutInCell="1" allowOverlap="1">
                <wp:simplePos x="0" y="0"/>
                <wp:positionH relativeFrom="column">
                  <wp:posOffset>4402455</wp:posOffset>
                </wp:positionH>
                <wp:positionV relativeFrom="paragraph">
                  <wp:posOffset>918845</wp:posOffset>
                </wp:positionV>
                <wp:extent cx="79375" cy="79375"/>
                <wp:effectExtent l="4445" t="4445" r="7620" b="7620"/>
                <wp:wrapNone/>
                <wp:docPr id="49" name="椭圆 49"/>
                <wp:cNvGraphicFramePr/>
                <a:graphic xmlns:a="http://schemas.openxmlformats.org/drawingml/2006/main">
                  <a:graphicData uri="http://schemas.microsoft.com/office/word/2010/wordprocessingShape">
                    <wps:wsp>
                      <wps:cNvSpPr/>
                      <wps:spPr>
                        <a:xfrm>
                          <a:off x="0" y="0"/>
                          <a:ext cx="79375" cy="79375"/>
                        </a:xfrm>
                        <a:prstGeom prst="ellipse">
                          <a:avLst/>
                        </a:prstGeom>
                        <a:solidFill>
                          <a:srgbClr val="00B0F0"/>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3" type="#_x0000_t3" style="position:absolute;left:0pt;margin-left:346.65pt;margin-top:72.35pt;height:6.25pt;width:6.25pt;z-index:251666432;mso-width-relative:page;mso-height-relative:page;" fillcolor="#00B0F0" filled="t" stroked="t" coordsize="21600,21600" o:gfxdata="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J4vJvcAAAACwEAAA8AAAAAAAAAAQAgAAAAIgAAAGRycy9kb3ducmV2&#10;LnhtbFBLAQIUABQAAAAIAIdO4kCKQbXj+AEAABYEAAAOAAAAAAAAAAEAIAAAACsBAABkcnMvZTJv&#10;RG9jLnhtbFBLBQYAAAAABgAGAFkBAACVBQAAAAA=&#10;">
                <v:fill on="t" focussize="0,0"/>
                <v:stroke color="#000000" joinstyle="round"/>
                <v:imagedata o:title=""/>
                <o:lock v:ext="edit" aspectratio="f"/>
              </v:shape>
            </w:pict>
          </mc:Fallback>
        </mc:AlternateContent>
      </w:r>
      <w:r>
        <w:rPr>
          <w:rFonts w:hint="default" w:ascii="Times New Roman" w:hAnsi="Times New Roman" w:cs="Times New Roman"/>
          <w:color w:val="auto"/>
        </w:rPr>
        <w:drawing>
          <wp:inline distT="0" distB="0" distL="114300" distR="114300">
            <wp:extent cx="7403465" cy="4804410"/>
            <wp:effectExtent l="9525" t="9525" r="24130" b="17145"/>
            <wp:docPr id="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6"/>
                    <pic:cNvPicPr>
                      <a:picLocks noChangeAspect="1"/>
                    </pic:cNvPicPr>
                  </pic:nvPicPr>
                  <pic:blipFill>
                    <a:blip r:embed="rId73"/>
                    <a:stretch>
                      <a:fillRect/>
                    </a:stretch>
                  </pic:blipFill>
                  <pic:spPr>
                    <a:xfrm>
                      <a:off x="0" y="0"/>
                      <a:ext cx="7403465" cy="4804410"/>
                    </a:xfrm>
                    <a:prstGeom prst="rect">
                      <a:avLst/>
                    </a:prstGeom>
                    <a:noFill/>
                    <a:ln>
                      <a:solidFill>
                        <a:schemeClr val="tx1"/>
                      </a:solidFill>
                    </a:ln>
                  </pic:spPr>
                </pic:pic>
              </a:graphicData>
            </a:graphic>
          </wp:inline>
        </w:drawing>
      </w:r>
    </w:p>
    <w:p w14:paraId="39F7A263">
      <w:pPr>
        <w:ind w:firstLine="0" w:firstLineChars="0"/>
        <w:jc w:val="center"/>
        <w:outlineLvl w:val="0"/>
        <w:rPr>
          <w:rFonts w:hint="default" w:ascii="Times New Roman" w:hAnsi="Times New Roman" w:cs="Times New Roman"/>
          <w:color w:val="auto"/>
        </w:rPr>
      </w:pPr>
    </w:p>
    <w:p w14:paraId="1320DA1D">
      <w:pPr>
        <w:ind w:firstLine="0" w:firstLineChars="0"/>
        <w:jc w:val="center"/>
        <w:outlineLvl w:val="0"/>
        <w:rPr>
          <w:rFonts w:hint="default" w:ascii="Times New Roman" w:hAnsi="Times New Roman" w:cs="Times New Roman"/>
          <w:color w:val="auto"/>
          <w:lang w:eastAsia="zh-CN"/>
        </w:rPr>
      </w:pPr>
    </w:p>
    <w:p w14:paraId="4920A96E">
      <w:pPr>
        <w:pStyle w:val="11"/>
        <w:jc w:val="both"/>
        <w:rPr>
          <w:rFonts w:hint="default" w:ascii="Times New Roman" w:hAnsi="Times New Roman" w:eastAsia="宋体" w:cs="Times New Roman"/>
          <w:color w:val="auto"/>
          <w:highlight w:val="none"/>
          <w:lang w:eastAsia="zh-CN"/>
        </w:rPr>
      </w:pPr>
    </w:p>
    <w:p w14:paraId="484CA649">
      <w:pPr>
        <w:pStyle w:val="11"/>
        <w:jc w:val="center"/>
        <w:rPr>
          <w:rFonts w:hint="default" w:ascii="Times New Roman" w:hAnsi="Times New Roman" w:eastAsia="宋体" w:cs="Times New Roman"/>
          <w:color w:val="auto"/>
          <w:highlight w:val="none"/>
          <w:lang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2815805F">
      <w:pPr>
        <w:ind w:firstLine="0" w:firstLineChars="0"/>
        <w:jc w:val="both"/>
        <w:outlineLvl w:val="0"/>
        <w:rPr>
          <w:rFonts w:hint="default" w:ascii="Times New Roman" w:hAnsi="Times New Roman" w:cs="Times New Roman"/>
          <w:b/>
          <w:bCs/>
          <w:color w:val="auto"/>
          <w:sz w:val="24"/>
          <w:szCs w:val="24"/>
          <w:highlight w:val="none"/>
          <w:lang w:val="en-US" w:eastAsia="zh-CN"/>
        </w:rPr>
      </w:pPr>
      <w:bookmarkStart w:id="43" w:name="_Toc25567"/>
      <w:r>
        <w:rPr>
          <w:rFonts w:hint="default" w:ascii="Times New Roman" w:hAnsi="Times New Roman" w:eastAsia="宋体" w:cs="Times New Roman"/>
          <w:color w:val="auto"/>
          <w:highlight w:val="none"/>
          <w:lang w:eastAsia="zh-CN"/>
        </w:rPr>
        <w:drawing>
          <wp:anchor distT="0" distB="0" distL="114300" distR="114300" simplePos="0" relativeHeight="251677696" behindDoc="0" locked="0" layoutInCell="1" allowOverlap="1">
            <wp:simplePos x="0" y="0"/>
            <wp:positionH relativeFrom="column">
              <wp:posOffset>4751705</wp:posOffset>
            </wp:positionH>
            <wp:positionV relativeFrom="paragraph">
              <wp:posOffset>-583565</wp:posOffset>
            </wp:positionV>
            <wp:extent cx="809625" cy="952500"/>
            <wp:effectExtent l="0" t="0" r="13335" b="7620"/>
            <wp:wrapNone/>
            <wp:docPr id="47" name="图片 47" descr="ff4fc8a8-e49b-4556-b81c-b0f7d66843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ff4fc8a8-e49b-4556-b81c-b0f7d668430c"/>
                    <pic:cNvPicPr>
                      <a:picLocks noChangeAspect="1"/>
                    </pic:cNvPicPr>
                  </pic:nvPicPr>
                  <pic:blipFill>
                    <a:blip r:embed="rId74"/>
                    <a:stretch>
                      <a:fillRect/>
                    </a:stretch>
                  </pic:blipFill>
                  <pic:spPr>
                    <a:xfrm>
                      <a:off x="0" y="0"/>
                      <a:ext cx="809625" cy="952500"/>
                    </a:xfrm>
                    <a:prstGeom prst="rect">
                      <a:avLst/>
                    </a:prstGeom>
                  </pic:spPr>
                </pic:pic>
              </a:graphicData>
            </a:graphic>
          </wp:anchor>
        </w:drawing>
      </w:r>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eastAsia="zh-CN"/>
        </w:rPr>
        <w:t>图</w:t>
      </w:r>
      <w:r>
        <w:rPr>
          <w:rFonts w:hint="default" w:ascii="Times New Roman" w:hAnsi="Times New Roman" w:cs="Times New Roman"/>
          <w:b/>
          <w:bCs/>
          <w:color w:val="auto"/>
          <w:sz w:val="24"/>
          <w:szCs w:val="24"/>
          <w:highlight w:val="none"/>
          <w:lang w:val="en-US" w:eastAsia="zh-CN"/>
        </w:rPr>
        <w:t xml:space="preserve">2 </w:t>
      </w:r>
      <w:bookmarkEnd w:id="43"/>
      <w:r>
        <w:rPr>
          <w:rFonts w:hint="default" w:ascii="Times New Roman" w:hAnsi="Times New Roman" w:cs="Times New Roman"/>
          <w:b/>
          <w:bCs/>
          <w:color w:val="auto"/>
          <w:sz w:val="24"/>
          <w:szCs w:val="24"/>
          <w:highlight w:val="none"/>
          <w:lang w:val="en-US" w:eastAsia="zh-CN"/>
        </w:rPr>
        <w:t>升压站平面布置图</w:t>
      </w:r>
    </w:p>
    <w:p w14:paraId="230F6001">
      <w:pPr>
        <w:ind w:firstLine="0" w:firstLineChars="0"/>
        <w:jc w:val="both"/>
        <w:outlineLvl w:val="0"/>
        <w:rPr>
          <w:rFonts w:hint="default" w:ascii="Times New Roman" w:hAnsi="Times New Roman" w:cs="Times New Roman"/>
          <w:b/>
          <w:bCs/>
          <w:color w:val="auto"/>
          <w:sz w:val="24"/>
          <w:szCs w:val="24"/>
          <w:highlight w:val="none"/>
          <w:lang w:val="en-US" w:eastAsia="zh-CN"/>
        </w:rPr>
      </w:pPr>
    </w:p>
    <w:p w14:paraId="7D50744F">
      <w:pPr>
        <w:bidi w:val="0"/>
        <w:jc w:val="center"/>
        <w:rPr>
          <w:rFonts w:hint="default" w:ascii="Times New Roman" w:hAnsi="Times New Roman" w:eastAsia="宋体" w:cs="Times New Roman"/>
          <w:color w:val="auto"/>
          <w:highlight w:val="none"/>
          <w:lang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rPr>
          <w:sz w:val="21"/>
        </w:rPr>
        <mc:AlternateContent>
          <mc:Choice Requires="wps">
            <w:drawing>
              <wp:anchor distT="0" distB="0" distL="114300" distR="114300" simplePos="0" relativeHeight="251695104" behindDoc="0" locked="0" layoutInCell="1" allowOverlap="1">
                <wp:simplePos x="0" y="0"/>
                <wp:positionH relativeFrom="column">
                  <wp:posOffset>572770</wp:posOffset>
                </wp:positionH>
                <wp:positionV relativeFrom="paragraph">
                  <wp:posOffset>4457065</wp:posOffset>
                </wp:positionV>
                <wp:extent cx="708660" cy="318135"/>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708660" cy="3181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3A592">
                            <w:pPr>
                              <w:jc w:val="both"/>
                              <w:rPr>
                                <w:rFonts w:hint="default" w:eastAsia="宋体"/>
                                <w:b/>
                                <w:bCs/>
                                <w:color w:val="FF0000"/>
                                <w:sz w:val="18"/>
                                <w:szCs w:val="18"/>
                                <w:lang w:val="en-US" w:eastAsia="zh-CN"/>
                              </w:rPr>
                            </w:pPr>
                            <w:r>
                              <w:rPr>
                                <w:rFonts w:hint="eastAsia"/>
                                <w:b/>
                                <w:bCs/>
                                <w:color w:val="FF0000"/>
                                <w:sz w:val="18"/>
                                <w:szCs w:val="18"/>
                                <w:lang w:val="en-US" w:eastAsia="zh-CN"/>
                              </w:rPr>
                              <w:t>辅助用房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1pt;margin-top:350.95pt;height:25.05pt;width:55.8pt;z-index:251695104;mso-width-relative:page;mso-height-relative:page;" filled="f" stroked="f" coordsize="21600,21600" o:gfxdata="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&#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t3HgD2gAAAAoBAAAPAAAAAAAAAAEAIAAAACIAAABk&#10;cnMvZG93bnJldi54bWxQSwECFAAUAAAACACHTuJAlvcG0T0CAABnBAAADgAAAAAAAAABACAAAAAp&#10;AQAAZHJzL2Uyb0RvYy54bWxQSwUGAAAAAAYABgBZAQAA2AUAAAAA&#10;">
                <v:fill on="f" focussize="0,0"/>
                <v:stroke on="f" weight="0.5pt"/>
                <v:imagedata o:title=""/>
                <o:lock v:ext="edit" aspectratio="f"/>
                <v:textbox>
                  <w:txbxContent>
                    <w:p w14:paraId="4CE3A592">
                      <w:pPr>
                        <w:jc w:val="both"/>
                        <w:rPr>
                          <w:rFonts w:hint="default" w:eastAsia="宋体"/>
                          <w:b/>
                          <w:bCs/>
                          <w:color w:val="FF0000"/>
                          <w:sz w:val="18"/>
                          <w:szCs w:val="18"/>
                          <w:lang w:val="en-US" w:eastAsia="zh-CN"/>
                        </w:rPr>
                      </w:pPr>
                      <w:r>
                        <w:rPr>
                          <w:rFonts w:hint="eastAsia"/>
                          <w:b/>
                          <w:bCs/>
                          <w:color w:val="FF0000"/>
                          <w:sz w:val="18"/>
                          <w:szCs w:val="18"/>
                          <w:lang w:val="en-US" w:eastAsia="zh-CN"/>
                        </w:rPr>
                        <w:t>辅助用房</w:t>
                      </w:r>
                    </w:p>
                  </w:txbxContent>
                </v:textbox>
              </v:shape>
            </w:pict>
          </mc:Fallback>
        </mc:AlternateContent>
      </w:r>
      <w:r>
        <w:rPr>
          <w:sz w:val="21"/>
        </w:rPr>
        <mc:AlternateContent>
          <mc:Choice Requires="wps">
            <w:drawing>
              <wp:anchor distT="0" distB="0" distL="114300" distR="114300" simplePos="0" relativeHeight="251694080" behindDoc="0" locked="0" layoutInCell="1" allowOverlap="1">
                <wp:simplePos x="0" y="0"/>
                <wp:positionH relativeFrom="column">
                  <wp:posOffset>3017520</wp:posOffset>
                </wp:positionH>
                <wp:positionV relativeFrom="paragraph">
                  <wp:posOffset>4719955</wp:posOffset>
                </wp:positionV>
                <wp:extent cx="829945" cy="38735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829945" cy="387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669F04">
                            <w:pPr>
                              <w:jc w:val="both"/>
                              <w:rPr>
                                <w:rFonts w:hint="default" w:eastAsia="宋体"/>
                                <w:b/>
                                <w:bCs/>
                                <w:color w:val="FF0000"/>
                                <w:sz w:val="18"/>
                                <w:szCs w:val="18"/>
                                <w:lang w:val="en-US" w:eastAsia="zh-CN"/>
                              </w:rPr>
                            </w:pPr>
                            <w:r>
                              <w:rPr>
                                <w:rFonts w:hint="eastAsia"/>
                                <w:b/>
                                <w:bCs/>
                                <w:color w:val="FF0000"/>
                                <w:sz w:val="18"/>
                                <w:szCs w:val="18"/>
                                <w:lang w:val="en-US" w:eastAsia="zh-CN"/>
                              </w:rPr>
                              <w:t>综合楼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6pt;margin-top:371.65pt;height:30.5pt;width:65.35pt;z-index:251694080;mso-width-relative:page;mso-height-relative:page;" filled="f" stroked="f" coordsize="21600,21600" o:gfxdata="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og5efdAAAACwEAAA8AAAAAAAAAAQAgAAAAIgAA&#10;AGRycy9kb3ducmV2LnhtbFBLAQIUABQAAAAIAIdO4kBKExlYPAIAAGcEAAAOAAAAAAAAAAEAIAAA&#10;ACwBAABkcnMvZTJvRG9jLnhtbFBLBQYAAAAABgAGAFkBAADaBQAAAAA=&#10;">
                <v:fill on="f" focussize="0,0"/>
                <v:stroke on="f" weight="0.5pt"/>
                <v:imagedata o:title=""/>
                <o:lock v:ext="edit" aspectratio="f"/>
                <v:textbox>
                  <w:txbxContent>
                    <w:p w14:paraId="5A669F04">
                      <w:pPr>
                        <w:jc w:val="both"/>
                        <w:rPr>
                          <w:rFonts w:hint="default" w:eastAsia="宋体"/>
                          <w:b/>
                          <w:bCs/>
                          <w:color w:val="FF0000"/>
                          <w:sz w:val="18"/>
                          <w:szCs w:val="18"/>
                          <w:lang w:val="en-US" w:eastAsia="zh-CN"/>
                        </w:rPr>
                      </w:pPr>
                      <w:r>
                        <w:rPr>
                          <w:rFonts w:hint="eastAsia"/>
                          <w:b/>
                          <w:bCs/>
                          <w:color w:val="FF0000"/>
                          <w:sz w:val="18"/>
                          <w:szCs w:val="18"/>
                          <w:lang w:val="en-US" w:eastAsia="zh-CN"/>
                        </w:rPr>
                        <w:t>综合楼</w:t>
                      </w:r>
                    </w:p>
                  </w:txbxContent>
                </v:textbox>
              </v:shape>
            </w:pict>
          </mc:Fallback>
        </mc:AlternateContent>
      </w:r>
      <w:r>
        <w:rPr>
          <w:rFonts w:hint="default" w:ascii="Times New Roman" w:hAnsi="Times New Roman" w:eastAsia="宋体" w:cs="Times New Roman"/>
          <w:color w:val="auto"/>
          <w:highlight w:val="none"/>
          <w:lang w:eastAsia="zh-CN"/>
        </w:rPr>
        <w:drawing>
          <wp:inline distT="0" distB="0" distL="114300" distR="114300">
            <wp:extent cx="5514975" cy="6477000"/>
            <wp:effectExtent l="9525" t="9525" r="22860" b="20955"/>
            <wp:docPr id="50" name="图片 50" descr="e2228a78-bb42-40c3-9106-6248ccd6fb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e2228a78-bb42-40c3-9106-6248ccd6fb73"/>
                    <pic:cNvPicPr>
                      <a:picLocks noChangeAspect="1"/>
                    </pic:cNvPicPr>
                  </pic:nvPicPr>
                  <pic:blipFill>
                    <a:blip r:embed="rId75"/>
                    <a:stretch>
                      <a:fillRect/>
                    </a:stretch>
                  </pic:blipFill>
                  <pic:spPr>
                    <a:xfrm>
                      <a:off x="0" y="0"/>
                      <a:ext cx="5514975" cy="6477000"/>
                    </a:xfrm>
                    <a:prstGeom prst="rect">
                      <a:avLst/>
                    </a:prstGeom>
                    <a:ln>
                      <a:solidFill>
                        <a:schemeClr val="tx1"/>
                      </a:solidFill>
                    </a:ln>
                  </pic:spPr>
                </pic:pic>
              </a:graphicData>
            </a:graphic>
          </wp:inline>
        </w:drawing>
      </w:r>
      <w:r>
        <w:rPr>
          <w:sz w:val="21"/>
        </w:rPr>
        <mc:AlternateContent>
          <mc:Choice Requires="wps">
            <w:drawing>
              <wp:anchor distT="0" distB="0" distL="114300" distR="114300" simplePos="0" relativeHeight="251693056" behindDoc="0" locked="0" layoutInCell="1" allowOverlap="1">
                <wp:simplePos x="0" y="0"/>
                <wp:positionH relativeFrom="column">
                  <wp:posOffset>1866265</wp:posOffset>
                </wp:positionH>
                <wp:positionV relativeFrom="paragraph">
                  <wp:posOffset>2278380</wp:posOffset>
                </wp:positionV>
                <wp:extent cx="829945" cy="38735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829945" cy="387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3E37C">
                            <w:pPr>
                              <w:jc w:val="both"/>
                              <w:rPr>
                                <w:rFonts w:hint="default" w:eastAsia="宋体"/>
                                <w:b/>
                                <w:bCs/>
                                <w:color w:val="FF0000"/>
                                <w:sz w:val="18"/>
                                <w:szCs w:val="18"/>
                                <w:lang w:val="en-US" w:eastAsia="zh-CN"/>
                              </w:rPr>
                            </w:pPr>
                            <w:r>
                              <w:rPr>
                                <w:rFonts w:hint="eastAsia"/>
                                <w:b/>
                                <w:bCs/>
                                <w:color w:val="FF0000"/>
                                <w:sz w:val="18"/>
                                <w:szCs w:val="18"/>
                                <w:lang w:val="en-US" w:eastAsia="zh-CN"/>
                              </w:rPr>
                              <w:t>站用变及４００Ｖ舱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6.95pt;margin-top:179.4pt;height:30.5pt;width:65.35pt;z-index:251693056;mso-width-relative:page;mso-height-relative:page;" filled="f" stroked="f" coordsize="21600,21600" o:gfxdata="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NtpJtwAAAALAQAADwAAAAAAAAABACAAAAAiAAAA&#10;ZHJzL2Rvd25yZXYueG1sUEsBAhQAFAAAAAgAh07iQBBs2rA8AgAAZwQAAA4AAAAAAAAAAQAgAAAA&#10;KwEAAGRycy9lMm9Eb2MueG1sUEsFBgAAAAAGAAYAWQEAANkFAAAAAA==&#10;">
                <v:fill on="f" focussize="0,0"/>
                <v:stroke on="f" weight="0.5pt"/>
                <v:imagedata o:title=""/>
                <o:lock v:ext="edit" aspectratio="f"/>
                <v:textbox>
                  <w:txbxContent>
                    <w:p w14:paraId="55F3E37C">
                      <w:pPr>
                        <w:jc w:val="both"/>
                        <w:rPr>
                          <w:rFonts w:hint="default" w:eastAsia="宋体"/>
                          <w:b/>
                          <w:bCs/>
                          <w:color w:val="FF0000"/>
                          <w:sz w:val="18"/>
                          <w:szCs w:val="18"/>
                          <w:lang w:val="en-US" w:eastAsia="zh-CN"/>
                        </w:rPr>
                      </w:pPr>
                      <w:r>
                        <w:rPr>
                          <w:rFonts w:hint="eastAsia"/>
                          <w:b/>
                          <w:bCs/>
                          <w:color w:val="FF0000"/>
                          <w:sz w:val="18"/>
                          <w:szCs w:val="18"/>
                          <w:lang w:val="en-US" w:eastAsia="zh-CN"/>
                        </w:rPr>
                        <w:t>站用变及４００Ｖ舱</w:t>
                      </w:r>
                    </w:p>
                  </w:txbxContent>
                </v:textbox>
              </v:shape>
            </w:pict>
          </mc:Fallback>
        </mc:AlternateContent>
      </w:r>
      <w:r>
        <w:rPr>
          <w:sz w:val="21"/>
        </w:rPr>
        <mc:AlternateContent>
          <mc:Choice Requires="wps">
            <w:drawing>
              <wp:anchor distT="0" distB="0" distL="114300" distR="114300" simplePos="0" relativeHeight="251692032" behindDoc="0" locked="0" layoutInCell="1" allowOverlap="1">
                <wp:simplePos x="0" y="0"/>
                <wp:positionH relativeFrom="column">
                  <wp:posOffset>1823085</wp:posOffset>
                </wp:positionH>
                <wp:positionV relativeFrom="paragraph">
                  <wp:posOffset>1334135</wp:posOffset>
                </wp:positionV>
                <wp:extent cx="829945" cy="38735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829945" cy="387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F174FA">
                            <w:pPr>
                              <w:jc w:val="both"/>
                              <w:rPr>
                                <w:rFonts w:hint="default" w:eastAsia="宋体"/>
                                <w:b/>
                                <w:bCs/>
                                <w:color w:val="FF0000"/>
                                <w:sz w:val="18"/>
                                <w:szCs w:val="18"/>
                                <w:lang w:val="en-US" w:eastAsia="zh-CN"/>
                              </w:rPr>
                            </w:pPr>
                            <w:r>
                              <w:rPr>
                                <w:rFonts w:hint="eastAsia"/>
                                <w:b/>
                                <w:bCs/>
                                <w:color w:val="FF0000"/>
                                <w:sz w:val="18"/>
                                <w:szCs w:val="18"/>
                                <w:lang w:val="en-US" w:eastAsia="zh-CN"/>
                              </w:rPr>
                              <w:t>３５ｋＶ变配电舱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55pt;margin-top:105.05pt;height:30.5pt;width:65.35pt;z-index:251692032;mso-width-relative:page;mso-height-relative:page;" filled="f" stroked="f" coordsize="21600,21600" o:gfxdata="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YorptoAAAALAQAADwAAAAAAAAABACAAAAAiAAAAZHJz&#10;L2Rvd25yZXYueG1sUEsBAhQAFAAAAAgAh07iQL/r7lI7AgAAZwQAAA4AAAAAAAAAAQAgAAAAKQEA&#10;AGRycy9lMm9Eb2MueG1sUEsFBgAAAAAGAAYAWQEAANYFAAAAAA==&#10;">
                <v:fill on="f" focussize="0,0"/>
                <v:stroke on="f" weight="0.5pt"/>
                <v:imagedata o:title=""/>
                <o:lock v:ext="edit" aspectratio="f"/>
                <v:textbox>
                  <w:txbxContent>
                    <w:p w14:paraId="72F174FA">
                      <w:pPr>
                        <w:jc w:val="both"/>
                        <w:rPr>
                          <w:rFonts w:hint="default" w:eastAsia="宋体"/>
                          <w:b/>
                          <w:bCs/>
                          <w:color w:val="FF0000"/>
                          <w:sz w:val="18"/>
                          <w:szCs w:val="18"/>
                          <w:lang w:val="en-US" w:eastAsia="zh-CN"/>
                        </w:rPr>
                      </w:pPr>
                      <w:r>
                        <w:rPr>
                          <w:rFonts w:hint="eastAsia"/>
                          <w:b/>
                          <w:bCs/>
                          <w:color w:val="FF0000"/>
                          <w:sz w:val="18"/>
                          <w:szCs w:val="18"/>
                          <w:lang w:val="en-US" w:eastAsia="zh-CN"/>
                        </w:rPr>
                        <w:t>３５ｋＶ变配电舱</w:t>
                      </w:r>
                    </w:p>
                  </w:txbxContent>
                </v:textbox>
              </v:shape>
            </w:pict>
          </mc:Fallback>
        </mc:AlternateContent>
      </w:r>
      <w:r>
        <w:rPr>
          <w:sz w:val="21"/>
        </w:rPr>
        <mc:AlternateContent>
          <mc:Choice Requires="wps">
            <w:drawing>
              <wp:anchor distT="0" distB="0" distL="114300" distR="114300" simplePos="0" relativeHeight="251691008" behindDoc="0" locked="0" layoutInCell="1" allowOverlap="1">
                <wp:simplePos x="0" y="0"/>
                <wp:positionH relativeFrom="column">
                  <wp:posOffset>3021330</wp:posOffset>
                </wp:positionH>
                <wp:positionV relativeFrom="paragraph">
                  <wp:posOffset>2567305</wp:posOffset>
                </wp:positionV>
                <wp:extent cx="829945" cy="38735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829945" cy="387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0FF1C">
                            <w:pPr>
                              <w:jc w:val="both"/>
                              <w:rPr>
                                <w:rFonts w:hint="default" w:eastAsia="宋体"/>
                                <w:b/>
                                <w:bCs/>
                                <w:color w:val="FF0000"/>
                                <w:sz w:val="18"/>
                                <w:szCs w:val="18"/>
                                <w:lang w:val="en-US" w:eastAsia="zh-CN"/>
                              </w:rPr>
                            </w:pPr>
                            <w:r>
                              <w:rPr>
                                <w:rFonts w:hint="eastAsia"/>
                                <w:b/>
                                <w:bCs/>
                                <w:color w:val="FF0000"/>
                                <w:sz w:val="18"/>
                                <w:szCs w:val="18"/>
                                <w:lang w:val="en-US" w:eastAsia="zh-CN"/>
                              </w:rPr>
                              <w:t>１０ｋＶ施工备用变</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9pt;margin-top:202.15pt;height:30.5pt;width:65.35pt;z-index:251691008;mso-width-relative:page;mso-height-relative:page;" filled="f" stroked="f" coordsize="21600,21600" o:gfxdata="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N16hVdwAAAALAQAADwAAAAAAAAABACAAAAAiAAAA&#10;ZHJzL2Rvd25yZXYueG1sUEsBAhQAFAAAAAgAh07iQOWULbo8AgAAZwQAAA4AAAAAAAAAAQAgAAAA&#10;KwEAAGRycy9lMm9Eb2MueG1sUEsFBgAAAAAGAAYAWQEAANkFAAAAAA==&#10;">
                <v:fill on="f" focussize="0,0"/>
                <v:stroke on="f" weight="0.5pt"/>
                <v:imagedata o:title=""/>
                <o:lock v:ext="edit" aspectratio="f"/>
                <v:textbox>
                  <w:txbxContent>
                    <w:p w14:paraId="79E0FF1C">
                      <w:pPr>
                        <w:jc w:val="both"/>
                        <w:rPr>
                          <w:rFonts w:hint="default" w:eastAsia="宋体"/>
                          <w:b/>
                          <w:bCs/>
                          <w:color w:val="FF0000"/>
                          <w:sz w:val="18"/>
                          <w:szCs w:val="18"/>
                          <w:lang w:val="en-US" w:eastAsia="zh-CN"/>
                        </w:rPr>
                      </w:pPr>
                      <w:r>
                        <w:rPr>
                          <w:rFonts w:hint="eastAsia"/>
                          <w:b/>
                          <w:bCs/>
                          <w:color w:val="FF0000"/>
                          <w:sz w:val="18"/>
                          <w:szCs w:val="18"/>
                          <w:lang w:val="en-US" w:eastAsia="zh-CN"/>
                        </w:rPr>
                        <w:t>１０ｋＶ施工备用变</w:t>
                      </w:r>
                    </w:p>
                  </w:txbxContent>
                </v:textbox>
              </v:shape>
            </w:pict>
          </mc:Fallback>
        </mc:AlternateContent>
      </w:r>
      <w:r>
        <w:rPr>
          <w:sz w:val="21"/>
        </w:rPr>
        <mc:AlternateContent>
          <mc:Choice Requires="wps">
            <w:drawing>
              <wp:anchor distT="0" distB="0" distL="114300" distR="114300" simplePos="0" relativeHeight="251689984" behindDoc="0" locked="0" layoutInCell="1" allowOverlap="1">
                <wp:simplePos x="0" y="0"/>
                <wp:positionH relativeFrom="column">
                  <wp:posOffset>2437765</wp:posOffset>
                </wp:positionH>
                <wp:positionV relativeFrom="paragraph">
                  <wp:posOffset>3013710</wp:posOffset>
                </wp:positionV>
                <wp:extent cx="589915" cy="2413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589915" cy="241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AF7CFB">
                            <w:pPr>
                              <w:jc w:val="both"/>
                              <w:rPr>
                                <w:rFonts w:hint="default" w:eastAsia="宋体"/>
                                <w:b/>
                                <w:bCs/>
                                <w:color w:val="FF0000"/>
                                <w:sz w:val="18"/>
                                <w:szCs w:val="18"/>
                                <w:lang w:val="en-US" w:eastAsia="zh-CN"/>
                              </w:rPr>
                            </w:pPr>
                            <w:r>
                              <w:rPr>
                                <w:rFonts w:hint="eastAsia"/>
                                <w:b/>
                                <w:bCs/>
                                <w:color w:val="FF0000"/>
                                <w:sz w:val="18"/>
                                <w:szCs w:val="18"/>
                                <w:lang w:val="en-US" w:eastAsia="zh-CN"/>
                              </w:rPr>
                              <w:t>ＳＶＧ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1.95pt;margin-top:237.3pt;height:19pt;width:46.45pt;z-index:251689984;mso-width-relative:page;mso-height-relative:page;" filled="f" stroked="f" coordsize="21600,21600" o:gfxdata="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4frCxd0AAAALAQAADwAAAAAAAAABACAAAAAi&#10;AAAAZHJzL2Rvd25yZXYueG1sUEsBAhQAFAAAAAgAh07iQJseRow+AgAAZwQAAA4AAAAAAAAAAQAg&#10;AAAALAEAAGRycy9lMm9Eb2MueG1sUEsFBgAAAAAGAAYAWQEAANwFAAAAAA==&#10;">
                <v:fill on="f" focussize="0,0"/>
                <v:stroke on="f" weight="0.5pt"/>
                <v:imagedata o:title=""/>
                <o:lock v:ext="edit" aspectratio="f"/>
                <v:textbox>
                  <w:txbxContent>
                    <w:p w14:paraId="00AF7CFB">
                      <w:pPr>
                        <w:jc w:val="both"/>
                        <w:rPr>
                          <w:rFonts w:hint="default" w:eastAsia="宋体"/>
                          <w:b/>
                          <w:bCs/>
                          <w:color w:val="FF0000"/>
                          <w:sz w:val="18"/>
                          <w:szCs w:val="18"/>
                          <w:lang w:val="en-US" w:eastAsia="zh-CN"/>
                        </w:rPr>
                      </w:pPr>
                      <w:r>
                        <w:rPr>
                          <w:rFonts w:hint="eastAsia"/>
                          <w:b/>
                          <w:bCs/>
                          <w:color w:val="FF0000"/>
                          <w:sz w:val="18"/>
                          <w:szCs w:val="18"/>
                          <w:lang w:val="en-US" w:eastAsia="zh-CN"/>
                        </w:rPr>
                        <w:t>ＳＶＧ</w:t>
                      </w:r>
                    </w:p>
                  </w:txbxContent>
                </v:textbox>
              </v:shape>
            </w:pict>
          </mc:Fallback>
        </mc:AlternateContent>
      </w:r>
      <w:r>
        <w:rPr>
          <w:sz w:val="21"/>
        </w:rPr>
        <mc:AlternateContent>
          <mc:Choice Requires="wps">
            <w:drawing>
              <wp:anchor distT="0" distB="0" distL="114300" distR="114300" simplePos="0" relativeHeight="251688960" behindDoc="0" locked="0" layoutInCell="1" allowOverlap="1">
                <wp:simplePos x="0" y="0"/>
                <wp:positionH relativeFrom="column">
                  <wp:posOffset>1029335</wp:posOffset>
                </wp:positionH>
                <wp:positionV relativeFrom="paragraph">
                  <wp:posOffset>2157730</wp:posOffset>
                </wp:positionV>
                <wp:extent cx="969010" cy="2921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969010" cy="292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D3BA44">
                            <w:pPr>
                              <w:jc w:val="both"/>
                              <w:rPr>
                                <w:rFonts w:hint="default" w:eastAsia="宋体"/>
                                <w:b/>
                                <w:bCs/>
                                <w:color w:val="FF0000"/>
                                <w:sz w:val="18"/>
                                <w:szCs w:val="18"/>
                                <w:lang w:val="en-US" w:eastAsia="zh-CN"/>
                              </w:rPr>
                            </w:pPr>
                            <w:r>
                              <w:rPr>
                                <w:rFonts w:hint="eastAsia"/>
                                <w:b/>
                                <w:bCs/>
                                <w:color w:val="FF0000"/>
                                <w:sz w:val="18"/>
                                <w:szCs w:val="18"/>
                                <w:lang w:val="en-US" w:eastAsia="zh-CN"/>
                              </w:rPr>
                              <w:t>２#二次设备舱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05pt;margin-top:169.9pt;height:23pt;width:76.3pt;z-index:251688960;mso-width-relative:page;mso-height-relative:page;" filled="f" stroked="f" coordsize="21600,21600" o:gfxdata="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phnW9sAAAALAQAADwAAAAAAAAABACAAAAAiAAAA&#10;ZHJzL2Rvd25yZXYueG1sUEsBAhQAFAAAAAgAh07iQKYf4SE9AgAAZwQAAA4AAAAAAAAAAQAgAAAA&#10;KgEAAGRycy9lMm9Eb2MueG1sUEsFBgAAAAAGAAYAWQEAANkFAAAAAA==&#10;">
                <v:fill on="f" focussize="0,0"/>
                <v:stroke on="f" weight="0.5pt"/>
                <v:imagedata o:title=""/>
                <o:lock v:ext="edit" aspectratio="f"/>
                <v:textbox>
                  <w:txbxContent>
                    <w:p w14:paraId="4DD3BA44">
                      <w:pPr>
                        <w:jc w:val="both"/>
                        <w:rPr>
                          <w:rFonts w:hint="default" w:eastAsia="宋体"/>
                          <w:b/>
                          <w:bCs/>
                          <w:color w:val="FF0000"/>
                          <w:sz w:val="18"/>
                          <w:szCs w:val="18"/>
                          <w:lang w:val="en-US" w:eastAsia="zh-CN"/>
                        </w:rPr>
                      </w:pPr>
                      <w:r>
                        <w:rPr>
                          <w:rFonts w:hint="eastAsia"/>
                          <w:b/>
                          <w:bCs/>
                          <w:color w:val="FF0000"/>
                          <w:sz w:val="18"/>
                          <w:szCs w:val="18"/>
                          <w:lang w:val="en-US" w:eastAsia="zh-CN"/>
                        </w:rPr>
                        <w:t>２#二次设备舱</w:t>
                      </w:r>
                    </w:p>
                  </w:txbxContent>
                </v:textbox>
              </v:shape>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980440</wp:posOffset>
                </wp:positionH>
                <wp:positionV relativeFrom="paragraph">
                  <wp:posOffset>966470</wp:posOffset>
                </wp:positionV>
                <wp:extent cx="917575" cy="25781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917575" cy="257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F10A7D">
                            <w:pPr>
                              <w:jc w:val="both"/>
                              <w:rPr>
                                <w:rFonts w:hint="default" w:eastAsia="宋体"/>
                                <w:b/>
                                <w:bCs/>
                                <w:color w:val="FF0000"/>
                                <w:sz w:val="18"/>
                                <w:szCs w:val="18"/>
                                <w:lang w:val="en-US" w:eastAsia="zh-CN"/>
                              </w:rPr>
                            </w:pPr>
                            <w:r>
                              <w:rPr>
                                <w:rFonts w:hint="eastAsia"/>
                                <w:b/>
                                <w:bCs/>
                                <w:color w:val="FF0000"/>
                                <w:sz w:val="18"/>
                                <w:szCs w:val="18"/>
                                <w:lang w:val="en-US" w:eastAsia="zh-CN"/>
                              </w:rPr>
                              <w:t>1#二次设备舱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7.2pt;margin-top:76.1pt;height:20.3pt;width:72.25pt;z-index:251687936;mso-width-relative:page;mso-height-relative:page;" filled="f" stroked="f" coordsize="21600,21600" o:gfxdata="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31qzeNsAAAALAQAADwAAAAAAAAABACAAAAAiAAAA&#10;ZHJzL2Rvd25yZXYueG1sUEsBAhQAFAAAAAgAh07iQHkAqGw9AgAAZwQAAA4AAAAAAAAAAQAgAAAA&#10;KgEAAGRycy9lMm9Eb2MueG1sUEsFBgAAAAAGAAYAWQEAANkFAAAAAA==&#10;">
                <v:fill on="f" focussize="0,0"/>
                <v:stroke on="f" weight="0.5pt"/>
                <v:imagedata o:title=""/>
                <o:lock v:ext="edit" aspectratio="f"/>
                <v:textbox>
                  <w:txbxContent>
                    <w:p w14:paraId="69F10A7D">
                      <w:pPr>
                        <w:jc w:val="both"/>
                        <w:rPr>
                          <w:rFonts w:hint="default" w:eastAsia="宋体"/>
                          <w:b/>
                          <w:bCs/>
                          <w:color w:val="FF0000"/>
                          <w:sz w:val="18"/>
                          <w:szCs w:val="18"/>
                          <w:lang w:val="en-US" w:eastAsia="zh-CN"/>
                        </w:rPr>
                      </w:pPr>
                      <w:r>
                        <w:rPr>
                          <w:rFonts w:hint="eastAsia"/>
                          <w:b/>
                          <w:bCs/>
                          <w:color w:val="FF0000"/>
                          <w:sz w:val="18"/>
                          <w:szCs w:val="18"/>
                          <w:lang w:val="en-US" w:eastAsia="zh-CN"/>
                        </w:rPr>
                        <w:t>1#二次设备舱</w:t>
                      </w:r>
                    </w:p>
                  </w:txbxContent>
                </v:textbox>
              </v:shape>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1936115</wp:posOffset>
                </wp:positionH>
                <wp:positionV relativeFrom="paragraph">
                  <wp:posOffset>935355</wp:posOffset>
                </wp:positionV>
                <wp:extent cx="684530" cy="249555"/>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684530" cy="2495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AD6879">
                            <w:pPr>
                              <w:jc w:val="both"/>
                              <w:rPr>
                                <w:rFonts w:hint="default" w:eastAsia="宋体"/>
                                <w:b/>
                                <w:bCs/>
                                <w:color w:val="FF0000"/>
                                <w:sz w:val="18"/>
                                <w:szCs w:val="18"/>
                                <w:lang w:val="en-US" w:eastAsia="zh-CN"/>
                              </w:rPr>
                            </w:pPr>
                            <w:r>
                              <w:rPr>
                                <w:rFonts w:hint="eastAsia"/>
                                <w:b/>
                                <w:bCs/>
                                <w:color w:val="FF0000"/>
                                <w:sz w:val="18"/>
                                <w:szCs w:val="18"/>
                                <w:lang w:val="en-US" w:eastAsia="zh-CN"/>
                              </w:rPr>
                              <w:t>接地变舱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2.45pt;margin-top:73.65pt;height:19.65pt;width:53.9pt;z-index:251686912;mso-width-relative:page;mso-height-relative:page;" filled="f" stroked="f" coordsize="21600,21600" o:gfxdata="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14dlG3AAAAAsBAAAPAAAAAAAAAAEAIAAAACIAAABk&#10;cnMvZG93bnJldi54bWxQSwECFAAUAAAACACHTuJAjRMehTsCAABnBAAADgAAAAAAAAABACAAAAAr&#10;AQAAZHJzL2Uyb0RvYy54bWxQSwUGAAAAAAYABgBZAQAA2AUAAAAA&#10;">
                <v:fill on="f" focussize="0,0"/>
                <v:stroke on="f" weight="0.5pt"/>
                <v:imagedata o:title=""/>
                <o:lock v:ext="edit" aspectratio="f"/>
                <v:textbox>
                  <w:txbxContent>
                    <w:p w14:paraId="22AD6879">
                      <w:pPr>
                        <w:jc w:val="both"/>
                        <w:rPr>
                          <w:rFonts w:hint="default" w:eastAsia="宋体"/>
                          <w:b/>
                          <w:bCs/>
                          <w:color w:val="FF0000"/>
                          <w:sz w:val="18"/>
                          <w:szCs w:val="18"/>
                          <w:lang w:val="en-US" w:eastAsia="zh-CN"/>
                        </w:rPr>
                      </w:pPr>
                      <w:r>
                        <w:rPr>
                          <w:rFonts w:hint="eastAsia"/>
                          <w:b/>
                          <w:bCs/>
                          <w:color w:val="FF0000"/>
                          <w:sz w:val="18"/>
                          <w:szCs w:val="18"/>
                          <w:lang w:val="en-US" w:eastAsia="zh-CN"/>
                        </w:rPr>
                        <w:t>接地变舱</w:t>
                      </w:r>
                    </w:p>
                  </w:txbxContent>
                </v:textbox>
              </v:shape>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4077970</wp:posOffset>
                </wp:positionH>
                <wp:positionV relativeFrom="paragraph">
                  <wp:posOffset>1354455</wp:posOffset>
                </wp:positionV>
                <wp:extent cx="433705" cy="23368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433705" cy="2336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398292">
                            <w:pPr>
                              <w:jc w:val="both"/>
                              <w:rPr>
                                <w:rFonts w:hint="default" w:eastAsia="宋体"/>
                                <w:b/>
                                <w:bCs/>
                                <w:color w:val="FF0000"/>
                                <w:sz w:val="18"/>
                                <w:szCs w:val="18"/>
                                <w:lang w:val="en-US" w:eastAsia="zh-CN"/>
                              </w:rPr>
                            </w:pPr>
                            <w:r>
                              <w:rPr>
                                <w:rFonts w:hint="eastAsia"/>
                                <w:b/>
                                <w:bCs/>
                                <w:color w:val="FF0000"/>
                                <w:sz w:val="18"/>
                                <w:szCs w:val="18"/>
                                <w:lang w:val="en-US" w:eastAsia="zh-CN"/>
                              </w:rPr>
                              <w:t>GIS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1.1pt;margin-top:106.65pt;height:18.4pt;width:34.15pt;z-index:251685888;mso-width-relative:page;mso-height-relative:page;" filled="f" stroked="f" coordsize="21600,21600" o:gfxdata="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CqgDlzbAAAACwEAAA8AAAAAAAAAAQAgAAAAIgAA&#10;AGRycy9kb3ducmV2LnhtbFBLAQIUABQAAAAIAIdO4kDjIdqgPgIAAGcEAAAOAAAAAAAAAAEAIAAA&#10;ACoBAABkcnMvZTJvRG9jLnhtbFBLBQYAAAAABgAGAFkBAADaBQAAAAA=&#10;">
                <v:fill on="f" focussize="0,0"/>
                <v:stroke on="f" weight="0.5pt"/>
                <v:imagedata o:title=""/>
                <o:lock v:ext="edit" aspectratio="f"/>
                <v:textbox>
                  <w:txbxContent>
                    <w:p w14:paraId="1D398292">
                      <w:pPr>
                        <w:jc w:val="both"/>
                        <w:rPr>
                          <w:rFonts w:hint="default" w:eastAsia="宋体"/>
                          <w:b/>
                          <w:bCs/>
                          <w:color w:val="FF0000"/>
                          <w:sz w:val="18"/>
                          <w:szCs w:val="18"/>
                          <w:lang w:val="en-US" w:eastAsia="zh-CN"/>
                        </w:rPr>
                      </w:pPr>
                      <w:r>
                        <w:rPr>
                          <w:rFonts w:hint="eastAsia"/>
                          <w:b/>
                          <w:bCs/>
                          <w:color w:val="FF0000"/>
                          <w:sz w:val="18"/>
                          <w:szCs w:val="18"/>
                          <w:lang w:val="en-US" w:eastAsia="zh-CN"/>
                        </w:rPr>
                        <w:t>GIS</w:t>
                      </w:r>
                    </w:p>
                  </w:txbxContent>
                </v:textbox>
              </v:shap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1059815</wp:posOffset>
                </wp:positionH>
                <wp:positionV relativeFrom="paragraph">
                  <wp:posOffset>3019425</wp:posOffset>
                </wp:positionV>
                <wp:extent cx="1048385" cy="259715"/>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048385" cy="2597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E3AA80">
                            <w:pPr>
                              <w:jc w:val="center"/>
                              <w:rPr>
                                <w:rFonts w:hint="default" w:eastAsia="宋体"/>
                                <w:b/>
                                <w:bCs/>
                                <w:color w:val="FF0000"/>
                                <w:sz w:val="18"/>
                                <w:szCs w:val="18"/>
                                <w:lang w:val="en-US" w:eastAsia="zh-CN"/>
                              </w:rPr>
                            </w:pPr>
                            <w:r>
                              <w:rPr>
                                <w:rFonts w:hint="eastAsia"/>
                                <w:b/>
                                <w:bCs/>
                                <w:color w:val="FF0000"/>
                                <w:sz w:val="18"/>
                                <w:szCs w:val="18"/>
                                <w:lang w:val="en-US" w:eastAsia="zh-CN"/>
                              </w:rPr>
                              <w:t>检修工具舱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3.45pt;margin-top:237.75pt;height:20.45pt;width:82.55pt;z-index:251684864;mso-width-relative:page;mso-height-relative:page;" filled="f" stroked="f" coordsize="21600,21600" o:gfxdata="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bO/DC3AAAAAsBAAAPAAAAAAAAAAEAIAAAACIA&#10;AABkcnMvZG93bnJldi54bWxQSwECFAAUAAAACACHTuJAgV/HmT4CAABoBAAADgAAAAAAAAABACAA&#10;AAArAQAAZHJzL2Uyb0RvYy54bWxQSwUGAAAAAAYABgBZAQAA2wUAAAAA&#10;">
                <v:fill on="f" focussize="0,0"/>
                <v:stroke on="f" weight="0.5pt"/>
                <v:imagedata o:title=""/>
                <o:lock v:ext="edit" aspectratio="f"/>
                <v:textbox>
                  <w:txbxContent>
                    <w:p w14:paraId="73E3AA80">
                      <w:pPr>
                        <w:jc w:val="center"/>
                        <w:rPr>
                          <w:rFonts w:hint="default" w:eastAsia="宋体"/>
                          <w:b/>
                          <w:bCs/>
                          <w:color w:val="FF0000"/>
                          <w:sz w:val="18"/>
                          <w:szCs w:val="18"/>
                          <w:lang w:val="en-US" w:eastAsia="zh-CN"/>
                        </w:rPr>
                      </w:pPr>
                      <w:r>
                        <w:rPr>
                          <w:rFonts w:hint="eastAsia"/>
                          <w:b/>
                          <w:bCs/>
                          <w:color w:val="FF0000"/>
                          <w:sz w:val="18"/>
                          <w:szCs w:val="18"/>
                          <w:lang w:val="en-US" w:eastAsia="zh-CN"/>
                        </w:rPr>
                        <w:t>检修工具舱</w:t>
                      </w:r>
                    </w:p>
                  </w:txbxContent>
                </v:textbox>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1986280</wp:posOffset>
                </wp:positionH>
                <wp:positionV relativeFrom="paragraph">
                  <wp:posOffset>2829560</wp:posOffset>
                </wp:positionV>
                <wp:extent cx="381635" cy="97028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381635" cy="9702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6BB572">
                            <w:pPr>
                              <w:jc w:val="center"/>
                              <w:rPr>
                                <w:rFonts w:hint="default" w:eastAsia="宋体"/>
                                <w:b/>
                                <w:bCs/>
                                <w:color w:val="FF0000"/>
                                <w:sz w:val="18"/>
                                <w:szCs w:val="18"/>
                                <w:lang w:val="en-US" w:eastAsia="zh-CN"/>
                              </w:rPr>
                            </w:pPr>
                            <w:r>
                              <w:rPr>
                                <w:rFonts w:hint="eastAsia"/>
                                <w:b/>
                                <w:bCs/>
                                <w:color w:val="FF0000"/>
                                <w:sz w:val="18"/>
                                <w:szCs w:val="18"/>
                                <w:lang w:val="en-US" w:eastAsia="zh-CN"/>
                              </w:rPr>
                              <w:t>直流蓄电池舱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6.4pt;margin-top:222.8pt;height:76.4pt;width:30.05pt;z-index:251683840;mso-width-relative:page;mso-height-relative:page;" filled="f" stroked="f" coordsize="21600,21600" o:gfxdata="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GtEf7dAAAACwEAAA8AAAAAAAAAAQAgAAAAIgAA&#10;AGRycy9kb3ducmV2LnhtbFBLAQIUABQAAAAIAIdO4kCISX02PAIAAGcEAAAOAAAAAAAAAAEAIAAA&#10;ACwBAABkcnMvZTJvRG9jLnhtbFBLBQYAAAAABgAGAFkBAADaBQAAAAA=&#10;">
                <v:fill on="f" focussize="0,0"/>
                <v:stroke on="f" weight="0.5pt"/>
                <v:imagedata o:title=""/>
                <o:lock v:ext="edit" aspectratio="f"/>
                <v:textbox>
                  <w:txbxContent>
                    <w:p w14:paraId="026BB572">
                      <w:pPr>
                        <w:jc w:val="center"/>
                        <w:rPr>
                          <w:rFonts w:hint="default" w:eastAsia="宋体"/>
                          <w:b/>
                          <w:bCs/>
                          <w:color w:val="FF0000"/>
                          <w:sz w:val="18"/>
                          <w:szCs w:val="18"/>
                          <w:lang w:val="en-US" w:eastAsia="zh-CN"/>
                        </w:rPr>
                      </w:pPr>
                      <w:r>
                        <w:rPr>
                          <w:rFonts w:hint="eastAsia"/>
                          <w:b/>
                          <w:bCs/>
                          <w:color w:val="FF0000"/>
                          <w:sz w:val="18"/>
                          <w:szCs w:val="18"/>
                          <w:lang w:val="en-US" w:eastAsia="zh-CN"/>
                        </w:rPr>
                        <w:t>直流蓄电池舱</w:t>
                      </w:r>
                    </w:p>
                  </w:txbxContent>
                </v:textbox>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2618105</wp:posOffset>
                </wp:positionH>
                <wp:positionV relativeFrom="paragraph">
                  <wp:posOffset>1513840</wp:posOffset>
                </wp:positionV>
                <wp:extent cx="433705" cy="23368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433705" cy="2336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DB6D46">
                            <w:pPr>
                              <w:jc w:val="both"/>
                              <w:rPr>
                                <w:rFonts w:hint="default" w:eastAsia="宋体"/>
                                <w:b/>
                                <w:bCs/>
                                <w:color w:val="FF0000"/>
                                <w:sz w:val="18"/>
                                <w:szCs w:val="18"/>
                                <w:lang w:val="en-US" w:eastAsia="zh-CN"/>
                              </w:rPr>
                            </w:pPr>
                            <w:r>
                              <w:rPr>
                                <w:rFonts w:hint="eastAsia"/>
                                <w:b/>
                                <w:bCs/>
                                <w:color w:val="FF0000"/>
                                <w:sz w:val="18"/>
                                <w:szCs w:val="18"/>
                                <w:lang w:val="en-US" w:eastAsia="zh-CN"/>
                              </w:rPr>
                              <w:t>主变</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6.15pt;margin-top:119.2pt;height:18.4pt;width:34.15pt;z-index:251682816;mso-width-relative:page;mso-height-relative:page;" filled="f" stroked="f" coordsize="21600,21600" o:gfxdata="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gsIQfcAAAACwEAAA8AAAAAAAAAAQAgAAAAIgAA&#10;AGRycy9kb3ducmV2LnhtbFBLAQIUABQAAAAIAIdO4kCmVwFXPQIAAGcEAAAOAAAAAAAAAAEAIAAA&#10;ACsBAABkcnMvZTJvRG9jLnhtbFBLBQYAAAAABgAGAFkBAADaBQAAAAA=&#10;">
                <v:fill on="f" focussize="0,0"/>
                <v:stroke on="f" weight="0.5pt"/>
                <v:imagedata o:title=""/>
                <o:lock v:ext="edit" aspectratio="f"/>
                <v:textbox>
                  <w:txbxContent>
                    <w:p w14:paraId="46DB6D46">
                      <w:pPr>
                        <w:jc w:val="both"/>
                        <w:rPr>
                          <w:rFonts w:hint="default" w:eastAsia="宋体"/>
                          <w:b/>
                          <w:bCs/>
                          <w:color w:val="FF0000"/>
                          <w:sz w:val="18"/>
                          <w:szCs w:val="18"/>
                          <w:lang w:val="en-US" w:eastAsia="zh-CN"/>
                        </w:rPr>
                      </w:pPr>
                      <w:r>
                        <w:rPr>
                          <w:rFonts w:hint="eastAsia"/>
                          <w:b/>
                          <w:bCs/>
                          <w:color w:val="FF0000"/>
                          <w:sz w:val="18"/>
                          <w:szCs w:val="18"/>
                          <w:lang w:val="en-US" w:eastAsia="zh-CN"/>
                        </w:rPr>
                        <w:t>主变</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3513455</wp:posOffset>
                </wp:positionH>
                <wp:positionV relativeFrom="paragraph">
                  <wp:posOffset>365125</wp:posOffset>
                </wp:positionV>
                <wp:extent cx="1048385" cy="259715"/>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048385" cy="2597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1D81A1">
                            <w:pPr>
                              <w:jc w:val="center"/>
                              <w:rPr>
                                <w:rFonts w:hint="default" w:eastAsia="宋体"/>
                                <w:b/>
                                <w:bCs/>
                                <w:color w:val="FF0000"/>
                                <w:sz w:val="18"/>
                                <w:szCs w:val="18"/>
                                <w:lang w:val="en-US" w:eastAsia="zh-CN"/>
                              </w:rPr>
                            </w:pPr>
                            <w:r>
                              <w:rPr>
                                <w:rFonts w:hint="eastAsia"/>
                                <w:b/>
                                <w:bCs/>
                                <w:color w:val="FF0000"/>
                                <w:sz w:val="18"/>
                                <w:szCs w:val="18"/>
                                <w:lang w:val="en-US" w:eastAsia="zh-CN"/>
                              </w:rPr>
                              <w:t>事故油池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6.65pt;margin-top:28.75pt;height:20.45pt;width:82.55pt;z-index:251681792;mso-width-relative:page;mso-height-relative:page;" filled="f" stroked="f" coordsize="21600,21600" o:gfxdata="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&#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K4NXO2gAAAAkBAAAPAAAAAAAAAAEAIAAAACIAAABk&#10;cnMvZG93bnJldi54bWxQSwECFAAUAAAACACHTuJAHTggUz0CAABoBAAADgAAAAAAAAABACAAAAAp&#10;AQAAZHJzL2Uyb0RvYy54bWxQSwUGAAAAAAYABgBZAQAA2AUAAAAA&#10;">
                <v:fill on="f" focussize="0,0"/>
                <v:stroke on="f" weight="0.5pt"/>
                <v:imagedata o:title=""/>
                <o:lock v:ext="edit" aspectratio="f"/>
                <v:textbox>
                  <w:txbxContent>
                    <w:p w14:paraId="521D81A1">
                      <w:pPr>
                        <w:jc w:val="center"/>
                        <w:rPr>
                          <w:rFonts w:hint="default" w:eastAsia="宋体"/>
                          <w:b/>
                          <w:bCs/>
                          <w:color w:val="FF0000"/>
                          <w:sz w:val="18"/>
                          <w:szCs w:val="18"/>
                          <w:lang w:val="en-US" w:eastAsia="zh-CN"/>
                        </w:rPr>
                      </w:pPr>
                      <w:r>
                        <w:rPr>
                          <w:rFonts w:hint="eastAsia"/>
                          <w:b/>
                          <w:bCs/>
                          <w:color w:val="FF0000"/>
                          <w:sz w:val="18"/>
                          <w:szCs w:val="18"/>
                          <w:lang w:val="en-US" w:eastAsia="zh-CN"/>
                        </w:rPr>
                        <w:t>事故油池</w:t>
                      </w:r>
                    </w:p>
                  </w:txbxContent>
                </v:textbox>
              </v:shape>
            </w:pict>
          </mc:Fallback>
        </mc:AlternateContent>
      </w:r>
      <w:r>
        <w:rPr>
          <w:sz w:val="21"/>
        </w:rPr>
        <mc:AlternateContent>
          <mc:Choice Requires="wps">
            <w:drawing>
              <wp:anchor distT="0" distB="0" distL="114300" distR="114300" simplePos="0" relativeHeight="251679744" behindDoc="0" locked="0" layoutInCell="1" allowOverlap="1">
                <wp:simplePos x="0" y="0"/>
                <wp:positionH relativeFrom="column">
                  <wp:posOffset>4105275</wp:posOffset>
                </wp:positionH>
                <wp:positionV relativeFrom="paragraph">
                  <wp:posOffset>2983865</wp:posOffset>
                </wp:positionV>
                <wp:extent cx="1048385" cy="389255"/>
                <wp:effectExtent l="0" t="0" r="0" b="0"/>
                <wp:wrapNone/>
                <wp:docPr id="66" name="文本框 66"/>
                <wp:cNvGraphicFramePr/>
                <a:graphic xmlns:a="http://schemas.openxmlformats.org/drawingml/2006/main">
                  <a:graphicData uri="http://schemas.microsoft.com/office/word/2010/wordprocessingShape">
                    <wps:wsp>
                      <wps:cNvSpPr txBox="1"/>
                      <wps:spPr>
                        <a:xfrm>
                          <a:off x="5103495" y="3752215"/>
                          <a:ext cx="1048385" cy="3892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DA73F0">
                            <w:pPr>
                              <w:jc w:val="center"/>
                              <w:rPr>
                                <w:rFonts w:hint="default" w:eastAsia="宋体"/>
                                <w:b/>
                                <w:bCs/>
                                <w:color w:val="FF0000"/>
                                <w:sz w:val="18"/>
                                <w:szCs w:val="18"/>
                                <w:lang w:val="en-US" w:eastAsia="zh-CN"/>
                              </w:rPr>
                            </w:pPr>
                            <w:r>
                              <w:rPr>
                                <w:rFonts w:hint="eastAsia"/>
                                <w:b/>
                                <w:bCs/>
                                <w:color w:val="FF0000"/>
                                <w:sz w:val="18"/>
                                <w:szCs w:val="18"/>
                                <w:lang w:val="en-US" w:eastAsia="zh-CN"/>
                              </w:rPr>
                              <w:t>地埋式一体化污水处理设备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3.25pt;margin-top:234.95pt;height:30.65pt;width:82.55pt;z-index:251679744;mso-width-relative:page;mso-height-relative:page;" filled="f" stroked="f" coordsize="21600,21600" o:gfxdata="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OHJP73AAAAAsBAAAPAAAA&#10;AAAAAAEAIAAAACIAAABkcnMvZG93bnJldi54bWxQSwECFAAUAAAACACHTuJAh89buUoCAAB0BAAA&#10;DgAAAAAAAAABACAAAAArAQAAZHJzL2Uyb0RvYy54bWxQSwUGAAAAAAYABgBZAQAA5wUAAAAA&#10;">
                <v:fill on="f" focussize="0,0"/>
                <v:stroke on="f" weight="0.5pt"/>
                <v:imagedata o:title=""/>
                <o:lock v:ext="edit" aspectratio="f"/>
                <v:textbox>
                  <w:txbxContent>
                    <w:p w14:paraId="39DA73F0">
                      <w:pPr>
                        <w:jc w:val="center"/>
                        <w:rPr>
                          <w:rFonts w:hint="default" w:eastAsia="宋体"/>
                          <w:b/>
                          <w:bCs/>
                          <w:color w:val="FF0000"/>
                          <w:sz w:val="18"/>
                          <w:szCs w:val="18"/>
                          <w:lang w:val="en-US" w:eastAsia="zh-CN"/>
                        </w:rPr>
                      </w:pPr>
                      <w:r>
                        <w:rPr>
                          <w:rFonts w:hint="eastAsia"/>
                          <w:b/>
                          <w:bCs/>
                          <w:color w:val="FF0000"/>
                          <w:sz w:val="18"/>
                          <w:szCs w:val="18"/>
                          <w:lang w:val="en-US" w:eastAsia="zh-CN"/>
                        </w:rPr>
                        <w:t>地埋式一体化污水处理设备</w:t>
                      </w:r>
                    </w:p>
                  </w:txbxContent>
                </v:textbox>
              </v:shape>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429895</wp:posOffset>
                </wp:positionH>
                <wp:positionV relativeFrom="paragraph">
                  <wp:posOffset>365125</wp:posOffset>
                </wp:positionV>
                <wp:extent cx="607695" cy="41529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607695" cy="4152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76CE2">
                            <w:pPr>
                              <w:jc w:val="both"/>
                              <w:rPr>
                                <w:rFonts w:hint="default" w:eastAsia="宋体"/>
                                <w:b/>
                                <w:bCs/>
                                <w:color w:val="FF0000"/>
                                <w:sz w:val="21"/>
                                <w:szCs w:val="21"/>
                                <w:lang w:val="en-US" w:eastAsia="zh-CN"/>
                              </w:rPr>
                            </w:pPr>
                            <w:r>
                              <w:rPr>
                                <w:rFonts w:hint="eastAsia"/>
                                <w:b/>
                                <w:bCs/>
                                <w:color w:val="FF0000"/>
                                <w:sz w:val="21"/>
                                <w:szCs w:val="21"/>
                                <w:lang w:val="en-US" w:eastAsia="zh-CN"/>
                              </w:rPr>
                              <w:t>危废暂存间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85pt;margin-top:28.75pt;height:32.7pt;width:47.85pt;z-index:251680768;mso-width-relative:page;mso-height-relative:page;" filled="f" stroked="f" coordsize="21600,21600" o:gfxdata="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8cJhZdsAAAAJAQAADwAAAAAAAAABACAAAAAiAAAA&#10;ZHJzL2Rvd25yZXYueG1sUEsBAhQAFAAAAAgAh07iQOQoNIM9AgAAZwQAAA4AAAAAAAAAAQAgAAAA&#10;KgEAAGRycy9lMm9Eb2MueG1sUEsFBgAAAAAGAAYAWQEAANkFAAAAAA==&#10;">
                <v:fill on="f" focussize="0,0"/>
                <v:stroke on="f" weight="0.5pt"/>
                <v:imagedata o:title=""/>
                <o:lock v:ext="edit" aspectratio="f"/>
                <v:textbox>
                  <w:txbxContent>
                    <w:p w14:paraId="74876CE2">
                      <w:pPr>
                        <w:jc w:val="both"/>
                        <w:rPr>
                          <w:rFonts w:hint="default" w:eastAsia="宋体"/>
                          <w:b/>
                          <w:bCs/>
                          <w:color w:val="FF0000"/>
                          <w:sz w:val="21"/>
                          <w:szCs w:val="21"/>
                          <w:lang w:val="en-US" w:eastAsia="zh-CN"/>
                        </w:rPr>
                      </w:pPr>
                      <w:r>
                        <w:rPr>
                          <w:rFonts w:hint="eastAsia"/>
                          <w:b/>
                          <w:bCs/>
                          <w:color w:val="FF0000"/>
                          <w:sz w:val="21"/>
                          <w:szCs w:val="21"/>
                          <w:lang w:val="en-US" w:eastAsia="zh-CN"/>
                        </w:rPr>
                        <w:t>危废暂存间</w:t>
                      </w:r>
                    </w:p>
                  </w:txbxContent>
                </v:textbox>
              </v:shape>
            </w:pict>
          </mc:Fallback>
        </mc:AlternateContent>
      </w:r>
      <w:r>
        <w:rPr>
          <w:rFonts w:hint="default" w:ascii="Times New Roman" w:hAnsi="Times New Roman" w:eastAsia="宋体" w:cs="Times New Roman"/>
          <w:color w:val="auto"/>
          <w:highlight w:val="none"/>
          <w:lang w:eastAsia="zh-CN"/>
        </w:rPr>
        <w:drawing>
          <wp:anchor distT="0" distB="0" distL="114300" distR="114300" simplePos="0" relativeHeight="251678720" behindDoc="0" locked="0" layoutInCell="1" allowOverlap="1">
            <wp:simplePos x="0" y="0"/>
            <wp:positionH relativeFrom="column">
              <wp:posOffset>2088515</wp:posOffset>
            </wp:positionH>
            <wp:positionV relativeFrom="paragraph">
              <wp:posOffset>6537325</wp:posOffset>
            </wp:positionV>
            <wp:extent cx="1000125" cy="333375"/>
            <wp:effectExtent l="0" t="0" r="5715" b="1905"/>
            <wp:wrapNone/>
            <wp:docPr id="63" name="图片 63" descr="a2773cc5-9266-44c2-8821-4f412c141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a2773cc5-9266-44c2-8821-4f412c141a46"/>
                    <pic:cNvPicPr>
                      <a:picLocks noChangeAspect="1"/>
                    </pic:cNvPicPr>
                  </pic:nvPicPr>
                  <pic:blipFill>
                    <a:blip r:embed="rId76"/>
                    <a:stretch>
                      <a:fillRect/>
                    </a:stretch>
                  </pic:blipFill>
                  <pic:spPr>
                    <a:xfrm>
                      <a:off x="0" y="0"/>
                      <a:ext cx="1000125" cy="333375"/>
                    </a:xfrm>
                    <a:prstGeom prst="rect">
                      <a:avLst/>
                    </a:prstGeom>
                  </pic:spPr>
                </pic:pic>
              </a:graphicData>
            </a:graphic>
          </wp:anchor>
        </w:drawing>
      </w:r>
    </w:p>
    <w:p w14:paraId="4FD6E129">
      <w:pPr>
        <w:ind w:firstLine="0" w:firstLineChars="0"/>
        <w:jc w:val="both"/>
        <w:outlineLvl w:val="0"/>
        <w:rPr>
          <w:rFonts w:hint="default" w:ascii="Times New Roman" w:hAnsi="Times New Roman" w:cs="Times New Roman"/>
          <w:b/>
          <w:bCs/>
          <w:color w:val="auto"/>
          <w:sz w:val="24"/>
          <w:szCs w:val="24"/>
          <w:highlight w:val="none"/>
          <w:lang w:val="en-US" w:eastAsia="zh-CN"/>
        </w:rPr>
      </w:pPr>
      <w:bookmarkStart w:id="44" w:name="_Toc898"/>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eastAsia="zh-CN"/>
        </w:rPr>
        <w:t>图</w:t>
      </w:r>
      <w:r>
        <w:rPr>
          <w:rFonts w:hint="default" w:ascii="Times New Roman" w:hAnsi="Times New Roman" w:cs="Times New Roman"/>
          <w:b/>
          <w:bCs/>
          <w:color w:val="auto"/>
          <w:sz w:val="24"/>
          <w:szCs w:val="24"/>
          <w:highlight w:val="none"/>
          <w:lang w:val="en-US" w:eastAsia="zh-CN"/>
        </w:rPr>
        <w:t xml:space="preserve">3 </w:t>
      </w:r>
      <w:r>
        <w:rPr>
          <w:rFonts w:hint="default" w:ascii="Times New Roman" w:hAnsi="Times New Roman" w:cs="Times New Roman"/>
          <w:b/>
          <w:bCs/>
          <w:color w:val="auto"/>
          <w:sz w:val="24"/>
          <w:szCs w:val="24"/>
          <w:highlight w:val="none"/>
        </w:rPr>
        <w:t>本工程环境管控单元查询结果图</w:t>
      </w:r>
      <w:r>
        <w:rPr>
          <w:rFonts w:hint="default" w:ascii="Times New Roman" w:hAnsi="Times New Roman" w:cs="Times New Roman"/>
          <w:b/>
          <w:bCs/>
          <w:color w:val="auto"/>
          <w:sz w:val="24"/>
          <w:szCs w:val="24"/>
          <w:highlight w:val="none"/>
          <w:lang w:val="en-US" w:eastAsia="zh-CN"/>
        </w:rPr>
        <w:t>及与生态保护红线位置关系图</w:t>
      </w:r>
      <w:bookmarkEnd w:id="44"/>
    </w:p>
    <w:p w14:paraId="072401C9">
      <w:pPr>
        <w:bidi w:val="0"/>
        <w:jc w:val="center"/>
        <w:rPr>
          <w:rFonts w:hint="default" w:ascii="Times New Roman" w:hAnsi="Times New Roman" w:cs="Times New Roman"/>
          <w:color w:val="auto"/>
        </w:rPr>
      </w:pPr>
    </w:p>
    <w:p w14:paraId="22A35749">
      <w:pPr>
        <w:bidi w:val="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drawing>
          <wp:inline distT="0" distB="0" distL="114300" distR="114300">
            <wp:extent cx="8521065" cy="4242435"/>
            <wp:effectExtent l="9525" t="9525" r="19050" b="15240"/>
            <wp:docPr id="54" name="图片 54" descr="e2c36325-9823-4a21-8726-e3f8fff464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e2c36325-9823-4a21-8726-e3f8fff4642e"/>
                    <pic:cNvPicPr>
                      <a:picLocks noChangeAspect="1"/>
                    </pic:cNvPicPr>
                  </pic:nvPicPr>
                  <pic:blipFill>
                    <a:blip r:embed="rId77"/>
                    <a:stretch>
                      <a:fillRect/>
                    </a:stretch>
                  </pic:blipFill>
                  <pic:spPr>
                    <a:xfrm>
                      <a:off x="0" y="0"/>
                      <a:ext cx="8521065" cy="4242435"/>
                    </a:xfrm>
                    <a:prstGeom prst="rect">
                      <a:avLst/>
                    </a:prstGeom>
                    <a:ln>
                      <a:solidFill>
                        <a:schemeClr val="tx1"/>
                      </a:solidFill>
                    </a:ln>
                  </pic:spPr>
                </pic:pic>
              </a:graphicData>
            </a:graphic>
          </wp:inline>
        </w:drawing>
      </w:r>
    </w:p>
    <w:p w14:paraId="30419EC7">
      <w:pPr>
        <w:bidi w:val="0"/>
        <w:jc w:val="center"/>
        <w:rPr>
          <w:rFonts w:hint="default" w:ascii="Times New Roman" w:hAnsi="Times New Roman" w:cs="Times New Roman"/>
          <w:color w:val="auto"/>
        </w:rPr>
      </w:pPr>
    </w:p>
    <w:p w14:paraId="3F6BA134">
      <w:pPr>
        <w:bidi w:val="0"/>
        <w:jc w:val="center"/>
        <w:rPr>
          <w:rFonts w:hint="default" w:ascii="Times New Roman" w:hAnsi="Times New Roman" w:cs="Times New Roman"/>
          <w:color w:val="auto"/>
          <w:highlight w:val="none"/>
          <w:lang w:val="en-US" w:eastAsia="zh-CN"/>
        </w:rPr>
      </w:pPr>
    </w:p>
    <w:p w14:paraId="36DC7ADD">
      <w:pPr>
        <w:bidi w:val="0"/>
        <w:jc w:val="center"/>
        <w:rPr>
          <w:rFonts w:hint="default" w:ascii="Times New Roman" w:hAnsi="Times New Roman" w:cs="Times New Roman"/>
          <w:color w:val="auto"/>
          <w:highlight w:val="none"/>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3453AE9D">
      <w:pPr>
        <w:ind w:firstLine="0" w:firstLineChars="0"/>
        <w:jc w:val="both"/>
        <w:outlineLvl w:val="0"/>
        <w:rPr>
          <w:rFonts w:hint="default" w:ascii="Times New Roman" w:hAnsi="Times New Roman" w:eastAsia="宋体" w:cs="Times New Roman"/>
          <w:b/>
          <w:bCs/>
          <w:color w:val="auto"/>
          <w:sz w:val="24"/>
          <w:szCs w:val="24"/>
          <w:highlight w:val="none"/>
          <w:lang w:val="en-US" w:eastAsia="zh-CN"/>
        </w:rPr>
      </w:pPr>
      <w:bookmarkStart w:id="45" w:name="_Toc3046"/>
      <w:r>
        <w:rPr>
          <w:rFonts w:hint="default" w:ascii="Times New Roman" w:hAnsi="Times New Roman" w:eastAsia="宋体" w:cs="Times New Roman"/>
          <w:b/>
          <w:bCs/>
          <w:color w:val="auto"/>
          <w:sz w:val="24"/>
          <w:szCs w:val="24"/>
          <w:highlight w:val="none"/>
        </w:rPr>
        <w:t>附</w:t>
      </w:r>
      <w:r>
        <w:rPr>
          <w:rFonts w:hint="default" w:ascii="Times New Roman" w:hAnsi="Times New Roman" w:eastAsia="宋体" w:cs="Times New Roman"/>
          <w:b/>
          <w:bCs/>
          <w:color w:val="auto"/>
          <w:sz w:val="24"/>
          <w:szCs w:val="24"/>
          <w:highlight w:val="none"/>
          <w:lang w:eastAsia="zh-CN"/>
        </w:rPr>
        <w:t>图</w:t>
      </w:r>
      <w:r>
        <w:rPr>
          <w:rFonts w:hint="default" w:ascii="Times New Roman" w:hAnsi="Times New Roman"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lang w:eastAsia="zh-CN"/>
        </w:rPr>
        <w:t>本项目</w:t>
      </w:r>
      <w:r>
        <w:rPr>
          <w:rFonts w:hint="default" w:ascii="Times New Roman" w:hAnsi="Times New Roman" w:eastAsia="宋体" w:cs="Times New Roman"/>
          <w:b/>
          <w:bCs/>
          <w:color w:val="auto"/>
          <w:sz w:val="24"/>
          <w:szCs w:val="24"/>
          <w:highlight w:val="none"/>
          <w:lang w:val="en-US" w:eastAsia="zh-CN"/>
        </w:rPr>
        <w:t>与</w:t>
      </w:r>
      <w:bookmarkEnd w:id="45"/>
      <w:r>
        <w:rPr>
          <w:rFonts w:hint="default" w:ascii="Times New Roman" w:hAnsi="Times New Roman" w:cs="Times New Roman"/>
          <w:b/>
          <w:bCs/>
          <w:color w:val="auto"/>
          <w:sz w:val="24"/>
          <w:szCs w:val="24"/>
          <w:highlight w:val="none"/>
          <w:lang w:val="en-US" w:eastAsia="zh-CN"/>
        </w:rPr>
        <w:t>三区三线</w:t>
      </w:r>
      <w:r>
        <w:rPr>
          <w:rFonts w:hint="default" w:ascii="Times New Roman" w:hAnsi="Times New Roman" w:eastAsia="宋体" w:cs="Times New Roman"/>
          <w:b/>
          <w:bCs/>
          <w:color w:val="auto"/>
          <w:sz w:val="24"/>
          <w:szCs w:val="24"/>
          <w:highlight w:val="none"/>
          <w:lang w:val="en-US" w:eastAsia="zh-CN"/>
        </w:rPr>
        <w:t>位置关系</w:t>
      </w:r>
      <w:r>
        <w:rPr>
          <w:rFonts w:hint="default" w:ascii="Times New Roman" w:hAnsi="Times New Roman" w:cs="Times New Roman"/>
          <w:b/>
          <w:bCs/>
          <w:color w:val="auto"/>
          <w:sz w:val="24"/>
          <w:szCs w:val="24"/>
          <w:highlight w:val="none"/>
          <w:lang w:val="en-US" w:eastAsia="zh-CN"/>
        </w:rPr>
        <w:t>图</w:t>
      </w:r>
    </w:p>
    <w:p w14:paraId="45F3BD14">
      <w:pPr>
        <w:bidi w:val="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sz w:val="18"/>
        </w:rPr>
        <mc:AlternateContent>
          <mc:Choice Requires="wps">
            <w:drawing>
              <wp:anchor distT="0" distB="0" distL="114300" distR="114300" simplePos="0" relativeHeight="251676672" behindDoc="0" locked="0" layoutInCell="1" allowOverlap="1">
                <wp:simplePos x="0" y="0"/>
                <wp:positionH relativeFrom="column">
                  <wp:posOffset>6035675</wp:posOffset>
                </wp:positionH>
                <wp:positionV relativeFrom="paragraph">
                  <wp:posOffset>3844925</wp:posOffset>
                </wp:positionV>
                <wp:extent cx="1007745" cy="264160"/>
                <wp:effectExtent l="4445" t="236220" r="481330" b="17780"/>
                <wp:wrapNone/>
                <wp:docPr id="46" name="矩形标注 46"/>
                <wp:cNvGraphicFramePr/>
                <a:graphic xmlns:a="http://schemas.openxmlformats.org/drawingml/2006/main">
                  <a:graphicData uri="http://schemas.microsoft.com/office/word/2010/wordprocessingShape">
                    <wps:wsp>
                      <wps:cNvSpPr/>
                      <wps:spPr>
                        <a:xfrm>
                          <a:off x="0" y="0"/>
                          <a:ext cx="1007745" cy="264160"/>
                        </a:xfrm>
                        <a:prstGeom prst="wedgeRectCallout">
                          <a:avLst>
                            <a:gd name="adj1" fmla="val 96754"/>
                            <a:gd name="adj2" fmla="val -137740"/>
                          </a:avLst>
                        </a:prstGeom>
                        <a:solidFill>
                          <a:schemeClr val="bg1"/>
                        </a:solidFill>
                        <a:ln w="63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83F4AA6">
                            <w:pPr>
                              <w:jc w:val="both"/>
                              <w:rPr>
                                <w:rFonts w:hint="default" w:eastAsia="宋体"/>
                                <w:b/>
                                <w:bCs/>
                                <w:color w:val="FF0000"/>
                                <w:lang w:val="en-US" w:eastAsia="zh-CN"/>
                              </w:rPr>
                            </w:pPr>
                            <w:r>
                              <w:rPr>
                                <w:rFonts w:hint="eastAsia" w:eastAsia="宋体"/>
                                <w:b/>
                                <w:bCs/>
                                <w:color w:val="FF0000"/>
                                <w:lang w:val="en-US" w:eastAsia="zh-CN"/>
                              </w:rPr>
                              <w:t>升压站所在地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75.25pt;margin-top:302.75pt;height:20.8pt;width:79.35pt;z-index:251676672;v-text-anchor:middle;mso-width-relative:page;mso-height-relative:page;" fillcolor="#FFFFFF [3212]" filled="t" stroked="t" coordsize="21600,21600" o:gfxdata="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CkOAIX2gAAAAwBAAAPAAAAAAAAAAEAIAAAACIAAABkcnMvZG93bnJldi54&#10;bWxQSwECFAAUAAAACACHTuJAz+nrT6MCAABOBQAADgAAAAAAAAABACAAAAApAQAAZHJzL2Uyb0Rv&#10;Yy54bWxQSwUGAAAAAAYABgBZAQAAPgYAAAAA&#10;" adj="31699,-18952">
                <v:fill on="t" focussize="0,0"/>
                <v:stroke weight="0.5pt" color="#FF0000 [2404]" joinstyle="round"/>
                <v:imagedata o:title=""/>
                <o:lock v:ext="edit" aspectratio="f"/>
                <v:textbox>
                  <w:txbxContent>
                    <w:p w14:paraId="383F4AA6">
                      <w:pPr>
                        <w:jc w:val="both"/>
                        <w:rPr>
                          <w:rFonts w:hint="default" w:eastAsia="宋体"/>
                          <w:b/>
                          <w:bCs/>
                          <w:color w:val="FF0000"/>
                          <w:lang w:val="en-US" w:eastAsia="zh-CN"/>
                        </w:rPr>
                      </w:pPr>
                      <w:r>
                        <w:rPr>
                          <w:rFonts w:hint="eastAsia" w:eastAsia="宋体"/>
                          <w:b/>
                          <w:bCs/>
                          <w:color w:val="FF0000"/>
                          <w:lang w:val="en-US" w:eastAsia="zh-CN"/>
                        </w:rPr>
                        <w:t>升压站所在地</w:t>
                      </w:r>
                    </w:p>
                  </w:txbxContent>
                </v:textbox>
              </v:shape>
            </w:pict>
          </mc:Fallback>
        </mc:AlternateContent>
      </w:r>
      <w:r>
        <w:rPr>
          <w:rFonts w:hint="default" w:ascii="Times New Roman" w:hAnsi="Times New Roman" w:eastAsia="宋体" w:cs="Times New Roman"/>
          <w:color w:val="auto"/>
          <w:highlight w:val="none"/>
          <w:lang w:eastAsia="zh-CN"/>
        </w:rPr>
        <w:drawing>
          <wp:inline distT="0" distB="0" distL="114300" distR="114300">
            <wp:extent cx="8529955" cy="5239385"/>
            <wp:effectExtent l="9525" t="9525" r="10160" b="24130"/>
            <wp:docPr id="55" name="图片 55" descr="009abdad-234b-4e3b-9aea-42ad6a0f8f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009abdad-234b-4e3b-9aea-42ad6a0f8f36"/>
                    <pic:cNvPicPr>
                      <a:picLocks noChangeAspect="1"/>
                    </pic:cNvPicPr>
                  </pic:nvPicPr>
                  <pic:blipFill>
                    <a:blip r:embed="rId78"/>
                    <a:stretch>
                      <a:fillRect/>
                    </a:stretch>
                  </pic:blipFill>
                  <pic:spPr>
                    <a:xfrm>
                      <a:off x="0" y="0"/>
                      <a:ext cx="8529955" cy="5239385"/>
                    </a:xfrm>
                    <a:prstGeom prst="rect">
                      <a:avLst/>
                    </a:prstGeom>
                    <a:ln>
                      <a:solidFill>
                        <a:schemeClr val="tx1"/>
                      </a:solidFill>
                    </a:ln>
                  </pic:spPr>
                </pic:pic>
              </a:graphicData>
            </a:graphic>
          </wp:inline>
        </w:drawing>
      </w:r>
    </w:p>
    <w:p w14:paraId="73D29596">
      <w:pPr>
        <w:bidi w:val="0"/>
        <w:jc w:val="center"/>
        <w:rPr>
          <w:rFonts w:hint="default" w:ascii="Times New Roman" w:hAnsi="Times New Roman" w:cs="Times New Roman"/>
          <w:color w:val="auto"/>
          <w:highlight w:val="none"/>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2348D762">
      <w:pPr>
        <w:ind w:firstLine="0" w:firstLineChars="0"/>
        <w:jc w:val="both"/>
        <w:outlineLvl w:val="0"/>
        <w:rPr>
          <w:rFonts w:hint="default" w:ascii="Times New Roman" w:hAnsi="Times New Roman" w:cs="Times New Roman"/>
          <w:color w:val="auto"/>
          <w:highlight w:val="none"/>
          <w:lang w:val="en-US"/>
        </w:rPr>
      </w:pPr>
      <w:r>
        <w:rPr>
          <w:rFonts w:hint="default" w:ascii="Times New Roman" w:hAnsi="Times New Roman" w:eastAsia="宋体" w:cs="Times New Roman"/>
          <w:b/>
          <w:bCs/>
          <w:color w:val="auto"/>
          <w:sz w:val="24"/>
          <w:szCs w:val="24"/>
          <w:highlight w:val="none"/>
        </w:rPr>
        <w:t>附</w:t>
      </w:r>
      <w:r>
        <w:rPr>
          <w:rFonts w:hint="default" w:ascii="Times New Roman" w:hAnsi="Times New Roman" w:eastAsia="宋体" w:cs="Times New Roman"/>
          <w:b/>
          <w:bCs/>
          <w:color w:val="auto"/>
          <w:sz w:val="24"/>
          <w:szCs w:val="24"/>
          <w:highlight w:val="none"/>
          <w:lang w:eastAsia="zh-CN"/>
        </w:rPr>
        <w:t>图</w:t>
      </w:r>
      <w:r>
        <w:rPr>
          <w:rFonts w:hint="default" w:ascii="Times New Roman" w:hAnsi="Times New Roman" w:eastAsia="宋体" w:cs="Times New Roman"/>
          <w:b/>
          <w:bCs/>
          <w:color w:val="auto"/>
          <w:sz w:val="24"/>
          <w:szCs w:val="24"/>
          <w:highlight w:val="none"/>
          <w:lang w:val="en-US" w:eastAsia="zh-CN"/>
        </w:rPr>
        <w:t xml:space="preserve">5 </w:t>
      </w:r>
      <w:r>
        <w:rPr>
          <w:rFonts w:hint="default" w:ascii="Times New Roman" w:hAnsi="Times New Roman" w:eastAsia="宋体" w:cs="Times New Roman"/>
          <w:b/>
          <w:bCs/>
          <w:color w:val="auto"/>
          <w:sz w:val="24"/>
          <w:szCs w:val="24"/>
          <w:highlight w:val="none"/>
          <w:lang w:eastAsia="zh-CN"/>
        </w:rPr>
        <w:t>本项目</w:t>
      </w:r>
      <w:r>
        <w:rPr>
          <w:rFonts w:hint="default" w:ascii="Times New Roman" w:hAnsi="Times New Roman" w:eastAsia="宋体" w:cs="Times New Roman"/>
          <w:b/>
          <w:bCs/>
          <w:color w:val="auto"/>
          <w:sz w:val="24"/>
          <w:szCs w:val="24"/>
          <w:highlight w:val="none"/>
          <w:lang w:val="en-US" w:eastAsia="zh-CN"/>
        </w:rPr>
        <w:t>与国土空间总体规划图位置关系</w:t>
      </w:r>
    </w:p>
    <w:p w14:paraId="7C12F7C7">
      <w:pPr>
        <w:bidi w:val="0"/>
        <w:jc w:val="center"/>
        <w:rPr>
          <w:rFonts w:hint="default" w:ascii="Times New Roman" w:hAnsi="Times New Roman" w:cs="Times New Roman"/>
          <w:color w:val="auto"/>
          <w:sz w:val="18"/>
        </w:rPr>
      </w:pPr>
      <w:r>
        <w:rPr>
          <w:rFonts w:hint="default" w:ascii="Times New Roman" w:hAnsi="Times New Roman" w:cs="Times New Roman"/>
          <w:color w:val="auto"/>
          <w:sz w:val="18"/>
        </w:rPr>
        <mc:AlternateContent>
          <mc:Choice Requires="wps">
            <w:drawing>
              <wp:anchor distT="0" distB="0" distL="114300" distR="114300" simplePos="0" relativeHeight="251675648" behindDoc="0" locked="0" layoutInCell="1" allowOverlap="1">
                <wp:simplePos x="0" y="0"/>
                <wp:positionH relativeFrom="column">
                  <wp:posOffset>5429885</wp:posOffset>
                </wp:positionH>
                <wp:positionV relativeFrom="paragraph">
                  <wp:posOffset>2537460</wp:posOffset>
                </wp:positionV>
                <wp:extent cx="1007745" cy="264160"/>
                <wp:effectExtent l="4445" t="270510" r="8890" b="13970"/>
                <wp:wrapNone/>
                <wp:docPr id="18" name="矩形标注 18"/>
                <wp:cNvGraphicFramePr/>
                <a:graphic xmlns:a="http://schemas.openxmlformats.org/drawingml/2006/main">
                  <a:graphicData uri="http://schemas.microsoft.com/office/word/2010/wordprocessingShape">
                    <wps:wsp>
                      <wps:cNvSpPr/>
                      <wps:spPr>
                        <a:xfrm>
                          <a:off x="0" y="0"/>
                          <a:ext cx="1007745" cy="264160"/>
                        </a:xfrm>
                        <a:prstGeom prst="wedgeRectCallout">
                          <a:avLst>
                            <a:gd name="adj1" fmla="val 535"/>
                            <a:gd name="adj2" fmla="val -150721"/>
                          </a:avLst>
                        </a:prstGeom>
                        <a:solidFill>
                          <a:schemeClr val="bg1"/>
                        </a:solidFill>
                        <a:ln w="63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9E58B4C">
                            <w:pPr>
                              <w:jc w:val="both"/>
                              <w:rPr>
                                <w:rFonts w:hint="default" w:eastAsia="宋体"/>
                                <w:b/>
                                <w:bCs/>
                                <w:color w:val="FF0000"/>
                                <w:lang w:val="en-US" w:eastAsia="zh-CN"/>
                              </w:rPr>
                            </w:pPr>
                            <w:r>
                              <w:rPr>
                                <w:rFonts w:hint="eastAsia" w:eastAsia="宋体"/>
                                <w:b/>
                                <w:bCs/>
                                <w:color w:val="FF0000"/>
                                <w:lang w:val="en-US" w:eastAsia="zh-CN"/>
                              </w:rPr>
                              <w:t>升压站所在地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27.55pt;margin-top:199.8pt;height:20.8pt;width:79.35pt;z-index:251675648;v-text-anchor:middle;mso-width-relative:page;mso-height-relative:page;" fillcolor="#FFFFFF [3212]" filled="t" stroked="t" coordsize="21600,21600" o:gfxdata="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CQyktTaAAAADAEAAA8AAAAAAAAAAQAgAAAAIgAAAGRycy9kb3ducmV2Lnht&#10;bFBLAQIUABQAAAAIAIdO4kAyBnNAogIAAEwFAAAOAAAAAAAAAAEAIAAAACkBAABkcnMvZTJvRG9j&#10;LnhtbFBLBQYAAAAABgAGAFkBAAA9BgAAAAA=&#10;" adj="10916,-21756">
                <v:fill on="t" focussize="0,0"/>
                <v:stroke weight="0.5pt" color="#FF0000 [2404]" joinstyle="round"/>
                <v:imagedata o:title=""/>
                <o:lock v:ext="edit" aspectratio="f"/>
                <v:textbox>
                  <w:txbxContent>
                    <w:p w14:paraId="59E58B4C">
                      <w:pPr>
                        <w:jc w:val="both"/>
                        <w:rPr>
                          <w:rFonts w:hint="default" w:eastAsia="宋体"/>
                          <w:b/>
                          <w:bCs/>
                          <w:color w:val="FF0000"/>
                          <w:lang w:val="en-US" w:eastAsia="zh-CN"/>
                        </w:rPr>
                      </w:pPr>
                      <w:r>
                        <w:rPr>
                          <w:rFonts w:hint="eastAsia" w:eastAsia="宋体"/>
                          <w:b/>
                          <w:bCs/>
                          <w:color w:val="FF0000"/>
                          <w:lang w:val="en-US" w:eastAsia="zh-CN"/>
                        </w:rPr>
                        <w:t>升压站所在地</w:t>
                      </w:r>
                    </w:p>
                  </w:txbxContent>
                </v:textbox>
              </v:shape>
            </w:pict>
          </mc:Fallback>
        </mc:AlternateContent>
      </w:r>
      <w:r>
        <w:rPr>
          <w:rFonts w:hint="default" w:ascii="Times New Roman" w:hAnsi="Times New Roman" w:cs="Times New Roman"/>
          <w:color w:val="auto"/>
          <w:sz w:val="18"/>
        </w:rPr>
        <w:drawing>
          <wp:inline distT="0" distB="0" distL="114300" distR="114300">
            <wp:extent cx="7391400" cy="5196840"/>
            <wp:effectExtent l="9525" t="9525" r="20955" b="20955"/>
            <wp:docPr id="56" name="图片 56" descr="177264b8-8887-4a85-9617-3fd8ef6d81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77264b8-8887-4a85-9617-3fd8ef6d81b9"/>
                    <pic:cNvPicPr>
                      <a:picLocks noChangeAspect="1"/>
                    </pic:cNvPicPr>
                  </pic:nvPicPr>
                  <pic:blipFill>
                    <a:blip r:embed="rId79"/>
                    <a:stretch>
                      <a:fillRect/>
                    </a:stretch>
                  </pic:blipFill>
                  <pic:spPr>
                    <a:xfrm>
                      <a:off x="0" y="0"/>
                      <a:ext cx="7391400" cy="5196840"/>
                    </a:xfrm>
                    <a:prstGeom prst="rect">
                      <a:avLst/>
                    </a:prstGeom>
                    <a:ln>
                      <a:solidFill>
                        <a:schemeClr val="tx1"/>
                      </a:solidFill>
                    </a:ln>
                  </pic:spPr>
                </pic:pic>
              </a:graphicData>
            </a:graphic>
          </wp:inline>
        </w:drawing>
      </w:r>
    </w:p>
    <w:p w14:paraId="368C184A">
      <w:pPr>
        <w:bidi w:val="0"/>
        <w:jc w:val="center"/>
        <w:rPr>
          <w:rFonts w:hint="default" w:ascii="Times New Roman" w:hAnsi="Times New Roman" w:cs="Times New Roman"/>
          <w:color w:val="auto"/>
          <w:highlight w:val="none"/>
        </w:rPr>
      </w:pPr>
      <w:r>
        <w:rPr>
          <w:rFonts w:hint="default" w:ascii="Times New Roman" w:hAnsi="Times New Roman" w:cs="Times New Roman"/>
          <w:color w:val="auto"/>
          <w:sz w:val="18"/>
        </w:rPr>
        <mc:AlternateContent>
          <mc:Choice Requires="wps">
            <w:drawing>
              <wp:anchor distT="0" distB="0" distL="114300" distR="114300" simplePos="0" relativeHeight="251662336" behindDoc="0" locked="0" layoutInCell="1" allowOverlap="1">
                <wp:simplePos x="0" y="0"/>
                <wp:positionH relativeFrom="column">
                  <wp:posOffset>2419985</wp:posOffset>
                </wp:positionH>
                <wp:positionV relativeFrom="paragraph">
                  <wp:posOffset>2897505</wp:posOffset>
                </wp:positionV>
                <wp:extent cx="1155065" cy="357505"/>
                <wp:effectExtent l="8255" t="4445" r="17780" b="609600"/>
                <wp:wrapNone/>
                <wp:docPr id="45" name="矩形标注 45"/>
                <wp:cNvGraphicFramePr/>
                <a:graphic xmlns:a="http://schemas.openxmlformats.org/drawingml/2006/main">
                  <a:graphicData uri="http://schemas.microsoft.com/office/word/2010/wordprocessingShape">
                    <wps:wsp>
                      <wps:cNvSpPr/>
                      <wps:spPr>
                        <a:xfrm>
                          <a:off x="0" y="0"/>
                          <a:ext cx="1155065" cy="357505"/>
                        </a:xfrm>
                        <a:prstGeom prst="wedgeRectCallout">
                          <a:avLst>
                            <a:gd name="adj1" fmla="val -50329"/>
                            <a:gd name="adj2" fmla="val 215541"/>
                          </a:avLst>
                        </a:prstGeom>
                        <a:noFill/>
                        <a:ln w="63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6C6CD6D">
                            <w:pPr>
                              <w:jc w:val="center"/>
                              <w:rPr>
                                <w:rFonts w:hint="default" w:eastAsia="宋体"/>
                                <w:b/>
                                <w:bCs/>
                                <w:color w:val="FF0000"/>
                                <w:lang w:val="en-US" w:eastAsia="zh-CN"/>
                              </w:rPr>
                            </w:pPr>
                            <w:r>
                              <w:rPr>
                                <w:rFonts w:hint="eastAsia" w:eastAsia="宋体"/>
                                <w:b/>
                                <w:bCs/>
                                <w:color w:val="FF0000"/>
                                <w:lang w:val="en-US" w:eastAsia="zh-CN"/>
                              </w:rPr>
                              <w:t>升压站所在地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90.55pt;margin-top:228.15pt;height:28.15pt;width:90.95pt;z-index:251662336;v-text-anchor:middle;mso-width-relative:page;mso-height-relative:page;" filled="f" stroked="t" coordsize="21600,21600" o:gfxdata="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Ddk4Hk1gAAAAsBAAAPAAAAAAAAAAEAIAAAACIAAABkcnMvZG93bnJldi54bWxQSwECFAAU&#10;AAAACACHTuJAyDzALZ4CAAAlBQAADgAAAAAAAAABACAAAAAlAQAAZHJzL2Uyb0RvYy54bWxQSwUG&#10;AAAAAAYABgBZAQAANQYAAAAA&#10;" adj="-71,57357">
                <v:fill on="f" focussize="0,0"/>
                <v:stroke weight="0.5pt" color="#FF0000 [2404]" joinstyle="round"/>
                <v:imagedata o:title=""/>
                <o:lock v:ext="edit" aspectratio="f"/>
                <v:textbox>
                  <w:txbxContent>
                    <w:p w14:paraId="56C6CD6D">
                      <w:pPr>
                        <w:jc w:val="center"/>
                        <w:rPr>
                          <w:rFonts w:hint="default" w:eastAsia="宋体"/>
                          <w:b/>
                          <w:bCs/>
                          <w:color w:val="FF0000"/>
                          <w:lang w:val="en-US" w:eastAsia="zh-CN"/>
                        </w:rPr>
                      </w:pPr>
                      <w:r>
                        <w:rPr>
                          <w:rFonts w:hint="eastAsia" w:eastAsia="宋体"/>
                          <w:b/>
                          <w:bCs/>
                          <w:color w:val="FF0000"/>
                          <w:lang w:val="en-US" w:eastAsia="zh-CN"/>
                        </w:rPr>
                        <w:t>升压站所在地</w:t>
                      </w:r>
                    </w:p>
                  </w:txbxContent>
                </v:textbox>
              </v:shape>
            </w:pict>
          </mc:Fallback>
        </mc:AlternateContent>
      </w:r>
    </w:p>
    <w:p w14:paraId="320E338C">
      <w:pPr>
        <w:ind w:firstLine="0" w:firstLineChars="0"/>
        <w:jc w:val="both"/>
        <w:outlineLvl w:val="0"/>
        <w:rPr>
          <w:rFonts w:hint="default" w:ascii="Times New Roman" w:hAnsi="Times New Roman" w:eastAsia="宋体" w:cs="Times New Roman"/>
          <w:b/>
          <w:bCs/>
          <w:color w:val="auto"/>
          <w:sz w:val="24"/>
          <w:szCs w:val="24"/>
          <w:highlight w:val="none"/>
          <w:lang w:eastAsia="zh-CN"/>
        </w:rPr>
      </w:pPr>
      <w:bookmarkStart w:id="46" w:name="_Toc5124"/>
      <w:r>
        <w:rPr>
          <w:rFonts w:hint="default" w:ascii="Times New Roman" w:hAnsi="Times New Roman" w:eastAsia="宋体" w:cs="Times New Roman"/>
          <w:b/>
          <w:bCs/>
          <w:color w:val="auto"/>
          <w:sz w:val="24"/>
          <w:szCs w:val="24"/>
          <w:highlight w:val="none"/>
        </w:rPr>
        <w:t>附</w:t>
      </w:r>
      <w:r>
        <w:rPr>
          <w:rFonts w:hint="default" w:ascii="Times New Roman" w:hAnsi="Times New Roman" w:eastAsia="宋体" w:cs="Times New Roman"/>
          <w:b/>
          <w:bCs/>
          <w:color w:val="auto"/>
          <w:sz w:val="24"/>
          <w:szCs w:val="24"/>
          <w:highlight w:val="none"/>
          <w:lang w:eastAsia="zh-CN"/>
        </w:rPr>
        <w:t>图</w:t>
      </w:r>
      <w:r>
        <w:rPr>
          <w:rFonts w:hint="default" w:ascii="Times New Roman" w:hAnsi="Times New Roman" w:eastAsia="宋体" w:cs="Times New Roman"/>
          <w:b/>
          <w:bCs/>
          <w:color w:val="auto"/>
          <w:sz w:val="24"/>
          <w:szCs w:val="24"/>
          <w:highlight w:val="none"/>
          <w:lang w:val="en-US" w:eastAsia="zh-CN"/>
        </w:rPr>
        <w:t xml:space="preserve">6 </w:t>
      </w:r>
      <w:r>
        <w:rPr>
          <w:rFonts w:hint="default" w:ascii="Times New Roman" w:hAnsi="Times New Roman" w:eastAsia="宋体" w:cs="Times New Roman"/>
          <w:b/>
          <w:bCs/>
          <w:color w:val="auto"/>
          <w:sz w:val="24"/>
          <w:szCs w:val="24"/>
          <w:highlight w:val="none"/>
          <w:lang w:eastAsia="zh-CN"/>
        </w:rPr>
        <w:t>本项目与内蒙古自治区主体功能区划相对位置关系图</w:t>
      </w:r>
      <w:bookmarkEnd w:id="46"/>
    </w:p>
    <w:p w14:paraId="69FB5489">
      <w:pPr>
        <w:pStyle w:val="99"/>
        <w:tabs>
          <w:tab w:val="left" w:pos="3689"/>
        </w:tabs>
        <w:spacing w:line="360" w:lineRule="auto"/>
        <w:ind w:left="0" w:leftChars="0" w:firstLine="0" w:firstLineChars="0"/>
        <w:jc w:val="center"/>
        <w:rPr>
          <w:rFonts w:hint="default" w:ascii="Times New Roman" w:hAnsi="Times New Roman" w:cs="Times New Roman" w:eastAsiaTheme="minorEastAsia"/>
          <w:snapToGrid/>
          <w:color w:val="auto"/>
          <w:sz w:val="21"/>
          <w:szCs w:val="21"/>
          <w:highlight w:val="none"/>
          <w:lang w:eastAsia="zh-CN" w:bidi="ar"/>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cs="Times New Roman"/>
          <w:color w:val="auto"/>
          <w:sz w:val="18"/>
        </w:rPr>
        <mc:AlternateContent>
          <mc:Choice Requires="wps">
            <w:drawing>
              <wp:anchor distT="0" distB="0" distL="114300" distR="114300" simplePos="0" relativeHeight="251667456" behindDoc="0" locked="0" layoutInCell="1" allowOverlap="1">
                <wp:simplePos x="0" y="0"/>
                <wp:positionH relativeFrom="column">
                  <wp:posOffset>2215515</wp:posOffset>
                </wp:positionH>
                <wp:positionV relativeFrom="paragraph">
                  <wp:posOffset>3649345</wp:posOffset>
                </wp:positionV>
                <wp:extent cx="90170" cy="90170"/>
                <wp:effectExtent l="12700" t="12700" r="19050" b="19050"/>
                <wp:wrapNone/>
                <wp:docPr id="59" name="五角星 59"/>
                <wp:cNvGraphicFramePr/>
                <a:graphic xmlns:a="http://schemas.openxmlformats.org/drawingml/2006/main">
                  <a:graphicData uri="http://schemas.microsoft.com/office/word/2010/wordprocessingShape">
                    <wps:wsp>
                      <wps:cNvSpPr/>
                      <wps:spPr>
                        <a:xfrm>
                          <a:off x="4328795" y="3716655"/>
                          <a:ext cx="90170" cy="90170"/>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74.45pt;margin-top:287.35pt;height:7.1pt;width:7.1pt;z-index:251667456;v-text-anchor:middle;mso-width-relative:page;mso-height-relative:page;" fillcolor="#FF0000" filled="t" stroked="t" coordsize="90170,90170" o:gfxdata="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&#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OeDS9fdAAAACwEAAA8AAAAAAAAAAQAgAAAAIgAAAGRy&#10;cy9kb3ducmV2LnhtbFBLAQIUABQAAAAIAIdO4kCwUd6xcgIAAOwEAAAOAAAAAAAAAAEAIAAAACwB&#10;AABkcnMvZTJvRG9jLnhtbFBLBQYAAAAABgAGAFkBAAAQBgAAAAA=&#10;" path="m0,34441l34442,34442,45085,0,55727,34442,90169,34441,62305,55727,72949,90169,45085,68883,17220,90169,27864,55727xe">
                <v:path o:connectlocs="45085,0;0,34441;17220,90169;72949,90169;90169,34441" o:connectangles="247,164,82,82,0"/>
                <v:fill on="t" focussize="0,0"/>
                <v:stroke weight="2pt" color="#FF0000 [2404]" joinstyle="round"/>
                <v:imagedata o:title=""/>
                <o:lock v:ext="edit" aspectratio="f"/>
              </v:shape>
            </w:pict>
          </mc:Fallback>
        </mc:AlternateContent>
      </w:r>
      <w:r>
        <w:rPr>
          <w:rFonts w:hint="default" w:ascii="Times New Roman" w:hAnsi="Times New Roman" w:cs="Times New Roman"/>
          <w:color w:val="auto"/>
          <w:sz w:val="18"/>
        </w:rPr>
        <mc:AlternateContent>
          <mc:Choice Requires="wps">
            <w:drawing>
              <wp:anchor distT="0" distB="0" distL="114300" distR="114300" simplePos="0" relativeHeight="251663360" behindDoc="0" locked="0" layoutInCell="1" allowOverlap="1">
                <wp:simplePos x="0" y="0"/>
                <wp:positionH relativeFrom="column">
                  <wp:posOffset>1472565</wp:posOffset>
                </wp:positionH>
                <wp:positionV relativeFrom="paragraph">
                  <wp:posOffset>4432935</wp:posOffset>
                </wp:positionV>
                <wp:extent cx="1155065" cy="357505"/>
                <wp:effectExtent l="4445" t="739140" r="13970" b="15875"/>
                <wp:wrapNone/>
                <wp:docPr id="51" name="矩形标注 51"/>
                <wp:cNvGraphicFramePr/>
                <a:graphic xmlns:a="http://schemas.openxmlformats.org/drawingml/2006/main">
                  <a:graphicData uri="http://schemas.microsoft.com/office/word/2010/wordprocessingShape">
                    <wps:wsp>
                      <wps:cNvSpPr/>
                      <wps:spPr>
                        <a:xfrm>
                          <a:off x="0" y="0"/>
                          <a:ext cx="1155065" cy="357505"/>
                        </a:xfrm>
                        <a:prstGeom prst="wedgeRectCallout">
                          <a:avLst>
                            <a:gd name="adj1" fmla="val 18279"/>
                            <a:gd name="adj2" fmla="val -255506"/>
                          </a:avLst>
                        </a:prstGeom>
                        <a:noFill/>
                        <a:ln w="63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6D8C10B">
                            <w:pPr>
                              <w:jc w:val="center"/>
                              <w:rPr>
                                <w:rFonts w:hint="default" w:eastAsia="宋体"/>
                                <w:b/>
                                <w:bCs/>
                                <w:color w:val="FF0000"/>
                                <w:lang w:val="en-US" w:eastAsia="zh-CN"/>
                              </w:rPr>
                            </w:pPr>
                            <w:r>
                              <w:rPr>
                                <w:rFonts w:hint="eastAsia" w:eastAsia="宋体"/>
                                <w:b/>
                                <w:bCs/>
                                <w:color w:val="FF0000"/>
                                <w:lang w:val="en-US" w:eastAsia="zh-CN"/>
                              </w:rPr>
                              <w:t>升压站所在地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15.95pt;margin-top:349.05pt;height:28.15pt;width:90.95pt;z-index:251663360;v-text-anchor:middle;mso-width-relative:page;mso-height-relative:page;" filled="f" stroked="t" coordsize="21600,21600" o:gfxdata="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TQEgJ2gAAAAsBAAAPAAAAAAAAAAEAIAAAACIAAABkcnMvZG93bnJldi54bWxQSwEC&#10;FAAUAAAACACHTuJAFke6Y50CAAAlBQAADgAAAAAAAAABACAAAAApAQAAZHJzL2Uyb0RvYy54bWxQ&#10;SwUGAAAAAAYABgBZAQAAOAYAAAAA&#10;" adj="14748,-44389">
                <v:fill on="f" focussize="0,0"/>
                <v:stroke weight="0.5pt" color="#FF0000 [2404]" joinstyle="round"/>
                <v:imagedata o:title=""/>
                <o:lock v:ext="edit" aspectratio="f"/>
                <v:textbox>
                  <w:txbxContent>
                    <w:p w14:paraId="56D8C10B">
                      <w:pPr>
                        <w:jc w:val="center"/>
                        <w:rPr>
                          <w:rFonts w:hint="default" w:eastAsia="宋体"/>
                          <w:b/>
                          <w:bCs/>
                          <w:color w:val="FF0000"/>
                          <w:lang w:val="en-US" w:eastAsia="zh-CN"/>
                        </w:rPr>
                      </w:pPr>
                      <w:r>
                        <w:rPr>
                          <w:rFonts w:hint="eastAsia" w:eastAsia="宋体"/>
                          <w:b/>
                          <w:bCs/>
                          <w:color w:val="FF0000"/>
                          <w:lang w:val="en-US" w:eastAsia="zh-CN"/>
                        </w:rPr>
                        <w:t>升压站所在地</w:t>
                      </w:r>
                    </w:p>
                  </w:txbxContent>
                </v:textbox>
              </v:shape>
            </w:pict>
          </mc:Fallback>
        </mc:AlternateContent>
      </w:r>
      <w:r>
        <w:rPr>
          <w:rFonts w:hint="default" w:ascii="Times New Roman" w:hAnsi="Times New Roman" w:cs="Times New Roman"/>
          <w:color w:val="auto"/>
        </w:rPr>
        <w:drawing>
          <wp:inline distT="0" distB="0" distL="114300" distR="114300">
            <wp:extent cx="6913880" cy="5342890"/>
            <wp:effectExtent l="0" t="0" r="5080" b="6350"/>
            <wp:docPr id="5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8"/>
                    <pic:cNvPicPr>
                      <a:picLocks noChangeAspect="1"/>
                    </pic:cNvPicPr>
                  </pic:nvPicPr>
                  <pic:blipFill>
                    <a:blip r:embed="rId80"/>
                    <a:stretch>
                      <a:fillRect/>
                    </a:stretch>
                  </pic:blipFill>
                  <pic:spPr>
                    <a:xfrm>
                      <a:off x="0" y="0"/>
                      <a:ext cx="6913880" cy="5342890"/>
                    </a:xfrm>
                    <a:prstGeom prst="rect">
                      <a:avLst/>
                    </a:prstGeom>
                    <a:noFill/>
                    <a:ln>
                      <a:noFill/>
                    </a:ln>
                  </pic:spPr>
                </pic:pic>
              </a:graphicData>
            </a:graphic>
          </wp:inline>
        </w:drawing>
      </w:r>
    </w:p>
    <w:p w14:paraId="4A0D8057">
      <w:pPr>
        <w:ind w:firstLine="0" w:firstLineChars="0"/>
        <w:jc w:val="both"/>
        <w:outlineLvl w:val="0"/>
        <w:rPr>
          <w:rFonts w:hint="default" w:ascii="Times New Roman" w:hAnsi="Times New Roman" w:cs="Times New Roman" w:eastAsiaTheme="minorEastAsia"/>
          <w:snapToGrid/>
          <w:color w:val="auto"/>
          <w:sz w:val="21"/>
          <w:szCs w:val="21"/>
          <w:highlight w:val="none"/>
          <w:lang w:eastAsia="zh-CN" w:bidi="ar"/>
        </w:rPr>
      </w:pPr>
      <w:bookmarkStart w:id="47" w:name="_Toc21048"/>
      <w:r>
        <w:rPr>
          <w:rFonts w:hint="default" w:ascii="Times New Roman" w:hAnsi="Times New Roman" w:eastAsia="宋体" w:cs="Times New Roman"/>
          <w:b/>
          <w:bCs/>
          <w:color w:val="auto"/>
          <w:sz w:val="24"/>
          <w:szCs w:val="24"/>
          <w:highlight w:val="none"/>
        </w:rPr>
        <w:t>附</w:t>
      </w:r>
      <w:r>
        <w:rPr>
          <w:rFonts w:hint="default" w:ascii="Times New Roman" w:hAnsi="Times New Roman" w:eastAsia="宋体" w:cs="Times New Roman"/>
          <w:b/>
          <w:bCs/>
          <w:color w:val="auto"/>
          <w:sz w:val="24"/>
          <w:szCs w:val="24"/>
          <w:highlight w:val="none"/>
          <w:lang w:eastAsia="zh-CN"/>
        </w:rPr>
        <w:t>图</w:t>
      </w:r>
      <w:r>
        <w:rPr>
          <w:rFonts w:hint="default" w:ascii="Times New Roman" w:hAnsi="Times New Roman" w:eastAsia="宋体" w:cs="Times New Roman"/>
          <w:b/>
          <w:bCs/>
          <w:color w:val="auto"/>
          <w:sz w:val="24"/>
          <w:szCs w:val="24"/>
          <w:highlight w:val="none"/>
          <w:lang w:val="en-US" w:eastAsia="zh-CN"/>
        </w:rPr>
        <w:t xml:space="preserve">7 </w:t>
      </w:r>
      <w:r>
        <w:rPr>
          <w:rFonts w:hint="default" w:ascii="Times New Roman" w:hAnsi="Times New Roman" w:eastAsia="宋体" w:cs="Times New Roman"/>
          <w:b/>
          <w:bCs/>
          <w:color w:val="auto"/>
          <w:sz w:val="24"/>
          <w:szCs w:val="24"/>
          <w:highlight w:val="none"/>
          <w:lang w:eastAsia="zh-CN"/>
        </w:rPr>
        <w:t>本项目与内蒙古自治区</w:t>
      </w:r>
      <w:r>
        <w:rPr>
          <w:rFonts w:hint="default" w:ascii="Times New Roman" w:hAnsi="Times New Roman" w:eastAsia="宋体" w:cs="Times New Roman"/>
          <w:b/>
          <w:bCs/>
          <w:color w:val="auto"/>
          <w:sz w:val="24"/>
          <w:szCs w:val="24"/>
          <w:highlight w:val="none"/>
          <w:lang w:val="en-US" w:eastAsia="zh-CN"/>
        </w:rPr>
        <w:t>生态</w:t>
      </w:r>
      <w:r>
        <w:rPr>
          <w:rFonts w:hint="default" w:ascii="Times New Roman" w:hAnsi="Times New Roman" w:eastAsia="宋体" w:cs="Times New Roman"/>
          <w:b/>
          <w:bCs/>
          <w:color w:val="auto"/>
          <w:sz w:val="24"/>
          <w:szCs w:val="24"/>
          <w:highlight w:val="none"/>
          <w:lang w:eastAsia="zh-CN"/>
        </w:rPr>
        <w:t>功能区划相对位置关系图</w:t>
      </w:r>
      <w:bookmarkEnd w:id="47"/>
    </w:p>
    <w:p w14:paraId="53C1B4D0">
      <w:pPr>
        <w:pStyle w:val="99"/>
        <w:tabs>
          <w:tab w:val="left" w:pos="3689"/>
        </w:tabs>
        <w:spacing w:line="360" w:lineRule="auto"/>
        <w:ind w:left="0" w:leftChars="0" w:firstLine="0" w:firstLineChars="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sz w:val="18"/>
        </w:rPr>
        <mc:AlternateContent>
          <mc:Choice Requires="wps">
            <w:drawing>
              <wp:anchor distT="0" distB="0" distL="114300" distR="114300" simplePos="0" relativeHeight="251664384" behindDoc="0" locked="0" layoutInCell="1" allowOverlap="1">
                <wp:simplePos x="0" y="0"/>
                <wp:positionH relativeFrom="column">
                  <wp:posOffset>1957070</wp:posOffset>
                </wp:positionH>
                <wp:positionV relativeFrom="paragraph">
                  <wp:posOffset>4333875</wp:posOffset>
                </wp:positionV>
                <wp:extent cx="1155065" cy="357505"/>
                <wp:effectExtent l="4445" t="377190" r="13970" b="12065"/>
                <wp:wrapNone/>
                <wp:docPr id="53" name="矩形标注 53"/>
                <wp:cNvGraphicFramePr/>
                <a:graphic xmlns:a="http://schemas.openxmlformats.org/drawingml/2006/main">
                  <a:graphicData uri="http://schemas.microsoft.com/office/word/2010/wordprocessingShape">
                    <wps:wsp>
                      <wps:cNvSpPr/>
                      <wps:spPr>
                        <a:xfrm>
                          <a:off x="0" y="0"/>
                          <a:ext cx="1155065" cy="357505"/>
                        </a:xfrm>
                        <a:prstGeom prst="wedgeRectCallout">
                          <a:avLst>
                            <a:gd name="adj1" fmla="val -13386"/>
                            <a:gd name="adj2" fmla="val -154262"/>
                          </a:avLst>
                        </a:prstGeom>
                        <a:noFill/>
                        <a:ln w="63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0C8473D">
                            <w:pPr>
                              <w:jc w:val="center"/>
                              <w:rPr>
                                <w:rFonts w:hint="default" w:eastAsia="宋体"/>
                                <w:b/>
                                <w:bCs/>
                                <w:color w:val="FF0000"/>
                                <w:lang w:val="en-US" w:eastAsia="zh-CN"/>
                              </w:rPr>
                            </w:pPr>
                            <w:r>
                              <w:rPr>
                                <w:rFonts w:hint="eastAsia" w:eastAsia="宋体"/>
                                <w:b/>
                                <w:bCs/>
                                <w:color w:val="FF0000"/>
                                <w:lang w:val="en-US" w:eastAsia="zh-CN"/>
                              </w:rPr>
                              <w:t>升压站所在地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54.1pt;margin-top:341.25pt;height:28.15pt;width:90.95pt;z-index:251664384;v-text-anchor:middle;mso-width-relative:page;mso-height-relative:page;" filled="f" stroked="t" coordsize="21600,21600" o:gfxdata="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DEzgLrYAAAACwEAAA8AAAAAAAAAAQAgAAAAIgAAAGRycy9kb3ducmV2LnhtbFBLAQIU&#10;ABQAAAAIAIdO4kCaujiGngIAACYFAAAOAAAAAAAAAAEAIAAAACcBAABkcnMvZTJvRG9jLnhtbFBL&#10;BQYAAAAABgAGAFkBAAA3BgAAAAA=&#10;" adj="7909,-22521">
                <v:fill on="f" focussize="0,0"/>
                <v:stroke weight="0.5pt" color="#FF0000 [2404]" joinstyle="round"/>
                <v:imagedata o:title=""/>
                <o:lock v:ext="edit" aspectratio="f"/>
                <v:textbox>
                  <w:txbxContent>
                    <w:p w14:paraId="10C8473D">
                      <w:pPr>
                        <w:jc w:val="center"/>
                        <w:rPr>
                          <w:rFonts w:hint="default" w:eastAsia="宋体"/>
                          <w:b/>
                          <w:bCs/>
                          <w:color w:val="FF0000"/>
                          <w:lang w:val="en-US" w:eastAsia="zh-CN"/>
                        </w:rPr>
                      </w:pPr>
                      <w:r>
                        <w:rPr>
                          <w:rFonts w:hint="eastAsia" w:eastAsia="宋体"/>
                          <w:b/>
                          <w:bCs/>
                          <w:color w:val="FF0000"/>
                          <w:lang w:val="en-US" w:eastAsia="zh-CN"/>
                        </w:rPr>
                        <w:t>升压站所在地</w:t>
                      </w:r>
                    </w:p>
                  </w:txbxContent>
                </v:textbox>
              </v:shape>
            </w:pict>
          </mc:Fallback>
        </mc:AlternateContent>
      </w:r>
      <w:r>
        <w:rPr>
          <w:rFonts w:hint="default" w:ascii="Times New Roman" w:hAnsi="Times New Roman" w:cs="Times New Roman"/>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2346960</wp:posOffset>
                </wp:positionH>
                <wp:positionV relativeFrom="paragraph">
                  <wp:posOffset>3833495</wp:posOffset>
                </wp:positionV>
                <wp:extent cx="116840" cy="93980"/>
                <wp:effectExtent l="12700" t="12700" r="22860" b="15240"/>
                <wp:wrapNone/>
                <wp:docPr id="173" name="五角星 173"/>
                <wp:cNvGraphicFramePr/>
                <a:graphic xmlns:a="http://schemas.openxmlformats.org/drawingml/2006/main">
                  <a:graphicData uri="http://schemas.microsoft.com/office/word/2010/wordprocessingShape">
                    <wps:wsp>
                      <wps:cNvSpPr/>
                      <wps:spPr>
                        <a:xfrm>
                          <a:off x="5481955" y="5529580"/>
                          <a:ext cx="116840" cy="93980"/>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84.8pt;margin-top:301.85pt;height:7.4pt;width:9.2pt;z-index:251661312;v-text-anchor:middle;mso-width-relative:page;mso-height-relative:page;" fillcolor="#FF0000" filled="t" stroked="t" coordsize="116840,93980" o:gfxdata="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UdrIKdoAAAALAQAADwAAAAAAAAABACAAAAAiAAAAZHJz&#10;L2Rvd25yZXYueG1sUEsBAhQAFAAAAAgAh07iQCBJ6Hd0AgAA7wQAAA4AAAAAAAAAAQAgAAAAKQEA&#10;AGRycy9lMm9Eb2MueG1sUEsFBgAAAAAGAAYAWQEAAA8GAAAAAA==&#10;" path="m0,35897l44629,35897,58420,0,72210,35897,116839,35897,80734,58082,94525,93979,58420,71793,22314,93979,36105,58082xe">
                <v:path o:connectlocs="58420,0;0,35897;22314,93979;94525,93979;116839,35897" o:connectangles="247,164,82,82,0"/>
                <v:fill on="t" focussize="0,0"/>
                <v:stroke weight="2pt" color="#FF0000 [2404]" joinstyle="round"/>
                <v:imagedata o:title=""/>
                <o:lock v:ext="edit" aspectratio="f"/>
              </v:shape>
            </w:pict>
          </mc:Fallback>
        </mc:AlternateContent>
      </w:r>
      <w:r>
        <w:rPr>
          <w:rFonts w:hint="default" w:ascii="Times New Roman" w:hAnsi="Times New Roman" w:cs="Times New Roman" w:eastAsiaTheme="minorEastAsia"/>
          <w:b/>
          <w:snapToGrid/>
          <w:color w:val="auto"/>
          <w:highlight w:val="none"/>
        </w:rPr>
        <w:drawing>
          <wp:inline distT="0" distB="0" distL="114300" distR="114300">
            <wp:extent cx="6383655" cy="5383530"/>
            <wp:effectExtent l="0" t="0" r="17145" b="7620"/>
            <wp:docPr id="170" name="图片 2" descr="图片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2" descr="图片1400"/>
                    <pic:cNvPicPr>
                      <a:picLocks noChangeAspect="1"/>
                    </pic:cNvPicPr>
                  </pic:nvPicPr>
                  <pic:blipFill>
                    <a:blip r:embed="rId81"/>
                    <a:stretch>
                      <a:fillRect/>
                    </a:stretch>
                  </pic:blipFill>
                  <pic:spPr>
                    <a:xfrm>
                      <a:off x="0" y="0"/>
                      <a:ext cx="6383655" cy="5383530"/>
                    </a:xfrm>
                    <a:prstGeom prst="rect">
                      <a:avLst/>
                    </a:prstGeom>
                    <a:noFill/>
                    <a:ln>
                      <a:noFill/>
                    </a:ln>
                  </pic:spPr>
                </pic:pic>
              </a:graphicData>
            </a:graphic>
          </wp:inline>
        </w:drawing>
      </w:r>
    </w:p>
    <w:p w14:paraId="41B45A8A">
      <w:pPr>
        <w:pStyle w:val="99"/>
        <w:tabs>
          <w:tab w:val="left" w:pos="3689"/>
        </w:tabs>
        <w:spacing w:line="360" w:lineRule="auto"/>
        <w:ind w:left="0" w:leftChars="0" w:firstLine="0" w:firstLineChars="0"/>
        <w:jc w:val="center"/>
        <w:rPr>
          <w:rFonts w:hint="default" w:ascii="Times New Roman" w:hAnsi="Times New Roman" w:cs="Times New Roman"/>
          <w:color w:val="auto"/>
          <w:highlight w:val="none"/>
          <w:lang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413B76C3">
      <w:pPr>
        <w:ind w:firstLine="0" w:firstLineChars="0"/>
        <w:jc w:val="both"/>
        <w:outlineLvl w:val="0"/>
        <w:rPr>
          <w:rFonts w:hint="default" w:ascii="Times New Roman" w:hAnsi="Times New Roman" w:eastAsia="宋体" w:cs="Times New Roman"/>
          <w:b/>
          <w:bCs/>
          <w:color w:val="auto"/>
          <w:sz w:val="24"/>
          <w:szCs w:val="24"/>
          <w:highlight w:val="none"/>
          <w:lang w:val="en-US" w:eastAsia="zh-CN"/>
        </w:rPr>
      </w:pPr>
      <w:bookmarkStart w:id="48" w:name="_Toc10082"/>
      <w:r>
        <w:rPr>
          <w:rFonts w:hint="eastAsia" w:ascii="Times New Roman" w:hAnsi="Times New Roman" w:eastAsia="宋体" w:cs="Times New Roman"/>
          <w:b/>
          <w:bCs/>
          <w:color w:val="auto"/>
          <w:sz w:val="24"/>
          <w:szCs w:val="24"/>
          <w:highlight w:val="none"/>
          <w:lang w:val="en-US" w:eastAsia="zh-CN"/>
        </w:rPr>
        <w:t>附图8 升压站周边评价范围图及遥感影像图</w:t>
      </w:r>
    </w:p>
    <w:p w14:paraId="7AD09A0E">
      <w:pPr>
        <w:ind w:firstLine="0" w:firstLineChars="0"/>
        <w:jc w:val="center"/>
        <w:outlineLvl w:val="0"/>
        <w:rPr>
          <w:rFonts w:hint="eastAsia"/>
          <w:lang w:val="en-US" w:eastAsia="zh-CN"/>
        </w:rPr>
        <w:sectPr>
          <w:headerReference r:id="rId10" w:type="default"/>
          <w:footerReference r:id="rId11"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sz w:val="24"/>
        </w:rPr>
        <mc:AlternateContent>
          <mc:Choice Requires="wps">
            <w:drawing>
              <wp:anchor distT="0" distB="0" distL="114300" distR="114300" simplePos="0" relativeHeight="251672576" behindDoc="0" locked="0" layoutInCell="1" allowOverlap="1">
                <wp:simplePos x="0" y="0"/>
                <wp:positionH relativeFrom="column">
                  <wp:posOffset>3823970</wp:posOffset>
                </wp:positionH>
                <wp:positionV relativeFrom="paragraph">
                  <wp:posOffset>3994785</wp:posOffset>
                </wp:positionV>
                <wp:extent cx="1097280" cy="304800"/>
                <wp:effectExtent l="12700" t="411480" r="17780" b="15240"/>
                <wp:wrapNone/>
                <wp:docPr id="38" name="矩形标注 38"/>
                <wp:cNvGraphicFramePr/>
                <a:graphic xmlns:a="http://schemas.openxmlformats.org/drawingml/2006/main">
                  <a:graphicData uri="http://schemas.microsoft.com/office/word/2010/wordprocessingShape">
                    <wps:wsp>
                      <wps:cNvSpPr/>
                      <wps:spPr>
                        <a:xfrm>
                          <a:off x="4609465" y="5103495"/>
                          <a:ext cx="1097280" cy="304800"/>
                        </a:xfrm>
                        <a:prstGeom prst="wedgeRectCallout">
                          <a:avLst>
                            <a:gd name="adj1" fmla="val -16203"/>
                            <a:gd name="adj2" fmla="val -180833"/>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D69CD3F">
                            <w:pPr>
                              <w:jc w:val="both"/>
                              <w:rPr>
                                <w:rFonts w:hint="default" w:eastAsia="宋体"/>
                                <w:color w:val="FF0000"/>
                                <w:lang w:val="en-US" w:eastAsia="zh-CN"/>
                              </w:rPr>
                            </w:pPr>
                            <w:r>
                              <w:rPr>
                                <w:rFonts w:hint="eastAsia"/>
                                <w:color w:val="FF0000"/>
                                <w:lang w:val="en-US" w:eastAsia="zh-CN"/>
                              </w:rPr>
                              <w:t>生态评价范围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01.1pt;margin-top:314.55pt;height:24pt;width:86.4pt;z-index:251672576;v-text-anchor:middle;mso-width-relative:page;mso-height-relative:page;" filled="f" stroked="t" coordsize="21600,21600" o:gfxdata="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XixzatoAAAALAQAADwAAAAAAAAABACAAAAAiAAAAZHJz&#10;L2Rvd25yZXYueG1sUEsBAhQAFAAAAAgAh07iQDmjSkStAgAAMwUAAA4AAAAAAAAAAQAgAAAAKQEA&#10;AGRycy9lMm9Eb2MueG1sUEsFBgAAAAAGAAYAWQEAAEgGAAAAAA==&#10;" adj="7300,-28260">
                <v:fill on="f" focussize="0,0"/>
                <v:stroke weight="2pt" color="#FF0000 [2404]" joinstyle="round"/>
                <v:imagedata o:title=""/>
                <o:lock v:ext="edit" aspectratio="f"/>
                <v:textbox>
                  <w:txbxContent>
                    <w:p w14:paraId="5D69CD3F">
                      <w:pPr>
                        <w:jc w:val="both"/>
                        <w:rPr>
                          <w:rFonts w:hint="default" w:eastAsia="宋体"/>
                          <w:color w:val="FF0000"/>
                          <w:lang w:val="en-US" w:eastAsia="zh-CN"/>
                        </w:rPr>
                      </w:pPr>
                      <w:r>
                        <w:rPr>
                          <w:rFonts w:hint="eastAsia"/>
                          <w:color w:val="FF0000"/>
                          <w:lang w:val="en-US" w:eastAsia="zh-CN"/>
                        </w:rPr>
                        <w:t>生态评价范围</w:t>
                      </w:r>
                    </w:p>
                  </w:txbxContent>
                </v:textbox>
              </v:shape>
            </w:pict>
          </mc:Fallback>
        </mc:AlternateContent>
      </w:r>
      <w:r>
        <w:rPr>
          <w:sz w:val="24"/>
        </w:rPr>
        <mc:AlternateContent>
          <mc:Choice Requires="wps">
            <w:drawing>
              <wp:anchor distT="0" distB="0" distL="114300" distR="114300" simplePos="0" relativeHeight="251674624" behindDoc="0" locked="0" layoutInCell="1" allowOverlap="1">
                <wp:simplePos x="0" y="0"/>
                <wp:positionH relativeFrom="column">
                  <wp:posOffset>5124450</wp:posOffset>
                </wp:positionH>
                <wp:positionV relativeFrom="paragraph">
                  <wp:posOffset>3161665</wp:posOffset>
                </wp:positionV>
                <wp:extent cx="1097280" cy="304800"/>
                <wp:effectExtent l="749300" t="208280" r="12700" b="20320"/>
                <wp:wrapNone/>
                <wp:docPr id="43" name="矩形标注 43"/>
                <wp:cNvGraphicFramePr/>
                <a:graphic xmlns:a="http://schemas.openxmlformats.org/drawingml/2006/main">
                  <a:graphicData uri="http://schemas.microsoft.com/office/word/2010/wordprocessingShape">
                    <wps:wsp>
                      <wps:cNvSpPr/>
                      <wps:spPr>
                        <a:xfrm>
                          <a:off x="0" y="0"/>
                          <a:ext cx="1097280" cy="304800"/>
                        </a:xfrm>
                        <a:prstGeom prst="wedgeRectCallout">
                          <a:avLst>
                            <a:gd name="adj1" fmla="val -117129"/>
                            <a:gd name="adj2" fmla="val -114166"/>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819B3D3">
                            <w:pPr>
                              <w:jc w:val="both"/>
                              <w:rPr>
                                <w:rFonts w:hint="default" w:eastAsia="宋体"/>
                                <w:color w:val="FF0000"/>
                                <w:lang w:val="en-US" w:eastAsia="zh-CN"/>
                              </w:rPr>
                            </w:pPr>
                            <w:r>
                              <w:rPr>
                                <w:rFonts w:hint="eastAsia"/>
                                <w:color w:val="FF0000"/>
                                <w:lang w:val="en-US" w:eastAsia="zh-CN"/>
                              </w:rPr>
                              <w:t>电磁评价范围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03.5pt;margin-top:248.95pt;height:24pt;width:86.4pt;z-index:251674624;v-text-anchor:middle;mso-width-relative:page;mso-height-relative:page;" filled="f" stroked="t" coordsize="21600,21600" o:gfxdata="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DIw68i2QAAAAsBAAAPAAAAAAAAAAEAIAAAACIAAABkcnMvZG93bnJldi54bWxQSwEC&#10;FAAUAAAACACHTuJA1ZO7y54CAAAoBQAADgAAAAAAAAABACAAAAAoAQAAZHJzL2Uyb0RvYy54bWxQ&#10;SwUGAAAAAAYABgBZAQAAOAYAAAAA&#10;" adj="-14500,-13860">
                <v:fill on="f" focussize="0,0"/>
                <v:stroke weight="2pt" color="#FF0000 [2404]" joinstyle="round"/>
                <v:imagedata o:title=""/>
                <o:lock v:ext="edit" aspectratio="f"/>
                <v:textbox>
                  <w:txbxContent>
                    <w:p w14:paraId="0819B3D3">
                      <w:pPr>
                        <w:jc w:val="both"/>
                        <w:rPr>
                          <w:rFonts w:hint="default" w:eastAsia="宋体"/>
                          <w:color w:val="FF0000"/>
                          <w:lang w:val="en-US" w:eastAsia="zh-CN"/>
                        </w:rPr>
                      </w:pPr>
                      <w:r>
                        <w:rPr>
                          <w:rFonts w:hint="eastAsia"/>
                          <w:color w:val="FF0000"/>
                          <w:lang w:val="en-US" w:eastAsia="zh-CN"/>
                        </w:rPr>
                        <w:t>电磁评价范围</w:t>
                      </w:r>
                    </w:p>
                  </w:txbxContent>
                </v:textbox>
              </v:shape>
            </w:pict>
          </mc:Fallback>
        </mc:AlternateContent>
      </w:r>
      <w:r>
        <w:rPr>
          <w:sz w:val="24"/>
        </w:rPr>
        <mc:AlternateContent>
          <mc:Choice Requires="wps">
            <w:drawing>
              <wp:anchor distT="0" distB="0" distL="114300" distR="114300" simplePos="0" relativeHeight="251673600" behindDoc="0" locked="0" layoutInCell="1" allowOverlap="1">
                <wp:simplePos x="0" y="0"/>
                <wp:positionH relativeFrom="column">
                  <wp:posOffset>1893570</wp:posOffset>
                </wp:positionH>
                <wp:positionV relativeFrom="paragraph">
                  <wp:posOffset>2958465</wp:posOffset>
                </wp:positionV>
                <wp:extent cx="1097280" cy="304800"/>
                <wp:effectExtent l="12700" t="86360" r="993140" b="20320"/>
                <wp:wrapNone/>
                <wp:docPr id="39" name="矩形标注 39"/>
                <wp:cNvGraphicFramePr/>
                <a:graphic xmlns:a="http://schemas.openxmlformats.org/drawingml/2006/main">
                  <a:graphicData uri="http://schemas.microsoft.com/office/word/2010/wordprocessingShape">
                    <wps:wsp>
                      <wps:cNvSpPr/>
                      <wps:spPr>
                        <a:xfrm>
                          <a:off x="0" y="0"/>
                          <a:ext cx="1097280" cy="304800"/>
                        </a:xfrm>
                        <a:prstGeom prst="wedgeRectCallout">
                          <a:avLst>
                            <a:gd name="adj1" fmla="val 138425"/>
                            <a:gd name="adj2" fmla="val -74166"/>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A42C408">
                            <w:pPr>
                              <w:jc w:val="both"/>
                              <w:rPr>
                                <w:rFonts w:hint="default" w:eastAsia="宋体"/>
                                <w:color w:val="FF0000"/>
                                <w:lang w:val="en-US" w:eastAsia="zh-CN"/>
                              </w:rPr>
                            </w:pPr>
                            <w:r>
                              <w:rPr>
                                <w:rFonts w:hint="eastAsia"/>
                                <w:color w:val="FF0000"/>
                                <w:lang w:val="en-US" w:eastAsia="zh-CN"/>
                              </w:rPr>
                              <w:t>噪声评价范围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49.1pt;margin-top:232.95pt;height:24pt;width:86.4pt;z-index:251673600;v-text-anchor:middle;mso-width-relative:page;mso-height-relative:page;" filled="f" stroked="t" coordsize="21600,21600" o:gfxdata="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DuvMJH2gAAAAsBAAAPAAAAAAAAAAEAIAAAACIAAABkcnMvZG93bnJldi54bWxQ&#10;SwECFAAUAAAACACHTuJAa1/uoqACAAAmBQAADgAAAAAAAAABACAAAAApAQAAZHJzL2Uyb0RvYy54&#10;bWxQSwUGAAAAAAYABgBZAQAAOwYAAAAA&#10;" adj="40700,-5220">
                <v:fill on="f" focussize="0,0"/>
                <v:stroke weight="2pt" color="#FF0000 [2404]" joinstyle="round"/>
                <v:imagedata o:title=""/>
                <o:lock v:ext="edit" aspectratio="f"/>
                <v:textbox>
                  <w:txbxContent>
                    <w:p w14:paraId="6A42C408">
                      <w:pPr>
                        <w:jc w:val="both"/>
                        <w:rPr>
                          <w:rFonts w:hint="default" w:eastAsia="宋体"/>
                          <w:color w:val="FF0000"/>
                          <w:lang w:val="en-US" w:eastAsia="zh-CN"/>
                        </w:rPr>
                      </w:pPr>
                      <w:r>
                        <w:rPr>
                          <w:rFonts w:hint="eastAsia"/>
                          <w:color w:val="FF0000"/>
                          <w:lang w:val="en-US" w:eastAsia="zh-CN"/>
                        </w:rPr>
                        <w:t>噪声评价范围</w:t>
                      </w:r>
                    </w:p>
                  </w:txbxContent>
                </v:textbox>
              </v:shape>
            </w:pict>
          </mc:Fallback>
        </mc:AlternateContent>
      </w:r>
      <w:r>
        <w:rPr>
          <w:rFonts w:hint="eastAsia"/>
          <w:lang w:val="en-US" w:eastAsia="zh-CN"/>
        </w:rPr>
        <w:drawing>
          <wp:inline distT="0" distB="0" distL="114300" distR="114300">
            <wp:extent cx="7527290" cy="5321935"/>
            <wp:effectExtent l="0" t="0" r="1270" b="12065"/>
            <wp:docPr id="36" name="图片 36" descr="2d4722c2020f1b3d298023361517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d4722c2020f1b3d2980233615172041"/>
                    <pic:cNvPicPr>
                      <a:picLocks noChangeAspect="1"/>
                    </pic:cNvPicPr>
                  </pic:nvPicPr>
                  <pic:blipFill>
                    <a:blip r:embed="rId82"/>
                    <a:stretch>
                      <a:fillRect/>
                    </a:stretch>
                  </pic:blipFill>
                  <pic:spPr>
                    <a:xfrm>
                      <a:off x="0" y="0"/>
                      <a:ext cx="7527290" cy="5321935"/>
                    </a:xfrm>
                    <a:prstGeom prst="rect">
                      <a:avLst/>
                    </a:prstGeom>
                  </pic:spPr>
                </pic:pic>
              </a:graphicData>
            </a:graphic>
          </wp:inline>
        </w:drawing>
      </w:r>
    </w:p>
    <w:p w14:paraId="17594254">
      <w:pPr>
        <w:ind w:firstLine="0" w:firstLineChars="0"/>
        <w:jc w:val="both"/>
        <w:outlineLvl w:val="0"/>
        <w:rPr>
          <w:rFonts w:hint="default" w:ascii="Times New Roman" w:hAnsi="Times New Roman" w:cs="Times New Roman"/>
          <w:b/>
          <w:color w:val="auto"/>
          <w:kern w:val="0"/>
          <w:sz w:val="24"/>
          <w:szCs w:val="24"/>
          <w:highlight w:val="none"/>
        </w:rPr>
      </w:pPr>
      <w:r>
        <w:rPr>
          <w:rFonts w:hint="default" w:ascii="Times New Roman" w:hAnsi="Times New Roman" w:cs="Times New Roman"/>
          <w:b/>
          <w:bCs/>
          <w:color w:val="auto"/>
          <w:sz w:val="24"/>
          <w:szCs w:val="24"/>
          <w:highlight w:val="none"/>
        </w:rPr>
        <w:t>附</w:t>
      </w:r>
      <w:r>
        <w:rPr>
          <w:rFonts w:hint="default" w:ascii="Times New Roman" w:hAnsi="Times New Roman" w:cs="Times New Roman"/>
          <w:b/>
          <w:bCs/>
          <w:color w:val="auto"/>
          <w:sz w:val="24"/>
          <w:szCs w:val="24"/>
          <w:highlight w:val="none"/>
          <w:lang w:eastAsia="zh-CN"/>
        </w:rPr>
        <w:t>图</w:t>
      </w:r>
      <w:r>
        <w:rPr>
          <w:rFonts w:hint="eastAsia" w:cs="Times New Roman"/>
          <w:b/>
          <w:bCs/>
          <w:color w:val="auto"/>
          <w:sz w:val="24"/>
          <w:szCs w:val="24"/>
          <w:highlight w:val="none"/>
          <w:lang w:val="en-US" w:eastAsia="zh-CN"/>
        </w:rPr>
        <w:t>9</w:t>
      </w:r>
      <w:r>
        <w:rPr>
          <w:rFonts w:hint="default" w:ascii="Times New Roman" w:hAnsi="Times New Roman" w:cs="Times New Roman"/>
          <w:b/>
          <w:bCs/>
          <w:color w:val="auto"/>
          <w:sz w:val="24"/>
          <w:szCs w:val="24"/>
          <w:highlight w:val="none"/>
          <w:lang w:val="en-US" w:eastAsia="zh-CN"/>
        </w:rPr>
        <w:t xml:space="preserve"> 土地利用类型</w:t>
      </w:r>
      <w:r>
        <w:rPr>
          <w:rFonts w:hint="default" w:ascii="Times New Roman" w:hAnsi="Times New Roman" w:cs="Times New Roman"/>
          <w:b/>
          <w:color w:val="auto"/>
          <w:kern w:val="0"/>
          <w:sz w:val="24"/>
          <w:szCs w:val="24"/>
          <w:highlight w:val="none"/>
        </w:rPr>
        <w:t>图</w:t>
      </w:r>
      <w:bookmarkEnd w:id="48"/>
    </w:p>
    <w:p w14:paraId="14D93462">
      <w:pPr>
        <w:ind w:firstLine="0" w:firstLineChars="0"/>
        <w:jc w:val="both"/>
        <w:outlineLvl w:val="0"/>
        <w:rPr>
          <w:rFonts w:hint="default" w:ascii="Times New Roman" w:hAnsi="Times New Roman" w:cs="Times New Roman"/>
          <w:b/>
          <w:color w:val="0000FF"/>
          <w:kern w:val="0"/>
          <w:sz w:val="24"/>
          <w:szCs w:val="24"/>
          <w:highlight w:val="none"/>
        </w:rPr>
      </w:pPr>
    </w:p>
    <w:p w14:paraId="3857FA96">
      <w:pPr>
        <w:ind w:firstLine="0" w:firstLineChars="0"/>
        <w:jc w:val="both"/>
        <w:outlineLvl w:val="0"/>
        <w:rPr>
          <w:rFonts w:hint="default" w:ascii="Times New Roman" w:hAnsi="Times New Roman" w:eastAsia="宋体" w:cs="Times New Roman"/>
          <w:b/>
          <w:color w:val="0000FF"/>
          <w:kern w:val="0"/>
          <w:sz w:val="24"/>
          <w:szCs w:val="24"/>
          <w:highlight w:val="none"/>
          <w:lang w:eastAsia="zh-CN"/>
        </w:rPr>
      </w:pPr>
      <w:r>
        <w:rPr>
          <w:rFonts w:hint="default" w:ascii="Times New Roman" w:hAnsi="Times New Roman" w:eastAsia="宋体" w:cs="Times New Roman"/>
          <w:b/>
          <w:color w:val="0000FF"/>
          <w:kern w:val="0"/>
          <w:sz w:val="24"/>
          <w:szCs w:val="24"/>
          <w:highlight w:val="none"/>
          <w:lang w:eastAsia="zh-CN"/>
        </w:rPr>
        <w:drawing>
          <wp:inline distT="0" distB="0" distL="114300" distR="114300">
            <wp:extent cx="6061075" cy="5595620"/>
            <wp:effectExtent l="0" t="0" r="4445" b="12700"/>
            <wp:docPr id="72" name="图片 72" descr="597cf4b8de4c33f62706a595ba2ea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597cf4b8de4c33f62706a595ba2eae21"/>
                    <pic:cNvPicPr>
                      <a:picLocks noChangeAspect="1"/>
                    </pic:cNvPicPr>
                  </pic:nvPicPr>
                  <pic:blipFill>
                    <a:blip r:embed="rId83"/>
                    <a:stretch>
                      <a:fillRect/>
                    </a:stretch>
                  </pic:blipFill>
                  <pic:spPr>
                    <a:xfrm>
                      <a:off x="0" y="0"/>
                      <a:ext cx="6061075" cy="5595620"/>
                    </a:xfrm>
                    <a:prstGeom prst="rect">
                      <a:avLst/>
                    </a:prstGeom>
                  </pic:spPr>
                </pic:pic>
              </a:graphicData>
            </a:graphic>
          </wp:inline>
        </w:drawing>
      </w:r>
    </w:p>
    <w:p w14:paraId="7D0AB405">
      <w:pPr>
        <w:ind w:firstLine="0" w:firstLineChars="0"/>
        <w:jc w:val="both"/>
        <w:outlineLvl w:val="0"/>
        <w:rPr>
          <w:rFonts w:hint="default" w:ascii="Times New Roman" w:hAnsi="Times New Roman" w:cs="Times New Roman"/>
          <w:b/>
          <w:color w:val="0000FF"/>
          <w:kern w:val="0"/>
          <w:sz w:val="24"/>
          <w:szCs w:val="24"/>
          <w:highlight w:val="none"/>
          <w:lang w:eastAsia="zh-CN"/>
        </w:rPr>
      </w:pPr>
    </w:p>
    <w:p w14:paraId="285B7C38">
      <w:pPr>
        <w:ind w:firstLine="0" w:firstLineChars="0"/>
        <w:jc w:val="both"/>
        <w:outlineLvl w:val="0"/>
        <w:rPr>
          <w:rFonts w:hint="default" w:ascii="Times New Roman" w:hAnsi="Times New Roman" w:cs="Times New Roman"/>
          <w:b/>
          <w:bCs/>
          <w:color w:val="0000FF"/>
          <w:sz w:val="24"/>
          <w:szCs w:val="24"/>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202B8CAA">
      <w:pPr>
        <w:ind w:firstLine="0" w:firstLineChars="0"/>
        <w:jc w:val="both"/>
        <w:outlineLvl w:val="0"/>
        <w:rPr>
          <w:rFonts w:hint="default" w:ascii="Times New Roman" w:hAnsi="Times New Roman" w:eastAsia="宋体" w:cs="Times New Roman"/>
          <w:b/>
          <w:bCs/>
          <w:color w:val="auto"/>
          <w:sz w:val="24"/>
          <w:szCs w:val="24"/>
          <w:highlight w:val="none"/>
          <w:lang w:val="en-US" w:eastAsia="zh-CN"/>
        </w:rPr>
      </w:pPr>
      <w:bookmarkStart w:id="49" w:name="_Toc4788"/>
      <w:bookmarkStart w:id="50" w:name="_Toc13749"/>
      <w:bookmarkStart w:id="51" w:name="_Toc17896"/>
      <w:r>
        <w:rPr>
          <w:rFonts w:hint="default" w:ascii="Times New Roman" w:hAnsi="Times New Roman" w:eastAsia="宋体" w:cs="Times New Roman"/>
          <w:b/>
          <w:bCs/>
          <w:color w:val="auto"/>
          <w:sz w:val="24"/>
          <w:szCs w:val="24"/>
          <w:highlight w:val="none"/>
        </w:rPr>
        <w:t>附</w:t>
      </w:r>
      <w:r>
        <w:rPr>
          <w:rFonts w:hint="default" w:ascii="Times New Roman" w:hAnsi="Times New Roman" w:eastAsia="宋体" w:cs="Times New Roman"/>
          <w:b/>
          <w:bCs/>
          <w:color w:val="auto"/>
          <w:sz w:val="24"/>
          <w:szCs w:val="24"/>
          <w:highlight w:val="none"/>
          <w:lang w:eastAsia="zh-CN"/>
        </w:rPr>
        <w:t>图</w:t>
      </w:r>
      <w:bookmarkEnd w:id="49"/>
      <w:bookmarkEnd w:id="50"/>
      <w:r>
        <w:rPr>
          <w:rFonts w:hint="eastAsia" w:cs="Times New Roman"/>
          <w:b/>
          <w:bCs/>
          <w:color w:val="auto"/>
          <w:sz w:val="24"/>
          <w:szCs w:val="24"/>
          <w:highlight w:val="none"/>
          <w:lang w:val="en-US" w:eastAsia="zh-CN"/>
        </w:rPr>
        <w:t>10</w:t>
      </w:r>
      <w:r>
        <w:rPr>
          <w:rFonts w:hint="default" w:ascii="Times New Roman" w:hAnsi="Times New Roman" w:cs="Times New Roman"/>
          <w:b/>
          <w:bCs/>
          <w:color w:val="auto"/>
          <w:sz w:val="24"/>
          <w:szCs w:val="24"/>
          <w:highlight w:val="none"/>
          <w:lang w:val="en-US" w:eastAsia="zh-CN"/>
        </w:rPr>
        <w:t>项目区域现状</w:t>
      </w:r>
      <w:r>
        <w:rPr>
          <w:rFonts w:hint="default" w:ascii="Times New Roman" w:hAnsi="Times New Roman" w:eastAsia="宋体" w:cs="Times New Roman"/>
          <w:b/>
          <w:bCs/>
          <w:color w:val="auto"/>
          <w:sz w:val="24"/>
          <w:szCs w:val="24"/>
          <w:highlight w:val="none"/>
          <w:lang w:val="en-US" w:eastAsia="zh-CN"/>
        </w:rPr>
        <w:t>图</w:t>
      </w:r>
      <w:bookmarkEnd w:id="51"/>
    </w:p>
    <w:tbl>
      <w:tblPr>
        <w:tblStyle w:val="30"/>
        <w:tblW w:w="50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74"/>
        <w:gridCol w:w="4498"/>
      </w:tblGrid>
      <w:tr w14:paraId="1AAC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1" w:hRule="atLeast"/>
          <w:jc w:val="center"/>
        </w:trPr>
        <w:tc>
          <w:tcPr>
            <w:tcW w:w="2490" w:type="pct"/>
            <w:noWrap w:val="0"/>
            <w:vAlign w:val="center"/>
          </w:tcPr>
          <w:p w14:paraId="7AFDEA71">
            <w:pPr>
              <w:pStyle w:val="65"/>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cs="Times New Roman"/>
                <w:color w:val="auto"/>
                <w:sz w:val="21"/>
                <w:szCs w:val="21"/>
                <w:highlight w:val="none"/>
              </w:rPr>
            </w:pPr>
          </w:p>
          <w:p w14:paraId="3F5628AA">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drawing>
                <wp:inline distT="0" distB="0" distL="114300" distR="114300">
                  <wp:extent cx="2825750" cy="2007235"/>
                  <wp:effectExtent l="0" t="0" r="8890" b="4445"/>
                  <wp:docPr id="61" name="图片 61" descr="61dc38c0-1cd2-4de4-9667-cbe552bb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61dc38c0-1cd2-4de4-9667-cbe552bb6919"/>
                          <pic:cNvPicPr>
                            <a:picLocks noChangeAspect="1"/>
                          </pic:cNvPicPr>
                        </pic:nvPicPr>
                        <pic:blipFill>
                          <a:blip r:embed="rId23"/>
                          <a:stretch>
                            <a:fillRect/>
                          </a:stretch>
                        </pic:blipFill>
                        <pic:spPr>
                          <a:xfrm>
                            <a:off x="0" y="0"/>
                            <a:ext cx="2825750" cy="2007235"/>
                          </a:xfrm>
                          <a:prstGeom prst="rect">
                            <a:avLst/>
                          </a:prstGeom>
                        </pic:spPr>
                      </pic:pic>
                    </a:graphicData>
                  </a:graphic>
                </wp:inline>
              </w:drawing>
            </w:r>
          </w:p>
          <w:p w14:paraId="675767E3">
            <w:pPr>
              <w:pStyle w:val="65"/>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cs="Times New Roman"/>
                <w:color w:val="auto"/>
                <w:sz w:val="21"/>
                <w:szCs w:val="21"/>
                <w:highlight w:val="none"/>
              </w:rPr>
            </w:pPr>
          </w:p>
        </w:tc>
        <w:tc>
          <w:tcPr>
            <w:tcW w:w="2509" w:type="pct"/>
            <w:noWrap w:val="0"/>
            <w:vAlign w:val="center"/>
          </w:tcPr>
          <w:p w14:paraId="060D740F">
            <w:pPr>
              <w:pStyle w:val="65"/>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drawing>
                <wp:inline distT="0" distB="0" distL="114300" distR="114300">
                  <wp:extent cx="2833370" cy="1899285"/>
                  <wp:effectExtent l="0" t="0" r="1270" b="5715"/>
                  <wp:docPr id="62" name="图片 62" descr="f8d74fb4-1322-4253-82f0-d981c861b2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f8d74fb4-1322-4253-82f0-d981c861b2b3"/>
                          <pic:cNvPicPr>
                            <a:picLocks noChangeAspect="1"/>
                          </pic:cNvPicPr>
                        </pic:nvPicPr>
                        <pic:blipFill>
                          <a:blip r:embed="rId24"/>
                          <a:stretch>
                            <a:fillRect/>
                          </a:stretch>
                        </pic:blipFill>
                        <pic:spPr>
                          <a:xfrm>
                            <a:off x="0" y="0"/>
                            <a:ext cx="2833370" cy="1899285"/>
                          </a:xfrm>
                          <a:prstGeom prst="rect">
                            <a:avLst/>
                          </a:prstGeom>
                        </pic:spPr>
                      </pic:pic>
                    </a:graphicData>
                  </a:graphic>
                </wp:inline>
              </w:drawing>
            </w:r>
          </w:p>
        </w:tc>
      </w:tr>
      <w:tr w14:paraId="60BB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1" w:hRule="atLeast"/>
          <w:jc w:val="center"/>
        </w:trPr>
        <w:tc>
          <w:tcPr>
            <w:tcW w:w="2490" w:type="pct"/>
            <w:noWrap w:val="0"/>
            <w:vAlign w:val="center"/>
          </w:tcPr>
          <w:p w14:paraId="621CDC5E">
            <w:pPr>
              <w:pStyle w:val="65"/>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drawing>
                <wp:inline distT="0" distB="0" distL="114300" distR="114300">
                  <wp:extent cx="2827020" cy="2119630"/>
                  <wp:effectExtent l="0" t="0" r="7620" b="13970"/>
                  <wp:docPr id="90" name="图片 2" descr="fb83acadbbf42e470faaf7b0b8de0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2" descr="fb83acadbbf42e470faaf7b0b8de0486"/>
                          <pic:cNvPicPr>
                            <a:picLocks noChangeAspect="1"/>
                          </pic:cNvPicPr>
                        </pic:nvPicPr>
                        <pic:blipFill>
                          <a:blip r:embed="rId84"/>
                          <a:stretch>
                            <a:fillRect/>
                          </a:stretch>
                        </pic:blipFill>
                        <pic:spPr>
                          <a:xfrm>
                            <a:off x="0" y="0"/>
                            <a:ext cx="2827020" cy="2119630"/>
                          </a:xfrm>
                          <a:prstGeom prst="rect">
                            <a:avLst/>
                          </a:prstGeom>
                          <a:noFill/>
                          <a:ln>
                            <a:noFill/>
                          </a:ln>
                        </pic:spPr>
                      </pic:pic>
                    </a:graphicData>
                  </a:graphic>
                </wp:inline>
              </w:drawing>
            </w:r>
          </w:p>
        </w:tc>
        <w:tc>
          <w:tcPr>
            <w:tcW w:w="2509" w:type="pct"/>
            <w:noWrap w:val="0"/>
            <w:vAlign w:val="center"/>
          </w:tcPr>
          <w:p w14:paraId="66411094">
            <w:pPr>
              <w:pStyle w:val="65"/>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drawing>
                <wp:inline distT="0" distB="0" distL="114300" distR="114300">
                  <wp:extent cx="2849245" cy="2162810"/>
                  <wp:effectExtent l="0" t="0" r="635" b="1270"/>
                  <wp:docPr id="91" name="图片 3" descr="f9201461b4108f7bf7721ac40874a7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 descr="f9201461b4108f7bf7721ac40874a76d"/>
                          <pic:cNvPicPr>
                            <a:picLocks noChangeAspect="1"/>
                          </pic:cNvPicPr>
                        </pic:nvPicPr>
                        <pic:blipFill>
                          <a:blip r:embed="rId85"/>
                          <a:stretch>
                            <a:fillRect/>
                          </a:stretch>
                        </pic:blipFill>
                        <pic:spPr>
                          <a:xfrm>
                            <a:off x="0" y="0"/>
                            <a:ext cx="2849245" cy="2162810"/>
                          </a:xfrm>
                          <a:prstGeom prst="rect">
                            <a:avLst/>
                          </a:prstGeom>
                          <a:noFill/>
                          <a:ln>
                            <a:noFill/>
                          </a:ln>
                        </pic:spPr>
                      </pic:pic>
                    </a:graphicData>
                  </a:graphic>
                </wp:inline>
              </w:drawing>
            </w:r>
          </w:p>
        </w:tc>
      </w:tr>
      <w:tr w14:paraId="7DE7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1" w:hRule="atLeast"/>
          <w:jc w:val="center"/>
        </w:trPr>
        <w:tc>
          <w:tcPr>
            <w:tcW w:w="5000" w:type="pct"/>
            <w:gridSpan w:val="2"/>
            <w:noWrap w:val="0"/>
            <w:vAlign w:val="center"/>
          </w:tcPr>
          <w:p w14:paraId="43669916">
            <w:pPr>
              <w:pStyle w:val="6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升压站</w:t>
            </w:r>
            <w:r>
              <w:rPr>
                <w:rFonts w:hint="default" w:ascii="Times New Roman" w:hAnsi="Times New Roman" w:cs="Times New Roman"/>
                <w:color w:val="auto"/>
                <w:sz w:val="21"/>
                <w:szCs w:val="21"/>
                <w:highlight w:val="none"/>
                <w:lang w:val="en-US" w:eastAsia="zh-CN"/>
              </w:rPr>
              <w:t>占地范围内</w:t>
            </w:r>
          </w:p>
        </w:tc>
      </w:tr>
    </w:tbl>
    <w:p w14:paraId="7C334EEF">
      <w:pPr>
        <w:rPr>
          <w:rFonts w:hint="default" w:ascii="Times New Roman" w:hAnsi="Times New Roman" w:cs="Times New Roman"/>
          <w:color w:val="0000FF"/>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4D1A882">
      <w:pPr>
        <w:ind w:firstLine="0" w:firstLineChars="0"/>
        <w:jc w:val="both"/>
        <w:outlineLvl w:val="0"/>
        <w:rPr>
          <w:rFonts w:hint="default" w:ascii="Times New Roman" w:hAnsi="Times New Roman" w:eastAsia="宋体" w:cs="Times New Roman"/>
          <w:b/>
          <w:bCs/>
          <w:color w:val="auto"/>
          <w:sz w:val="24"/>
          <w:szCs w:val="24"/>
          <w:highlight w:val="none"/>
          <w:lang w:eastAsia="zh-CN"/>
        </w:rPr>
      </w:pPr>
      <w:bookmarkStart w:id="52" w:name="_Toc10910"/>
      <w:r>
        <w:rPr>
          <w:rFonts w:hint="default" w:ascii="Times New Roman" w:hAnsi="Times New Roman" w:eastAsia="宋体" w:cs="Times New Roman"/>
          <w:b/>
          <w:bCs/>
          <w:color w:val="auto"/>
          <w:sz w:val="24"/>
          <w:szCs w:val="24"/>
          <w:highlight w:val="none"/>
        </w:rPr>
        <w:t>附</w:t>
      </w:r>
      <w:r>
        <w:rPr>
          <w:rFonts w:hint="default" w:ascii="Times New Roman" w:hAnsi="Times New Roman" w:eastAsia="宋体" w:cs="Times New Roman"/>
          <w:b/>
          <w:bCs/>
          <w:color w:val="auto"/>
          <w:sz w:val="24"/>
          <w:szCs w:val="24"/>
          <w:highlight w:val="none"/>
          <w:lang w:eastAsia="zh-CN"/>
        </w:rPr>
        <w:t>图</w:t>
      </w:r>
      <w:r>
        <w:rPr>
          <w:rFonts w:hint="default" w:ascii="Times New Roman" w:hAnsi="Times New Roman" w:cs="Times New Roman"/>
          <w:b/>
          <w:bCs/>
          <w:color w:val="auto"/>
          <w:sz w:val="24"/>
          <w:szCs w:val="24"/>
          <w:highlight w:val="none"/>
          <w:lang w:val="en-US" w:eastAsia="zh-CN"/>
        </w:rPr>
        <w:t>1</w:t>
      </w:r>
      <w:r>
        <w:rPr>
          <w:rFonts w:hint="eastAsia" w:cs="Times New Roman"/>
          <w:b/>
          <w:bCs/>
          <w:color w:val="auto"/>
          <w:sz w:val="24"/>
          <w:szCs w:val="24"/>
          <w:highlight w:val="none"/>
          <w:lang w:val="en-US" w:eastAsia="zh-CN"/>
        </w:rPr>
        <w:t>1</w:t>
      </w:r>
      <w:r>
        <w:rPr>
          <w:rFonts w:hint="default" w:ascii="Times New Roman" w:hAnsi="Times New Roman" w:cs="Times New Roman"/>
          <w:b/>
          <w:bCs/>
          <w:color w:val="auto"/>
          <w:sz w:val="24"/>
          <w:szCs w:val="24"/>
          <w:highlight w:val="none"/>
          <w:lang w:val="en-US" w:eastAsia="zh-CN"/>
        </w:rPr>
        <w:t>监测布点</w:t>
      </w:r>
      <w:r>
        <w:rPr>
          <w:rFonts w:hint="default" w:ascii="Times New Roman" w:hAnsi="Times New Roman" w:eastAsia="宋体" w:cs="Times New Roman"/>
          <w:b/>
          <w:bCs/>
          <w:color w:val="auto"/>
          <w:sz w:val="24"/>
          <w:szCs w:val="24"/>
          <w:highlight w:val="none"/>
          <w:lang w:eastAsia="zh-CN"/>
        </w:rPr>
        <w:t>图</w:t>
      </w:r>
      <w:bookmarkEnd w:id="52"/>
    </w:p>
    <w:p w14:paraId="642958AF">
      <w:pPr>
        <w:bidi w:val="0"/>
        <w:jc w:val="center"/>
        <w:rPr>
          <w:rFonts w:hint="default" w:ascii="Times New Roman" w:hAnsi="Times New Roman" w:cs="Times New Roman"/>
          <w:color w:val="0000FF"/>
          <w:highlight w:val="none"/>
          <w:lang w:val="en-US" w:eastAsia="zh-CN"/>
        </w:rPr>
      </w:pPr>
    </w:p>
    <w:p w14:paraId="2EBC8E51">
      <w:pPr>
        <w:bidi w:val="0"/>
        <w:jc w:val="center"/>
        <w:rPr>
          <w:rFonts w:hint="default" w:ascii="Times New Roman" w:hAnsi="Times New Roman" w:cs="Times New Roman"/>
          <w:color w:val="0000FF"/>
          <w:highlight w:val="none"/>
          <w:lang w:val="en-US" w:eastAsia="zh-CN"/>
        </w:rPr>
      </w:pPr>
      <w:r>
        <w:rPr>
          <w:rFonts w:hint="default" w:ascii="Times New Roman" w:hAnsi="Times New Roman" w:cs="Times New Roman"/>
          <w:color w:val="0000FF"/>
          <w:highlight w:val="none"/>
          <w:lang w:val="en-US" w:eastAsia="zh-CN"/>
        </w:rPr>
        <w:drawing>
          <wp:inline distT="0" distB="0" distL="114300" distR="114300">
            <wp:extent cx="5615305" cy="3517265"/>
            <wp:effectExtent l="0" t="0" r="8255" b="3175"/>
            <wp:docPr id="73" name="图片 73" descr="443710a0-9cd6-4449-b205-392fb84e5a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443710a0-9cd6-4449-b205-392fb84e5a9a"/>
                    <pic:cNvPicPr>
                      <a:picLocks noChangeAspect="1"/>
                    </pic:cNvPicPr>
                  </pic:nvPicPr>
                  <pic:blipFill>
                    <a:blip r:embed="rId86"/>
                    <a:stretch>
                      <a:fillRect/>
                    </a:stretch>
                  </pic:blipFill>
                  <pic:spPr>
                    <a:xfrm>
                      <a:off x="0" y="0"/>
                      <a:ext cx="5615305" cy="3517265"/>
                    </a:xfrm>
                    <a:prstGeom prst="rect">
                      <a:avLst/>
                    </a:prstGeom>
                  </pic:spPr>
                </pic:pic>
              </a:graphicData>
            </a:graphic>
          </wp:inline>
        </w:drawing>
      </w:r>
    </w:p>
    <w:p w14:paraId="1D6C32C0">
      <w:pPr>
        <w:bidi w:val="0"/>
        <w:jc w:val="center"/>
        <w:rPr>
          <w:rFonts w:hint="default" w:ascii="Times New Roman" w:hAnsi="Times New Roman" w:cs="Times New Roman"/>
          <w:color w:val="0000FF"/>
          <w:highlight w:val="none"/>
          <w:lang w:val="en-US" w:eastAsia="zh-CN"/>
        </w:rPr>
      </w:pPr>
      <w:r>
        <w:rPr>
          <w:rFonts w:hint="default" w:ascii="Times New Roman" w:hAnsi="Times New Roman" w:cs="Times New Roman"/>
          <w:color w:val="0000FF"/>
          <w:highlight w:val="none"/>
          <w:lang w:val="en-US" w:eastAsia="zh-CN"/>
        </w:rPr>
        <w:drawing>
          <wp:anchor distT="0" distB="0" distL="114300" distR="114300" simplePos="0" relativeHeight="251668480" behindDoc="0" locked="0" layoutInCell="1" allowOverlap="1">
            <wp:simplePos x="0" y="0"/>
            <wp:positionH relativeFrom="column">
              <wp:posOffset>4217035</wp:posOffset>
            </wp:positionH>
            <wp:positionV relativeFrom="paragraph">
              <wp:posOffset>1270</wp:posOffset>
            </wp:positionV>
            <wp:extent cx="497205" cy="375920"/>
            <wp:effectExtent l="0" t="0" r="0" b="0"/>
            <wp:wrapNone/>
            <wp:docPr id="75" name="图片 75" descr="2948bf6a-ea4e-41de-a6fe-68db87ea64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2948bf6a-ea4e-41de-a6fe-68db87ea642f"/>
                    <pic:cNvPicPr>
                      <a:picLocks noChangeAspect="1"/>
                    </pic:cNvPicPr>
                  </pic:nvPicPr>
                  <pic:blipFill>
                    <a:blip r:embed="rId87"/>
                    <a:stretch>
                      <a:fillRect/>
                    </a:stretch>
                  </pic:blipFill>
                  <pic:spPr>
                    <a:xfrm>
                      <a:off x="0" y="0"/>
                      <a:ext cx="497205" cy="375920"/>
                    </a:xfrm>
                    <a:prstGeom prst="rect">
                      <a:avLst/>
                    </a:prstGeom>
                  </pic:spPr>
                </pic:pic>
              </a:graphicData>
            </a:graphic>
          </wp:anchor>
        </w:drawing>
      </w:r>
      <w:r>
        <w:rPr>
          <w:sz w:val="21"/>
        </w:rPr>
        <mc:AlternateContent>
          <mc:Choice Requires="wps">
            <w:drawing>
              <wp:anchor distT="0" distB="0" distL="114300" distR="114300" simplePos="0" relativeHeight="251669504" behindDoc="0" locked="0" layoutInCell="1" allowOverlap="1">
                <wp:simplePos x="0" y="0"/>
                <wp:positionH relativeFrom="column">
                  <wp:posOffset>4571365</wp:posOffset>
                </wp:positionH>
                <wp:positionV relativeFrom="paragraph">
                  <wp:posOffset>31750</wp:posOffset>
                </wp:positionV>
                <wp:extent cx="1055370" cy="340360"/>
                <wp:effectExtent l="0" t="0" r="11430" b="10160"/>
                <wp:wrapNone/>
                <wp:docPr id="76" name="文本框 76"/>
                <wp:cNvGraphicFramePr/>
                <a:graphic xmlns:a="http://schemas.openxmlformats.org/drawingml/2006/main">
                  <a:graphicData uri="http://schemas.microsoft.com/office/word/2010/wordprocessingShape">
                    <wps:wsp>
                      <wps:cNvSpPr txBox="1"/>
                      <wps:spPr>
                        <a:xfrm>
                          <a:off x="5543550" y="4982845"/>
                          <a:ext cx="1055370" cy="3403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45F2095">
                            <w:pPr>
                              <w:rPr>
                                <w:rFonts w:hint="default" w:eastAsia="宋体"/>
                                <w:lang w:val="en-US" w:eastAsia="zh-CN"/>
                              </w:rPr>
                            </w:pPr>
                            <w:r>
                              <w:rPr>
                                <w:rFonts w:hint="eastAsia"/>
                                <w:lang w:eastAsia="zh-CN"/>
                              </w:rPr>
                              <w:t>：</w:t>
                            </w:r>
                            <w:r>
                              <w:rPr>
                                <w:rFonts w:hint="eastAsia"/>
                                <w:lang w:val="en-US" w:eastAsia="zh-CN"/>
                              </w:rPr>
                              <w:t>电磁监测点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9.95pt;margin-top:2.5pt;height:26.8pt;width:83.1pt;z-index:251669504;mso-width-relative:page;mso-height-relative:page;" fillcolor="#FFFFFF [3201]" filled="t" stroked="f" coordsize="21600,21600" o:gfxdata="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MxtKGfT&#10;AAAACAEAAA8AAAAAAAAAAQAgAAAAIgAAAGRycy9kb3ducmV2LnhtbFBLAQIUABQAAAAIAIdO4kCC&#10;V5RvXgIAAJ0EAAAOAAAAAAAAAAEAIAAAACIBAABkcnMvZTJvRG9jLnhtbFBLBQYAAAAABgAGAFkB&#10;AADyBQAAAAA=&#10;">
                <v:fill on="t" focussize="0,0"/>
                <v:stroke on="f" weight="0.5pt"/>
                <v:imagedata o:title=""/>
                <o:lock v:ext="edit" aspectratio="f"/>
                <v:textbox>
                  <w:txbxContent>
                    <w:p w14:paraId="045F2095">
                      <w:pPr>
                        <w:rPr>
                          <w:rFonts w:hint="default" w:eastAsia="宋体"/>
                          <w:lang w:val="en-US" w:eastAsia="zh-CN"/>
                        </w:rPr>
                      </w:pPr>
                      <w:r>
                        <w:rPr>
                          <w:rFonts w:hint="eastAsia"/>
                          <w:lang w:eastAsia="zh-CN"/>
                        </w:rPr>
                        <w:t>：</w:t>
                      </w:r>
                      <w:r>
                        <w:rPr>
                          <w:rFonts w:hint="eastAsia"/>
                          <w:lang w:val="en-US" w:eastAsia="zh-CN"/>
                        </w:rPr>
                        <w:t>电磁监测点</w:t>
                      </w:r>
                    </w:p>
                  </w:txbxContent>
                </v:textbox>
              </v:shape>
            </w:pict>
          </mc:Fallback>
        </mc:AlternateContent>
      </w:r>
    </w:p>
    <w:p w14:paraId="542CA24E">
      <w:pPr>
        <w:bidi w:val="0"/>
        <w:jc w:val="center"/>
        <w:rPr>
          <w:rFonts w:hint="default" w:ascii="Times New Roman" w:hAnsi="Times New Roman" w:cs="Times New Roman"/>
          <w:color w:val="0000FF"/>
          <w:highlight w:val="none"/>
          <w:lang w:val="en-US" w:eastAsia="zh-CN"/>
        </w:rPr>
      </w:pPr>
    </w:p>
    <w:p w14:paraId="30E2782E">
      <w:pPr>
        <w:bidi w:val="0"/>
        <w:jc w:val="center"/>
        <w:rPr>
          <w:rFonts w:hint="default" w:ascii="Times New Roman" w:hAnsi="Times New Roman" w:cs="Times New Roman"/>
          <w:color w:val="0000FF"/>
          <w:highlight w:val="none"/>
          <w:lang w:val="en-US" w:eastAsia="zh-CN"/>
        </w:rPr>
      </w:pPr>
      <w:r>
        <w:rPr>
          <w:sz w:val="21"/>
        </w:rPr>
        <mc:AlternateContent>
          <mc:Choice Requires="wps">
            <w:drawing>
              <wp:anchor distT="0" distB="0" distL="114300" distR="114300" simplePos="0" relativeHeight="251671552" behindDoc="0" locked="0" layoutInCell="1" allowOverlap="1">
                <wp:simplePos x="0" y="0"/>
                <wp:positionH relativeFrom="column">
                  <wp:posOffset>4560570</wp:posOffset>
                </wp:positionH>
                <wp:positionV relativeFrom="paragraph">
                  <wp:posOffset>6350</wp:posOffset>
                </wp:positionV>
                <wp:extent cx="1055370" cy="340360"/>
                <wp:effectExtent l="0" t="0" r="11430" b="10160"/>
                <wp:wrapNone/>
                <wp:docPr id="79" name="文本框 79"/>
                <wp:cNvGraphicFramePr/>
                <a:graphic xmlns:a="http://schemas.openxmlformats.org/drawingml/2006/main">
                  <a:graphicData uri="http://schemas.microsoft.com/office/word/2010/wordprocessingShape">
                    <wps:wsp>
                      <wps:cNvSpPr txBox="1"/>
                      <wps:spPr>
                        <a:xfrm>
                          <a:off x="0" y="0"/>
                          <a:ext cx="1055370" cy="3403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18F9539">
                            <w:pPr>
                              <w:rPr>
                                <w:rFonts w:hint="default" w:eastAsia="宋体"/>
                                <w:lang w:val="en-US" w:eastAsia="zh-CN"/>
                              </w:rPr>
                            </w:pPr>
                            <w:r>
                              <w:rPr>
                                <w:rFonts w:hint="eastAsia"/>
                                <w:lang w:eastAsia="zh-CN"/>
                              </w:rPr>
                              <w:t>：</w:t>
                            </w:r>
                            <w:r>
                              <w:rPr>
                                <w:rFonts w:hint="eastAsia"/>
                                <w:lang w:val="en-US" w:eastAsia="zh-CN"/>
                              </w:rPr>
                              <w:t>噪声监测点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9.1pt;margin-top:0.5pt;height:26.8pt;width:83.1pt;z-index:251671552;mso-width-relative:page;mso-height-relative:page;" fillcolor="#FFFFFF [3201]" filled="t" stroked="f" coordsize="21600,21600" o:gfxdata="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0hL7YNQAAAAIAQAADwAA&#10;AAAAAAABACAAAAAiAAAAZHJzL2Rvd25yZXYueG1sUEsBAhQAFAAAAAgAh07iQPtvs5NTAgAAkQQA&#10;AA4AAAAAAAAAAQAgAAAAIwEAAGRycy9lMm9Eb2MueG1sUEsFBgAAAAAGAAYAWQEAAOgFAAAAAA==&#10;">
                <v:fill on="t" focussize="0,0"/>
                <v:stroke on="f" weight="0.5pt"/>
                <v:imagedata o:title=""/>
                <o:lock v:ext="edit" aspectratio="f"/>
                <v:textbox>
                  <w:txbxContent>
                    <w:p w14:paraId="318F9539">
                      <w:pPr>
                        <w:rPr>
                          <w:rFonts w:hint="default" w:eastAsia="宋体"/>
                          <w:lang w:val="en-US" w:eastAsia="zh-CN"/>
                        </w:rPr>
                      </w:pPr>
                      <w:r>
                        <w:rPr>
                          <w:rFonts w:hint="eastAsia"/>
                          <w:lang w:eastAsia="zh-CN"/>
                        </w:rPr>
                        <w:t>：</w:t>
                      </w:r>
                      <w:r>
                        <w:rPr>
                          <w:rFonts w:hint="eastAsia"/>
                          <w:lang w:val="en-US" w:eastAsia="zh-CN"/>
                        </w:rPr>
                        <w:t>噪声监测点</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4366260</wp:posOffset>
                </wp:positionH>
                <wp:positionV relativeFrom="paragraph">
                  <wp:posOffset>92710</wp:posOffset>
                </wp:positionV>
                <wp:extent cx="130175" cy="140970"/>
                <wp:effectExtent l="12700" t="19050" r="24765" b="7620"/>
                <wp:wrapNone/>
                <wp:docPr id="78" name="等腰三角形 78"/>
                <wp:cNvGraphicFramePr/>
                <a:graphic xmlns:a="http://schemas.openxmlformats.org/drawingml/2006/main">
                  <a:graphicData uri="http://schemas.microsoft.com/office/word/2010/wordprocessingShape">
                    <wps:wsp>
                      <wps:cNvSpPr/>
                      <wps:spPr>
                        <a:xfrm>
                          <a:off x="0" y="0"/>
                          <a:ext cx="130175" cy="140970"/>
                        </a:xfrm>
                        <a:prstGeom prst="triangle">
                          <a:avLst>
                            <a:gd name="adj" fmla="val 50000"/>
                          </a:avLst>
                        </a:prstGeom>
                        <a:solidFill>
                          <a:srgbClr val="000000"/>
                        </a:solidFill>
                        <a:ln w="15875" cap="flat" cmpd="sng">
                          <a:solidFill>
                            <a:srgbClr val="000000"/>
                          </a:solidFill>
                          <a:prstDash val="solid"/>
                          <a:miter/>
                          <a:headEnd type="none" w="med" len="med"/>
                          <a:tailEnd type="none" w="med" len="med"/>
                        </a:ln>
                      </wps:spPr>
                      <wps:txbx>
                        <w:txbxContent>
                          <w:p w14:paraId="166A2F5E">
                            <w:pPr>
                              <w:rPr>
                                <w:b w:val="0"/>
                                <w:bCs w:val="0"/>
                              </w:rPr>
                            </w:pPr>
                          </w:p>
                        </w:txbxContent>
                      </wps:txbx>
                      <wps:bodyPr upright="1"/>
                    </wps:wsp>
                  </a:graphicData>
                </a:graphic>
              </wp:anchor>
            </w:drawing>
          </mc:Choice>
          <mc:Fallback>
            <w:pict>
              <v:shape id="_x0000_s1026" o:spid="_x0000_s1026" o:spt="5" type="#_x0000_t5" style="position:absolute;left:0pt;margin-left:343.8pt;margin-top:7.3pt;height:11.1pt;width:10.25pt;z-index:251670528;mso-width-relative:page;mso-height-relative:page;" fillcolor="#000000" filled="t" stroked="t" coordsize="21600,21600" o:gfxdata="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YdA/qNkAAAAJAQAADwAAAAAAAAABACAAAAAiAAAAZHJzL2Rvd25yZXYueG1sUEsBAhQAFAAA&#10;AAgAh07iQDNEOf4nAgAAZAQAAA4AAAAAAAAAAQAgAAAAKAEAAGRycy9lMm9Eb2MueG1sUEsFBgAA&#10;AAAGAAYAWQEAAMEFAAAAAA==&#10;" adj="10800">
                <v:fill on="t" focussize="0,0"/>
                <v:stroke weight="1.25pt" color="#000000" joinstyle="miter"/>
                <v:imagedata o:title=""/>
                <o:lock v:ext="edit" aspectratio="f"/>
                <v:textbox>
                  <w:txbxContent>
                    <w:p w14:paraId="166A2F5E">
                      <w:pPr>
                        <w:rPr>
                          <w:b w:val="0"/>
                          <w:bCs w:val="0"/>
                        </w:rPr>
                      </w:pPr>
                    </w:p>
                  </w:txbxContent>
                </v:textbox>
              </v:shape>
            </w:pict>
          </mc:Fallback>
        </mc:AlternateContent>
      </w:r>
    </w:p>
    <w:p w14:paraId="67A4EB28">
      <w:pPr>
        <w:bidi w:val="0"/>
        <w:jc w:val="center"/>
        <w:rPr>
          <w:rFonts w:hint="default" w:ascii="Times New Roman" w:hAnsi="Times New Roman" w:cs="Times New Roman"/>
          <w:color w:val="0000FF"/>
          <w:highlight w:val="none"/>
          <w:lang w:val="en-US" w:eastAsia="zh-CN"/>
        </w:rPr>
      </w:pPr>
    </w:p>
    <w:p w14:paraId="41513911">
      <w:pPr>
        <w:bidi w:val="0"/>
        <w:jc w:val="center"/>
        <w:rPr>
          <w:rFonts w:hint="default" w:ascii="Times New Roman" w:hAnsi="Times New Roman" w:cs="Times New Roman"/>
          <w:color w:val="0000FF"/>
          <w:highlight w:val="none"/>
          <w:lang w:val="en-US" w:eastAsia="zh-CN"/>
        </w:rPr>
      </w:pPr>
    </w:p>
    <w:p w14:paraId="1D8DBDE0">
      <w:pPr>
        <w:rPr>
          <w:rFonts w:hint="default" w:ascii="Times New Roman" w:hAnsi="Times New Roman" w:cs="Times New Roman"/>
          <w:color w:val="0000FF"/>
          <w:highlight w:val="none"/>
          <w:lang w:val="en-US" w:eastAsia="zh-CN"/>
        </w:rPr>
      </w:pPr>
    </w:p>
    <w:p w14:paraId="5A09BD41">
      <w:pPr>
        <w:bidi w:val="0"/>
        <w:jc w:val="center"/>
        <w:rPr>
          <w:rFonts w:hint="default" w:ascii="Times New Roman" w:hAnsi="Times New Roman" w:cs="Times New Roman"/>
          <w:color w:val="0000FF"/>
          <w:highlight w:val="none"/>
          <w:lang w:val="en-US" w:eastAsia="zh-CN"/>
        </w:rPr>
      </w:pPr>
    </w:p>
    <w:p w14:paraId="7C761473">
      <w:pPr>
        <w:bidi w:val="0"/>
        <w:jc w:val="center"/>
        <w:rPr>
          <w:rFonts w:hint="default" w:ascii="Times New Roman" w:hAnsi="Times New Roman" w:cs="Times New Roman"/>
          <w:color w:val="0000FF"/>
          <w:highlight w:val="none"/>
          <w:lang w:val="en-US" w:eastAsia="zh-CN"/>
        </w:rPr>
      </w:pPr>
    </w:p>
    <w:p w14:paraId="40FA4D10">
      <w:pPr>
        <w:bidi w:val="0"/>
        <w:jc w:val="center"/>
        <w:rPr>
          <w:rFonts w:hint="default" w:ascii="Times New Roman" w:hAnsi="Times New Roman" w:cs="Times New Roman"/>
          <w:color w:val="0000FF"/>
          <w:highlight w:val="none"/>
          <w:lang w:val="en-US" w:eastAsia="zh-CN"/>
        </w:rPr>
      </w:pPr>
    </w:p>
    <w:p w14:paraId="068C53D2">
      <w:pPr>
        <w:bidi w:val="0"/>
        <w:jc w:val="center"/>
        <w:rPr>
          <w:rFonts w:hint="default" w:ascii="Times New Roman" w:hAnsi="Times New Roman" w:cs="Times New Roman"/>
          <w:color w:val="0000FF"/>
          <w:highlight w:val="none"/>
          <w:lang w:val="en-US" w:eastAsia="zh-CN"/>
        </w:rPr>
      </w:pPr>
    </w:p>
    <w:p w14:paraId="2C50E834">
      <w:pPr>
        <w:bidi w:val="0"/>
        <w:jc w:val="center"/>
        <w:rPr>
          <w:rFonts w:hint="default" w:ascii="Times New Roman" w:hAnsi="Times New Roman" w:cs="Times New Roman"/>
          <w:color w:val="0000FF"/>
          <w:highlight w:val="none"/>
          <w:lang w:val="en-US" w:eastAsia="zh-CN"/>
        </w:rPr>
      </w:pPr>
    </w:p>
    <w:p w14:paraId="32266D47">
      <w:pPr>
        <w:bidi w:val="0"/>
        <w:jc w:val="both"/>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附图12升压站与风机相对位置图</w:t>
      </w:r>
    </w:p>
    <w:p w14:paraId="6955CDB2">
      <w:pPr>
        <w:bidi w:val="0"/>
        <w:jc w:val="center"/>
        <w:rPr>
          <w:rFonts w:hint="default" w:ascii="Times New Roman" w:hAnsi="Times New Roman" w:cs="Times New Roman"/>
          <w:color w:val="0000FF"/>
          <w:highlight w:val="none"/>
          <w:lang w:val="en-US" w:eastAsia="zh-CN"/>
        </w:rPr>
      </w:pPr>
      <w:r>
        <w:rPr>
          <w:rFonts w:hint="default" w:ascii="Times New Roman" w:hAnsi="Times New Roman" w:cs="Times New Roman"/>
          <w:b/>
          <w:bCs/>
          <w:color w:val="auto"/>
          <w:sz w:val="24"/>
          <w:szCs w:val="24"/>
          <w:highlight w:val="none"/>
          <w:lang w:val="en-US" w:eastAsia="zh-CN"/>
        </w:rPr>
        <w:drawing>
          <wp:inline distT="0" distB="0" distL="114300" distR="114300">
            <wp:extent cx="8521700" cy="5381625"/>
            <wp:effectExtent l="0" t="0" r="12700" b="13335"/>
            <wp:docPr id="89" name="图片 1" descr="450ef8b9-0972-4e30-9b9b-12810a397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 descr="450ef8b9-0972-4e30-9b9b-12810a397826"/>
                    <pic:cNvPicPr>
                      <a:picLocks noChangeAspect="1"/>
                    </pic:cNvPicPr>
                  </pic:nvPicPr>
                  <pic:blipFill>
                    <a:blip r:embed="rId88"/>
                    <a:stretch>
                      <a:fillRect/>
                    </a:stretch>
                  </pic:blipFill>
                  <pic:spPr>
                    <a:xfrm>
                      <a:off x="0" y="0"/>
                      <a:ext cx="8521700" cy="5381625"/>
                    </a:xfrm>
                    <a:prstGeom prst="rect">
                      <a:avLst/>
                    </a:prstGeom>
                    <a:noFill/>
                    <a:ln>
                      <a:noFill/>
                    </a:ln>
                  </pic:spPr>
                </pic:pic>
              </a:graphicData>
            </a:graphic>
          </wp:inline>
        </w:drawing>
      </w:r>
    </w:p>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0000012" w:usb3="00000000" w:csb0="4002009F" w:csb1="DFD70000"/>
  </w:font>
  <w:font w:name="SimSun-ExtB">
    <w:panose1 w:val="02010609060101010101"/>
    <w:charset w:val="86"/>
    <w:family w:val="modern"/>
    <w:pitch w:val="default"/>
    <w:sig w:usb0="00000001" w:usb1="02000000" w:usb2="00000000"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imesNewRomanPSMT">
    <w:altName w:val="Times New Roman"/>
    <w:panose1 w:val="00000000000000000000"/>
    <w:charset w:val="80"/>
    <w:family w:val="auto"/>
    <w:pitch w:val="default"/>
    <w:sig w:usb0="00000000" w:usb1="00000000" w:usb2="00000000" w:usb3="00000000" w:csb0="00020000" w:csb1="00000000"/>
  </w:font>
  <w:font w:name="CourierNewPSMT">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09C6B">
    <w:pPr>
      <w:pStyle w:val="1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0A423">
    <w:pPr>
      <w:pStyle w:val="19"/>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10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9760D9">
                          <w:pPr>
                            <w:pStyle w:val="1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文本框 104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iZxoMzAEAAJ0DAAAOAAAAAAAAAAEAIAAAAB4BAABkcnMvZTJv&#10;RG9jLnhtbFBLBQYAAAAABgAGAFkBAABcBQAAAAA=&#10;">
              <v:fill on="f" focussize="0,0"/>
              <v:stroke on="f"/>
              <v:imagedata o:title=""/>
              <o:lock v:ext="edit" aspectratio="f"/>
              <v:textbox inset="0mm,0mm,0mm,0mm" style="mso-fit-shape-to-text:t;">
                <w:txbxContent>
                  <w:p w14:paraId="339760D9">
                    <w:pPr>
                      <w:pStyle w:val="1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FFF23">
    <w:pPr>
      <w:pStyle w:val="19"/>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E85D5E">
                          <w:pPr>
                            <w:pStyle w:val="19"/>
                          </w:pPr>
                          <w:r>
                            <w:t xml:space="preserve">第 </w:t>
                          </w:r>
                          <w:r>
                            <w:fldChar w:fldCharType="begin"/>
                          </w:r>
                          <w:r>
                            <w:instrText xml:space="preserve"> PAGE  \* MERGEFORMAT </w:instrText>
                          </w:r>
                          <w:r>
                            <w:fldChar w:fldCharType="separate"/>
                          </w:r>
                          <w:r>
                            <w:t>13</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WY5ae4QEAAMIDAAAOAAAA&#10;AAAAAAEAIAAAAB4BAABkcnMvZTJvRG9jLnhtbFBLBQYAAAAABgAGAFkBAABxBQAAAAA=&#10;">
              <v:fill on="f" focussize="0,0"/>
              <v:stroke on="f"/>
              <v:imagedata o:title=""/>
              <o:lock v:ext="edit" aspectratio="f"/>
              <v:textbox inset="0mm,0mm,0mm,0mm" style="mso-fit-shape-to-text:t;">
                <w:txbxContent>
                  <w:p w14:paraId="59E85D5E">
                    <w:pPr>
                      <w:pStyle w:val="19"/>
                    </w:pPr>
                    <w:r>
                      <w:t xml:space="preserve">第 </w:t>
                    </w:r>
                    <w:r>
                      <w:fldChar w:fldCharType="begin"/>
                    </w:r>
                    <w:r>
                      <w:instrText xml:space="preserve"> PAGE  \* MERGEFORMAT </w:instrText>
                    </w:r>
                    <w:r>
                      <w:fldChar w:fldCharType="separate"/>
                    </w:r>
                    <w:r>
                      <w:t>13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D1FE3">
    <w:pPr>
      <w:pStyle w:val="19"/>
      <w:rPr>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492FB">
    <w:pPr>
      <w:pStyle w:val="19"/>
      <w:rPr>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CE373">
    <w:pPr>
      <w:pStyle w:val="19"/>
      <w:rPr>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F4222">
    <w:pPr>
      <w:pStyle w:val="21"/>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18F37">
    <w:pPr>
      <w:pStyle w:val="21"/>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E34F">
    <w:pPr>
      <w:pStyle w:val="21"/>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0EEE45"/>
    <w:multiLevelType w:val="singleLevel"/>
    <w:tmpl w:val="D30EEE45"/>
    <w:lvl w:ilvl="0" w:tentative="0">
      <w:start w:val="1"/>
      <w:numFmt w:val="bullet"/>
      <w:pStyle w:val="15"/>
      <w:lvlText w:val=""/>
      <w:lvlJc w:val="left"/>
      <w:pPr>
        <w:tabs>
          <w:tab w:val="left" w:pos="2040"/>
        </w:tabs>
        <w:ind w:left="2040" w:hanging="360"/>
      </w:pPr>
      <w:rPr>
        <w:rFonts w:hint="default" w:ascii="Wingdings" w:hAnsi="Wingdings"/>
      </w:rPr>
    </w:lvl>
  </w:abstractNum>
  <w:abstractNum w:abstractNumId="1">
    <w:nsid w:val="234A8827"/>
    <w:multiLevelType w:val="singleLevel"/>
    <w:tmpl w:val="234A8827"/>
    <w:lvl w:ilvl="0" w:tentative="0">
      <w:start w:val="5"/>
      <w:numFmt w:val="decimal"/>
      <w:suff w:val="nothing"/>
      <w:lvlText w:val="（%1）"/>
      <w:lvlJc w:val="left"/>
    </w:lvl>
  </w:abstractNum>
  <w:abstractNum w:abstractNumId="2">
    <w:nsid w:val="4A5B3C35"/>
    <w:multiLevelType w:val="singleLevel"/>
    <w:tmpl w:val="4A5B3C35"/>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kODI3NGIyYjk4NjQ0NWM5ZTc3OTA5YjQ5ODAxMTYifQ=="/>
  </w:docVars>
  <w:rsids>
    <w:rsidRoot w:val="00172A2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37FFC"/>
    <w:rsid w:val="00140FA8"/>
    <w:rsid w:val="00142FEB"/>
    <w:rsid w:val="00143A2D"/>
    <w:rsid w:val="00143A74"/>
    <w:rsid w:val="00145A41"/>
    <w:rsid w:val="00151675"/>
    <w:rsid w:val="00155118"/>
    <w:rsid w:val="00157435"/>
    <w:rsid w:val="0017504D"/>
    <w:rsid w:val="0017671A"/>
    <w:rsid w:val="00177422"/>
    <w:rsid w:val="00184590"/>
    <w:rsid w:val="00184E87"/>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C6F18"/>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0793"/>
    <w:rsid w:val="005D36AB"/>
    <w:rsid w:val="00617CC3"/>
    <w:rsid w:val="006377A6"/>
    <w:rsid w:val="00637A3D"/>
    <w:rsid w:val="006411EF"/>
    <w:rsid w:val="006748B8"/>
    <w:rsid w:val="006775C3"/>
    <w:rsid w:val="00686771"/>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76B8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519ED"/>
    <w:rsid w:val="00C61E4B"/>
    <w:rsid w:val="00C64BFF"/>
    <w:rsid w:val="00C704E9"/>
    <w:rsid w:val="00C763C9"/>
    <w:rsid w:val="00C80057"/>
    <w:rsid w:val="00C82232"/>
    <w:rsid w:val="00C823E1"/>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9F7"/>
    <w:rsid w:val="00D50A34"/>
    <w:rsid w:val="00D53EFA"/>
    <w:rsid w:val="00D94A7C"/>
    <w:rsid w:val="00D95896"/>
    <w:rsid w:val="00DA44AC"/>
    <w:rsid w:val="00DB2983"/>
    <w:rsid w:val="00DC1257"/>
    <w:rsid w:val="00DC3DC0"/>
    <w:rsid w:val="00DC5B2B"/>
    <w:rsid w:val="00DD318D"/>
    <w:rsid w:val="00DF2E12"/>
    <w:rsid w:val="00DF514A"/>
    <w:rsid w:val="00DF6690"/>
    <w:rsid w:val="00DF6804"/>
    <w:rsid w:val="00E0358D"/>
    <w:rsid w:val="00E04323"/>
    <w:rsid w:val="00E070A2"/>
    <w:rsid w:val="00E22F63"/>
    <w:rsid w:val="00E2656A"/>
    <w:rsid w:val="00E412D0"/>
    <w:rsid w:val="00E4605A"/>
    <w:rsid w:val="00E56322"/>
    <w:rsid w:val="00E60982"/>
    <w:rsid w:val="00E62C62"/>
    <w:rsid w:val="00E654C1"/>
    <w:rsid w:val="00E65D97"/>
    <w:rsid w:val="00E72A5A"/>
    <w:rsid w:val="00E73354"/>
    <w:rsid w:val="00E778E6"/>
    <w:rsid w:val="00E9242D"/>
    <w:rsid w:val="00E973BC"/>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2EBC"/>
    <w:rsid w:val="00F965DA"/>
    <w:rsid w:val="00FA406A"/>
    <w:rsid w:val="00FB503A"/>
    <w:rsid w:val="00FB516C"/>
    <w:rsid w:val="00FD0236"/>
    <w:rsid w:val="00FD18F4"/>
    <w:rsid w:val="00FD54DB"/>
    <w:rsid w:val="00FD619F"/>
    <w:rsid w:val="00FF1043"/>
    <w:rsid w:val="011B4B9B"/>
    <w:rsid w:val="01290F7E"/>
    <w:rsid w:val="01430C23"/>
    <w:rsid w:val="0143482E"/>
    <w:rsid w:val="014D3BED"/>
    <w:rsid w:val="015B4FE6"/>
    <w:rsid w:val="015D1E09"/>
    <w:rsid w:val="016376C0"/>
    <w:rsid w:val="01640C90"/>
    <w:rsid w:val="016F39F8"/>
    <w:rsid w:val="017334F1"/>
    <w:rsid w:val="017916D0"/>
    <w:rsid w:val="01896C15"/>
    <w:rsid w:val="018E3632"/>
    <w:rsid w:val="01983BA0"/>
    <w:rsid w:val="01B55611"/>
    <w:rsid w:val="01B601B3"/>
    <w:rsid w:val="01B80F92"/>
    <w:rsid w:val="01DB4184"/>
    <w:rsid w:val="01EA5390"/>
    <w:rsid w:val="01EA7B2D"/>
    <w:rsid w:val="01FD609D"/>
    <w:rsid w:val="02573FDF"/>
    <w:rsid w:val="02697903"/>
    <w:rsid w:val="026C7161"/>
    <w:rsid w:val="027E3FCE"/>
    <w:rsid w:val="02820FEC"/>
    <w:rsid w:val="02975077"/>
    <w:rsid w:val="02980763"/>
    <w:rsid w:val="02F216E6"/>
    <w:rsid w:val="02F96569"/>
    <w:rsid w:val="030C60C6"/>
    <w:rsid w:val="03182272"/>
    <w:rsid w:val="031C6C92"/>
    <w:rsid w:val="03400AAF"/>
    <w:rsid w:val="03407792"/>
    <w:rsid w:val="03476415"/>
    <w:rsid w:val="034A3564"/>
    <w:rsid w:val="039A23DE"/>
    <w:rsid w:val="03B40BEA"/>
    <w:rsid w:val="03B510E0"/>
    <w:rsid w:val="03C9524D"/>
    <w:rsid w:val="03D251BA"/>
    <w:rsid w:val="03D4173E"/>
    <w:rsid w:val="03EA7B21"/>
    <w:rsid w:val="04035DFD"/>
    <w:rsid w:val="04042536"/>
    <w:rsid w:val="040A4AA1"/>
    <w:rsid w:val="04273005"/>
    <w:rsid w:val="043B60E1"/>
    <w:rsid w:val="04786752"/>
    <w:rsid w:val="047A1C27"/>
    <w:rsid w:val="047F723D"/>
    <w:rsid w:val="04C95300"/>
    <w:rsid w:val="04D46966"/>
    <w:rsid w:val="050D3664"/>
    <w:rsid w:val="052A66BF"/>
    <w:rsid w:val="053721C4"/>
    <w:rsid w:val="056A380A"/>
    <w:rsid w:val="05750D9C"/>
    <w:rsid w:val="05917E75"/>
    <w:rsid w:val="05CA6C9C"/>
    <w:rsid w:val="05CC4C6B"/>
    <w:rsid w:val="05F15F19"/>
    <w:rsid w:val="05F15F91"/>
    <w:rsid w:val="05F83EAE"/>
    <w:rsid w:val="06384377"/>
    <w:rsid w:val="063E7D85"/>
    <w:rsid w:val="06642623"/>
    <w:rsid w:val="067E3047"/>
    <w:rsid w:val="069C4BB0"/>
    <w:rsid w:val="06A57EEB"/>
    <w:rsid w:val="06B30626"/>
    <w:rsid w:val="06BB2FAF"/>
    <w:rsid w:val="06EF3CC5"/>
    <w:rsid w:val="070525AC"/>
    <w:rsid w:val="07293586"/>
    <w:rsid w:val="07295285"/>
    <w:rsid w:val="07636392"/>
    <w:rsid w:val="076B5586"/>
    <w:rsid w:val="076E3F95"/>
    <w:rsid w:val="07747591"/>
    <w:rsid w:val="07770C56"/>
    <w:rsid w:val="077943D1"/>
    <w:rsid w:val="078F7797"/>
    <w:rsid w:val="07B3140E"/>
    <w:rsid w:val="07BE11A5"/>
    <w:rsid w:val="07FA1E49"/>
    <w:rsid w:val="0803189C"/>
    <w:rsid w:val="08065DCB"/>
    <w:rsid w:val="080C0DE8"/>
    <w:rsid w:val="08144141"/>
    <w:rsid w:val="0823590D"/>
    <w:rsid w:val="083D48CB"/>
    <w:rsid w:val="08585DDB"/>
    <w:rsid w:val="08824884"/>
    <w:rsid w:val="08A63489"/>
    <w:rsid w:val="08AD2C01"/>
    <w:rsid w:val="08B24E15"/>
    <w:rsid w:val="08DA6931"/>
    <w:rsid w:val="08DD07BC"/>
    <w:rsid w:val="08DF474E"/>
    <w:rsid w:val="08FD69D2"/>
    <w:rsid w:val="08FE58EC"/>
    <w:rsid w:val="090667B6"/>
    <w:rsid w:val="091D5CDA"/>
    <w:rsid w:val="092217DD"/>
    <w:rsid w:val="0935436E"/>
    <w:rsid w:val="093A7294"/>
    <w:rsid w:val="094524F5"/>
    <w:rsid w:val="0950696A"/>
    <w:rsid w:val="095F13EB"/>
    <w:rsid w:val="0960030C"/>
    <w:rsid w:val="0969226A"/>
    <w:rsid w:val="09B2328E"/>
    <w:rsid w:val="09B554AF"/>
    <w:rsid w:val="09BD07E3"/>
    <w:rsid w:val="09C0632E"/>
    <w:rsid w:val="09E007FE"/>
    <w:rsid w:val="09FE743C"/>
    <w:rsid w:val="0A034F9B"/>
    <w:rsid w:val="0A1A5341"/>
    <w:rsid w:val="0A2328C0"/>
    <w:rsid w:val="0A263993"/>
    <w:rsid w:val="0A2D3AC2"/>
    <w:rsid w:val="0A3379BD"/>
    <w:rsid w:val="0A446250"/>
    <w:rsid w:val="0A5C76C2"/>
    <w:rsid w:val="0A7C5969"/>
    <w:rsid w:val="0A8C2618"/>
    <w:rsid w:val="0AA755DF"/>
    <w:rsid w:val="0AB547C7"/>
    <w:rsid w:val="0ABB5A6B"/>
    <w:rsid w:val="0ABF3D6B"/>
    <w:rsid w:val="0ABF7BA8"/>
    <w:rsid w:val="0ACD0F93"/>
    <w:rsid w:val="0AE91C73"/>
    <w:rsid w:val="0AEE54A4"/>
    <w:rsid w:val="0B120D44"/>
    <w:rsid w:val="0B34050F"/>
    <w:rsid w:val="0B5438C8"/>
    <w:rsid w:val="0B616529"/>
    <w:rsid w:val="0BCB0FBA"/>
    <w:rsid w:val="0BCB68A3"/>
    <w:rsid w:val="0BD27BF6"/>
    <w:rsid w:val="0BF1322A"/>
    <w:rsid w:val="0BFD4CFB"/>
    <w:rsid w:val="0C0B1F21"/>
    <w:rsid w:val="0C2506CA"/>
    <w:rsid w:val="0C3B3C7D"/>
    <w:rsid w:val="0C57678A"/>
    <w:rsid w:val="0C657BA5"/>
    <w:rsid w:val="0C811890"/>
    <w:rsid w:val="0CA76521"/>
    <w:rsid w:val="0CAB2EAE"/>
    <w:rsid w:val="0CB54CB0"/>
    <w:rsid w:val="0CD01BBC"/>
    <w:rsid w:val="0CEB6AEF"/>
    <w:rsid w:val="0CF677BB"/>
    <w:rsid w:val="0D025841"/>
    <w:rsid w:val="0D621C7D"/>
    <w:rsid w:val="0D6E006D"/>
    <w:rsid w:val="0D7669AF"/>
    <w:rsid w:val="0D766D04"/>
    <w:rsid w:val="0DA27BAF"/>
    <w:rsid w:val="0DD856C5"/>
    <w:rsid w:val="0DE918C2"/>
    <w:rsid w:val="0DF62754"/>
    <w:rsid w:val="0DF66AF7"/>
    <w:rsid w:val="0E2F1429"/>
    <w:rsid w:val="0E324372"/>
    <w:rsid w:val="0E5B49C6"/>
    <w:rsid w:val="0E73034D"/>
    <w:rsid w:val="0E7A1E82"/>
    <w:rsid w:val="0EB16245"/>
    <w:rsid w:val="0EEC6D6F"/>
    <w:rsid w:val="0EFB173A"/>
    <w:rsid w:val="0F0B062C"/>
    <w:rsid w:val="0F13775A"/>
    <w:rsid w:val="0F242EBB"/>
    <w:rsid w:val="0F3639AF"/>
    <w:rsid w:val="0F437846"/>
    <w:rsid w:val="0F5F45FE"/>
    <w:rsid w:val="0F9A112B"/>
    <w:rsid w:val="0F9B0EE8"/>
    <w:rsid w:val="0FCD53EB"/>
    <w:rsid w:val="0FD52407"/>
    <w:rsid w:val="0FD66E76"/>
    <w:rsid w:val="0FE67DDE"/>
    <w:rsid w:val="0FF83141"/>
    <w:rsid w:val="10066F31"/>
    <w:rsid w:val="100920F1"/>
    <w:rsid w:val="100A75FC"/>
    <w:rsid w:val="102748C3"/>
    <w:rsid w:val="104D6004"/>
    <w:rsid w:val="10593DE8"/>
    <w:rsid w:val="106D2F64"/>
    <w:rsid w:val="107C4C75"/>
    <w:rsid w:val="109C74DE"/>
    <w:rsid w:val="10B63710"/>
    <w:rsid w:val="10EF4725"/>
    <w:rsid w:val="10F10820"/>
    <w:rsid w:val="10F20D97"/>
    <w:rsid w:val="110D0B98"/>
    <w:rsid w:val="111C2F7A"/>
    <w:rsid w:val="111D0BCD"/>
    <w:rsid w:val="11270CA0"/>
    <w:rsid w:val="11665CA1"/>
    <w:rsid w:val="11671785"/>
    <w:rsid w:val="119B7C46"/>
    <w:rsid w:val="11A74264"/>
    <w:rsid w:val="11DA5AB3"/>
    <w:rsid w:val="12222EE7"/>
    <w:rsid w:val="12280F14"/>
    <w:rsid w:val="12511B3B"/>
    <w:rsid w:val="126C329A"/>
    <w:rsid w:val="12AD5BDD"/>
    <w:rsid w:val="12E110C3"/>
    <w:rsid w:val="12EB06DC"/>
    <w:rsid w:val="12EC6E55"/>
    <w:rsid w:val="133B79AC"/>
    <w:rsid w:val="134C29E0"/>
    <w:rsid w:val="13512160"/>
    <w:rsid w:val="13570330"/>
    <w:rsid w:val="137643B2"/>
    <w:rsid w:val="137C6D37"/>
    <w:rsid w:val="13951726"/>
    <w:rsid w:val="13AD4436"/>
    <w:rsid w:val="13F02CA8"/>
    <w:rsid w:val="14172F0F"/>
    <w:rsid w:val="14255513"/>
    <w:rsid w:val="14277E69"/>
    <w:rsid w:val="143936D8"/>
    <w:rsid w:val="14396509"/>
    <w:rsid w:val="14583F67"/>
    <w:rsid w:val="14612725"/>
    <w:rsid w:val="148137BC"/>
    <w:rsid w:val="14825119"/>
    <w:rsid w:val="14BD6CDB"/>
    <w:rsid w:val="14C96593"/>
    <w:rsid w:val="14DB4F1F"/>
    <w:rsid w:val="14DD2C3C"/>
    <w:rsid w:val="152E39F3"/>
    <w:rsid w:val="153B7E81"/>
    <w:rsid w:val="159B5C42"/>
    <w:rsid w:val="15A226BC"/>
    <w:rsid w:val="15BC5CBA"/>
    <w:rsid w:val="15E81584"/>
    <w:rsid w:val="15FD30F9"/>
    <w:rsid w:val="16087E1D"/>
    <w:rsid w:val="164D719B"/>
    <w:rsid w:val="16582CFB"/>
    <w:rsid w:val="165B50DF"/>
    <w:rsid w:val="166565F0"/>
    <w:rsid w:val="16867BBE"/>
    <w:rsid w:val="168B3880"/>
    <w:rsid w:val="16A834AF"/>
    <w:rsid w:val="16FA0B9F"/>
    <w:rsid w:val="16FB24B5"/>
    <w:rsid w:val="17032EAA"/>
    <w:rsid w:val="17495BE3"/>
    <w:rsid w:val="17643773"/>
    <w:rsid w:val="17701D14"/>
    <w:rsid w:val="17735226"/>
    <w:rsid w:val="177C00C0"/>
    <w:rsid w:val="17835CBE"/>
    <w:rsid w:val="17A04F11"/>
    <w:rsid w:val="17BB4A89"/>
    <w:rsid w:val="17D77A08"/>
    <w:rsid w:val="183A54FD"/>
    <w:rsid w:val="189B47D1"/>
    <w:rsid w:val="189F624C"/>
    <w:rsid w:val="18D41B24"/>
    <w:rsid w:val="190F38EA"/>
    <w:rsid w:val="192B7810"/>
    <w:rsid w:val="195B1BCF"/>
    <w:rsid w:val="19717B4A"/>
    <w:rsid w:val="19877D0C"/>
    <w:rsid w:val="19A2391F"/>
    <w:rsid w:val="19B4308D"/>
    <w:rsid w:val="19B821DC"/>
    <w:rsid w:val="19C474F7"/>
    <w:rsid w:val="19EC385F"/>
    <w:rsid w:val="1A1C66C0"/>
    <w:rsid w:val="1A2F6BB8"/>
    <w:rsid w:val="1A42393B"/>
    <w:rsid w:val="1A442548"/>
    <w:rsid w:val="1A78612C"/>
    <w:rsid w:val="1A91407E"/>
    <w:rsid w:val="1AAD45DE"/>
    <w:rsid w:val="1AC80779"/>
    <w:rsid w:val="1B046F80"/>
    <w:rsid w:val="1B2E6E70"/>
    <w:rsid w:val="1B3267B5"/>
    <w:rsid w:val="1B40161D"/>
    <w:rsid w:val="1B441859"/>
    <w:rsid w:val="1B570174"/>
    <w:rsid w:val="1B6606B1"/>
    <w:rsid w:val="1B75356E"/>
    <w:rsid w:val="1B993D75"/>
    <w:rsid w:val="1BA17810"/>
    <w:rsid w:val="1BC9743F"/>
    <w:rsid w:val="1C031AAB"/>
    <w:rsid w:val="1C06121B"/>
    <w:rsid w:val="1C535684"/>
    <w:rsid w:val="1C560378"/>
    <w:rsid w:val="1C5741BE"/>
    <w:rsid w:val="1C5A33FB"/>
    <w:rsid w:val="1C5E7925"/>
    <w:rsid w:val="1C6C2656"/>
    <w:rsid w:val="1C906461"/>
    <w:rsid w:val="1CA64748"/>
    <w:rsid w:val="1CFD070F"/>
    <w:rsid w:val="1D091942"/>
    <w:rsid w:val="1D3458BB"/>
    <w:rsid w:val="1D436C02"/>
    <w:rsid w:val="1D526D36"/>
    <w:rsid w:val="1D5F6196"/>
    <w:rsid w:val="1D6132A5"/>
    <w:rsid w:val="1D6B2BEA"/>
    <w:rsid w:val="1D743F08"/>
    <w:rsid w:val="1D8B2FD7"/>
    <w:rsid w:val="1D8E56D5"/>
    <w:rsid w:val="1E112DC4"/>
    <w:rsid w:val="1E19683F"/>
    <w:rsid w:val="1E5C5955"/>
    <w:rsid w:val="1E7A43DA"/>
    <w:rsid w:val="1EA00084"/>
    <w:rsid w:val="1EA10A6E"/>
    <w:rsid w:val="1EC20EEE"/>
    <w:rsid w:val="1EC41A12"/>
    <w:rsid w:val="1ED1105F"/>
    <w:rsid w:val="1ED33FB6"/>
    <w:rsid w:val="1ED86686"/>
    <w:rsid w:val="1EE2660B"/>
    <w:rsid w:val="1F1D7927"/>
    <w:rsid w:val="1F523882"/>
    <w:rsid w:val="1F62335B"/>
    <w:rsid w:val="1F73092F"/>
    <w:rsid w:val="1F7D1081"/>
    <w:rsid w:val="1F853340"/>
    <w:rsid w:val="1FB21E1D"/>
    <w:rsid w:val="1FB97BF4"/>
    <w:rsid w:val="1FC13A80"/>
    <w:rsid w:val="1FE7539E"/>
    <w:rsid w:val="201D3C40"/>
    <w:rsid w:val="20473C0C"/>
    <w:rsid w:val="20671BE0"/>
    <w:rsid w:val="208223D8"/>
    <w:rsid w:val="208C08C0"/>
    <w:rsid w:val="2093383E"/>
    <w:rsid w:val="20963CB8"/>
    <w:rsid w:val="209B7F59"/>
    <w:rsid w:val="20A81A1B"/>
    <w:rsid w:val="20B07FB6"/>
    <w:rsid w:val="20B646FB"/>
    <w:rsid w:val="20D32226"/>
    <w:rsid w:val="20D57B53"/>
    <w:rsid w:val="20D80198"/>
    <w:rsid w:val="20E701EC"/>
    <w:rsid w:val="20EA1B5B"/>
    <w:rsid w:val="210E2C06"/>
    <w:rsid w:val="213B74B1"/>
    <w:rsid w:val="215A2310"/>
    <w:rsid w:val="21700193"/>
    <w:rsid w:val="217801AD"/>
    <w:rsid w:val="21D270C2"/>
    <w:rsid w:val="21D42BEE"/>
    <w:rsid w:val="21DE318A"/>
    <w:rsid w:val="21DF3919"/>
    <w:rsid w:val="21E80691"/>
    <w:rsid w:val="21EF5B80"/>
    <w:rsid w:val="21F229A5"/>
    <w:rsid w:val="21FC15D3"/>
    <w:rsid w:val="22223D21"/>
    <w:rsid w:val="222E3B06"/>
    <w:rsid w:val="22576990"/>
    <w:rsid w:val="22644EBF"/>
    <w:rsid w:val="22697778"/>
    <w:rsid w:val="22710E72"/>
    <w:rsid w:val="22890942"/>
    <w:rsid w:val="22AD438C"/>
    <w:rsid w:val="22B67E76"/>
    <w:rsid w:val="22BB43D7"/>
    <w:rsid w:val="22C97DB8"/>
    <w:rsid w:val="22CE51C0"/>
    <w:rsid w:val="22CF1D97"/>
    <w:rsid w:val="22E7557B"/>
    <w:rsid w:val="22E85C3E"/>
    <w:rsid w:val="22F47480"/>
    <w:rsid w:val="23212319"/>
    <w:rsid w:val="23A87B77"/>
    <w:rsid w:val="23BE2771"/>
    <w:rsid w:val="23C914A5"/>
    <w:rsid w:val="23D5257E"/>
    <w:rsid w:val="23DA5DE6"/>
    <w:rsid w:val="23DE1C48"/>
    <w:rsid w:val="23EB58D4"/>
    <w:rsid w:val="240210CD"/>
    <w:rsid w:val="24131151"/>
    <w:rsid w:val="24BF09F7"/>
    <w:rsid w:val="24C61989"/>
    <w:rsid w:val="24D738C2"/>
    <w:rsid w:val="24F855A6"/>
    <w:rsid w:val="25124BC4"/>
    <w:rsid w:val="25243780"/>
    <w:rsid w:val="252B0586"/>
    <w:rsid w:val="252D53FE"/>
    <w:rsid w:val="2546426E"/>
    <w:rsid w:val="25760785"/>
    <w:rsid w:val="25EA495E"/>
    <w:rsid w:val="25EC2D81"/>
    <w:rsid w:val="26031625"/>
    <w:rsid w:val="266A6479"/>
    <w:rsid w:val="2670344A"/>
    <w:rsid w:val="26790C29"/>
    <w:rsid w:val="267D680A"/>
    <w:rsid w:val="26AB4527"/>
    <w:rsid w:val="26BF5405"/>
    <w:rsid w:val="26C34DC9"/>
    <w:rsid w:val="26D122F6"/>
    <w:rsid w:val="27083E2B"/>
    <w:rsid w:val="272448B8"/>
    <w:rsid w:val="272723DC"/>
    <w:rsid w:val="273F7EC6"/>
    <w:rsid w:val="27663B3D"/>
    <w:rsid w:val="277057A2"/>
    <w:rsid w:val="27A972F0"/>
    <w:rsid w:val="27E64171"/>
    <w:rsid w:val="27EF5F6D"/>
    <w:rsid w:val="27F62EA2"/>
    <w:rsid w:val="28137241"/>
    <w:rsid w:val="2833607F"/>
    <w:rsid w:val="283E2C34"/>
    <w:rsid w:val="285756B2"/>
    <w:rsid w:val="28675B6B"/>
    <w:rsid w:val="28793E20"/>
    <w:rsid w:val="289675D2"/>
    <w:rsid w:val="289C7CAD"/>
    <w:rsid w:val="28A27C3B"/>
    <w:rsid w:val="28B5472C"/>
    <w:rsid w:val="28BB45EE"/>
    <w:rsid w:val="28E026ED"/>
    <w:rsid w:val="29206EB8"/>
    <w:rsid w:val="292813A2"/>
    <w:rsid w:val="29363ABF"/>
    <w:rsid w:val="294604C6"/>
    <w:rsid w:val="29595666"/>
    <w:rsid w:val="29674177"/>
    <w:rsid w:val="296E026C"/>
    <w:rsid w:val="29874881"/>
    <w:rsid w:val="298B057C"/>
    <w:rsid w:val="29A5666D"/>
    <w:rsid w:val="29D127F2"/>
    <w:rsid w:val="29E325E0"/>
    <w:rsid w:val="29F16C1E"/>
    <w:rsid w:val="29F8498F"/>
    <w:rsid w:val="2A344F53"/>
    <w:rsid w:val="2A452503"/>
    <w:rsid w:val="2AE25D46"/>
    <w:rsid w:val="2B0025EB"/>
    <w:rsid w:val="2B3A1BFB"/>
    <w:rsid w:val="2B5106E3"/>
    <w:rsid w:val="2B785FB3"/>
    <w:rsid w:val="2BA936A8"/>
    <w:rsid w:val="2BE740DD"/>
    <w:rsid w:val="2C297F68"/>
    <w:rsid w:val="2C2C7ABE"/>
    <w:rsid w:val="2C315A5A"/>
    <w:rsid w:val="2C4B1C25"/>
    <w:rsid w:val="2C6866E1"/>
    <w:rsid w:val="2C793C08"/>
    <w:rsid w:val="2C8405AA"/>
    <w:rsid w:val="2D022C3C"/>
    <w:rsid w:val="2D4C20AC"/>
    <w:rsid w:val="2D5B5374"/>
    <w:rsid w:val="2D6A0839"/>
    <w:rsid w:val="2D915768"/>
    <w:rsid w:val="2D9C228C"/>
    <w:rsid w:val="2D9E56F5"/>
    <w:rsid w:val="2DA41EA3"/>
    <w:rsid w:val="2DAA7ED2"/>
    <w:rsid w:val="2DB66F7C"/>
    <w:rsid w:val="2DD70495"/>
    <w:rsid w:val="2E02460C"/>
    <w:rsid w:val="2E2500E1"/>
    <w:rsid w:val="2E2957BF"/>
    <w:rsid w:val="2E3305CD"/>
    <w:rsid w:val="2E5F7614"/>
    <w:rsid w:val="2E667F96"/>
    <w:rsid w:val="2E8226AB"/>
    <w:rsid w:val="2E976DAE"/>
    <w:rsid w:val="2E987BA2"/>
    <w:rsid w:val="2EB575BC"/>
    <w:rsid w:val="2EDD7B2A"/>
    <w:rsid w:val="2EE16518"/>
    <w:rsid w:val="2F1D760E"/>
    <w:rsid w:val="2F2B5748"/>
    <w:rsid w:val="2F444187"/>
    <w:rsid w:val="2F94151F"/>
    <w:rsid w:val="2F961199"/>
    <w:rsid w:val="2F9667E5"/>
    <w:rsid w:val="2FC736C3"/>
    <w:rsid w:val="2FD065E6"/>
    <w:rsid w:val="2FD96870"/>
    <w:rsid w:val="30580BC9"/>
    <w:rsid w:val="30755827"/>
    <w:rsid w:val="307C0198"/>
    <w:rsid w:val="30896EF9"/>
    <w:rsid w:val="30FB54EF"/>
    <w:rsid w:val="30FC114A"/>
    <w:rsid w:val="310B330B"/>
    <w:rsid w:val="31134933"/>
    <w:rsid w:val="311E2ED7"/>
    <w:rsid w:val="312F2646"/>
    <w:rsid w:val="313D50A0"/>
    <w:rsid w:val="314375DE"/>
    <w:rsid w:val="315301E3"/>
    <w:rsid w:val="315619EE"/>
    <w:rsid w:val="315C449C"/>
    <w:rsid w:val="317472E0"/>
    <w:rsid w:val="319870E0"/>
    <w:rsid w:val="31B82709"/>
    <w:rsid w:val="31D05482"/>
    <w:rsid w:val="31D80A0D"/>
    <w:rsid w:val="32052DBD"/>
    <w:rsid w:val="32285F6F"/>
    <w:rsid w:val="322C3702"/>
    <w:rsid w:val="323E00A6"/>
    <w:rsid w:val="32400B34"/>
    <w:rsid w:val="326F4EC5"/>
    <w:rsid w:val="327318E0"/>
    <w:rsid w:val="329E6876"/>
    <w:rsid w:val="32AA5162"/>
    <w:rsid w:val="32B554CF"/>
    <w:rsid w:val="32CA2356"/>
    <w:rsid w:val="3300481C"/>
    <w:rsid w:val="33205539"/>
    <w:rsid w:val="333015F2"/>
    <w:rsid w:val="3333520C"/>
    <w:rsid w:val="334B6320"/>
    <w:rsid w:val="337A5126"/>
    <w:rsid w:val="33896692"/>
    <w:rsid w:val="33A65CE5"/>
    <w:rsid w:val="33AF3A55"/>
    <w:rsid w:val="33D073D4"/>
    <w:rsid w:val="33D934D4"/>
    <w:rsid w:val="33F149FD"/>
    <w:rsid w:val="33FE2F6A"/>
    <w:rsid w:val="340E07E5"/>
    <w:rsid w:val="342015F4"/>
    <w:rsid w:val="34235BF7"/>
    <w:rsid w:val="34265405"/>
    <w:rsid w:val="343D03F7"/>
    <w:rsid w:val="34426D28"/>
    <w:rsid w:val="344E4C28"/>
    <w:rsid w:val="345E1D54"/>
    <w:rsid w:val="34645B4B"/>
    <w:rsid w:val="34765E2B"/>
    <w:rsid w:val="34767465"/>
    <w:rsid w:val="348152B9"/>
    <w:rsid w:val="34BA1A48"/>
    <w:rsid w:val="34BD5279"/>
    <w:rsid w:val="34C763B6"/>
    <w:rsid w:val="35044781"/>
    <w:rsid w:val="3532573B"/>
    <w:rsid w:val="35355E46"/>
    <w:rsid w:val="353B7C61"/>
    <w:rsid w:val="355D61A3"/>
    <w:rsid w:val="358C5FA8"/>
    <w:rsid w:val="35AF12FD"/>
    <w:rsid w:val="35B46497"/>
    <w:rsid w:val="35BE5524"/>
    <w:rsid w:val="35C15DF1"/>
    <w:rsid w:val="35DF15F3"/>
    <w:rsid w:val="35F65B8B"/>
    <w:rsid w:val="35FE6840"/>
    <w:rsid w:val="36074A7F"/>
    <w:rsid w:val="364753E2"/>
    <w:rsid w:val="36486245"/>
    <w:rsid w:val="365F4953"/>
    <w:rsid w:val="36853990"/>
    <w:rsid w:val="36923549"/>
    <w:rsid w:val="36B75FBF"/>
    <w:rsid w:val="36BD0C45"/>
    <w:rsid w:val="36C4095C"/>
    <w:rsid w:val="36D026DB"/>
    <w:rsid w:val="371116C7"/>
    <w:rsid w:val="371D006C"/>
    <w:rsid w:val="379F09BA"/>
    <w:rsid w:val="37CA427B"/>
    <w:rsid w:val="37D47631"/>
    <w:rsid w:val="37E00298"/>
    <w:rsid w:val="37EB7469"/>
    <w:rsid w:val="37ED5D72"/>
    <w:rsid w:val="37EE1195"/>
    <w:rsid w:val="37F039D3"/>
    <w:rsid w:val="37FA18DB"/>
    <w:rsid w:val="38022CAF"/>
    <w:rsid w:val="383D3652"/>
    <w:rsid w:val="384415C1"/>
    <w:rsid w:val="3851621F"/>
    <w:rsid w:val="385900E4"/>
    <w:rsid w:val="386847F5"/>
    <w:rsid w:val="38692C75"/>
    <w:rsid w:val="388E23D2"/>
    <w:rsid w:val="389D610E"/>
    <w:rsid w:val="38AA03F2"/>
    <w:rsid w:val="38B302F9"/>
    <w:rsid w:val="38F12CD3"/>
    <w:rsid w:val="38F94775"/>
    <w:rsid w:val="38FC5100"/>
    <w:rsid w:val="38FE28DB"/>
    <w:rsid w:val="392971ED"/>
    <w:rsid w:val="39325651"/>
    <w:rsid w:val="39B473C3"/>
    <w:rsid w:val="39D70ADF"/>
    <w:rsid w:val="39E66E3B"/>
    <w:rsid w:val="39E9797F"/>
    <w:rsid w:val="3A034166"/>
    <w:rsid w:val="3A245508"/>
    <w:rsid w:val="3A872856"/>
    <w:rsid w:val="3AAF3EC3"/>
    <w:rsid w:val="3AD66EB0"/>
    <w:rsid w:val="3B367023"/>
    <w:rsid w:val="3B3763D1"/>
    <w:rsid w:val="3B5D6BB7"/>
    <w:rsid w:val="3B750999"/>
    <w:rsid w:val="3B914B85"/>
    <w:rsid w:val="3BE83061"/>
    <w:rsid w:val="3BE85570"/>
    <w:rsid w:val="3C1F3B93"/>
    <w:rsid w:val="3C2D0E01"/>
    <w:rsid w:val="3C2F6E1E"/>
    <w:rsid w:val="3C3157AD"/>
    <w:rsid w:val="3C377AE3"/>
    <w:rsid w:val="3C4D31A2"/>
    <w:rsid w:val="3C4F64BA"/>
    <w:rsid w:val="3C720E5A"/>
    <w:rsid w:val="3C943BC1"/>
    <w:rsid w:val="3CCA6B38"/>
    <w:rsid w:val="3CD30BB0"/>
    <w:rsid w:val="3CD4741F"/>
    <w:rsid w:val="3CDA245A"/>
    <w:rsid w:val="3CF55461"/>
    <w:rsid w:val="3D1E06B7"/>
    <w:rsid w:val="3D5442FD"/>
    <w:rsid w:val="3D646E47"/>
    <w:rsid w:val="3D8B5F3C"/>
    <w:rsid w:val="3DBD4357"/>
    <w:rsid w:val="3DD62FF8"/>
    <w:rsid w:val="3DE32814"/>
    <w:rsid w:val="3DEA6145"/>
    <w:rsid w:val="3DED5AA7"/>
    <w:rsid w:val="3DF144AD"/>
    <w:rsid w:val="3DFB311A"/>
    <w:rsid w:val="3E32588A"/>
    <w:rsid w:val="3E3C050B"/>
    <w:rsid w:val="3E7B7F85"/>
    <w:rsid w:val="3E834185"/>
    <w:rsid w:val="3EB421EA"/>
    <w:rsid w:val="3EBF69A2"/>
    <w:rsid w:val="3EC73DE7"/>
    <w:rsid w:val="3ED42521"/>
    <w:rsid w:val="3EDA0523"/>
    <w:rsid w:val="3F1D3A5D"/>
    <w:rsid w:val="3F325395"/>
    <w:rsid w:val="3F47528F"/>
    <w:rsid w:val="3FA63BA0"/>
    <w:rsid w:val="3FBF187D"/>
    <w:rsid w:val="3FD51FBC"/>
    <w:rsid w:val="3FD601A1"/>
    <w:rsid w:val="3FEC0355"/>
    <w:rsid w:val="3FF33D1E"/>
    <w:rsid w:val="3FF7137F"/>
    <w:rsid w:val="4000052B"/>
    <w:rsid w:val="400E2750"/>
    <w:rsid w:val="40247DE0"/>
    <w:rsid w:val="40534AFF"/>
    <w:rsid w:val="40711049"/>
    <w:rsid w:val="40754CC7"/>
    <w:rsid w:val="407A6407"/>
    <w:rsid w:val="40832F83"/>
    <w:rsid w:val="40AA02C8"/>
    <w:rsid w:val="40AE6A8A"/>
    <w:rsid w:val="40E9308C"/>
    <w:rsid w:val="40EC2330"/>
    <w:rsid w:val="40FD1E67"/>
    <w:rsid w:val="41344894"/>
    <w:rsid w:val="416239F8"/>
    <w:rsid w:val="4163290A"/>
    <w:rsid w:val="416A6A01"/>
    <w:rsid w:val="419B6A3A"/>
    <w:rsid w:val="41A50F7B"/>
    <w:rsid w:val="41B14153"/>
    <w:rsid w:val="41BE2545"/>
    <w:rsid w:val="41C2521B"/>
    <w:rsid w:val="4200449D"/>
    <w:rsid w:val="420430C3"/>
    <w:rsid w:val="423342AE"/>
    <w:rsid w:val="423A3BCC"/>
    <w:rsid w:val="424E57D2"/>
    <w:rsid w:val="42683BA7"/>
    <w:rsid w:val="42731F6D"/>
    <w:rsid w:val="42752714"/>
    <w:rsid w:val="428E1E1E"/>
    <w:rsid w:val="429733C9"/>
    <w:rsid w:val="42B26C49"/>
    <w:rsid w:val="42B41641"/>
    <w:rsid w:val="42B53145"/>
    <w:rsid w:val="42D55C9F"/>
    <w:rsid w:val="42E37E4B"/>
    <w:rsid w:val="4307659B"/>
    <w:rsid w:val="432038A6"/>
    <w:rsid w:val="433A6FE6"/>
    <w:rsid w:val="433B35E2"/>
    <w:rsid w:val="43480868"/>
    <w:rsid w:val="434F36B1"/>
    <w:rsid w:val="4350713C"/>
    <w:rsid w:val="436653E0"/>
    <w:rsid w:val="4374003E"/>
    <w:rsid w:val="43C4431A"/>
    <w:rsid w:val="43E11C99"/>
    <w:rsid w:val="43FE72B6"/>
    <w:rsid w:val="440C11EA"/>
    <w:rsid w:val="440E66BC"/>
    <w:rsid w:val="441A2E22"/>
    <w:rsid w:val="447A08AC"/>
    <w:rsid w:val="44801A7D"/>
    <w:rsid w:val="449E0CF9"/>
    <w:rsid w:val="44A2581D"/>
    <w:rsid w:val="44B951CC"/>
    <w:rsid w:val="44CC3306"/>
    <w:rsid w:val="44CD14E0"/>
    <w:rsid w:val="44EE6D77"/>
    <w:rsid w:val="44F20B0B"/>
    <w:rsid w:val="44F44409"/>
    <w:rsid w:val="44F46F7E"/>
    <w:rsid w:val="45234F5D"/>
    <w:rsid w:val="452E5F4C"/>
    <w:rsid w:val="455720DE"/>
    <w:rsid w:val="45612018"/>
    <w:rsid w:val="4569345D"/>
    <w:rsid w:val="458946E9"/>
    <w:rsid w:val="45A47C0E"/>
    <w:rsid w:val="45AE0F60"/>
    <w:rsid w:val="45D56D93"/>
    <w:rsid w:val="45E442F8"/>
    <w:rsid w:val="460D5E07"/>
    <w:rsid w:val="46247558"/>
    <w:rsid w:val="463317B5"/>
    <w:rsid w:val="46447E25"/>
    <w:rsid w:val="46577FD6"/>
    <w:rsid w:val="466967AA"/>
    <w:rsid w:val="467D4191"/>
    <w:rsid w:val="467E0FF8"/>
    <w:rsid w:val="46A34E3A"/>
    <w:rsid w:val="46D955A7"/>
    <w:rsid w:val="47021D67"/>
    <w:rsid w:val="47133957"/>
    <w:rsid w:val="471E7FD6"/>
    <w:rsid w:val="472A4869"/>
    <w:rsid w:val="4738011B"/>
    <w:rsid w:val="474D22E4"/>
    <w:rsid w:val="475F69AA"/>
    <w:rsid w:val="476561F7"/>
    <w:rsid w:val="476C6706"/>
    <w:rsid w:val="479C7DAA"/>
    <w:rsid w:val="47A07E0C"/>
    <w:rsid w:val="47A80CFF"/>
    <w:rsid w:val="484A4471"/>
    <w:rsid w:val="4870272E"/>
    <w:rsid w:val="488065A7"/>
    <w:rsid w:val="48983565"/>
    <w:rsid w:val="489C6EE7"/>
    <w:rsid w:val="490646C4"/>
    <w:rsid w:val="49276B29"/>
    <w:rsid w:val="494C41EC"/>
    <w:rsid w:val="49597D5E"/>
    <w:rsid w:val="495C4A44"/>
    <w:rsid w:val="497B77F5"/>
    <w:rsid w:val="49C01457"/>
    <w:rsid w:val="49DC7715"/>
    <w:rsid w:val="4A023139"/>
    <w:rsid w:val="4A0A4F59"/>
    <w:rsid w:val="4A1F66CB"/>
    <w:rsid w:val="4A3B288C"/>
    <w:rsid w:val="4A5D1D49"/>
    <w:rsid w:val="4A72331D"/>
    <w:rsid w:val="4A7B576F"/>
    <w:rsid w:val="4A9466A7"/>
    <w:rsid w:val="4AAE5890"/>
    <w:rsid w:val="4AC46D25"/>
    <w:rsid w:val="4ACD4A2D"/>
    <w:rsid w:val="4AD11442"/>
    <w:rsid w:val="4AF561A9"/>
    <w:rsid w:val="4AFB588F"/>
    <w:rsid w:val="4AFD30A0"/>
    <w:rsid w:val="4B09298A"/>
    <w:rsid w:val="4B2E7EB5"/>
    <w:rsid w:val="4B3642A7"/>
    <w:rsid w:val="4B6A57B1"/>
    <w:rsid w:val="4B7F5AA8"/>
    <w:rsid w:val="4BC230D9"/>
    <w:rsid w:val="4BCD40B9"/>
    <w:rsid w:val="4BDB1341"/>
    <w:rsid w:val="4BF15FC2"/>
    <w:rsid w:val="4C1E560B"/>
    <w:rsid w:val="4C1E7B16"/>
    <w:rsid w:val="4C4A0649"/>
    <w:rsid w:val="4C550AE2"/>
    <w:rsid w:val="4C7E5ECA"/>
    <w:rsid w:val="4C85771D"/>
    <w:rsid w:val="4C876AA5"/>
    <w:rsid w:val="4C990CB7"/>
    <w:rsid w:val="4CA14CC6"/>
    <w:rsid w:val="4CD103FF"/>
    <w:rsid w:val="4CEE7DBE"/>
    <w:rsid w:val="4CF65190"/>
    <w:rsid w:val="4D0E00FB"/>
    <w:rsid w:val="4D1037A9"/>
    <w:rsid w:val="4D176606"/>
    <w:rsid w:val="4D1A22DB"/>
    <w:rsid w:val="4D1E46F0"/>
    <w:rsid w:val="4D2A6BE7"/>
    <w:rsid w:val="4D3545FB"/>
    <w:rsid w:val="4D587AAA"/>
    <w:rsid w:val="4D60725B"/>
    <w:rsid w:val="4D6B6E5A"/>
    <w:rsid w:val="4D877542"/>
    <w:rsid w:val="4D8954B4"/>
    <w:rsid w:val="4DB93510"/>
    <w:rsid w:val="4DC37F47"/>
    <w:rsid w:val="4DD65825"/>
    <w:rsid w:val="4DDD2944"/>
    <w:rsid w:val="4DEC4FB0"/>
    <w:rsid w:val="4DFB3A9B"/>
    <w:rsid w:val="4E075D8A"/>
    <w:rsid w:val="4E0929FA"/>
    <w:rsid w:val="4E0A0EF3"/>
    <w:rsid w:val="4E3D18EA"/>
    <w:rsid w:val="4E402F39"/>
    <w:rsid w:val="4E64442F"/>
    <w:rsid w:val="4E6F3FAC"/>
    <w:rsid w:val="4EC00FAD"/>
    <w:rsid w:val="4EC933D2"/>
    <w:rsid w:val="4ECE0375"/>
    <w:rsid w:val="4EFC7539"/>
    <w:rsid w:val="4EFF1ECB"/>
    <w:rsid w:val="4F027E1C"/>
    <w:rsid w:val="4F0E4107"/>
    <w:rsid w:val="4F113C78"/>
    <w:rsid w:val="4F2002A2"/>
    <w:rsid w:val="4F56098E"/>
    <w:rsid w:val="4F6D041D"/>
    <w:rsid w:val="4F9843DC"/>
    <w:rsid w:val="4FB07891"/>
    <w:rsid w:val="4FC155E1"/>
    <w:rsid w:val="4FC3106B"/>
    <w:rsid w:val="4FC62A8C"/>
    <w:rsid w:val="4FC9056B"/>
    <w:rsid w:val="4FD97C73"/>
    <w:rsid w:val="4FE20F0D"/>
    <w:rsid w:val="4FE51552"/>
    <w:rsid w:val="4FFC0D0F"/>
    <w:rsid w:val="5011548D"/>
    <w:rsid w:val="502A2D3A"/>
    <w:rsid w:val="502D2C99"/>
    <w:rsid w:val="50504C4B"/>
    <w:rsid w:val="505948A8"/>
    <w:rsid w:val="50603790"/>
    <w:rsid w:val="508807F5"/>
    <w:rsid w:val="508B03BD"/>
    <w:rsid w:val="509A45FB"/>
    <w:rsid w:val="509C6E7C"/>
    <w:rsid w:val="50AF40AF"/>
    <w:rsid w:val="50B44A57"/>
    <w:rsid w:val="50B463F5"/>
    <w:rsid w:val="50B8571F"/>
    <w:rsid w:val="513B04A5"/>
    <w:rsid w:val="513B52F4"/>
    <w:rsid w:val="513F2E15"/>
    <w:rsid w:val="515B7336"/>
    <w:rsid w:val="5162104E"/>
    <w:rsid w:val="51933CEE"/>
    <w:rsid w:val="51DA1A18"/>
    <w:rsid w:val="51E774F5"/>
    <w:rsid w:val="51F577C4"/>
    <w:rsid w:val="52081D93"/>
    <w:rsid w:val="520C4007"/>
    <w:rsid w:val="5216109E"/>
    <w:rsid w:val="521C3407"/>
    <w:rsid w:val="522C03BA"/>
    <w:rsid w:val="522E563A"/>
    <w:rsid w:val="524D79CA"/>
    <w:rsid w:val="52504DAC"/>
    <w:rsid w:val="525200CA"/>
    <w:rsid w:val="5273151B"/>
    <w:rsid w:val="52B257AF"/>
    <w:rsid w:val="52DA3931"/>
    <w:rsid w:val="52E61183"/>
    <w:rsid w:val="53103DA2"/>
    <w:rsid w:val="532164E8"/>
    <w:rsid w:val="533E1C58"/>
    <w:rsid w:val="539B0516"/>
    <w:rsid w:val="53A039CC"/>
    <w:rsid w:val="53A1505A"/>
    <w:rsid w:val="53BF64EF"/>
    <w:rsid w:val="53E33F2B"/>
    <w:rsid w:val="54063E08"/>
    <w:rsid w:val="543437E8"/>
    <w:rsid w:val="546F73B0"/>
    <w:rsid w:val="54727F64"/>
    <w:rsid w:val="54C618EB"/>
    <w:rsid w:val="54D360F9"/>
    <w:rsid w:val="54DC0F01"/>
    <w:rsid w:val="54F73313"/>
    <w:rsid w:val="54F80955"/>
    <w:rsid w:val="55153AF9"/>
    <w:rsid w:val="552215EE"/>
    <w:rsid w:val="5533743C"/>
    <w:rsid w:val="555170A7"/>
    <w:rsid w:val="556060AD"/>
    <w:rsid w:val="556B4C68"/>
    <w:rsid w:val="557654B9"/>
    <w:rsid w:val="557C5334"/>
    <w:rsid w:val="5587536D"/>
    <w:rsid w:val="559B174B"/>
    <w:rsid w:val="55C620E4"/>
    <w:rsid w:val="55CE0CF4"/>
    <w:rsid w:val="55D3654B"/>
    <w:rsid w:val="55D86104"/>
    <w:rsid w:val="55DC1881"/>
    <w:rsid w:val="55E84A08"/>
    <w:rsid w:val="560B7D7B"/>
    <w:rsid w:val="56350CDD"/>
    <w:rsid w:val="566A39AB"/>
    <w:rsid w:val="566F5BA7"/>
    <w:rsid w:val="56751411"/>
    <w:rsid w:val="569C2C4A"/>
    <w:rsid w:val="56A96DCF"/>
    <w:rsid w:val="56AD2572"/>
    <w:rsid w:val="56B22A9C"/>
    <w:rsid w:val="56FF24DD"/>
    <w:rsid w:val="571570AE"/>
    <w:rsid w:val="571743CF"/>
    <w:rsid w:val="57763155"/>
    <w:rsid w:val="5787155C"/>
    <w:rsid w:val="578971D5"/>
    <w:rsid w:val="57915609"/>
    <w:rsid w:val="57B72A76"/>
    <w:rsid w:val="57C3426C"/>
    <w:rsid w:val="57CE1F93"/>
    <w:rsid w:val="57E01E2B"/>
    <w:rsid w:val="57E6539B"/>
    <w:rsid w:val="581806B0"/>
    <w:rsid w:val="5827686D"/>
    <w:rsid w:val="58293682"/>
    <w:rsid w:val="58624A48"/>
    <w:rsid w:val="58641614"/>
    <w:rsid w:val="58675250"/>
    <w:rsid w:val="586A008D"/>
    <w:rsid w:val="586B6C08"/>
    <w:rsid w:val="588743D1"/>
    <w:rsid w:val="5887701A"/>
    <w:rsid w:val="58893484"/>
    <w:rsid w:val="588C54E0"/>
    <w:rsid w:val="589A5609"/>
    <w:rsid w:val="58B1049A"/>
    <w:rsid w:val="58B2640F"/>
    <w:rsid w:val="58BA4871"/>
    <w:rsid w:val="590F1AB3"/>
    <w:rsid w:val="59154BEF"/>
    <w:rsid w:val="594F7EFC"/>
    <w:rsid w:val="597F3BD7"/>
    <w:rsid w:val="599F37FD"/>
    <w:rsid w:val="59C0439F"/>
    <w:rsid w:val="59CE0C32"/>
    <w:rsid w:val="59E61BDA"/>
    <w:rsid w:val="5A0A4028"/>
    <w:rsid w:val="5A164B12"/>
    <w:rsid w:val="5A1D3E56"/>
    <w:rsid w:val="5A1D40DF"/>
    <w:rsid w:val="5A297354"/>
    <w:rsid w:val="5A3840F9"/>
    <w:rsid w:val="5A3D5843"/>
    <w:rsid w:val="5A4C4641"/>
    <w:rsid w:val="5A545096"/>
    <w:rsid w:val="5A6172F4"/>
    <w:rsid w:val="5A6A0A65"/>
    <w:rsid w:val="5A6E782F"/>
    <w:rsid w:val="5A74617F"/>
    <w:rsid w:val="5AB13C9A"/>
    <w:rsid w:val="5ABE2233"/>
    <w:rsid w:val="5ADE50D9"/>
    <w:rsid w:val="5AED3DA9"/>
    <w:rsid w:val="5AF95C18"/>
    <w:rsid w:val="5B0604A9"/>
    <w:rsid w:val="5B072D06"/>
    <w:rsid w:val="5B36049E"/>
    <w:rsid w:val="5B983D7F"/>
    <w:rsid w:val="5B9923A8"/>
    <w:rsid w:val="5B997055"/>
    <w:rsid w:val="5BC81175"/>
    <w:rsid w:val="5BDF5D95"/>
    <w:rsid w:val="5BE11735"/>
    <w:rsid w:val="5BE26FCC"/>
    <w:rsid w:val="5BEF2437"/>
    <w:rsid w:val="5BF423AA"/>
    <w:rsid w:val="5BFE7528"/>
    <w:rsid w:val="5C02671D"/>
    <w:rsid w:val="5C0A5037"/>
    <w:rsid w:val="5C0E1934"/>
    <w:rsid w:val="5C3A263A"/>
    <w:rsid w:val="5C734107"/>
    <w:rsid w:val="5CA712FD"/>
    <w:rsid w:val="5CBD0D94"/>
    <w:rsid w:val="5CCC3817"/>
    <w:rsid w:val="5CE27FD6"/>
    <w:rsid w:val="5D403C8D"/>
    <w:rsid w:val="5D422C5E"/>
    <w:rsid w:val="5D585E0D"/>
    <w:rsid w:val="5D5E7B7C"/>
    <w:rsid w:val="5D942596"/>
    <w:rsid w:val="5DC518BE"/>
    <w:rsid w:val="5DC61726"/>
    <w:rsid w:val="5E011535"/>
    <w:rsid w:val="5E2467F1"/>
    <w:rsid w:val="5E290BF6"/>
    <w:rsid w:val="5EBB7FE7"/>
    <w:rsid w:val="5EBE32FB"/>
    <w:rsid w:val="5EDE3D8C"/>
    <w:rsid w:val="5EE569F7"/>
    <w:rsid w:val="5EFD01A0"/>
    <w:rsid w:val="5EFE055D"/>
    <w:rsid w:val="5F1A2B43"/>
    <w:rsid w:val="5F1A6ABC"/>
    <w:rsid w:val="5F331237"/>
    <w:rsid w:val="5F5C5FB8"/>
    <w:rsid w:val="5F5F42EF"/>
    <w:rsid w:val="5F617953"/>
    <w:rsid w:val="5F746F48"/>
    <w:rsid w:val="5F8261BE"/>
    <w:rsid w:val="5FB837BB"/>
    <w:rsid w:val="5FDA449D"/>
    <w:rsid w:val="605B6F38"/>
    <w:rsid w:val="606C1D25"/>
    <w:rsid w:val="60A653F7"/>
    <w:rsid w:val="60CC405A"/>
    <w:rsid w:val="60D94755"/>
    <w:rsid w:val="60E73507"/>
    <w:rsid w:val="610A1608"/>
    <w:rsid w:val="610A5A0A"/>
    <w:rsid w:val="610B0DB2"/>
    <w:rsid w:val="610F1876"/>
    <w:rsid w:val="615F18D2"/>
    <w:rsid w:val="61622F85"/>
    <w:rsid w:val="616E0189"/>
    <w:rsid w:val="61C40F61"/>
    <w:rsid w:val="61E215D8"/>
    <w:rsid w:val="61E73CCB"/>
    <w:rsid w:val="61F10792"/>
    <w:rsid w:val="61FD6A81"/>
    <w:rsid w:val="621B3775"/>
    <w:rsid w:val="62364782"/>
    <w:rsid w:val="629058CD"/>
    <w:rsid w:val="62A2083F"/>
    <w:rsid w:val="62D3471A"/>
    <w:rsid w:val="62E219DC"/>
    <w:rsid w:val="6318361B"/>
    <w:rsid w:val="631D3A7D"/>
    <w:rsid w:val="633609B5"/>
    <w:rsid w:val="63436C6C"/>
    <w:rsid w:val="63461BA8"/>
    <w:rsid w:val="634D7CDD"/>
    <w:rsid w:val="63546455"/>
    <w:rsid w:val="6394356A"/>
    <w:rsid w:val="63C01EF1"/>
    <w:rsid w:val="63C61B2C"/>
    <w:rsid w:val="63D40BE9"/>
    <w:rsid w:val="64100F25"/>
    <w:rsid w:val="64102431"/>
    <w:rsid w:val="642B25F1"/>
    <w:rsid w:val="6434130C"/>
    <w:rsid w:val="646D1D84"/>
    <w:rsid w:val="64A5243A"/>
    <w:rsid w:val="64F531DE"/>
    <w:rsid w:val="6506054F"/>
    <w:rsid w:val="651B655F"/>
    <w:rsid w:val="65373578"/>
    <w:rsid w:val="653B2028"/>
    <w:rsid w:val="65777DF1"/>
    <w:rsid w:val="65D5563F"/>
    <w:rsid w:val="65D93591"/>
    <w:rsid w:val="663743F7"/>
    <w:rsid w:val="66415276"/>
    <w:rsid w:val="665C1A40"/>
    <w:rsid w:val="668869C6"/>
    <w:rsid w:val="66C00249"/>
    <w:rsid w:val="66E912CE"/>
    <w:rsid w:val="670267B3"/>
    <w:rsid w:val="671F124A"/>
    <w:rsid w:val="67295336"/>
    <w:rsid w:val="677A33C6"/>
    <w:rsid w:val="677E4A3D"/>
    <w:rsid w:val="67B1772D"/>
    <w:rsid w:val="67BA0E3C"/>
    <w:rsid w:val="67BB0C58"/>
    <w:rsid w:val="67C92B46"/>
    <w:rsid w:val="680539D0"/>
    <w:rsid w:val="680C4A1E"/>
    <w:rsid w:val="680D3A0A"/>
    <w:rsid w:val="681D13CB"/>
    <w:rsid w:val="681F6961"/>
    <w:rsid w:val="68234D00"/>
    <w:rsid w:val="684B5528"/>
    <w:rsid w:val="68610A2F"/>
    <w:rsid w:val="68634D36"/>
    <w:rsid w:val="686D2352"/>
    <w:rsid w:val="68805514"/>
    <w:rsid w:val="68AA5354"/>
    <w:rsid w:val="68C27821"/>
    <w:rsid w:val="69316E2F"/>
    <w:rsid w:val="694E2071"/>
    <w:rsid w:val="696057C7"/>
    <w:rsid w:val="69766163"/>
    <w:rsid w:val="697A3B33"/>
    <w:rsid w:val="697A5D95"/>
    <w:rsid w:val="698B41CE"/>
    <w:rsid w:val="6990423B"/>
    <w:rsid w:val="6997112D"/>
    <w:rsid w:val="69993FCA"/>
    <w:rsid w:val="69A31AC2"/>
    <w:rsid w:val="69B5367B"/>
    <w:rsid w:val="69D01CB0"/>
    <w:rsid w:val="69D44760"/>
    <w:rsid w:val="69F525FF"/>
    <w:rsid w:val="69F82AD9"/>
    <w:rsid w:val="69FA38D8"/>
    <w:rsid w:val="6A1B568C"/>
    <w:rsid w:val="6A2D0AE1"/>
    <w:rsid w:val="6A4E717B"/>
    <w:rsid w:val="6A520EC7"/>
    <w:rsid w:val="6A566FF1"/>
    <w:rsid w:val="6A5E6FD9"/>
    <w:rsid w:val="6A6034B6"/>
    <w:rsid w:val="6A850FBA"/>
    <w:rsid w:val="6A9D49BC"/>
    <w:rsid w:val="6AA71349"/>
    <w:rsid w:val="6AD62431"/>
    <w:rsid w:val="6AE23ECC"/>
    <w:rsid w:val="6AE7593C"/>
    <w:rsid w:val="6AF87E20"/>
    <w:rsid w:val="6AFB3D82"/>
    <w:rsid w:val="6B2B0C6F"/>
    <w:rsid w:val="6B322639"/>
    <w:rsid w:val="6B870E53"/>
    <w:rsid w:val="6B887AE4"/>
    <w:rsid w:val="6B94610F"/>
    <w:rsid w:val="6BA53BB1"/>
    <w:rsid w:val="6BBE4C73"/>
    <w:rsid w:val="6BBE6587"/>
    <w:rsid w:val="6BCB0634"/>
    <w:rsid w:val="6BCE3E36"/>
    <w:rsid w:val="6C357F07"/>
    <w:rsid w:val="6C5C5CC3"/>
    <w:rsid w:val="6C636C38"/>
    <w:rsid w:val="6C6D5603"/>
    <w:rsid w:val="6CA6415F"/>
    <w:rsid w:val="6CA8537B"/>
    <w:rsid w:val="6CAD0471"/>
    <w:rsid w:val="6CBA6373"/>
    <w:rsid w:val="6CC30FB0"/>
    <w:rsid w:val="6CD575F4"/>
    <w:rsid w:val="6CFB0696"/>
    <w:rsid w:val="6D001DC1"/>
    <w:rsid w:val="6D131A02"/>
    <w:rsid w:val="6D1445DF"/>
    <w:rsid w:val="6D1C15FF"/>
    <w:rsid w:val="6D251E2D"/>
    <w:rsid w:val="6DA65193"/>
    <w:rsid w:val="6DAB31AB"/>
    <w:rsid w:val="6DB34098"/>
    <w:rsid w:val="6DB545B6"/>
    <w:rsid w:val="6DE02FB4"/>
    <w:rsid w:val="6DF22BF9"/>
    <w:rsid w:val="6DF42BCE"/>
    <w:rsid w:val="6E06271B"/>
    <w:rsid w:val="6E397395"/>
    <w:rsid w:val="6E514CED"/>
    <w:rsid w:val="6E6331D7"/>
    <w:rsid w:val="6E90674D"/>
    <w:rsid w:val="6E921AF9"/>
    <w:rsid w:val="6EB563D5"/>
    <w:rsid w:val="6EC1275C"/>
    <w:rsid w:val="6ED92677"/>
    <w:rsid w:val="6EEA73EF"/>
    <w:rsid w:val="6EFC4430"/>
    <w:rsid w:val="6F225983"/>
    <w:rsid w:val="6F4C29A7"/>
    <w:rsid w:val="6F4D07E7"/>
    <w:rsid w:val="6F576C7D"/>
    <w:rsid w:val="6F7E04C0"/>
    <w:rsid w:val="6F9B2726"/>
    <w:rsid w:val="6FE0165C"/>
    <w:rsid w:val="6FF14E7B"/>
    <w:rsid w:val="6FFC5590"/>
    <w:rsid w:val="70057314"/>
    <w:rsid w:val="70121A48"/>
    <w:rsid w:val="703F769A"/>
    <w:rsid w:val="705D28F3"/>
    <w:rsid w:val="706109EE"/>
    <w:rsid w:val="706D1DD0"/>
    <w:rsid w:val="70792114"/>
    <w:rsid w:val="70856B87"/>
    <w:rsid w:val="709335E5"/>
    <w:rsid w:val="70A81133"/>
    <w:rsid w:val="70B7060E"/>
    <w:rsid w:val="70D527EE"/>
    <w:rsid w:val="70EB0A99"/>
    <w:rsid w:val="71192BBF"/>
    <w:rsid w:val="712B6536"/>
    <w:rsid w:val="71455BB5"/>
    <w:rsid w:val="714D518E"/>
    <w:rsid w:val="71552F4B"/>
    <w:rsid w:val="715B5300"/>
    <w:rsid w:val="716B1322"/>
    <w:rsid w:val="718763DA"/>
    <w:rsid w:val="71996E5C"/>
    <w:rsid w:val="71D27F8A"/>
    <w:rsid w:val="720F447A"/>
    <w:rsid w:val="721D3A56"/>
    <w:rsid w:val="72203C6A"/>
    <w:rsid w:val="724A7260"/>
    <w:rsid w:val="72533FC6"/>
    <w:rsid w:val="72553024"/>
    <w:rsid w:val="729B319F"/>
    <w:rsid w:val="72D3107D"/>
    <w:rsid w:val="72E81B6F"/>
    <w:rsid w:val="73122968"/>
    <w:rsid w:val="731F5D5E"/>
    <w:rsid w:val="734E1ABB"/>
    <w:rsid w:val="73503E25"/>
    <w:rsid w:val="735C5A70"/>
    <w:rsid w:val="736557FF"/>
    <w:rsid w:val="737547B1"/>
    <w:rsid w:val="73920D98"/>
    <w:rsid w:val="739304F1"/>
    <w:rsid w:val="73AD3F4B"/>
    <w:rsid w:val="73C51AD5"/>
    <w:rsid w:val="73D1561D"/>
    <w:rsid w:val="73E02104"/>
    <w:rsid w:val="74167A1B"/>
    <w:rsid w:val="741E793C"/>
    <w:rsid w:val="74244001"/>
    <w:rsid w:val="742908E5"/>
    <w:rsid w:val="745E3944"/>
    <w:rsid w:val="74A46DCF"/>
    <w:rsid w:val="74F31206"/>
    <w:rsid w:val="754017B1"/>
    <w:rsid w:val="75890BF2"/>
    <w:rsid w:val="75A2539B"/>
    <w:rsid w:val="75A35F9C"/>
    <w:rsid w:val="75BB0CC1"/>
    <w:rsid w:val="75CF2D70"/>
    <w:rsid w:val="75D51C10"/>
    <w:rsid w:val="75E85DE3"/>
    <w:rsid w:val="75F800E7"/>
    <w:rsid w:val="7615573D"/>
    <w:rsid w:val="76221502"/>
    <w:rsid w:val="7635099D"/>
    <w:rsid w:val="763E179A"/>
    <w:rsid w:val="76586A4C"/>
    <w:rsid w:val="765C6418"/>
    <w:rsid w:val="768740BE"/>
    <w:rsid w:val="76AC18F5"/>
    <w:rsid w:val="76C30C21"/>
    <w:rsid w:val="76C92E49"/>
    <w:rsid w:val="76D353A7"/>
    <w:rsid w:val="76DE799C"/>
    <w:rsid w:val="76E220B0"/>
    <w:rsid w:val="771258C7"/>
    <w:rsid w:val="772418F7"/>
    <w:rsid w:val="773A43A6"/>
    <w:rsid w:val="776D717F"/>
    <w:rsid w:val="77762421"/>
    <w:rsid w:val="779F2A68"/>
    <w:rsid w:val="77A64F39"/>
    <w:rsid w:val="77B56B1F"/>
    <w:rsid w:val="77E5503D"/>
    <w:rsid w:val="780F09F4"/>
    <w:rsid w:val="781641AB"/>
    <w:rsid w:val="781D71EE"/>
    <w:rsid w:val="78264F27"/>
    <w:rsid w:val="783267CC"/>
    <w:rsid w:val="783C3826"/>
    <w:rsid w:val="78561357"/>
    <w:rsid w:val="786077DD"/>
    <w:rsid w:val="788469DE"/>
    <w:rsid w:val="7892260E"/>
    <w:rsid w:val="78A90480"/>
    <w:rsid w:val="78FE4458"/>
    <w:rsid w:val="79217ACA"/>
    <w:rsid w:val="794E5888"/>
    <w:rsid w:val="7979463E"/>
    <w:rsid w:val="7979710A"/>
    <w:rsid w:val="799913BC"/>
    <w:rsid w:val="79C54412"/>
    <w:rsid w:val="79CC731F"/>
    <w:rsid w:val="79D77D74"/>
    <w:rsid w:val="79E5390D"/>
    <w:rsid w:val="7A1563A6"/>
    <w:rsid w:val="7A1D3357"/>
    <w:rsid w:val="7A2A57A4"/>
    <w:rsid w:val="7A364017"/>
    <w:rsid w:val="7A366932"/>
    <w:rsid w:val="7A3B1790"/>
    <w:rsid w:val="7A636CBB"/>
    <w:rsid w:val="7A6F443F"/>
    <w:rsid w:val="7A8265E1"/>
    <w:rsid w:val="7AA37E55"/>
    <w:rsid w:val="7AC15EF1"/>
    <w:rsid w:val="7AC810FF"/>
    <w:rsid w:val="7AE65481"/>
    <w:rsid w:val="7AE70BAE"/>
    <w:rsid w:val="7B5A3695"/>
    <w:rsid w:val="7B686D42"/>
    <w:rsid w:val="7B841746"/>
    <w:rsid w:val="7B973632"/>
    <w:rsid w:val="7BC840BF"/>
    <w:rsid w:val="7C0A3A7B"/>
    <w:rsid w:val="7C2C1B15"/>
    <w:rsid w:val="7C36002D"/>
    <w:rsid w:val="7C3F595C"/>
    <w:rsid w:val="7C4102C5"/>
    <w:rsid w:val="7C5B6663"/>
    <w:rsid w:val="7C6C5AC7"/>
    <w:rsid w:val="7C6D1059"/>
    <w:rsid w:val="7C7A2FBA"/>
    <w:rsid w:val="7CA70FDE"/>
    <w:rsid w:val="7CB87F1F"/>
    <w:rsid w:val="7CC6544B"/>
    <w:rsid w:val="7CE41388"/>
    <w:rsid w:val="7CF60C26"/>
    <w:rsid w:val="7D0239FF"/>
    <w:rsid w:val="7D373EFC"/>
    <w:rsid w:val="7D4E22FA"/>
    <w:rsid w:val="7D513B99"/>
    <w:rsid w:val="7D5401D3"/>
    <w:rsid w:val="7D5E40CD"/>
    <w:rsid w:val="7D605F6B"/>
    <w:rsid w:val="7D845D1C"/>
    <w:rsid w:val="7DCD56F2"/>
    <w:rsid w:val="7DF72574"/>
    <w:rsid w:val="7E270957"/>
    <w:rsid w:val="7E2C33E7"/>
    <w:rsid w:val="7E6F3123"/>
    <w:rsid w:val="7E843AFA"/>
    <w:rsid w:val="7E9462D1"/>
    <w:rsid w:val="7E9E37FB"/>
    <w:rsid w:val="7EDD7F4E"/>
    <w:rsid w:val="7EDE62FA"/>
    <w:rsid w:val="7EE36DFC"/>
    <w:rsid w:val="7EF706D4"/>
    <w:rsid w:val="7F001CE7"/>
    <w:rsid w:val="7F1E3F4E"/>
    <w:rsid w:val="7F2855BB"/>
    <w:rsid w:val="7F323CC5"/>
    <w:rsid w:val="7F3B70FF"/>
    <w:rsid w:val="7F3E29B0"/>
    <w:rsid w:val="7F595278"/>
    <w:rsid w:val="7F5F07EF"/>
    <w:rsid w:val="7F7E7BDA"/>
    <w:rsid w:val="7F9871D5"/>
    <w:rsid w:val="7FC4140C"/>
    <w:rsid w:val="7FE47E50"/>
    <w:rsid w:val="7FFF3A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nhideWhenUsed="0" w:uiPriority="0" w:semiHidden="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semiHidden="0" w:name="caption" w:locked="1"/>
    <w:lsdException w:qFormat="1" w:uiPriority="99" w:semiHidden="0" w:name="table of figures" w:locked="1"/>
    <w:lsdException w:unhideWhenUsed="0" w:uiPriority="0" w:semiHidden="0" w:name="envelope address" w:locked="1"/>
    <w:lsdException w:qFormat="1" w:unhideWhenUsed="0" w:uiPriority="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qFormat="1"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qFormat="1"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qFormat="1"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40"/>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51"/>
    <w:unhideWhenUsed/>
    <w:qFormat/>
    <w:locked/>
    <w:uiPriority w:val="0"/>
    <w:pPr>
      <w:keepNext/>
      <w:keepLines/>
      <w:spacing w:before="120" w:after="120"/>
      <w:ind w:firstLine="0" w:firstLineChars="0"/>
      <w:jc w:val="left"/>
      <w:outlineLvl w:val="1"/>
    </w:pPr>
    <w:rPr>
      <w:rFonts w:ascii="Arial" w:hAnsi="Arial" w:cs="Times New Roman"/>
      <w:b/>
      <w:sz w:val="30"/>
    </w:rPr>
  </w:style>
  <w:style w:type="paragraph" w:styleId="4">
    <w:name w:val="heading 3"/>
    <w:basedOn w:val="1"/>
    <w:next w:val="1"/>
    <w:qFormat/>
    <w:locked/>
    <w:uiPriority w:val="0"/>
    <w:pPr>
      <w:keepNext/>
      <w:keepLines/>
      <w:outlineLvl w:val="2"/>
    </w:pPr>
    <w:rPr>
      <w:sz w:val="28"/>
    </w:rPr>
  </w:style>
  <w:style w:type="paragraph" w:styleId="5">
    <w:name w:val="heading 4"/>
    <w:basedOn w:val="1"/>
    <w:next w:val="1"/>
    <w:qFormat/>
    <w:locked/>
    <w:uiPriority w:val="0"/>
    <w:pPr>
      <w:keepNext/>
      <w:keepLines/>
      <w:spacing w:line="360" w:lineRule="auto"/>
      <w:outlineLvl w:val="3"/>
    </w:pPr>
    <w:rPr>
      <w:rFonts w:ascii="Times New Roman" w:hAnsi="Times New Roman" w:eastAsia="黑体" w:cs="Times New Roman"/>
      <w:b/>
      <w:bCs/>
      <w:color w:val="000000"/>
      <w:sz w:val="24"/>
      <w:szCs w:val="28"/>
    </w:rPr>
  </w:style>
  <w:style w:type="paragraph" w:styleId="6">
    <w:name w:val="heading 6"/>
    <w:basedOn w:val="1"/>
    <w:next w:val="1"/>
    <w:qFormat/>
    <w:locked/>
    <w:uiPriority w:val="0"/>
    <w:pPr>
      <w:keepNext/>
      <w:keepLines/>
      <w:spacing w:before="240" w:after="64" w:line="320" w:lineRule="auto"/>
      <w:outlineLvl w:val="5"/>
    </w:pPr>
    <w:rPr>
      <w:rFonts w:ascii="Cambria" w:hAnsi="Cambria"/>
      <w:b/>
      <w:bCs/>
      <w:sz w:val="24"/>
      <w:szCs w:val="24"/>
    </w:rPr>
  </w:style>
  <w:style w:type="character" w:default="1" w:styleId="33">
    <w:name w:val="Default Paragraph Font"/>
    <w:semiHidden/>
    <w:qFormat/>
    <w:uiPriority w:val="0"/>
  </w:style>
  <w:style w:type="table" w:default="1" w:styleId="3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qFormat/>
    <w:locked/>
    <w:uiPriority w:val="0"/>
    <w:pPr>
      <w:ind w:firstLine="200" w:firstLineChars="200"/>
    </w:pPr>
  </w:style>
  <w:style w:type="paragraph" w:styleId="8">
    <w:name w:val="caption"/>
    <w:basedOn w:val="1"/>
    <w:next w:val="1"/>
    <w:unhideWhenUsed/>
    <w:qFormat/>
    <w:locked/>
    <w:uiPriority w:val="0"/>
    <w:rPr>
      <w:rFonts w:ascii="Arial" w:hAnsi="Arial" w:eastAsia="黑体" w:cs="Times New Roman"/>
      <w:sz w:val="20"/>
      <w:szCs w:val="20"/>
    </w:rPr>
  </w:style>
  <w:style w:type="paragraph" w:styleId="9">
    <w:name w:val="toa heading"/>
    <w:basedOn w:val="1"/>
    <w:next w:val="1"/>
    <w:qFormat/>
    <w:locked/>
    <w:uiPriority w:val="0"/>
    <w:pPr>
      <w:spacing w:before="120" w:beforeLines="0" w:beforeAutospacing="0"/>
    </w:pPr>
    <w:rPr>
      <w:rFonts w:ascii="Arial" w:hAnsi="Arial"/>
      <w:sz w:val="24"/>
    </w:rPr>
  </w:style>
  <w:style w:type="paragraph" w:styleId="10">
    <w:name w:val="annotation text"/>
    <w:basedOn w:val="1"/>
    <w:link w:val="43"/>
    <w:semiHidden/>
    <w:qFormat/>
    <w:uiPriority w:val="0"/>
    <w:pPr>
      <w:jc w:val="left"/>
    </w:pPr>
    <w:rPr>
      <w:kern w:val="0"/>
      <w:sz w:val="24"/>
      <w:szCs w:val="20"/>
    </w:rPr>
  </w:style>
  <w:style w:type="paragraph" w:styleId="11">
    <w:name w:val="Body Text"/>
    <w:basedOn w:val="1"/>
    <w:link w:val="44"/>
    <w:qFormat/>
    <w:uiPriority w:val="0"/>
    <w:pPr>
      <w:widowControl/>
      <w:snapToGrid w:val="0"/>
      <w:spacing w:before="60" w:after="160" w:line="259" w:lineRule="auto"/>
      <w:ind w:right="113"/>
    </w:pPr>
    <w:rPr>
      <w:kern w:val="0"/>
      <w:sz w:val="18"/>
      <w:szCs w:val="20"/>
    </w:rPr>
  </w:style>
  <w:style w:type="paragraph" w:styleId="12">
    <w:name w:val="Body Text Indent"/>
    <w:basedOn w:val="1"/>
    <w:next w:val="1"/>
    <w:link w:val="42"/>
    <w:qFormat/>
    <w:uiPriority w:val="0"/>
    <w:pPr>
      <w:spacing w:after="120"/>
      <w:ind w:left="420" w:leftChars="200"/>
    </w:pPr>
    <w:rPr>
      <w:kern w:val="0"/>
      <w:sz w:val="24"/>
      <w:szCs w:val="20"/>
    </w:rPr>
  </w:style>
  <w:style w:type="paragraph" w:styleId="13">
    <w:name w:val="Block Text"/>
    <w:basedOn w:val="1"/>
    <w:qFormat/>
    <w:locked/>
    <w:uiPriority w:val="0"/>
    <w:pPr>
      <w:spacing w:line="400" w:lineRule="exact"/>
      <w:ind w:leftChars="138" w:rightChars="138" w:firstLine="504" w:firstLineChars="200"/>
    </w:pPr>
    <w:rPr>
      <w:color w:val="FF0000"/>
      <w:szCs w:val="24"/>
    </w:rPr>
  </w:style>
  <w:style w:type="paragraph" w:styleId="14">
    <w:name w:val="Plain Text"/>
    <w:basedOn w:val="1"/>
    <w:qFormat/>
    <w:locked/>
    <w:uiPriority w:val="0"/>
    <w:rPr>
      <w:rFonts w:ascii="宋体"/>
    </w:rPr>
  </w:style>
  <w:style w:type="paragraph" w:styleId="15">
    <w:name w:val="List Bullet 5"/>
    <w:basedOn w:val="1"/>
    <w:qFormat/>
    <w:locked/>
    <w:uiPriority w:val="0"/>
    <w:pPr>
      <w:numPr>
        <w:ilvl w:val="0"/>
        <w:numId w:val="1"/>
      </w:numPr>
    </w:pPr>
  </w:style>
  <w:style w:type="paragraph" w:styleId="16">
    <w:name w:val="Date"/>
    <w:basedOn w:val="1"/>
    <w:next w:val="1"/>
    <w:link w:val="45"/>
    <w:qFormat/>
    <w:uiPriority w:val="0"/>
    <w:pPr>
      <w:ind w:left="100" w:leftChars="2500"/>
    </w:pPr>
    <w:rPr>
      <w:kern w:val="0"/>
      <w:sz w:val="24"/>
      <w:szCs w:val="20"/>
    </w:rPr>
  </w:style>
  <w:style w:type="paragraph" w:styleId="17">
    <w:name w:val="Body Text Indent 2"/>
    <w:basedOn w:val="1"/>
    <w:next w:val="1"/>
    <w:qFormat/>
    <w:locked/>
    <w:uiPriority w:val="0"/>
    <w:pPr>
      <w:spacing w:line="600" w:lineRule="exact"/>
      <w:ind w:firstLine="600"/>
    </w:pPr>
    <w:rPr>
      <w:rFonts w:eastAsia="仿宋"/>
      <w:color w:val="000000"/>
      <w:kern w:val="1"/>
      <w:sz w:val="30"/>
    </w:rPr>
  </w:style>
  <w:style w:type="paragraph" w:styleId="18">
    <w:name w:val="Balloon Text"/>
    <w:basedOn w:val="1"/>
    <w:link w:val="46"/>
    <w:semiHidden/>
    <w:qFormat/>
    <w:uiPriority w:val="0"/>
    <w:rPr>
      <w:kern w:val="0"/>
      <w:sz w:val="18"/>
      <w:szCs w:val="20"/>
    </w:rPr>
  </w:style>
  <w:style w:type="paragraph" w:styleId="19">
    <w:name w:val="footer"/>
    <w:basedOn w:val="1"/>
    <w:link w:val="47"/>
    <w:qFormat/>
    <w:uiPriority w:val="99"/>
    <w:pPr>
      <w:tabs>
        <w:tab w:val="center" w:pos="4153"/>
        <w:tab w:val="right" w:pos="8306"/>
      </w:tabs>
      <w:snapToGrid w:val="0"/>
      <w:jc w:val="left"/>
    </w:pPr>
    <w:rPr>
      <w:kern w:val="0"/>
      <w:sz w:val="18"/>
      <w:szCs w:val="20"/>
    </w:rPr>
  </w:style>
  <w:style w:type="paragraph" w:styleId="20">
    <w:name w:val="envelope return"/>
    <w:basedOn w:val="1"/>
    <w:semiHidden/>
    <w:qFormat/>
    <w:locked/>
    <w:uiPriority w:val="0"/>
    <w:pPr>
      <w:snapToGrid w:val="0"/>
    </w:pPr>
    <w:rPr>
      <w:rFonts w:ascii="Arial" w:hAnsi="Arial" w:cs="Arial"/>
    </w:rPr>
  </w:style>
  <w:style w:type="paragraph" w:styleId="21">
    <w:name w:val="header"/>
    <w:basedOn w:val="1"/>
    <w:link w:val="48"/>
    <w:qFormat/>
    <w:uiPriority w:val="0"/>
    <w:pPr>
      <w:pBdr>
        <w:bottom w:val="single" w:color="auto" w:sz="6" w:space="1"/>
      </w:pBdr>
      <w:tabs>
        <w:tab w:val="center" w:pos="4153"/>
        <w:tab w:val="right" w:pos="8306"/>
      </w:tabs>
      <w:snapToGrid w:val="0"/>
      <w:jc w:val="center"/>
    </w:pPr>
    <w:rPr>
      <w:kern w:val="0"/>
      <w:sz w:val="18"/>
      <w:szCs w:val="20"/>
    </w:rPr>
  </w:style>
  <w:style w:type="paragraph" w:styleId="22">
    <w:name w:val="toc 1"/>
    <w:basedOn w:val="1"/>
    <w:next w:val="1"/>
    <w:qFormat/>
    <w:locked/>
    <w:uiPriority w:val="0"/>
  </w:style>
  <w:style w:type="paragraph" w:styleId="23">
    <w:name w:val="List"/>
    <w:basedOn w:val="1"/>
    <w:qFormat/>
    <w:locked/>
    <w:uiPriority w:val="0"/>
    <w:pPr>
      <w:ind w:left="200" w:hanging="200" w:hangingChars="200"/>
      <w:contextualSpacing/>
    </w:pPr>
  </w:style>
  <w:style w:type="paragraph" w:styleId="24">
    <w:name w:val="table of figures"/>
    <w:basedOn w:val="1"/>
    <w:next w:val="1"/>
    <w:unhideWhenUsed/>
    <w:qFormat/>
    <w:locked/>
    <w:uiPriority w:val="99"/>
    <w:pPr>
      <w:spacing w:line="240" w:lineRule="auto"/>
      <w:ind w:left="200" w:leftChars="200" w:hanging="200" w:hangingChars="200"/>
      <w:jc w:val="both"/>
    </w:pPr>
    <w:rPr>
      <w:rFonts w:eastAsia="MS Gothic"/>
      <w:sz w:val="21"/>
      <w:szCs w:val="21"/>
    </w:rPr>
  </w:style>
  <w:style w:type="paragraph" w:styleId="25">
    <w:name w:val="toc 2"/>
    <w:basedOn w:val="1"/>
    <w:next w:val="1"/>
    <w:qFormat/>
    <w:locked/>
    <w:uiPriority w:val="39"/>
    <w:pPr>
      <w:widowControl/>
      <w:spacing w:line="240" w:lineRule="auto"/>
      <w:ind w:left="200" w:leftChars="200"/>
    </w:pPr>
    <w:rPr>
      <w:szCs w:val="24"/>
    </w:rPr>
  </w:style>
  <w:style w:type="paragraph" w:styleId="26">
    <w:name w:val="Normal (Web)"/>
    <w:basedOn w:val="1"/>
    <w:link w:val="49"/>
    <w:qFormat/>
    <w:uiPriority w:val="0"/>
    <w:pPr>
      <w:widowControl/>
      <w:spacing w:before="100" w:beforeAutospacing="1" w:after="100" w:afterAutospacing="1"/>
      <w:jc w:val="left"/>
    </w:pPr>
    <w:rPr>
      <w:rFonts w:ascii="宋体" w:hAnsi="宋体"/>
      <w:kern w:val="0"/>
      <w:sz w:val="24"/>
      <w:szCs w:val="20"/>
    </w:rPr>
  </w:style>
  <w:style w:type="paragraph" w:styleId="27">
    <w:name w:val="annotation subject"/>
    <w:basedOn w:val="10"/>
    <w:next w:val="10"/>
    <w:link w:val="50"/>
    <w:semiHidden/>
    <w:qFormat/>
    <w:uiPriority w:val="0"/>
    <w:rPr>
      <w:b/>
      <w:sz w:val="24"/>
      <w:szCs w:val="20"/>
    </w:rPr>
  </w:style>
  <w:style w:type="paragraph" w:styleId="28">
    <w:name w:val="Body Text First Indent"/>
    <w:basedOn w:val="1"/>
    <w:next w:val="1"/>
    <w:qFormat/>
    <w:locked/>
    <w:uiPriority w:val="0"/>
    <w:pPr>
      <w:widowControl w:val="0"/>
      <w:snapToGrid/>
      <w:spacing w:before="0" w:line="360" w:lineRule="auto"/>
      <w:ind w:right="0" w:firstLine="200" w:firstLineChars="200"/>
    </w:pPr>
    <w:rPr>
      <w:kern w:val="2"/>
      <w:sz w:val="24"/>
      <w:szCs w:val="24"/>
    </w:rPr>
  </w:style>
  <w:style w:type="paragraph" w:styleId="29">
    <w:name w:val="Body Text First Indent 2"/>
    <w:basedOn w:val="12"/>
    <w:qFormat/>
    <w:locked/>
    <w:uiPriority w:val="0"/>
    <w:pPr>
      <w:ind w:firstLine="200" w:firstLineChars="200"/>
    </w:pPr>
  </w:style>
  <w:style w:type="table" w:styleId="31">
    <w:name w:val="Table Grid"/>
    <w:basedOn w:val="30"/>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2">
    <w:name w:val="Table Theme"/>
    <w:basedOn w:val="30"/>
    <w:qFormat/>
    <w:locked/>
    <w:uiPriority w:val="0"/>
    <w:pPr>
      <w:widowControl w:val="0"/>
      <w:adjustRightInd w:val="0"/>
      <w:snapToGrid w:val="0"/>
      <w:spacing w:line="240" w:lineRule="atLeast"/>
      <w:jc w:val="center"/>
    </w:pPr>
    <w:rPr>
      <w:sz w:val="18"/>
    </w:rPr>
    <w:tblPr>
      <w:tblBorders>
        <w:top w:val="single" w:color="auto" w:sz="12" w:space="0"/>
        <w:bottom w:val="single" w:color="auto" w:sz="12" w:space="0"/>
        <w:insideH w:val="single" w:color="auto" w:sz="4" w:space="0"/>
        <w:insideV w:val="single" w:color="auto" w:sz="4" w:space="0"/>
      </w:tblBorders>
    </w:tblPr>
    <w:tcPr>
      <w:vAlign w:val="center"/>
    </w:tcPr>
  </w:style>
  <w:style w:type="character" w:styleId="34">
    <w:name w:val="Strong"/>
    <w:basedOn w:val="33"/>
    <w:qFormat/>
    <w:locked/>
    <w:uiPriority w:val="0"/>
    <w:rPr>
      <w:b/>
    </w:rPr>
  </w:style>
  <w:style w:type="character" w:styleId="35">
    <w:name w:val="page number"/>
    <w:qFormat/>
    <w:locked/>
    <w:uiPriority w:val="0"/>
  </w:style>
  <w:style w:type="character" w:styleId="36">
    <w:name w:val="Hyperlink"/>
    <w:basedOn w:val="33"/>
    <w:qFormat/>
    <w:locked/>
    <w:uiPriority w:val="0"/>
    <w:rPr>
      <w:color w:val="0000FF"/>
      <w:u w:val="single"/>
    </w:rPr>
  </w:style>
  <w:style w:type="character" w:styleId="37">
    <w:name w:val="annotation reference"/>
    <w:semiHidden/>
    <w:qFormat/>
    <w:uiPriority w:val="0"/>
    <w:rPr>
      <w:sz w:val="21"/>
    </w:rPr>
  </w:style>
  <w:style w:type="paragraph" w:customStyle="1" w:styleId="38">
    <w:name w:val="Default"/>
    <w:basedOn w:val="39"/>
    <w:qFormat/>
    <w:uiPriority w:val="99"/>
    <w:pPr>
      <w:widowControl w:val="0"/>
      <w:autoSpaceDE w:val="0"/>
      <w:autoSpaceDN w:val="0"/>
    </w:pPr>
    <w:rPr>
      <w:rFonts w:ascii="宋体" w:hAnsi="Calibri" w:eastAsia="宋体" w:cs="宋体"/>
      <w:color w:val="000000"/>
      <w:kern w:val="2"/>
      <w:sz w:val="24"/>
      <w:szCs w:val="24"/>
      <w:lang w:val="en-US" w:eastAsia="zh-CN" w:bidi="ar-SA"/>
    </w:rPr>
  </w:style>
  <w:style w:type="paragraph" w:customStyle="1" w:styleId="39">
    <w:name w:val="纯文本1"/>
    <w:basedOn w:val="1"/>
    <w:next w:val="1"/>
    <w:qFormat/>
    <w:uiPriority w:val="0"/>
    <w:pPr>
      <w:adjustRightInd w:val="0"/>
    </w:pPr>
    <w:rPr>
      <w:rFonts w:hAnsi="Courier New"/>
      <w:szCs w:val="20"/>
    </w:rPr>
  </w:style>
  <w:style w:type="character" w:customStyle="1" w:styleId="40">
    <w:name w:val="标题 1 Char"/>
    <w:link w:val="2"/>
    <w:qFormat/>
    <w:uiPriority w:val="99"/>
    <w:rPr>
      <w:rFonts w:eastAsia="黑体"/>
      <w:b/>
      <w:bCs/>
      <w:color w:val="000000"/>
      <w:kern w:val="44"/>
      <w:sz w:val="30"/>
      <w:szCs w:val="30"/>
    </w:rPr>
  </w:style>
  <w:style w:type="character" w:customStyle="1" w:styleId="41">
    <w:name w:val="标题 2 Char1"/>
    <w:link w:val="3"/>
    <w:qFormat/>
    <w:uiPriority w:val="0"/>
    <w:rPr>
      <w:rFonts w:ascii="Arial" w:hAnsi="Arial" w:eastAsia="黑体"/>
      <w:b/>
      <w:sz w:val="32"/>
    </w:rPr>
  </w:style>
  <w:style w:type="character" w:customStyle="1" w:styleId="42">
    <w:name w:val="正文文本缩进 Char"/>
    <w:link w:val="12"/>
    <w:semiHidden/>
    <w:qFormat/>
    <w:locked/>
    <w:uiPriority w:val="0"/>
    <w:rPr>
      <w:rFonts w:ascii="Times New Roman" w:hAnsi="Times New Roman" w:eastAsia="宋体"/>
      <w:sz w:val="24"/>
    </w:rPr>
  </w:style>
  <w:style w:type="character" w:customStyle="1" w:styleId="43">
    <w:name w:val="批注文字 Char"/>
    <w:link w:val="10"/>
    <w:qFormat/>
    <w:locked/>
    <w:uiPriority w:val="0"/>
    <w:rPr>
      <w:rFonts w:ascii="Times New Roman" w:hAnsi="Times New Roman" w:eastAsia="宋体"/>
      <w:sz w:val="24"/>
    </w:rPr>
  </w:style>
  <w:style w:type="character" w:customStyle="1" w:styleId="44">
    <w:name w:val="正文文本 Char"/>
    <w:link w:val="11"/>
    <w:qFormat/>
    <w:locked/>
    <w:uiPriority w:val="0"/>
    <w:rPr>
      <w:sz w:val="18"/>
    </w:rPr>
  </w:style>
  <w:style w:type="character" w:customStyle="1" w:styleId="45">
    <w:name w:val="日期 Char"/>
    <w:link w:val="16"/>
    <w:qFormat/>
    <w:locked/>
    <w:uiPriority w:val="0"/>
    <w:rPr>
      <w:rFonts w:ascii="Times New Roman" w:hAnsi="Times New Roman" w:eastAsia="宋体"/>
      <w:sz w:val="24"/>
    </w:rPr>
  </w:style>
  <w:style w:type="character" w:customStyle="1" w:styleId="46">
    <w:name w:val="批注框文本 Char"/>
    <w:link w:val="18"/>
    <w:semiHidden/>
    <w:qFormat/>
    <w:locked/>
    <w:uiPriority w:val="0"/>
    <w:rPr>
      <w:rFonts w:ascii="Times New Roman" w:hAnsi="Times New Roman" w:eastAsia="宋体"/>
      <w:sz w:val="18"/>
    </w:rPr>
  </w:style>
  <w:style w:type="character" w:customStyle="1" w:styleId="47">
    <w:name w:val="页脚 Char"/>
    <w:link w:val="19"/>
    <w:qFormat/>
    <w:locked/>
    <w:uiPriority w:val="99"/>
    <w:rPr>
      <w:sz w:val="18"/>
    </w:rPr>
  </w:style>
  <w:style w:type="character" w:customStyle="1" w:styleId="48">
    <w:name w:val="页眉 Char"/>
    <w:link w:val="21"/>
    <w:qFormat/>
    <w:locked/>
    <w:uiPriority w:val="0"/>
    <w:rPr>
      <w:sz w:val="18"/>
    </w:rPr>
  </w:style>
  <w:style w:type="character" w:customStyle="1" w:styleId="49">
    <w:name w:val="普通(网站) Char"/>
    <w:link w:val="26"/>
    <w:qFormat/>
    <w:locked/>
    <w:uiPriority w:val="0"/>
    <w:rPr>
      <w:rFonts w:ascii="宋体" w:hAnsi="宋体" w:eastAsia="宋体"/>
      <w:sz w:val="24"/>
    </w:rPr>
  </w:style>
  <w:style w:type="character" w:customStyle="1" w:styleId="50">
    <w:name w:val="批注主题 Char"/>
    <w:link w:val="27"/>
    <w:semiHidden/>
    <w:qFormat/>
    <w:locked/>
    <w:uiPriority w:val="0"/>
    <w:rPr>
      <w:rFonts w:ascii="Times New Roman" w:hAnsi="Times New Roman" w:eastAsia="宋体"/>
      <w:b/>
      <w:kern w:val="2"/>
      <w:sz w:val="24"/>
    </w:rPr>
  </w:style>
  <w:style w:type="character" w:customStyle="1" w:styleId="51">
    <w:name w:val="标题 2 Char"/>
    <w:basedOn w:val="33"/>
    <w:link w:val="3"/>
    <w:qFormat/>
    <w:uiPriority w:val="0"/>
    <w:rPr>
      <w:rFonts w:ascii="Arial" w:hAnsi="Arial" w:cs="Times New Roman"/>
      <w:b/>
      <w:sz w:val="30"/>
    </w:rPr>
  </w:style>
  <w:style w:type="paragraph" w:customStyle="1" w:styleId="52">
    <w:name w:val="文本"/>
    <w:basedOn w:val="1"/>
    <w:next w:val="1"/>
    <w:qFormat/>
    <w:uiPriority w:val="0"/>
    <w:pPr>
      <w:autoSpaceDE w:val="0"/>
      <w:autoSpaceDN w:val="0"/>
      <w:ind w:firstLine="480"/>
    </w:pPr>
    <w:rPr>
      <w:rFonts w:cs="Times New Roman"/>
      <w:szCs w:val="24"/>
      <w:lang w:val="zh-CN"/>
    </w:rPr>
  </w:style>
  <w:style w:type="character" w:customStyle="1" w:styleId="53">
    <w:name w:val="页脚 字符"/>
    <w:qFormat/>
    <w:uiPriority w:val="99"/>
  </w:style>
  <w:style w:type="character" w:customStyle="1" w:styleId="54">
    <w:name w:val="正文文本 字符1"/>
    <w:semiHidden/>
    <w:qFormat/>
    <w:uiPriority w:val="0"/>
    <w:rPr>
      <w:rFonts w:ascii="Times New Roman" w:hAnsi="Times New Roman" w:eastAsia="宋体"/>
      <w:sz w:val="24"/>
    </w:rPr>
  </w:style>
  <w:style w:type="character" w:customStyle="1" w:styleId="55">
    <w:name w:val="表格 Char"/>
    <w:link w:val="56"/>
    <w:qFormat/>
    <w:locked/>
    <w:uiPriority w:val="0"/>
    <w:rPr>
      <w:rFonts w:ascii="宋体"/>
      <w:sz w:val="21"/>
    </w:rPr>
  </w:style>
  <w:style w:type="paragraph" w:customStyle="1" w:styleId="56">
    <w:name w:val="表格"/>
    <w:basedOn w:val="7"/>
    <w:link w:val="55"/>
    <w:qFormat/>
    <w:uiPriority w:val="0"/>
    <w:pPr>
      <w:adjustRightInd w:val="0"/>
      <w:snapToGrid w:val="0"/>
      <w:spacing w:beforeLines="10" w:afterLines="10" w:line="259" w:lineRule="auto"/>
      <w:jc w:val="center"/>
    </w:pPr>
    <w:rPr>
      <w:rFonts w:ascii="宋体"/>
      <w:kern w:val="0"/>
      <w:szCs w:val="20"/>
    </w:rPr>
  </w:style>
  <w:style w:type="paragraph" w:customStyle="1" w:styleId="57">
    <w:name w:val="表头"/>
    <w:basedOn w:val="23"/>
    <w:next w:val="1"/>
    <w:qFormat/>
    <w:uiPriority w:val="0"/>
    <w:pPr>
      <w:ind w:firstLine="0" w:firstLineChars="0"/>
      <w:jc w:val="center"/>
    </w:pPr>
    <w:rPr>
      <w:rFonts w:ascii="黑体" w:hAnsi="黑体" w:eastAsia="黑体"/>
    </w:rPr>
  </w:style>
  <w:style w:type="paragraph" w:customStyle="1" w:styleId="58">
    <w:name w:val="正文1"/>
    <w:basedOn w:val="1"/>
    <w:qFormat/>
    <w:uiPriority w:val="99"/>
    <w:pPr>
      <w:adjustRightInd w:val="0"/>
      <w:ind w:firstLine="567"/>
      <w:jc w:val="center"/>
      <w:textAlignment w:val="baseline"/>
    </w:pPr>
  </w:style>
  <w:style w:type="paragraph" w:customStyle="1" w:styleId="59">
    <w:name w:val="注"/>
    <w:basedOn w:val="1"/>
    <w:qFormat/>
    <w:uiPriority w:val="99"/>
    <w:pPr>
      <w:spacing w:line="240" w:lineRule="auto"/>
      <w:ind w:firstLine="0" w:firstLineChars="0"/>
    </w:pPr>
    <w:rPr>
      <w:sz w:val="18"/>
    </w:rPr>
  </w:style>
  <w:style w:type="character" w:customStyle="1" w:styleId="60">
    <w:name w:val="日期 字符"/>
    <w:semiHidden/>
    <w:qFormat/>
    <w:uiPriority w:val="0"/>
    <w:rPr>
      <w:rFonts w:ascii="Times New Roman" w:hAnsi="Times New Roman" w:eastAsia="宋体"/>
      <w:sz w:val="24"/>
    </w:rPr>
  </w:style>
  <w:style w:type="character" w:customStyle="1" w:styleId="61">
    <w:name w:val="批注文字 字符1"/>
    <w:semiHidden/>
    <w:qFormat/>
    <w:uiPriority w:val="0"/>
    <w:rPr>
      <w:rFonts w:ascii="Times New Roman" w:hAnsi="Times New Roman" w:eastAsia="宋体"/>
      <w:sz w:val="24"/>
    </w:rPr>
  </w:style>
  <w:style w:type="paragraph" w:customStyle="1" w:styleId="62">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3">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4">
    <w:name w:val="环评表格"/>
    <w:basedOn w:val="1"/>
    <w:qFormat/>
    <w:uiPriority w:val="0"/>
    <w:pPr>
      <w:pBdr>
        <w:top w:val="none" w:color="auto" w:sz="0" w:space="1"/>
        <w:left w:val="none" w:color="auto" w:sz="0" w:space="4"/>
        <w:bottom w:val="none" w:color="auto" w:sz="0" w:space="1"/>
        <w:right w:val="none" w:color="auto" w:sz="0" w:space="4"/>
      </w:pBdr>
      <w:jc w:val="center"/>
    </w:pPr>
    <w:rPr>
      <w:rFonts w:ascii="Times New Roman" w:hAnsi="Times New Roman" w:eastAsia="宋体" w:cs="Times New Roman"/>
      <w:szCs w:val="28"/>
    </w:rPr>
  </w:style>
  <w:style w:type="paragraph" w:customStyle="1" w:styleId="65">
    <w:name w:val="万马"/>
    <w:basedOn w:val="1"/>
    <w:qFormat/>
    <w:uiPriority w:val="0"/>
    <w:pPr>
      <w:adjustRightInd/>
      <w:snapToGrid/>
      <w:spacing w:line="360" w:lineRule="auto"/>
      <w:ind w:firstLine="200" w:firstLineChars="200"/>
      <w:jc w:val="left"/>
    </w:pPr>
    <w:rPr>
      <w:rFonts w:ascii="宋体" w:eastAsia="宋体" w:cs="宋体"/>
      <w:bCs/>
      <w:sz w:val="24"/>
      <w:szCs w:val="21"/>
    </w:rPr>
  </w:style>
  <w:style w:type="paragraph" w:customStyle="1" w:styleId="66">
    <w:name w:val="至科正文"/>
    <w:basedOn w:val="1"/>
    <w:qFormat/>
    <w:uiPriority w:val="0"/>
    <w:pPr>
      <w:adjustRightInd/>
      <w:snapToGrid/>
      <w:spacing w:line="360" w:lineRule="auto"/>
      <w:ind w:firstLine="720" w:firstLineChars="200"/>
      <w:jc w:val="left"/>
    </w:pPr>
    <w:rPr>
      <w:rFonts w:ascii="宋体" w:hAnsi="宋体" w:eastAsia="宋体" w:cs="宋体"/>
      <w:bCs/>
      <w:sz w:val="24"/>
      <w:szCs w:val="21"/>
    </w:rPr>
  </w:style>
  <w:style w:type="character" w:customStyle="1" w:styleId="67">
    <w:name w:val="正文首行缩进2个字 Char"/>
    <w:link w:val="68"/>
    <w:qFormat/>
    <w:uiPriority w:val="0"/>
    <w:rPr>
      <w:spacing w:val="3"/>
      <w:sz w:val="24"/>
    </w:rPr>
  </w:style>
  <w:style w:type="paragraph" w:customStyle="1" w:styleId="68">
    <w:name w:val="正文首行缩进2个字"/>
    <w:basedOn w:val="1"/>
    <w:link w:val="67"/>
    <w:semiHidden/>
    <w:qFormat/>
    <w:uiPriority w:val="0"/>
    <w:pPr>
      <w:spacing w:line="360" w:lineRule="auto"/>
      <w:ind w:firstLine="200" w:firstLineChars="200"/>
    </w:pPr>
    <w:rPr>
      <w:spacing w:val="3"/>
      <w:sz w:val="24"/>
    </w:rPr>
  </w:style>
  <w:style w:type="paragraph" w:customStyle="1" w:styleId="69">
    <w:name w:val="环评正文"/>
    <w:basedOn w:val="1"/>
    <w:qFormat/>
    <w:uiPriority w:val="0"/>
    <w:pPr>
      <w:ind w:firstLine="560"/>
      <w:jc w:val="left"/>
    </w:pPr>
    <w:rPr>
      <w:rFonts w:ascii="Times New Roman" w:hAnsi="Times New Roman" w:cs="Times New Roman"/>
      <w:szCs w:val="28"/>
    </w:rPr>
  </w:style>
  <w:style w:type="paragraph" w:customStyle="1" w:styleId="70">
    <w:name w:val="资禹"/>
    <w:basedOn w:val="1"/>
    <w:qFormat/>
    <w:uiPriority w:val="0"/>
    <w:pPr>
      <w:autoSpaceDE w:val="0"/>
      <w:autoSpaceDN w:val="0"/>
      <w:adjustRightInd/>
      <w:snapToGrid/>
      <w:spacing w:line="360" w:lineRule="auto"/>
      <w:ind w:firstLine="720" w:firstLineChars="200"/>
    </w:pPr>
    <w:rPr>
      <w:rFonts w:ascii="宋体" w:hAnsi="宋体" w:eastAsia="宋体" w:cs="宋体"/>
      <w:kern w:val="0"/>
      <w:sz w:val="24"/>
      <w:szCs w:val="21"/>
    </w:rPr>
  </w:style>
  <w:style w:type="paragraph" w:customStyle="1" w:styleId="71">
    <w:name w:val="333正文"/>
    <w:basedOn w:val="1"/>
    <w:qFormat/>
    <w:uiPriority w:val="0"/>
    <w:pPr>
      <w:spacing w:line="360" w:lineRule="auto"/>
      <w:ind w:firstLine="1440" w:firstLineChars="200"/>
      <w:jc w:val="left"/>
    </w:pPr>
    <w:rPr>
      <w:rFonts w:ascii="Times New Roman" w:hAnsi="Times New Roman" w:eastAsia="宋体"/>
      <w:sz w:val="24"/>
    </w:rPr>
  </w:style>
  <w:style w:type="paragraph" w:customStyle="1" w:styleId="72">
    <w:name w:val="环评表头"/>
    <w:basedOn w:val="1"/>
    <w:qFormat/>
    <w:uiPriority w:val="0"/>
    <w:pPr>
      <w:jc w:val="center"/>
    </w:pPr>
    <w:rPr>
      <w:rFonts w:ascii="Times New Roman" w:hAnsi="Times New Roman" w:cs="Times New Roman"/>
      <w:b/>
      <w:sz w:val="21"/>
      <w:szCs w:val="28"/>
    </w:rPr>
  </w:style>
  <w:style w:type="paragraph" w:customStyle="1" w:styleId="73">
    <w:name w:val="鼎炉正文"/>
    <w:basedOn w:val="1"/>
    <w:qFormat/>
    <w:uiPriority w:val="0"/>
    <w:pPr>
      <w:autoSpaceDE w:val="0"/>
      <w:autoSpaceDN w:val="0"/>
      <w:adjustRightInd/>
      <w:snapToGrid/>
      <w:spacing w:line="360" w:lineRule="auto"/>
      <w:ind w:firstLine="720" w:firstLineChars="200"/>
    </w:pPr>
    <w:rPr>
      <w:rFonts w:ascii="宋体" w:hAnsi="宋体" w:cs="宋体"/>
      <w:kern w:val="0"/>
      <w:sz w:val="24"/>
      <w:szCs w:val="21"/>
    </w:rPr>
  </w:style>
  <w:style w:type="paragraph" w:customStyle="1" w:styleId="74">
    <w:name w:val="0730-表内文字"/>
    <w:basedOn w:val="1"/>
    <w:next w:val="1"/>
    <w:qFormat/>
    <w:uiPriority w:val="0"/>
    <w:pPr>
      <w:spacing w:line="360" w:lineRule="auto"/>
      <w:jc w:val="center"/>
    </w:pPr>
  </w:style>
  <w:style w:type="paragraph" w:customStyle="1" w:styleId="75">
    <w:name w:val="天华"/>
    <w:basedOn w:val="1"/>
    <w:qFormat/>
    <w:uiPriority w:val="0"/>
    <w:pPr>
      <w:spacing w:line="360" w:lineRule="auto"/>
      <w:ind w:firstLine="720" w:firstLineChars="200"/>
      <w:jc w:val="left"/>
    </w:pPr>
    <w:rPr>
      <w:rFonts w:ascii="Times New Roman" w:hAnsi="Times New Roman"/>
      <w:sz w:val="24"/>
    </w:rPr>
  </w:style>
  <w:style w:type="paragraph" w:customStyle="1" w:styleId="76">
    <w:name w:val="威嘉生物 正文"/>
    <w:basedOn w:val="1"/>
    <w:qFormat/>
    <w:uiPriority w:val="0"/>
    <w:pPr>
      <w:ind w:firstLine="964" w:firstLineChars="200"/>
    </w:pPr>
    <w:rPr>
      <w:rFonts w:hint="eastAsia"/>
    </w:rPr>
  </w:style>
  <w:style w:type="paragraph" w:customStyle="1" w:styleId="77">
    <w:name w:val="至科表头"/>
    <w:basedOn w:val="1"/>
    <w:qFormat/>
    <w:uiPriority w:val="0"/>
    <w:pPr>
      <w:spacing w:line="240" w:lineRule="auto"/>
      <w:ind w:firstLine="0" w:firstLineChars="0"/>
      <w:jc w:val="center"/>
    </w:pPr>
    <w:rPr>
      <w:rFonts w:ascii="宋体" w:hAnsi="宋体" w:eastAsia="宋体" w:cs="宋体"/>
      <w:b/>
      <w:bCs/>
      <w:szCs w:val="21"/>
    </w:rPr>
  </w:style>
  <w:style w:type="paragraph" w:customStyle="1" w:styleId="78">
    <w:name w:val="广用正文"/>
    <w:basedOn w:val="1"/>
    <w:qFormat/>
    <w:uiPriority w:val="0"/>
    <w:pPr>
      <w:autoSpaceDE w:val="0"/>
      <w:autoSpaceDN w:val="0"/>
      <w:adjustRightInd/>
      <w:snapToGrid/>
      <w:spacing w:line="360" w:lineRule="auto"/>
      <w:ind w:firstLine="200" w:firstLineChars="200"/>
    </w:pPr>
    <w:rPr>
      <w:rFonts w:ascii="宋体" w:cs="宋体"/>
      <w:kern w:val="0"/>
      <w:sz w:val="24"/>
      <w:szCs w:val="21"/>
    </w:rPr>
  </w:style>
  <w:style w:type="paragraph" w:customStyle="1" w:styleId="79">
    <w:name w:val="Normal"/>
    <w:qFormat/>
    <w:uiPriority w:val="0"/>
    <w:pPr>
      <w:jc w:val="both"/>
    </w:pPr>
    <w:rPr>
      <w:rFonts w:ascii="Times New Roman" w:hAnsi="Times New Roman" w:eastAsia="宋体" w:cs="Times New Roman"/>
      <w:kern w:val="2"/>
      <w:sz w:val="21"/>
      <w:szCs w:val="21"/>
      <w:lang w:val="en-US" w:eastAsia="zh-CN" w:bidi="ar-SA"/>
    </w:rPr>
  </w:style>
  <w:style w:type="character" w:customStyle="1" w:styleId="80">
    <w:name w:val="font11"/>
    <w:basedOn w:val="33"/>
    <w:qFormat/>
    <w:uiPriority w:val="0"/>
    <w:rPr>
      <w:rFonts w:hint="eastAsia" w:ascii="宋体" w:hAnsi="宋体" w:eastAsia="宋体" w:cs="宋体"/>
      <w:color w:val="000000"/>
      <w:sz w:val="24"/>
      <w:szCs w:val="24"/>
      <w:u w:val="none"/>
    </w:rPr>
  </w:style>
  <w:style w:type="paragraph" w:customStyle="1" w:styleId="81">
    <w:name w:val="威嘉生物 表格"/>
    <w:basedOn w:val="1"/>
    <w:qFormat/>
    <w:uiPriority w:val="0"/>
    <w:pPr>
      <w:spacing w:line="240" w:lineRule="auto"/>
      <w:jc w:val="center"/>
    </w:pPr>
    <w:rPr>
      <w:rFonts w:hint="eastAsia"/>
      <w:b/>
      <w:sz w:val="21"/>
    </w:rPr>
  </w:style>
  <w:style w:type="paragraph" w:customStyle="1" w:styleId="82">
    <w:name w:val="标准正文"/>
    <w:basedOn w:val="1"/>
    <w:next w:val="11"/>
    <w:qFormat/>
    <w:uiPriority w:val="0"/>
    <w:pPr>
      <w:ind w:firstLine="560" w:firstLineChars="200"/>
    </w:pPr>
    <w:rPr>
      <w:rFonts w:ascii="Times New Roman" w:hAnsi="Times New Roman" w:eastAsia="宋体"/>
      <w:sz w:val="24"/>
      <w:szCs w:val="28"/>
    </w:rPr>
  </w:style>
  <w:style w:type="paragraph" w:customStyle="1" w:styleId="83">
    <w:name w:val="WPSOffice手动目录 1"/>
    <w:qFormat/>
    <w:uiPriority w:val="0"/>
    <w:pPr>
      <w:ind w:leftChars="0"/>
    </w:pPr>
    <w:rPr>
      <w:rFonts w:ascii="Times New Roman" w:hAnsi="Times New Roman" w:eastAsia="宋体" w:cs="Times New Roman"/>
      <w:sz w:val="20"/>
      <w:szCs w:val="20"/>
    </w:rPr>
  </w:style>
  <w:style w:type="paragraph" w:customStyle="1" w:styleId="84">
    <w:name w:val="报告书正文"/>
    <w:basedOn w:val="1"/>
    <w:qFormat/>
    <w:uiPriority w:val="0"/>
    <w:pPr>
      <w:spacing w:line="480" w:lineRule="exact"/>
      <w:ind w:firstLine="200" w:firstLineChars="200"/>
    </w:pPr>
    <w:rPr>
      <w:sz w:val="24"/>
    </w:rPr>
  </w:style>
  <w:style w:type="paragraph" w:customStyle="1" w:styleId="85">
    <w:name w:val="表文字"/>
    <w:basedOn w:val="11"/>
    <w:next w:val="1"/>
    <w:qFormat/>
    <w:uiPriority w:val="0"/>
    <w:pPr>
      <w:overflowPunct w:val="0"/>
      <w:autoSpaceDE w:val="0"/>
      <w:autoSpaceDN w:val="0"/>
      <w:adjustRightInd w:val="0"/>
      <w:spacing w:line="240" w:lineRule="atLeast"/>
      <w:ind w:firstLine="0" w:firstLineChars="0"/>
      <w:jc w:val="center"/>
      <w:textAlignment w:val="baseline"/>
    </w:pPr>
    <w:rPr>
      <w:rFonts w:ascii="Times New Roman" w:hAnsi="Times New Roman" w:eastAsia="宋体" w:cs="Times New Roman"/>
      <w:kern w:val="0"/>
      <w:sz w:val="21"/>
      <w:szCs w:val="20"/>
    </w:rPr>
  </w:style>
  <w:style w:type="paragraph" w:customStyle="1" w:styleId="86">
    <w:name w:val="No Spacing"/>
    <w:qFormat/>
    <w:uiPriority w:val="0"/>
    <w:pPr>
      <w:adjustRightInd w:val="0"/>
      <w:snapToGrid w:val="0"/>
      <w:jc w:val="center"/>
    </w:pPr>
    <w:rPr>
      <w:rFonts w:ascii="Times New Roman" w:hAnsi="Times New Roman" w:eastAsia="宋体" w:cs="Times New Roman"/>
      <w:b/>
      <w:color w:val="FF0000"/>
      <w:kern w:val="0"/>
      <w:sz w:val="24"/>
      <w:szCs w:val="22"/>
      <w:lang w:val="en-US" w:eastAsia="zh-CN" w:bidi="ar-SA"/>
    </w:rPr>
  </w:style>
  <w:style w:type="paragraph" w:customStyle="1" w:styleId="87">
    <w:name w:val="一帆工贸-正文"/>
    <w:basedOn w:val="1"/>
    <w:qFormat/>
    <w:uiPriority w:val="0"/>
    <w:pPr>
      <w:spacing w:line="360" w:lineRule="auto"/>
      <w:ind w:firstLine="480" w:firstLineChars="200"/>
    </w:pPr>
    <w:rPr>
      <w:rFonts w:hint="eastAsia" w:ascii="Times New Roman" w:hAnsi="Times New Roman"/>
      <w:sz w:val="24"/>
    </w:rPr>
  </w:style>
  <w:style w:type="paragraph" w:customStyle="1" w:styleId="88">
    <w:name w:val="_Style 1"/>
    <w:qFormat/>
    <w:uiPriority w:val="0"/>
    <w:pPr>
      <w:adjustRightInd w:val="0"/>
      <w:snapToGrid w:val="0"/>
      <w:spacing w:line="480" w:lineRule="exact"/>
      <w:ind w:firstLine="480" w:firstLineChars="200"/>
    </w:pPr>
    <w:rPr>
      <w:rFonts w:ascii="Times New Roman" w:hAnsi="Times New Roman" w:eastAsia="宋体" w:cs="Times New Roman"/>
      <w:sz w:val="24"/>
      <w:szCs w:val="22"/>
      <w:lang w:val="en-US" w:eastAsia="zh-CN" w:bidi="ar-SA"/>
    </w:rPr>
  </w:style>
  <w:style w:type="paragraph" w:customStyle="1" w:styleId="89">
    <w:name w:val="列出段落"/>
    <w:basedOn w:val="1"/>
    <w:qFormat/>
    <w:uiPriority w:val="34"/>
    <w:pPr>
      <w:ind w:firstLine="420" w:firstLineChars="200"/>
    </w:pPr>
  </w:style>
  <w:style w:type="paragraph" w:customStyle="1" w:styleId="90">
    <w:name w:val="表文"/>
    <w:basedOn w:val="1"/>
    <w:qFormat/>
    <w:uiPriority w:val="0"/>
    <w:pPr>
      <w:adjustRightInd w:val="0"/>
      <w:snapToGrid w:val="0"/>
      <w:spacing w:line="340" w:lineRule="exact"/>
      <w:jc w:val="center"/>
    </w:pPr>
    <w:rPr>
      <w:rFonts w:ascii="Times New Roman" w:hAnsi="Times New Roman" w:eastAsia="宋体"/>
      <w:color w:val="000000"/>
      <w:sz w:val="18"/>
      <w:szCs w:val="20"/>
    </w:rPr>
  </w:style>
  <w:style w:type="paragraph" w:customStyle="1" w:styleId="91">
    <w:name w:val="表格内文字"/>
    <w:qFormat/>
    <w:uiPriority w:val="0"/>
    <w:pPr>
      <w:jc w:val="center"/>
    </w:pPr>
    <w:rPr>
      <w:rFonts w:ascii="Times New Roman" w:hAnsi="Times New Roman" w:eastAsia="Times New Roman" w:cs="宋体"/>
      <w:kern w:val="2"/>
      <w:sz w:val="21"/>
      <w:szCs w:val="21"/>
      <w:lang w:val="en-US" w:eastAsia="zh-CN" w:bidi="ar-SA"/>
    </w:rPr>
  </w:style>
  <w:style w:type="paragraph" w:customStyle="1" w:styleId="92">
    <w:name w:val="表"/>
    <w:basedOn w:val="1"/>
    <w:qFormat/>
    <w:uiPriority w:val="0"/>
    <w:pPr>
      <w:spacing w:line="240" w:lineRule="auto"/>
      <w:ind w:firstLine="0" w:firstLineChars="0"/>
      <w:jc w:val="center"/>
    </w:pPr>
    <w:rPr>
      <w:sz w:val="21"/>
    </w:rPr>
  </w:style>
  <w:style w:type="paragraph" w:customStyle="1" w:styleId="93">
    <w:name w:val="Table Paragraph"/>
    <w:basedOn w:val="1"/>
    <w:qFormat/>
    <w:uiPriority w:val="1"/>
    <w:rPr>
      <w:rFonts w:ascii="宋体" w:hAnsi="宋体" w:eastAsia="宋体" w:cs="宋体"/>
      <w:lang w:val="en-US" w:eastAsia="zh-CN" w:bidi="ar-SA"/>
    </w:rPr>
  </w:style>
  <w:style w:type="paragraph" w:customStyle="1" w:styleId="94">
    <w:name w:val=" Char Char Char Char"/>
    <w:basedOn w:val="1"/>
    <w:qFormat/>
    <w:uiPriority w:val="0"/>
    <w:pPr>
      <w:spacing w:line="240" w:lineRule="auto"/>
      <w:ind w:firstLine="0" w:firstLineChars="0"/>
    </w:pPr>
    <w:rPr>
      <w:rFonts w:ascii="宋体"/>
      <w:kern w:val="0"/>
      <w:szCs w:val="21"/>
    </w:rPr>
  </w:style>
  <w:style w:type="paragraph" w:customStyle="1" w:styleId="95">
    <w:name w:val="[1]正文"/>
    <w:basedOn w:val="1"/>
    <w:qFormat/>
    <w:uiPriority w:val="0"/>
    <w:pPr>
      <w:autoSpaceDE w:val="0"/>
      <w:autoSpaceDN w:val="0"/>
      <w:ind w:firstLine="200" w:firstLineChars="200"/>
    </w:pPr>
    <w:rPr>
      <w:color w:val="000000"/>
      <w:kern w:val="0"/>
      <w:lang w:val="zh-CN"/>
    </w:rPr>
  </w:style>
  <w:style w:type="paragraph" w:customStyle="1" w:styleId="96">
    <w:name w:val="表1"/>
    <w:next w:val="1"/>
    <w:qFormat/>
    <w:uiPriority w:val="0"/>
    <w:pPr>
      <w:adjustRightInd w:val="0"/>
      <w:snapToGrid w:val="0"/>
      <w:jc w:val="center"/>
    </w:pPr>
    <w:rPr>
      <w:rFonts w:ascii="Times New Roman" w:hAnsi="Times New Roman" w:eastAsia="宋体" w:cs="Times New Roman"/>
      <w:sz w:val="21"/>
      <w:lang w:val="en-US" w:eastAsia="zh-CN" w:bidi="ar-SA"/>
    </w:rPr>
  </w:style>
  <w:style w:type="paragraph" w:customStyle="1" w:styleId="97">
    <w:name w:val="表格1"/>
    <w:basedOn w:val="13"/>
    <w:qFormat/>
    <w:uiPriority w:val="99"/>
    <w:pPr>
      <w:spacing w:line="340" w:lineRule="exact"/>
    </w:pPr>
    <w:rPr>
      <w:rFonts w:eastAsia="SimSun-ExtB"/>
    </w:rPr>
  </w:style>
  <w:style w:type="paragraph" w:customStyle="1" w:styleId="98">
    <w:name w:val="样式6565656"/>
    <w:basedOn w:val="1"/>
    <w:qFormat/>
    <w:uiPriority w:val="0"/>
    <w:pPr>
      <w:adjustRightInd w:val="0"/>
      <w:snapToGrid w:val="0"/>
      <w:spacing w:line="460" w:lineRule="atLeast"/>
      <w:ind w:firstLine="480" w:firstLineChars="200"/>
      <w:jc w:val="left"/>
    </w:pPr>
    <w:rPr>
      <w:rFonts w:hAnsi="宋体"/>
      <w:bCs/>
      <w:kern w:val="0"/>
      <w:sz w:val="24"/>
    </w:rPr>
  </w:style>
  <w:style w:type="paragraph" w:customStyle="1" w:styleId="99">
    <w:name w:val="List Paragraph"/>
    <w:basedOn w:val="1"/>
    <w:qFormat/>
    <w:uiPriority w:val="1"/>
    <w:pPr>
      <w:ind w:left="2093" w:hanging="601"/>
    </w:pPr>
    <w:rPr>
      <w:rFonts w:ascii="宋体" w:hAnsi="宋体" w:eastAsia="宋体" w:cs="宋体"/>
      <w:lang w:val="en-US" w:eastAsia="zh-CN" w:bidi="ar-SA"/>
    </w:rPr>
  </w:style>
  <w:style w:type="character" w:customStyle="1" w:styleId="100">
    <w:name w:val="font21"/>
    <w:basedOn w:val="33"/>
    <w:qFormat/>
    <w:uiPriority w:val="0"/>
    <w:rPr>
      <w:rFonts w:hint="default" w:ascii="Times New Roman" w:hAnsi="Times New Roman" w:cs="Times New Roman"/>
      <w:color w:val="000000"/>
      <w:sz w:val="21"/>
      <w:szCs w:val="21"/>
      <w:u w:val="none"/>
    </w:rPr>
  </w:style>
  <w:style w:type="character" w:customStyle="1" w:styleId="101">
    <w:name w:val="font31"/>
    <w:basedOn w:val="33"/>
    <w:qFormat/>
    <w:uiPriority w:val="0"/>
    <w:rPr>
      <w:rFonts w:hint="default" w:ascii="Times New Roman" w:hAnsi="Times New Roman" w:cs="Times New Roman"/>
      <w:color w:val="000000"/>
      <w:sz w:val="21"/>
      <w:szCs w:val="21"/>
      <w:u w:val="none"/>
      <w:vertAlign w:val="subscript"/>
    </w:rPr>
  </w:style>
  <w:style w:type="paragraph" w:customStyle="1" w:styleId="102">
    <w:name w:val="w图表"/>
    <w:qFormat/>
    <w:uiPriority w:val="0"/>
    <w:pPr>
      <w:widowControl w:val="0"/>
      <w:spacing w:line="240" w:lineRule="auto"/>
      <w:ind w:firstLine="0" w:firstLineChars="0"/>
      <w:jc w:val="center"/>
    </w:pPr>
    <w:rPr>
      <w:rFonts w:ascii="Times New Roman" w:hAnsi="Times New Roman" w:eastAsia="宋体" w:cs="Times New Roman"/>
      <w:kern w:val="0"/>
      <w:sz w:val="21"/>
      <w:szCs w:val="20"/>
      <w:lang w:val="en-US" w:eastAsia="zh-CN" w:bidi="ar-SA"/>
    </w:rPr>
  </w:style>
  <w:style w:type="character" w:customStyle="1" w:styleId="103">
    <w:name w:val="font01"/>
    <w:basedOn w:val="33"/>
    <w:qFormat/>
    <w:uiPriority w:val="0"/>
    <w:rPr>
      <w:rFonts w:hint="eastAsia" w:ascii="宋体" w:hAnsi="宋体" w:eastAsia="宋体" w:cs="宋体"/>
      <w:color w:val="000000"/>
      <w:sz w:val="24"/>
      <w:szCs w:val="24"/>
      <w:u w:val="none"/>
    </w:rPr>
  </w:style>
  <w:style w:type="paragraph" w:customStyle="1" w:styleId="104">
    <w:name w:val="ma-1.1.1.1"/>
    <w:basedOn w:val="1"/>
    <w:qFormat/>
    <w:uiPriority w:val="0"/>
    <w:pPr>
      <w:spacing w:line="360" w:lineRule="auto"/>
      <w:ind w:firstLine="420" w:firstLineChars="200"/>
    </w:pPr>
    <w:rPr>
      <w:rFonts w:ascii="Arial" w:hAnsi="Arial"/>
    </w:rPr>
  </w:style>
  <w:style w:type="paragraph" w:customStyle="1" w:styleId="105">
    <w:name w:val="Table Text"/>
    <w:basedOn w:val="1"/>
    <w:semiHidden/>
    <w:qFormat/>
    <w:uiPriority w:val="0"/>
    <w:rPr>
      <w:rFonts w:ascii="宋体" w:hAnsi="宋体" w:eastAsia="宋体" w:cs="宋体"/>
      <w:sz w:val="24"/>
      <w:szCs w:val="24"/>
      <w:lang w:val="en-US" w:eastAsia="en-US" w:bidi="ar-SA"/>
    </w:rPr>
  </w:style>
  <w:style w:type="table" w:customStyle="1" w:styleId="106">
    <w:name w:val="Table Normal"/>
    <w:semiHidden/>
    <w:unhideWhenUsed/>
    <w:qFormat/>
    <w:uiPriority w:val="0"/>
    <w:tblPr>
      <w:tblCellMar>
        <w:top w:w="0" w:type="dxa"/>
        <w:left w:w="0" w:type="dxa"/>
        <w:bottom w:w="0" w:type="dxa"/>
        <w:right w:w="0" w:type="dxa"/>
      </w:tblCellMar>
    </w:tblPr>
  </w:style>
  <w:style w:type="character" w:customStyle="1" w:styleId="107">
    <w:name w:val="fontstyle01"/>
    <w:qFormat/>
    <w:uiPriority w:val="0"/>
    <w:rPr>
      <w:rFonts w:hint="eastAsia" w:ascii="宋体" w:hAnsi="宋体" w:eastAsia="宋体"/>
      <w:color w:val="000000"/>
      <w:sz w:val="24"/>
      <w:szCs w:val="24"/>
    </w:rPr>
  </w:style>
  <w:style w:type="paragraph" w:customStyle="1" w:styleId="108">
    <w:name w:val="HP 正文"/>
    <w:basedOn w:val="1"/>
    <w:qFormat/>
    <w:uiPriority w:val="0"/>
    <w:pPr>
      <w:spacing w:line="440" w:lineRule="exact"/>
      <w:ind w:firstLine="480" w:firstLineChars="200"/>
    </w:pPr>
    <w:rPr>
      <w:kern w:val="0"/>
      <w:sz w:val="24"/>
    </w:rPr>
  </w:style>
  <w:style w:type="paragraph" w:customStyle="1" w:styleId="109">
    <w:name w:val="0正文"/>
    <w:basedOn w:val="12"/>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110">
    <w:name w:val="中文报告书样式"/>
    <w:basedOn w:val="1"/>
    <w:qFormat/>
    <w:uiPriority w:val="0"/>
    <w:pPr>
      <w:adjustRightInd w:val="0"/>
      <w:spacing w:line="420" w:lineRule="atLeast"/>
      <w:textAlignment w:val="baseline"/>
    </w:pPr>
    <w:rPr>
      <w:kern w:val="24"/>
      <w:sz w:val="24"/>
    </w:rPr>
  </w:style>
  <w:style w:type="paragraph" w:customStyle="1" w:styleId="111">
    <w:name w:val="表格内"/>
    <w:basedOn w:val="1"/>
    <w:qFormat/>
    <w:uiPriority w:val="0"/>
    <w:pPr>
      <w:jc w:val="center"/>
    </w:pPr>
    <w:rPr>
      <w:szCs w:val="21"/>
    </w:r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numbering" Target="numbering.xml"/><Relationship Id="rId9" Type="http://schemas.openxmlformats.org/officeDocument/2006/relationships/footer" Target="footer5.xml"/><Relationship Id="rId89" Type="http://schemas.openxmlformats.org/officeDocument/2006/relationships/customXml" Target="../customXml/item1.xml"/><Relationship Id="rId88" Type="http://schemas.openxmlformats.org/officeDocument/2006/relationships/image" Target="media/image76.png"/><Relationship Id="rId87" Type="http://schemas.openxmlformats.org/officeDocument/2006/relationships/image" Target="media/image75.png"/><Relationship Id="rId86" Type="http://schemas.openxmlformats.org/officeDocument/2006/relationships/image" Target="media/image74.png"/><Relationship Id="rId85" Type="http://schemas.openxmlformats.org/officeDocument/2006/relationships/image" Target="media/image73.jpeg"/><Relationship Id="rId84" Type="http://schemas.openxmlformats.org/officeDocument/2006/relationships/image" Target="media/image72.jpeg"/><Relationship Id="rId83" Type="http://schemas.openxmlformats.org/officeDocument/2006/relationships/image" Target="media/image71.jpeg"/><Relationship Id="rId82" Type="http://schemas.openxmlformats.org/officeDocument/2006/relationships/image" Target="media/image70.jpeg"/><Relationship Id="rId81" Type="http://schemas.openxmlformats.org/officeDocument/2006/relationships/image" Target="media/image69.png"/><Relationship Id="rId80" Type="http://schemas.openxmlformats.org/officeDocument/2006/relationships/image" Target="media/image68.png"/><Relationship Id="rId8" Type="http://schemas.openxmlformats.org/officeDocument/2006/relationships/header" Target="header2.xml"/><Relationship Id="rId79" Type="http://schemas.openxmlformats.org/officeDocument/2006/relationships/image" Target="media/image67.png"/><Relationship Id="rId78" Type="http://schemas.openxmlformats.org/officeDocument/2006/relationships/image" Target="media/image66.png"/><Relationship Id="rId77" Type="http://schemas.openxmlformats.org/officeDocument/2006/relationships/image" Target="media/image65.png"/><Relationship Id="rId76" Type="http://schemas.openxmlformats.org/officeDocument/2006/relationships/image" Target="media/image64.png"/><Relationship Id="rId75" Type="http://schemas.openxmlformats.org/officeDocument/2006/relationships/image" Target="media/image63.png"/><Relationship Id="rId74" Type="http://schemas.openxmlformats.org/officeDocument/2006/relationships/image" Target="media/image62.png"/><Relationship Id="rId73" Type="http://schemas.openxmlformats.org/officeDocument/2006/relationships/image" Target="media/image61.png"/><Relationship Id="rId72" Type="http://schemas.openxmlformats.org/officeDocument/2006/relationships/image" Target="media/image60.jpeg"/><Relationship Id="rId71" Type="http://schemas.openxmlformats.org/officeDocument/2006/relationships/image" Target="media/image59.png"/><Relationship Id="rId70" Type="http://schemas.openxmlformats.org/officeDocument/2006/relationships/image" Target="media/image58.jpeg"/><Relationship Id="rId7" Type="http://schemas.openxmlformats.org/officeDocument/2006/relationships/footer" Target="footer4.xml"/><Relationship Id="rId69" Type="http://schemas.openxmlformats.org/officeDocument/2006/relationships/image" Target="media/image57.jpeg"/><Relationship Id="rId68" Type="http://schemas.openxmlformats.org/officeDocument/2006/relationships/image" Target="media/image56.jpeg"/><Relationship Id="rId67" Type="http://schemas.openxmlformats.org/officeDocument/2006/relationships/image" Target="media/image55.jpeg"/><Relationship Id="rId66" Type="http://schemas.openxmlformats.org/officeDocument/2006/relationships/image" Target="media/image54.jpeg"/><Relationship Id="rId65" Type="http://schemas.openxmlformats.org/officeDocument/2006/relationships/image" Target="media/image53.jpeg"/><Relationship Id="rId64" Type="http://schemas.openxmlformats.org/officeDocument/2006/relationships/image" Target="media/image52.jpeg"/><Relationship Id="rId63" Type="http://schemas.openxmlformats.org/officeDocument/2006/relationships/image" Target="media/image51.jpeg"/><Relationship Id="rId62" Type="http://schemas.openxmlformats.org/officeDocument/2006/relationships/image" Target="media/image50.jpeg"/><Relationship Id="rId61" Type="http://schemas.openxmlformats.org/officeDocument/2006/relationships/image" Target="media/image49.jpeg"/><Relationship Id="rId60" Type="http://schemas.openxmlformats.org/officeDocument/2006/relationships/image" Target="media/image48.jpeg"/><Relationship Id="rId6" Type="http://schemas.openxmlformats.org/officeDocument/2006/relationships/header" Target="header1.xml"/><Relationship Id="rId59" Type="http://schemas.openxmlformats.org/officeDocument/2006/relationships/image" Target="media/image47.jpeg"/><Relationship Id="rId58" Type="http://schemas.openxmlformats.org/officeDocument/2006/relationships/image" Target="media/image46.jpeg"/><Relationship Id="rId57" Type="http://schemas.openxmlformats.org/officeDocument/2006/relationships/image" Target="media/image45.jpeg"/><Relationship Id="rId56" Type="http://schemas.openxmlformats.org/officeDocument/2006/relationships/image" Target="media/image44.jpeg"/><Relationship Id="rId55" Type="http://schemas.openxmlformats.org/officeDocument/2006/relationships/image" Target="media/image43.jpeg"/><Relationship Id="rId54" Type="http://schemas.openxmlformats.org/officeDocument/2006/relationships/image" Target="media/image42.jpeg"/><Relationship Id="rId53" Type="http://schemas.openxmlformats.org/officeDocument/2006/relationships/image" Target="media/image41.jpeg"/><Relationship Id="rId52" Type="http://schemas.openxmlformats.org/officeDocument/2006/relationships/image" Target="media/image40.jpeg"/><Relationship Id="rId51" Type="http://schemas.openxmlformats.org/officeDocument/2006/relationships/image" Target="media/image39.jpeg"/><Relationship Id="rId50" Type="http://schemas.openxmlformats.org/officeDocument/2006/relationships/image" Target="media/image38.jpeg"/><Relationship Id="rId5" Type="http://schemas.openxmlformats.org/officeDocument/2006/relationships/footer" Target="footer3.xml"/><Relationship Id="rId49" Type="http://schemas.openxmlformats.org/officeDocument/2006/relationships/image" Target="media/image37.jpeg"/><Relationship Id="rId48" Type="http://schemas.openxmlformats.org/officeDocument/2006/relationships/image" Target="media/image36.jpeg"/><Relationship Id="rId47" Type="http://schemas.openxmlformats.org/officeDocument/2006/relationships/image" Target="media/image35.jpeg"/><Relationship Id="rId46" Type="http://schemas.openxmlformats.org/officeDocument/2006/relationships/image" Target="media/image34.jpeg"/><Relationship Id="rId45" Type="http://schemas.openxmlformats.org/officeDocument/2006/relationships/image" Target="media/image33.jpeg"/><Relationship Id="rId44" Type="http://schemas.openxmlformats.org/officeDocument/2006/relationships/image" Target="media/image32.jpeg"/><Relationship Id="rId43" Type="http://schemas.openxmlformats.org/officeDocument/2006/relationships/image" Target="media/image31.jpeg"/><Relationship Id="rId42" Type="http://schemas.openxmlformats.org/officeDocument/2006/relationships/image" Target="media/image30.jpeg"/><Relationship Id="rId41" Type="http://schemas.openxmlformats.org/officeDocument/2006/relationships/image" Target="media/image29.jpeg"/><Relationship Id="rId40" Type="http://schemas.openxmlformats.org/officeDocument/2006/relationships/image" Target="media/image28.jpeg"/><Relationship Id="rId4" Type="http://schemas.openxmlformats.org/officeDocument/2006/relationships/footer" Target="footer2.xml"/><Relationship Id="rId39" Type="http://schemas.openxmlformats.org/officeDocument/2006/relationships/image" Target="media/image27.jpeg"/><Relationship Id="rId38" Type="http://schemas.openxmlformats.org/officeDocument/2006/relationships/image" Target="media/image26.jpeg"/><Relationship Id="rId37" Type="http://schemas.openxmlformats.org/officeDocument/2006/relationships/image" Target="media/image25.png"/><Relationship Id="rId36" Type="http://schemas.openxmlformats.org/officeDocument/2006/relationships/image" Target="media/image24.jpe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er" Target="foot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jpe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139</Pages>
  <Words>483</Words>
  <Characters>497</Characters>
  <Lines>1</Lines>
  <Paragraphs>1</Paragraphs>
  <TotalTime>1</TotalTime>
  <ScaleCrop>false</ScaleCrop>
  <LinksUpToDate>false</LinksUpToDate>
  <CharactersWithSpaces>546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2023-08-06T05:33:00Z</dcterms:created>
  <dc:creator>xb21cn</dc:creator>
  <cp:lastModifiedBy>赵天舸</cp:lastModifiedBy>
  <cp:lastPrinted>2025-10-13T08:09:00Z</cp:lastPrinted>
  <dcterms:modified xsi:type="dcterms:W3CDTF">2026-08-18T01:57:49Z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FF9C6BA8EF68444DAF4615D12A06F2CE_13</vt:lpwstr>
  </property>
  <property fmtid="{D5CDD505-2E9C-101B-9397-08002B2CF9AE}" pid="4" name="KSOTemplateDocerSaveRecord">
    <vt:lpwstr>eyJoZGlkIjoiNDA0NmFmMTliYWVhNWJiZGI5Mjc1OTkxMjg3Yzg2MzQiLCJ1c2VySWQiOiIxNzAwNDE4NDE5In0=</vt:lpwstr>
  </property>
</Properties>
</file>