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spacing w:line="560" w:lineRule="exact"/>
        <w:jc w:val="center"/>
        <w:rPr>
          <w:rFonts w:hint="eastAsia" w:ascii="方正小标宋简体" w:hAnsi="宋体" w:eastAsia="方正小标宋简体"/>
          <w:sz w:val="44"/>
          <w:szCs w:val="44"/>
          <w:lang w:eastAsia="zh-CN"/>
        </w:rPr>
      </w:pPr>
      <w:bookmarkStart w:id="0" w:name="标题"/>
      <mc:AlternateContent>
        <mc:Choice Requires="wpsCustomData">
          <wpsCustomData:docfieldStart id="0" docfieldname="标题" hidden="false" print="true" readonly="false" index="2"/>
        </mc:Choice>
      </mc:AlternateContent>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关于内蒙古东富新能源材料有限公司</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东富220kV变电站项目建设项目</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环境影响报告表的批复</w:t>
      </w:r>
      <w:bookmarkEnd w:id="0"/>
    </w:p>
    <mc:AlternateContent>
      <mc:Choice Requires="wpsCustomData">
        <wpsCustomData:docfieldEnd id="0"/>
      </mc:Choice>
    </mc:AlternateContent>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1" docfieldname="文号" hidden="false" print="true" readonly="false" index="1"/>
        </mc:Choice>
      </mc:AlternateContent>
      <w:bookmarkStart w:id="1" w:name="文号"/>
      <w:r>
        <w:rPr>
          <w:rFonts w:hint="eastAsia" w:ascii="仿宋_GB2312" w:hAnsi="仿宋" w:eastAsia="仿宋_GB2312"/>
          <w:sz w:val="32"/>
          <w:szCs w:val="32"/>
          <w:lang w:eastAsia="zh-CN"/>
        </w:rPr>
        <w:t>内环表〔2026〕175号</w:t>
      </w:r>
      <w:bookmarkEnd w:id="1"/>
      <mc:AlternateContent>
        <mc:Choice Requires="wpsCustomData">
          <wpsCustomData:docfieldEnd id="1"/>
        </mc:Choice>
      </mc:AlternateContent>
    </w:p>
    <w:p>
      <w:pPr>
        <w:spacing w:line="560" w:lineRule="exact"/>
        <w:rPr>
          <w:rFonts w:ascii="仿宋" w:hAnsi="仿宋" w:eastAsia="仿宋"/>
          <w:sz w:val="28"/>
        </w:rPr>
      </w:pPr>
    </w:p>
    <w:p>
      <w:pPr>
        <w:spacing w:line="560" w:lineRule="exact"/>
        <w:rPr>
          <w:rFonts w:ascii="仿宋_GB2312" w:hAnsi="仿宋" w:eastAsia="仿宋_GB2312"/>
          <w:bCs/>
          <w:sz w:val="32"/>
          <w:szCs w:val="32"/>
        </w:rPr>
      </w:pPr>
      <w:bookmarkStart w:id="2" w:name="主送单位"/>
      <mc:AlternateContent>
        <mc:Choice Requires="wpsCustomData">
          <wpsCustomData:docfieldStart id="2" docfieldname="主送单位" hidden="false" print="true" readonly="false" index="3"/>
        </mc:Choice>
      </mc:AlternateContent>
      <w:r>
        <w:rPr>
          <w:rFonts w:hint="eastAsia" w:ascii="仿宋_GB2312" w:hAnsi="仿宋" w:eastAsia="仿宋_GB2312"/>
          <w:bCs/>
          <w:sz w:val="32"/>
          <w:szCs w:val="32"/>
          <w:lang w:eastAsia="zh-CN"/>
        </w:rPr>
        <w:t>内蒙古东富新能源材料有限公司</w:t>
      </w:r>
      <w:bookmarkEnd w:id="2"/>
      <mc:AlternateContent>
        <mc:Choice Requires="wpsCustomData">
          <wpsCustomData:docfieldEnd id="2"/>
        </mc:Choice>
      </mc:AlternateContent>
      <w:r>
        <w:rPr>
          <w:rFonts w:hint="eastAsia" w:ascii="仿宋_GB2312" w:hAnsi="仿宋" w:eastAsia="仿宋_GB2312"/>
          <w:bCs/>
          <w:sz w:val="32"/>
          <w:szCs w:val="32"/>
        </w:rPr>
        <w:t>：</w:t>
      </w:r>
    </w:p>
    <w:p>
      <w:pPr>
        <w:spacing w:line="560" w:lineRule="exact"/>
        <w:ind w:firstLine="640" w:firstLineChars="200"/>
        <w:rPr>
          <w:rFonts w:ascii="仿宋_GB2312" w:eastAsia="仿宋_GB2312"/>
          <w:color w:val="auto"/>
          <w:sz w:val="32"/>
          <w:szCs w:val="32"/>
        </w:rPr>
      </w:pPr>
      <w:bookmarkStart w:id="3" w:name="正文文件"/>
      <w:bookmarkEnd w:id="3"/>
      <mc:AlternateContent>
        <mc:Choice Requires="wpsCustomData">
          <wpsCustomData:docfieldStart id="3" docfieldname="正文文件" hidden="false" print="true" readonly="false" index="4"/>
        </mc:Choice>
      </mc:AlternateContent>
      <w:r>
        <w:rPr>
          <w:rFonts w:hint="eastAsia" w:ascii="仿宋_GB2312" w:hAnsi="仿宋_GB2312" w:eastAsia="仿宋_GB2312"/>
          <w:bCs/>
          <w:color w:val="auto"/>
          <w:sz w:val="32"/>
          <w:szCs w:val="32"/>
        </w:rPr>
        <w:t>你公司报送的《</w:t>
      </w:r>
      <w:r>
        <w:rPr>
          <w:rFonts w:hint="default" w:ascii="仿宋_GB2312" w:hAnsi="仿宋_GB2312" w:eastAsia="仿宋_GB2312" w:cs="仿宋_GB2312"/>
          <w:color w:val="auto"/>
          <w:kern w:val="0"/>
          <w:sz w:val="32"/>
          <w:szCs w:val="32"/>
          <w:lang w:val="en-US" w:eastAsia="zh-CN" w:bidi="ar"/>
        </w:rPr>
        <w:t>内蒙古东富新能源材料有限公司东富220kV</w:t>
      </w:r>
      <w:r>
        <w:rPr>
          <w:rFonts w:hint="eastAsia" w:ascii="仿宋_GB2312" w:hAnsi="仿宋_GB2312" w:eastAsia="仿宋_GB2312" w:cs="仿宋_GB2312"/>
          <w:color w:val="auto"/>
          <w:kern w:val="0"/>
          <w:sz w:val="32"/>
          <w:szCs w:val="32"/>
          <w:lang w:val="en-US" w:eastAsia="zh-CN" w:bidi="ar"/>
        </w:rPr>
        <w:t>变电站</w:t>
      </w:r>
      <w:r>
        <w:rPr>
          <w:rFonts w:hint="default" w:ascii="仿宋_GB2312" w:hAnsi="仿宋_GB2312" w:eastAsia="仿宋_GB2312" w:cs="仿宋_GB2312"/>
          <w:color w:val="auto"/>
          <w:kern w:val="0"/>
          <w:sz w:val="32"/>
          <w:szCs w:val="32"/>
          <w:lang w:val="en-US" w:eastAsia="zh-CN" w:bidi="ar"/>
        </w:rPr>
        <w:t>项目</w:t>
      </w:r>
      <w:r>
        <w:rPr>
          <w:rFonts w:hint="eastAsia" w:ascii="仿宋_GB2312" w:hAnsi="仿宋_GB2312" w:eastAsia="仿宋_GB2312" w:cs="仿宋_GB2312"/>
          <w:color w:val="auto"/>
          <w:kern w:val="0"/>
          <w:sz w:val="32"/>
          <w:szCs w:val="32"/>
          <w:lang w:val="en-US" w:eastAsia="zh-CN" w:bidi="ar"/>
        </w:rPr>
        <w:t>建设项目</w:t>
      </w:r>
      <w:r>
        <w:rPr>
          <w:rFonts w:hint="eastAsia" w:ascii="仿宋_GB2312" w:hAnsi="仿宋" w:eastAsia="仿宋_GB2312"/>
          <w:color w:val="auto"/>
          <w:sz w:val="32"/>
          <w:szCs w:val="32"/>
        </w:rPr>
        <w:t>环境影响</w:t>
      </w:r>
      <w:r>
        <w:rPr>
          <w:rFonts w:hint="eastAsia" w:ascii="仿宋_GB2312" w:hAnsi="仿宋" w:eastAsia="仿宋_GB2312"/>
          <w:color w:val="auto"/>
          <w:sz w:val="32"/>
          <w:szCs w:val="32"/>
          <w:lang w:eastAsia="zh-CN"/>
        </w:rPr>
        <w:t>报告表</w:t>
      </w:r>
      <w:r>
        <w:rPr>
          <w:rFonts w:hint="eastAsia" w:ascii="仿宋_GB2312" w:hAnsi="仿宋" w:eastAsia="仿宋_GB2312"/>
          <w:color w:val="auto"/>
          <w:sz w:val="32"/>
          <w:szCs w:val="32"/>
        </w:rPr>
        <w:t>》（以下简称《</w:t>
      </w:r>
      <w:r>
        <w:rPr>
          <w:rFonts w:hint="eastAsia" w:ascii="仿宋_GB2312" w:hAnsi="仿宋" w:eastAsia="仿宋_GB2312"/>
          <w:color w:val="auto"/>
          <w:sz w:val="32"/>
          <w:szCs w:val="32"/>
          <w:lang w:eastAsia="zh-CN"/>
        </w:rPr>
        <w:t>报告表</w:t>
      </w:r>
      <w:r>
        <w:rPr>
          <w:rFonts w:hint="eastAsia" w:ascii="仿宋_GB2312" w:hAnsi="仿宋" w:eastAsia="仿宋_GB2312"/>
          <w:color w:val="auto"/>
          <w:sz w:val="32"/>
          <w:szCs w:val="32"/>
        </w:rPr>
        <w:t>》）收悉。经研究，批复如下：</w:t>
      </w:r>
    </w:p>
    <w:p>
      <w:pPr>
        <w:pStyle w:val="25"/>
        <w:numPr>
          <w:ilvl w:val="0"/>
          <w:numId w:val="1"/>
        </w:numPr>
        <w:spacing w:line="560" w:lineRule="exact"/>
        <w:ind w:firstLine="640" w:firstLineChars="200"/>
        <w:jc w:val="both"/>
        <w:rPr>
          <w:rFonts w:hint="eastAsia" w:ascii="仿宋_GB2312" w:hAnsi="仿宋" w:eastAsia="仿宋_GB2312"/>
          <w:color w:val="auto"/>
          <w:sz w:val="32"/>
          <w:szCs w:val="32"/>
        </w:rPr>
      </w:pPr>
      <w:r>
        <w:rPr>
          <w:rFonts w:hint="eastAsia" w:ascii="仿宋_GB2312" w:hAnsi="仿宋" w:eastAsia="仿宋_GB2312"/>
          <w:color w:val="auto"/>
          <w:sz w:val="32"/>
          <w:szCs w:val="32"/>
        </w:rPr>
        <w:t>项目建设基本情况</w:t>
      </w:r>
    </w:p>
    <w:p>
      <w:pPr>
        <w:pStyle w:val="24"/>
        <w:spacing w:line="560" w:lineRule="exact"/>
        <w:ind w:firstLine="643"/>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新建220kV变电站，建设2</w:t>
      </w:r>
      <w:r>
        <w:rPr>
          <w:rFonts w:hint="eastAsia" w:ascii="仿宋_GB2312" w:hAnsi="Times New Roman" w:eastAsia="仿宋_GB2312" w:cs="Times New Roman"/>
          <w:bCs/>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bidi="ar"/>
        </w:rPr>
        <w:t>240</w:t>
      </w:r>
      <w:r>
        <w:rPr>
          <w:rFonts w:hint="eastAsia" w:ascii="仿宋_GB2312" w:hAnsi="仿宋_GB2312" w:eastAsia="仿宋_GB2312" w:cs="仿宋_GB2312"/>
          <w:color w:val="auto"/>
          <w:kern w:val="0"/>
          <w:sz w:val="32"/>
          <w:szCs w:val="32"/>
          <w:lang w:val="en-US" w:eastAsia="zh-CN" w:bidi="ar"/>
        </w:rPr>
        <w:t>MVA主变，220kV出线间隔2回。</w:t>
      </w:r>
    </w:p>
    <w:p>
      <w:pPr>
        <w:pStyle w:val="24"/>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Calibri" w:eastAsia="仿宋_GB2312" w:cs="Times New Roman"/>
          <w:color w:val="auto"/>
          <w:kern w:val="2"/>
          <w:sz w:val="32"/>
          <w:szCs w:val="32"/>
          <w:lang w:val="en-US" w:eastAsia="zh-CN" w:bidi="ar-SA"/>
        </w:rPr>
        <w:t>本项目建设地点位于</w:t>
      </w:r>
      <w:r>
        <w:rPr>
          <w:rFonts w:hint="eastAsia" w:ascii="仿宋_GB2312" w:hAnsi="仿宋_GB2312" w:eastAsia="仿宋_GB2312"/>
          <w:bCs/>
          <w:color w:val="auto"/>
          <w:sz w:val="32"/>
          <w:szCs w:val="32"/>
          <w:lang w:val="en-US" w:eastAsia="zh-CN"/>
        </w:rPr>
        <w:t>内蒙古自治区</w:t>
      </w:r>
      <w:r>
        <w:rPr>
          <w:rFonts w:hint="eastAsia" w:ascii="仿宋_GB2312" w:hAnsi="仿宋_GB2312" w:eastAsia="仿宋_GB2312" w:cs="仿宋_GB2312"/>
          <w:color w:val="auto"/>
          <w:kern w:val="0"/>
          <w:sz w:val="32"/>
          <w:szCs w:val="32"/>
          <w:lang w:val="en-US" w:eastAsia="zh-CN" w:bidi="ar"/>
        </w:rPr>
        <w:t>鄂尔多斯市鄂托克旗境内。</w:t>
      </w:r>
    </w:p>
    <w:p>
      <w:pPr>
        <w:pStyle w:val="24"/>
        <w:spacing w:line="560" w:lineRule="exact"/>
        <w:ind w:firstLine="640"/>
        <w:rPr>
          <w:rFonts w:ascii="仿宋_GB2312" w:hAnsi="仿宋" w:eastAsia="仿宋_GB2312" w:cs="宋体"/>
          <w:color w:val="auto"/>
          <w:sz w:val="32"/>
          <w:szCs w:val="32"/>
        </w:rPr>
      </w:pPr>
      <w:r>
        <w:rPr>
          <w:rFonts w:hint="eastAsia" w:ascii="仿宋_GB2312" w:hAnsi="仿宋" w:eastAsia="仿宋_GB2312" w:cs="宋体"/>
          <w:color w:val="auto"/>
          <w:sz w:val="32"/>
          <w:szCs w:val="32"/>
        </w:rPr>
        <w:t>二、总体意见</w:t>
      </w:r>
    </w:p>
    <w:p>
      <w:pPr>
        <w:autoSpaceDE w:val="0"/>
        <w:autoSpaceDN w:val="0"/>
        <w:adjustRightInd w:val="0"/>
        <w:spacing w:line="560" w:lineRule="exact"/>
        <w:ind w:firstLine="640" w:firstLineChars="200"/>
        <w:rPr>
          <w:rFonts w:ascii="仿宋_GB2312" w:hAnsi="仿宋" w:eastAsia="仿宋_GB2312"/>
          <w:color w:val="auto"/>
          <w:sz w:val="32"/>
          <w:szCs w:val="32"/>
        </w:rPr>
      </w:pPr>
      <w:r>
        <w:rPr>
          <w:rFonts w:hint="eastAsia" w:ascii="仿宋_GB2312" w:eastAsia="仿宋_GB2312"/>
          <w:color w:val="auto"/>
          <w:sz w:val="32"/>
          <w:szCs w:val="32"/>
        </w:rPr>
        <w:t>本项目在严格落实《</w:t>
      </w:r>
      <w:r>
        <w:rPr>
          <w:rFonts w:hint="eastAsia" w:ascii="仿宋_GB2312" w:eastAsia="仿宋_GB2312"/>
          <w:color w:val="auto"/>
          <w:sz w:val="32"/>
          <w:szCs w:val="32"/>
          <w:lang w:eastAsia="zh-CN"/>
        </w:rPr>
        <w:t>报告表</w:t>
      </w:r>
      <w:r>
        <w:rPr>
          <w:rFonts w:hint="eastAsia" w:ascii="仿宋_GB2312" w:eastAsia="仿宋_GB2312"/>
          <w:color w:val="auto"/>
          <w:sz w:val="32"/>
          <w:szCs w:val="32"/>
        </w:rPr>
        <w:t>》提出的各项环境保护措</w:t>
      </w:r>
      <w:r>
        <w:rPr>
          <w:rFonts w:hint="eastAsia" w:ascii="仿宋_GB2312" w:hAnsi="仿宋" w:eastAsia="仿宋_GB2312"/>
          <w:color w:val="auto"/>
          <w:sz w:val="32"/>
          <w:szCs w:val="32"/>
        </w:rPr>
        <w:t>施后，对</w:t>
      </w:r>
      <w:r>
        <w:rPr>
          <w:rFonts w:hint="eastAsia" w:ascii="仿宋_GB2312" w:hAnsi="仿宋_GB2312" w:eastAsia="仿宋_GB2312"/>
          <w:bCs/>
          <w:color w:val="auto"/>
          <w:sz w:val="32"/>
          <w:szCs w:val="32"/>
        </w:rPr>
        <w:t>环境的不利影响和可能存在的环境风险在可控范围内。从环境保护角度分析，我厅原则同意本项目按照《</w:t>
      </w:r>
      <w:r>
        <w:rPr>
          <w:rFonts w:hint="eastAsia" w:ascii="仿宋_GB2312" w:hAnsi="仿宋_GB2312" w:eastAsia="仿宋_GB2312"/>
          <w:bCs/>
          <w:color w:val="auto"/>
          <w:sz w:val="32"/>
          <w:szCs w:val="32"/>
          <w:lang w:eastAsia="zh-CN"/>
        </w:rPr>
        <w:t>报告表</w:t>
      </w:r>
      <w:r>
        <w:rPr>
          <w:rFonts w:hint="eastAsia" w:ascii="仿宋_GB2312" w:hAnsi="仿宋_GB2312" w:eastAsia="仿宋_GB2312"/>
          <w:bCs/>
          <w:color w:val="auto"/>
          <w:sz w:val="32"/>
          <w:szCs w:val="32"/>
        </w:rPr>
        <w:t>》中所列的性质、规模、地点和拟采取的环保措施进行</w:t>
      </w:r>
      <w:r>
        <w:rPr>
          <w:rFonts w:hint="eastAsia" w:ascii="仿宋_GB2312" w:hAnsi="仿宋" w:eastAsia="仿宋_GB2312"/>
          <w:color w:val="auto"/>
          <w:sz w:val="32"/>
          <w:szCs w:val="32"/>
        </w:rPr>
        <w:t>建设。</w:t>
      </w:r>
    </w:p>
    <w:p>
      <w:pPr>
        <w:spacing w:line="56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三、项目建设及运行期间应做好的工作</w:t>
      </w:r>
    </w:p>
    <w:p>
      <w:pPr>
        <w:spacing w:line="56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（一）严格落实项目施工期、运营期生态环境保护措施，做好生态保护与恢复工作。施工期严格控制施工活动范围，合理布局，尽量减少土地占用和植被破坏。</w:t>
      </w:r>
    </w:p>
    <w:p>
      <w:pPr>
        <w:spacing w:line="56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（二）认真落实《</w:t>
      </w:r>
      <w:r>
        <w:rPr>
          <w:rFonts w:hint="eastAsia" w:ascii="仿宋_GB2312" w:hAnsi="仿宋" w:eastAsia="仿宋_GB2312"/>
          <w:color w:val="auto"/>
          <w:sz w:val="32"/>
          <w:szCs w:val="32"/>
          <w:lang w:eastAsia="zh-CN"/>
        </w:rPr>
        <w:t>报告表</w:t>
      </w:r>
      <w:r>
        <w:rPr>
          <w:rFonts w:hint="eastAsia" w:ascii="仿宋_GB2312" w:hAnsi="仿宋" w:eastAsia="仿宋_GB2312"/>
          <w:color w:val="auto"/>
          <w:sz w:val="32"/>
          <w:szCs w:val="32"/>
        </w:rPr>
        <w:t>》中提出的控制和改善工频电场、工频磁场对周边环境影响的措施和方法，监测值应符合《电磁环境控制限值》（GB8702-2014）要求。</w:t>
      </w:r>
    </w:p>
    <w:p>
      <w:pPr>
        <w:pStyle w:val="24"/>
        <w:spacing w:line="560" w:lineRule="exact"/>
        <w:ind w:firstLine="640"/>
        <w:rPr>
          <w:rFonts w:hint="eastAsia" w:ascii="仿宋_GB2312" w:eastAsia="仿宋_GB2312"/>
          <w:color w:val="auto"/>
          <w:sz w:val="32"/>
          <w:szCs w:val="32"/>
          <w:lang w:val="en-US" w:eastAsia="zh-CN"/>
        </w:rPr>
      </w:pPr>
      <w:r>
        <w:rPr>
          <w:rFonts w:hint="eastAsia" w:ascii="仿宋_GB2312" w:hAnsi="仿宋" w:eastAsia="仿宋_GB2312"/>
          <w:color w:val="auto"/>
          <w:sz w:val="32"/>
          <w:szCs w:val="32"/>
        </w:rPr>
        <w:t>（三）运营期</w:t>
      </w:r>
      <w:r>
        <w:rPr>
          <w:rFonts w:hint="eastAsia" w:ascii="仿宋_GB2312" w:hAnsi="仿宋" w:eastAsia="仿宋_GB2312"/>
          <w:color w:val="auto"/>
          <w:sz w:val="32"/>
          <w:szCs w:val="32"/>
          <w:lang w:val="en-US" w:eastAsia="zh-CN"/>
        </w:rPr>
        <w:t>变电站生活污水经化粪池处理后排至内蒙古东日新能源材料有限公司污水处理站处理，不外排。</w:t>
      </w:r>
      <w:r>
        <w:rPr>
          <w:rFonts w:hint="eastAsia" w:ascii="仿宋_GB2312" w:hAnsi="仿宋" w:eastAsia="仿宋_GB2312" w:cs="Times New Roman"/>
          <w:color w:val="auto"/>
          <w:sz w:val="32"/>
          <w:szCs w:val="32"/>
          <w:lang w:val="en-US" w:eastAsia="zh-CN"/>
        </w:rPr>
        <w:t>对设备维修过程中产生的废变压器油、废蓄</w:t>
      </w:r>
      <w:r>
        <w:rPr>
          <w:rFonts w:hint="eastAsia" w:ascii="仿宋_GB2312" w:hAnsi="仿宋" w:eastAsia="仿宋_GB2312"/>
          <w:color w:val="auto"/>
          <w:kern w:val="2"/>
          <w:sz w:val="32"/>
          <w:szCs w:val="32"/>
          <w:lang w:val="en-US"/>
        </w:rPr>
        <w:t>电池等应全部回收，如不能全部回收，必须单独存放，</w:t>
      </w:r>
      <w:r>
        <w:rPr>
          <w:rFonts w:hint="eastAsia" w:ascii="仿宋_GB2312" w:hAnsi="仿宋" w:eastAsia="仿宋_GB2312"/>
          <w:color w:val="auto"/>
          <w:sz w:val="32"/>
          <w:szCs w:val="32"/>
        </w:rPr>
        <w:t>集中送交有相应危险废物经营许可资质的单位处置。</w:t>
      </w:r>
    </w:p>
    <w:p>
      <w:pPr>
        <w:autoSpaceDE w:val="0"/>
        <w:autoSpaceDN w:val="0"/>
        <w:adjustRightInd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（四）项目施工期及运行期的噪声值及防噪措施应满足《</w:t>
      </w:r>
      <w:r>
        <w:rPr>
          <w:rFonts w:hint="eastAsia" w:ascii="仿宋_GB2312" w:hAnsi="仿宋" w:eastAsia="仿宋_GB2312"/>
          <w:color w:val="auto"/>
          <w:sz w:val="32"/>
          <w:szCs w:val="32"/>
          <w:lang w:eastAsia="zh-CN"/>
        </w:rPr>
        <w:t>报告表</w:t>
      </w:r>
      <w:r>
        <w:rPr>
          <w:rFonts w:hint="eastAsia" w:ascii="仿宋_GB2312" w:hAnsi="仿宋" w:eastAsia="仿宋_GB2312"/>
          <w:color w:val="auto"/>
          <w:sz w:val="32"/>
          <w:szCs w:val="32"/>
        </w:rPr>
        <w:t>》中提出的要求，监测值应符合国家评价标准限值要求。</w:t>
      </w:r>
    </w:p>
    <w:p>
      <w:pPr>
        <w:spacing w:line="56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（五）环境影响</w:t>
      </w:r>
      <w:r>
        <w:rPr>
          <w:rFonts w:hint="eastAsia" w:ascii="仿宋_GB2312" w:hAnsi="仿宋" w:eastAsia="仿宋_GB2312"/>
          <w:color w:val="auto"/>
          <w:sz w:val="32"/>
          <w:szCs w:val="32"/>
          <w:lang w:eastAsia="zh-CN"/>
        </w:rPr>
        <w:t>报告表</w:t>
      </w:r>
      <w:r>
        <w:rPr>
          <w:rFonts w:hint="eastAsia" w:ascii="仿宋_GB2312" w:hAnsi="仿宋" w:eastAsia="仿宋_GB2312"/>
          <w:color w:val="auto"/>
          <w:sz w:val="32"/>
          <w:szCs w:val="32"/>
        </w:rPr>
        <w:t>经批准后，项目的性质、规模、地点或生态保护、污染防治措施发生重大变动的，应当按要求重新报批。</w:t>
      </w:r>
    </w:p>
    <w:p>
      <w:pPr>
        <w:spacing w:line="56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四、建设单位按规定程序完成竣工环境保护验收后，项目方可投入正式运行。</w:t>
      </w:r>
    </w:p>
    <w:p>
      <w:pPr>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五、我厅委托</w:t>
      </w:r>
      <w:r>
        <w:rPr>
          <w:rFonts w:hint="eastAsia" w:ascii="仿宋_GB2312" w:eastAsia="仿宋_GB2312"/>
          <w:color w:val="auto"/>
          <w:sz w:val="32"/>
          <w:szCs w:val="32"/>
          <w:lang w:val="en-US" w:eastAsia="zh-CN"/>
        </w:rPr>
        <w:t>鄂尔多斯市</w:t>
      </w:r>
      <w:r>
        <w:rPr>
          <w:rFonts w:hint="eastAsia" w:ascii="仿宋_GB2312" w:hAnsi="仿宋" w:eastAsia="仿宋_GB2312"/>
          <w:color w:val="auto"/>
          <w:sz w:val="32"/>
          <w:szCs w:val="32"/>
        </w:rPr>
        <w:t>生态环境局负责该项目施工期的监督检查工作。</w:t>
      </w:r>
    </w:p>
    <w:p>
      <w:pPr>
        <w:spacing w:line="560" w:lineRule="exact"/>
        <w:ind w:firstLine="640" w:firstLineChars="200"/>
        <w:rPr>
          <w:rFonts w:hint="default" w:ascii="仿宋_GB2312" w:hAnsi="仿宋" w:eastAsia="仿宋_GB2312"/>
          <w:color w:val="auto"/>
          <w:sz w:val="32"/>
          <w:szCs w:val="32"/>
          <w:lang w:val="en-US"/>
        </w:rPr>
      </w:pPr>
      <w:r>
        <w:rPr>
          <w:rFonts w:hint="eastAsia" w:ascii="仿宋_GB2312" w:hAnsi="仿宋_GB2312" w:eastAsia="仿宋_GB2312" w:cs="仿宋_GB2312"/>
          <w:color w:val="auto"/>
          <w:sz w:val="32"/>
          <w:szCs w:val="32"/>
          <w:highlight w:val="none"/>
          <w:lang w:eastAsia="zh-CN"/>
        </w:rPr>
        <w:t>六、本批复不具有其他行政审批前置效力。</w:t>
      </w:r>
    </w:p>
    <w:p>
      <w:pPr>
        <w:spacing w:line="560" w:lineRule="exact"/>
        <w:ind w:firstLine="624" w:firstLineChars="200"/>
        <w:rPr>
          <w:rFonts w:ascii="仿宋_GB2312" w:hAnsi="仿宋" w:eastAsia="仿宋_GB2312"/>
          <w:spacing w:val="-4"/>
          <w:sz w:val="32"/>
          <w:szCs w:val="32"/>
        </w:rPr>
      </w:pPr>
    </w:p>
    <w:p>
      <w:pPr>
        <w:spacing w:line="560" w:lineRule="exact"/>
        <w:ind w:firstLine="624" w:firstLineChars="200"/>
        <w:rPr>
          <w:rFonts w:ascii="仿宋_GB2312" w:hAnsi="仿宋" w:eastAsia="仿宋_GB2312"/>
          <w:spacing w:val="-4"/>
          <w:sz w:val="32"/>
          <w:szCs w:val="32"/>
        </w:rPr>
      </w:pPr>
    </w:p>
    <w:p>
      <w:pPr>
        <w:spacing w:line="560" w:lineRule="exact"/>
        <w:ind w:firstLine="624" w:firstLineChars="200"/>
        <w:rPr>
          <w:rFonts w:ascii="仿宋_GB2312" w:hAnsi="仿宋" w:eastAsia="仿宋_GB2312"/>
          <w:spacing w:val="-4"/>
          <w:sz w:val="32"/>
          <w:szCs w:val="32"/>
        </w:rPr>
      </w:pPr>
    </w:p>
    <mc:AlternateContent>
      <mc:Choice Requires="wpsCustomData">
        <wpsCustomData:docfieldEnd id="3"/>
      </mc:Choice>
    </mc:AlternateContent>
    <w:p>
      <w:pPr>
        <w:spacing w:line="560" w:lineRule="exact"/>
        <w:ind w:firstLine="624" w:firstLineChars="200"/>
        <w:rPr>
          <w:rFonts w:ascii="仿宋_GB2312" w:hAnsi="仿宋" w:eastAsia="仿宋_GB2312"/>
          <w:spacing w:val="-4"/>
          <w:sz w:val="32"/>
          <w:szCs w:val="32"/>
        </w:rPr>
      </w:pPr>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4" w:name="签发日期"/>
      <w:r>
        <w:rPr>
          <w:rFonts w:hint="eastAsia" w:ascii="仿宋_GB2312" w:hAnsi="仿宋" w:eastAsia="仿宋_GB2312"/>
          <w:sz w:val="32"/>
          <w:szCs w:val="32"/>
          <w:lang w:eastAsia="zh-CN"/>
        </w:rPr>
        <w:t>2026年8月21日</w:t>
      </w:r>
      <w:bookmarkEnd w:id="4"/>
      <mc:AlternateContent>
        <mc:Choice Requires="wpsCustomData">
          <wpsCustomData:docfieldEnd id="4"/>
        </mc:Choice>
      </mc:AlternateContent>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8"/>
    <w:family w:val="auto"/>
    <w:pitch w:val="default"/>
    <w:sig w:usb0="00000000" w:usb1="00000000" w:usb2="00000009" w:usb3="00000000" w:csb0="400001FF" w:csb1="FFFF0000"/>
  </w:font>
  <w:font w:name="宋体">
    <w:altName w:val="方正书宋_GBK"/>
    <w:panose1 w:val="02010600030101010101"/>
    <w:charset w:val="34"/>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9"/>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9"/>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9"/>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9"/>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FD4B69"/>
    <w:multiLevelType w:val="singleLevel"/>
    <w:tmpl w:val="62FD4B6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C032EFE"/>
    <w:rsid w:val="3C431296"/>
    <w:rsid w:val="3D997D89"/>
    <w:rsid w:val="40DE7A76"/>
    <w:rsid w:val="41E57898"/>
    <w:rsid w:val="43BE5DA5"/>
    <w:rsid w:val="48D80B0B"/>
    <w:rsid w:val="4955784C"/>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E77440"/>
    <w:rsid w:val="7BE16A25"/>
    <w:rsid w:val="7BFF4D51"/>
    <w:rsid w:val="7D6F7921"/>
    <w:rsid w:val="7D754DCD"/>
    <w:rsid w:val="7E705781"/>
    <w:rsid w:val="7FE3E7A9"/>
    <w:rsid w:val="B43B51A3"/>
    <w:rsid w:val="DF4FEC23"/>
    <w:rsid w:val="FB737E87"/>
    <w:rsid w:val="FDBE67B1"/>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qFormat="1" w:unhideWhenUsed="0" w:uiPriority="0" w:semiHidden="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eastAsia="宋体" w:cs="Times New Roman"/>
      <w:b/>
      <w:bCs/>
      <w:sz w:val="24"/>
      <w:szCs w:val="2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toa heading"/>
    <w:basedOn w:val="1"/>
    <w:next w:val="1"/>
    <w:qFormat/>
    <w:uiPriority w:val="0"/>
    <w:pPr>
      <w:kinsoku w:val="0"/>
      <w:wordWrap w:val="0"/>
      <w:overflowPunct w:val="0"/>
      <w:autoSpaceDE w:val="0"/>
      <w:autoSpaceDN w:val="0"/>
      <w:adjustRightInd w:val="0"/>
      <w:spacing w:before="120" w:line="360" w:lineRule="atLeast"/>
      <w:jc w:val="left"/>
      <w:textAlignment w:val="baseline"/>
    </w:pPr>
    <w:rPr>
      <w:rFonts w:ascii="Arial" w:hAnsi="Arial" w:eastAsia="黑体" w:cs="Times New Roman"/>
      <w:kern w:val="0"/>
      <w:sz w:val="24"/>
      <w:szCs w:val="20"/>
    </w:rPr>
  </w:style>
  <w:style w:type="paragraph" w:styleId="4">
    <w:name w:val="annotation text"/>
    <w:basedOn w:val="1"/>
    <w:qFormat/>
    <w:uiPriority w:val="0"/>
    <w:pPr>
      <w:jc w:val="left"/>
    </w:pPr>
    <w:rPr>
      <w:rFonts w:eastAsia="宋体" w:cs="Times New Roman"/>
      <w:szCs w:val="20"/>
    </w:rPr>
  </w:style>
  <w:style w:type="paragraph" w:styleId="5">
    <w:name w:val="Body Text"/>
    <w:basedOn w:val="1"/>
    <w:next w:val="6"/>
    <w:unhideWhenUsed/>
    <w:qFormat/>
    <w:uiPriority w:val="99"/>
    <w:pPr>
      <w:spacing w:after="120"/>
    </w:pPr>
    <w:rPr>
      <w:rFonts w:eastAsia="宋体" w:cs="Times New Roman"/>
      <w:szCs w:val="20"/>
    </w:rPr>
  </w:style>
  <w:style w:type="paragraph" w:styleId="6">
    <w:name w:val="Body Text 2"/>
    <w:basedOn w:val="1"/>
    <w:qFormat/>
    <w:uiPriority w:val="0"/>
    <w:rPr>
      <w:rFonts w:eastAsia="宋体" w:cs="Times New Roman"/>
      <w:color w:val="0000FF"/>
      <w:szCs w:val="20"/>
    </w:rPr>
  </w:style>
  <w:style w:type="paragraph" w:styleId="7">
    <w:name w:val="Body Text Indent"/>
    <w:basedOn w:val="1"/>
    <w:next w:val="1"/>
    <w:unhideWhenUsed/>
    <w:qFormat/>
    <w:uiPriority w:val="99"/>
    <w:pPr>
      <w:spacing w:after="120"/>
      <w:ind w:left="420" w:leftChars="200"/>
    </w:pPr>
    <w:rPr>
      <w:rFonts w:eastAsia="宋体" w:cs="Times New Roman"/>
      <w:szCs w:val="20"/>
    </w:rPr>
  </w:style>
  <w:style w:type="paragraph" w:styleId="8">
    <w:name w:val="Balloon Text"/>
    <w:basedOn w:val="1"/>
    <w:link w:val="20"/>
    <w:qFormat/>
    <w:uiPriority w:val="0"/>
    <w:rPr>
      <w:sz w:val="18"/>
      <w:szCs w:val="18"/>
    </w:rPr>
  </w:style>
  <w:style w:type="paragraph" w:styleId="9">
    <w:name w:val="footer"/>
    <w:basedOn w:val="1"/>
    <w:link w:val="22"/>
    <w:qFormat/>
    <w:uiPriority w:val="0"/>
    <w:pPr>
      <w:tabs>
        <w:tab w:val="center" w:pos="4153"/>
        <w:tab w:val="right" w:pos="8306"/>
      </w:tabs>
      <w:snapToGrid w:val="0"/>
      <w:jc w:val="left"/>
    </w:pPr>
    <w:rPr>
      <w:kern w:val="0"/>
      <w:sz w:val="18"/>
      <w:szCs w:val="18"/>
    </w:rPr>
  </w:style>
  <w:style w:type="paragraph" w:styleId="10">
    <w:name w:val="header"/>
    <w:basedOn w:val="1"/>
    <w:link w:val="23"/>
    <w:qFormat/>
    <w:uiPriority w:val="0"/>
    <w:pPr>
      <w:pBdr>
        <w:bottom w:val="single" w:color="auto" w:sz="6" w:space="1"/>
      </w:pBdr>
      <w:tabs>
        <w:tab w:val="center" w:pos="4153"/>
        <w:tab w:val="right" w:pos="8306"/>
      </w:tabs>
      <w:snapToGrid w:val="0"/>
      <w:jc w:val="center"/>
    </w:pPr>
    <w:rPr>
      <w:kern w:val="0"/>
      <w:sz w:val="18"/>
      <w:szCs w:val="18"/>
    </w:rPr>
  </w:style>
  <w:style w:type="paragraph" w:styleId="11">
    <w:name w:val="Normal (Web)"/>
    <w:basedOn w:val="1"/>
    <w:qFormat/>
    <w:uiPriority w:val="0"/>
    <w:pPr>
      <w:spacing w:before="0" w:beforeAutospacing="1" w:after="0" w:afterAutospacing="1"/>
      <w:ind w:left="0" w:right="0"/>
      <w:jc w:val="left"/>
    </w:pPr>
    <w:rPr>
      <w:rFonts w:eastAsia="宋体" w:cs="Times New Roman"/>
      <w:kern w:val="0"/>
      <w:sz w:val="24"/>
      <w:szCs w:val="20"/>
      <w:lang w:val="en-US" w:eastAsia="zh-CN" w:bidi="ar"/>
    </w:rPr>
  </w:style>
  <w:style w:type="paragraph" w:styleId="12">
    <w:name w:val="Body Text First Indent"/>
    <w:basedOn w:val="5"/>
    <w:next w:val="1"/>
    <w:unhideWhenUsed/>
    <w:qFormat/>
    <w:uiPriority w:val="99"/>
    <w:pPr>
      <w:ind w:firstLine="420" w:firstLineChars="100"/>
    </w:pPr>
  </w:style>
  <w:style w:type="paragraph" w:styleId="13">
    <w:name w:val="Body Text First Indent 2"/>
    <w:basedOn w:val="7"/>
    <w:next w:val="12"/>
    <w:qFormat/>
    <w:uiPriority w:val="0"/>
    <w:pPr>
      <w:ind w:firstLine="420" w:firstLineChars="200"/>
    </w:pPr>
    <w:rPr>
      <w:sz w:val="24"/>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semiHidden/>
    <w:unhideWhenUsed/>
    <w:qFormat/>
    <w:uiPriority w:val="0"/>
  </w:style>
  <w:style w:type="character" w:styleId="18">
    <w:name w:val="annotation reference"/>
    <w:basedOn w:val="16"/>
    <w:qFormat/>
    <w:uiPriority w:val="0"/>
    <w:rPr>
      <w:rFonts w:ascii="Calibri" w:hAnsi="Calibri" w:eastAsia="宋体" w:cs="Times New Roman"/>
      <w:sz w:val="21"/>
      <w:szCs w:val="21"/>
    </w:rPr>
  </w:style>
  <w:style w:type="character" w:customStyle="1" w:styleId="19">
    <w:name w:val="页眉 Char"/>
    <w:link w:val="10"/>
    <w:semiHidden/>
    <w:qFormat/>
    <w:uiPriority w:val="99"/>
    <w:rPr>
      <w:sz w:val="18"/>
      <w:szCs w:val="18"/>
    </w:rPr>
  </w:style>
  <w:style w:type="character" w:customStyle="1" w:styleId="20">
    <w:name w:val="批注框文本 Char"/>
    <w:basedOn w:val="16"/>
    <w:link w:val="8"/>
    <w:semiHidden/>
    <w:qFormat/>
    <w:uiPriority w:val="99"/>
    <w:rPr>
      <w:kern w:val="2"/>
      <w:sz w:val="18"/>
      <w:szCs w:val="18"/>
    </w:rPr>
  </w:style>
  <w:style w:type="character" w:customStyle="1" w:styleId="21">
    <w:name w:val="页脚 Char"/>
    <w:link w:val="9"/>
    <w:semiHidden/>
    <w:qFormat/>
    <w:uiPriority w:val="99"/>
    <w:rPr>
      <w:sz w:val="18"/>
      <w:szCs w:val="18"/>
    </w:rPr>
  </w:style>
  <w:style w:type="character" w:customStyle="1" w:styleId="22">
    <w:name w:val="页脚 字符"/>
    <w:basedOn w:val="16"/>
    <w:link w:val="9"/>
    <w:qFormat/>
    <w:uiPriority w:val="0"/>
    <w:rPr>
      <w:rFonts w:ascii="Calibri" w:hAnsi="Calibri" w:eastAsia="宋体" w:cs="Times New Roman"/>
      <w:kern w:val="2"/>
      <w:sz w:val="18"/>
      <w:szCs w:val="18"/>
    </w:rPr>
  </w:style>
  <w:style w:type="character" w:customStyle="1" w:styleId="23">
    <w:name w:val="页眉 字符"/>
    <w:basedOn w:val="16"/>
    <w:link w:val="10"/>
    <w:qFormat/>
    <w:uiPriority w:val="0"/>
    <w:rPr>
      <w:rFonts w:ascii="Calibri" w:hAnsi="Calibri" w:eastAsia="宋体" w:cs="Times New Roman"/>
      <w:kern w:val="2"/>
      <w:sz w:val="18"/>
      <w:szCs w:val="18"/>
    </w:rPr>
  </w:style>
  <w:style w:type="paragraph" w:customStyle="1" w:styleId="24">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paragraph" w:customStyle="1" w:styleId="25">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2</Pages>
  <Words>694</Words>
  <Characters>721</Characters>
  <Lines>5</Lines>
  <Paragraphs>1</Paragraphs>
  <TotalTime>0</TotalTime>
  <ScaleCrop>false</ScaleCrop>
  <LinksUpToDate>false</LinksUpToDate>
  <CharactersWithSpaces>721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2023-02-14T00:32:00Z</dcterms:created>
  <dc:creator>白都荣</dc:creator>
  <cp:lastModifiedBy>hjt</cp:lastModifiedBy>
  <cp:lastPrinted>2023-12-04T10:16:00Z</cp:lastPrinted>
  <dcterms:modified xsi:type="dcterms:W3CDTF">2026-08-26T17:24:44Z</dcterms:modified>
  <dc:title>你公司报送的《固阳县弘元多晶硅项目220kV线路工程建设项目环境影响报告表》（以下简称《报告表》）收悉。经研究，批复如下：</dc:title>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eyJoZGlkIjoiNDA0NmFmMTliYWVhNWJiZGI5Mjc1OTkxMjg3Yzg2MzQiLCJ1c2VySWQiOiIxNzAwNDE4NDE5In0=</vt:lpwstr>
  </property>
</Properties>
</file>