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内蒙古自治区生态环境厅关于</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中煤鄂能源化10万吨/年液态阳光-二氧化碳</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加绿氢制甲醇技术示范项目输电线路单元项目建设项目环境影响报告表的批复</w:t>
      </w:r>
      <w:bookmarkEnd w:id="0"/>
    </w:p>
    <mc:AlternateContent>
      <mc:Choice Requires="wpsCustomData">
        <wpsCustomData:docfieldEnd id="0"/>
      </mc:Choice>
    </mc:AlternateContent>
    <w:p>
      <w:pPr>
        <w:pStyle w:val="2"/>
        <w:jc w:val="center"/>
        <w:rPr>
          <w:rFonts w:hint="eastAsia"/>
          <w:b w:val="0"/>
          <w:bCs w:val="0"/>
          <w:lang w:eastAsia="zh-CN"/>
        </w:rPr>
      </w:pPr>
      <w:bookmarkStart w:id="1" w:name="文号"/>
      <mc:AlternateContent>
        <mc:Choice Requires="wpsCustomData">
          <wpsCustomData:docfieldStart id="1" docfieldname="文号" hidden="false" print="true" readonly="false" index="1"/>
        </mc:Choice>
      </mc:AlternateContent>
      <w:r>
        <w:rPr>
          <w:rFonts w:hint="eastAsia" w:ascii="仿宋_GB2312" w:hAnsi="仿宋" w:eastAsia="仿宋_GB2312"/>
          <w:b w:val="0"/>
          <w:bCs w:val="0"/>
          <w:sz w:val="32"/>
          <w:szCs w:val="32"/>
          <w:lang w:eastAsia="zh-CN"/>
        </w:rPr>
        <w:t>内环表〔2026〕181号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2" w:name="主送单位"/>
      <w:r>
        <w:rPr>
          <w:rFonts w:hint="eastAsia" w:ascii="仿宋_GB2312" w:hAnsi="仿宋" w:eastAsia="仿宋_GB2312"/>
          <w:bCs/>
          <w:sz w:val="32"/>
          <w:szCs w:val="32"/>
          <w:lang w:eastAsia="zh-CN"/>
        </w:rPr>
        <w:t>中煤鄂尔多斯能源化工有限公司</w:t>
      </w:r>
      <w:bookmarkEnd w:id="2"/>
      <mc:AlternateContent>
        <mc:Choice Requires="wpsCustomData">
          <wpsCustomData:docfieldEnd id="2"/>
        </mc:Choice>
      </mc:AlternateContent>
      <w:r>
        <w:rPr>
          <w:rFonts w:hint="eastAsia" w:ascii="仿宋_GB2312" w:hAnsi="仿宋" w:eastAsia="仿宋_GB2312"/>
          <w:bCs/>
          <w:sz w:val="32"/>
          <w:szCs w:val="32"/>
        </w:rPr>
        <w:t>：</w:t>
      </w:r>
    </w:p>
    <w:p>
      <w:pPr>
        <w:pStyle w:val="21"/>
        <w:spacing w:line="560" w:lineRule="exact"/>
        <w:ind w:firstLine="640"/>
        <w:jc w:val="both"/>
        <w:rPr>
          <w:rFonts w:ascii="仿宋_GB2312" w:eastAsia="仿宋_GB2312"/>
          <w:color w:val="000000" w:themeColor="text1"/>
          <w:sz w:val="32"/>
          <w:szCs w:val="32"/>
          <w14:textFill>
            <w14:solidFill>
              <w14:schemeClr w14:val="tx1"/>
            </w14:solidFill>
          </w14:textFill>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bCs/>
          <w:color w:val="000000" w:themeColor="text1"/>
          <w:sz w:val="32"/>
          <w:szCs w:val="32"/>
          <w14:textFill>
            <w14:solidFill>
              <w14:schemeClr w14:val="tx1"/>
            </w14:solidFill>
          </w14:textFill>
        </w:rPr>
        <w:t>你公司报送的《</w:t>
      </w:r>
      <w:r>
        <w:rPr>
          <w:rFonts w:hint="eastAsia" w:ascii="仿宋_GB2312" w:eastAsia="仿宋_GB2312"/>
          <w:color w:val="000000" w:themeColor="text1"/>
          <w:sz w:val="32"/>
          <w:szCs w:val="32"/>
          <w:lang w:val="en-US"/>
          <w14:textFill>
            <w14:solidFill>
              <w14:schemeClr w14:val="tx1"/>
            </w14:solidFill>
          </w14:textFill>
        </w:rPr>
        <w:t>中煤鄂能源化10万吨/年液态阳光-二氧化碳加绿氢制甲醇技术示范项目输电线路单元项目</w:t>
      </w:r>
      <w:r>
        <w:rPr>
          <w:rFonts w:hint="eastAsia" w:ascii="仿宋_GB2312" w:hAnsi="仿宋_GB2312" w:eastAsia="仿宋_GB2312"/>
          <w:bCs/>
          <w:color w:val="000000" w:themeColor="text1"/>
          <w:sz w:val="32"/>
          <w:szCs w:val="32"/>
          <w14:textFill>
            <w14:solidFill>
              <w14:schemeClr w14:val="tx1"/>
            </w14:solidFill>
          </w14:textFill>
        </w:rPr>
        <w:t>建设项目</w:t>
      </w:r>
      <w:r>
        <w:rPr>
          <w:rFonts w:hint="eastAsia" w:ascii="仿宋_GB2312" w:hAnsi="仿宋" w:eastAsia="仿宋_GB2312"/>
          <w:color w:val="000000" w:themeColor="text1"/>
          <w:sz w:val="32"/>
          <w:szCs w:val="32"/>
          <w14:textFill>
            <w14:solidFill>
              <w14:schemeClr w14:val="tx1"/>
            </w14:solidFill>
          </w14:textFill>
        </w:rPr>
        <w:t>环境影响报告表》（以下简称《报告表》）收悉。经研究，批复如下：</w:t>
      </w:r>
    </w:p>
    <w:p>
      <w:pPr>
        <w:pStyle w:val="22"/>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一、项目建设基本情况</w:t>
      </w:r>
    </w:p>
    <w:p>
      <w:pPr>
        <w:pageBreakBefore w:val="0"/>
        <w:widowControl/>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bidi="ar"/>
        </w:rPr>
        <w:t>新建220kV输电线路</w:t>
      </w:r>
      <w:r>
        <w:rPr>
          <w:rFonts w:hint="eastAsia" w:ascii="仿宋_GB2312" w:hAnsi="仿宋_GB2312" w:eastAsia="仿宋_GB2312" w:cs="仿宋_GB2312"/>
          <w:color w:val="auto"/>
          <w:kern w:val="0"/>
          <w:sz w:val="32"/>
          <w:szCs w:val="32"/>
          <w:lang w:eastAsia="zh-CN" w:bidi="ar"/>
        </w:rPr>
        <w:t>，起于</w:t>
      </w:r>
      <w:r>
        <w:rPr>
          <w:rFonts w:hint="eastAsia" w:ascii="仿宋_GB2312" w:hAnsi="仿宋_GB2312" w:eastAsia="仿宋_GB2312" w:cs="仿宋_GB2312"/>
          <w:color w:val="auto"/>
          <w:kern w:val="0"/>
          <w:sz w:val="32"/>
          <w:szCs w:val="32"/>
          <w:lang w:bidi="ar"/>
        </w:rPr>
        <w:t>220kV新能源升压站</w:t>
      </w:r>
      <w:r>
        <w:rPr>
          <w:rFonts w:hint="eastAsia" w:ascii="仿宋_GB2312" w:hAnsi="仿宋_GB2312" w:eastAsia="仿宋_GB2312" w:cs="仿宋_GB2312"/>
          <w:color w:val="auto"/>
          <w:kern w:val="0"/>
          <w:sz w:val="32"/>
          <w:szCs w:val="32"/>
          <w:lang w:eastAsia="zh-CN" w:bidi="ar"/>
        </w:rPr>
        <w:t>，止于</w:t>
      </w:r>
      <w:r>
        <w:rPr>
          <w:rFonts w:hint="eastAsia" w:ascii="仿宋_GB2312" w:hAnsi="仿宋_GB2312" w:eastAsia="仿宋_GB2312" w:cs="仿宋_GB2312"/>
          <w:color w:val="auto"/>
          <w:kern w:val="0"/>
          <w:sz w:val="32"/>
          <w:szCs w:val="32"/>
          <w:lang w:bidi="ar"/>
        </w:rPr>
        <w:t>新建制氢站220kV降压站</w:t>
      </w: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lang w:bidi="ar"/>
        </w:rPr>
        <w:t>新建线路长63.715km，其中单回</w:t>
      </w:r>
      <w:r>
        <w:rPr>
          <w:rFonts w:hint="eastAsia" w:ascii="仿宋_GB2312" w:hAnsi="仿宋_GB2312" w:eastAsia="仿宋_GB2312" w:cs="仿宋_GB2312"/>
          <w:color w:val="auto"/>
          <w:kern w:val="0"/>
          <w:sz w:val="32"/>
          <w:szCs w:val="32"/>
          <w:lang w:eastAsia="zh-CN" w:bidi="ar"/>
        </w:rPr>
        <w:t>路</w:t>
      </w:r>
      <w:r>
        <w:rPr>
          <w:rFonts w:hint="eastAsia" w:ascii="仿宋_GB2312" w:hAnsi="仿宋_GB2312" w:eastAsia="仿宋_GB2312" w:cs="仿宋_GB2312"/>
          <w:color w:val="auto"/>
          <w:kern w:val="0"/>
          <w:sz w:val="32"/>
          <w:szCs w:val="32"/>
          <w:lang w:bidi="ar"/>
        </w:rPr>
        <w:t>架空</w:t>
      </w:r>
      <w:r>
        <w:rPr>
          <w:rFonts w:hint="eastAsia" w:ascii="仿宋_GB2312" w:hAnsi="仿宋_GB2312" w:eastAsia="仿宋_GB2312" w:cs="仿宋_GB2312"/>
          <w:color w:val="auto"/>
          <w:kern w:val="0"/>
          <w:sz w:val="32"/>
          <w:szCs w:val="32"/>
          <w:lang w:eastAsia="zh-CN" w:bidi="ar"/>
        </w:rPr>
        <w:t>架设长</w:t>
      </w:r>
      <w:r>
        <w:rPr>
          <w:rFonts w:hint="eastAsia" w:ascii="仿宋_GB2312" w:hAnsi="仿宋_GB2312" w:eastAsia="仿宋_GB2312" w:cs="仿宋_GB2312"/>
          <w:color w:val="auto"/>
          <w:kern w:val="0"/>
          <w:sz w:val="32"/>
          <w:szCs w:val="32"/>
          <w:lang w:bidi="ar"/>
        </w:rPr>
        <w:t>55.276km，双回路</w:t>
      </w:r>
      <w:r>
        <w:rPr>
          <w:rFonts w:hint="eastAsia" w:ascii="仿宋_GB2312" w:hAnsi="仿宋_GB2312" w:eastAsia="仿宋_GB2312" w:cs="仿宋_GB2312"/>
          <w:color w:val="auto"/>
          <w:kern w:val="0"/>
          <w:sz w:val="32"/>
          <w:szCs w:val="32"/>
          <w:lang w:eastAsia="zh-CN" w:bidi="ar"/>
        </w:rPr>
        <w:t>架空架设长</w:t>
      </w:r>
      <w:r>
        <w:rPr>
          <w:rFonts w:hint="eastAsia" w:ascii="仿宋_GB2312" w:hAnsi="仿宋_GB2312" w:eastAsia="仿宋_GB2312" w:cs="仿宋_GB2312"/>
          <w:color w:val="auto"/>
          <w:kern w:val="0"/>
          <w:sz w:val="32"/>
          <w:szCs w:val="32"/>
          <w:lang w:bidi="ar"/>
        </w:rPr>
        <w:t>1.558km，四回路</w:t>
      </w:r>
      <w:r>
        <w:rPr>
          <w:rFonts w:hint="eastAsia" w:ascii="仿宋_GB2312" w:hAnsi="仿宋_GB2312" w:eastAsia="仿宋_GB2312" w:cs="仿宋_GB2312"/>
          <w:color w:val="auto"/>
          <w:kern w:val="0"/>
          <w:sz w:val="32"/>
          <w:szCs w:val="32"/>
          <w:lang w:eastAsia="zh-CN" w:bidi="ar"/>
        </w:rPr>
        <w:t>架空架设</w:t>
      </w:r>
      <w:r>
        <w:rPr>
          <w:rFonts w:hint="eastAsia" w:ascii="仿宋_GB2312" w:hAnsi="仿宋_GB2312" w:eastAsia="仿宋_GB2312" w:cs="仿宋_GB2312"/>
          <w:color w:val="auto"/>
          <w:kern w:val="0"/>
          <w:sz w:val="32"/>
          <w:szCs w:val="32"/>
          <w:lang w:bidi="ar"/>
        </w:rPr>
        <w:t>长6.046km，双回路电缆长0.835km，立塔206基。</w:t>
      </w:r>
    </w:p>
    <w:p>
      <w:pPr>
        <w:pStyle w:val="21"/>
        <w:spacing w:line="560" w:lineRule="exact"/>
        <w:ind w:firstLine="640"/>
        <w:jc w:val="both"/>
        <w:rPr>
          <w:rFonts w:ascii="仿宋_GB2312" w:eastAsia="仿宋_GB2312"/>
          <w:color w:val="000000" w:themeColor="text1"/>
          <w:sz w:val="32"/>
          <w:szCs w:val="32"/>
          <w14:textFill>
            <w14:solidFill>
              <w14:schemeClr w14:val="tx1"/>
            </w14:solidFill>
          </w14:textFill>
        </w:rPr>
      </w:pPr>
      <w:r>
        <w:rPr>
          <w:rFonts w:hint="eastAsia" w:ascii="仿宋_GB2312" w:eastAsia="仿宋_GB2312"/>
          <w:bCs/>
          <w:color w:val="000000" w:themeColor="text1"/>
          <w:sz w:val="32"/>
          <w:szCs w:val="32"/>
          <w14:textFill>
            <w14:solidFill>
              <w14:schemeClr w14:val="tx1"/>
            </w14:solidFill>
          </w14:textFill>
        </w:rPr>
        <w:t>本项目建设地点位于</w:t>
      </w:r>
      <w:r>
        <w:rPr>
          <w:rFonts w:hint="eastAsia" w:ascii="仿宋_GB2312" w:eastAsia="仿宋_GB2312"/>
          <w:color w:val="000000" w:themeColor="text1"/>
          <w:sz w:val="32"/>
          <w:szCs w:val="32"/>
          <w:lang w:val="en-US"/>
          <w14:textFill>
            <w14:solidFill>
              <w14:schemeClr w14:val="tx1"/>
            </w14:solidFill>
          </w14:textFill>
        </w:rPr>
        <w:t>内蒙古自治区</w:t>
      </w:r>
      <w:r>
        <w:rPr>
          <w:rFonts w:hint="eastAsia" w:ascii="仿宋_GB2312" w:hAnsi="仿宋_GB2312" w:eastAsia="仿宋_GB2312" w:cs="仿宋_GB2312"/>
          <w:color w:val="auto"/>
          <w:sz w:val="32"/>
          <w:szCs w:val="32"/>
          <w:lang w:val="en-US" w:bidi="ar"/>
        </w:rPr>
        <w:t>鄂尔多斯市乌审旗</w:t>
      </w:r>
      <w:r>
        <w:rPr>
          <w:rFonts w:hint="eastAsia" w:ascii="仿宋_GB2312" w:eastAsia="仿宋_GB2312"/>
          <w:color w:val="000000" w:themeColor="text1"/>
          <w:sz w:val="32"/>
          <w:szCs w:val="32"/>
          <w:lang w:val="en-US"/>
          <w14:textFill>
            <w14:solidFill>
              <w14:schemeClr w14:val="tx1"/>
            </w14:solidFill>
          </w14:textFill>
        </w:rPr>
        <w:t>境内。</w:t>
      </w:r>
    </w:p>
    <w:p>
      <w:pPr>
        <w:pStyle w:val="21"/>
        <w:spacing w:line="560" w:lineRule="exact"/>
        <w:ind w:firstLine="640"/>
        <w:jc w:val="both"/>
        <w:rPr>
          <w:rFonts w:hint="eastAsia" w:ascii="仿宋_GB2312" w:hAnsi="仿宋" w:eastAsia="仿宋_GB2312" w:cs="宋体"/>
          <w:color w:val="000000" w:themeColor="text1"/>
          <w:sz w:val="32"/>
          <w:szCs w:val="32"/>
          <w14:textFill>
            <w14:solidFill>
              <w14:schemeClr w14:val="tx1"/>
            </w14:solidFill>
          </w14:textFill>
        </w:rPr>
      </w:pPr>
      <w:r>
        <w:rPr>
          <w:rFonts w:hint="eastAsia" w:ascii="仿宋_GB2312" w:hAnsi="仿宋" w:eastAsia="仿宋_GB2312" w:cs="宋体"/>
          <w:color w:val="000000" w:themeColor="text1"/>
          <w:sz w:val="32"/>
          <w:szCs w:val="32"/>
          <w14:textFill>
            <w14:solidFill>
              <w14:schemeClr w14:val="tx1"/>
            </w14:solidFill>
          </w14:textFill>
        </w:rPr>
        <w:t>二、总体意见</w:t>
      </w:r>
    </w:p>
    <w:p>
      <w:pPr>
        <w:autoSpaceDE w:val="0"/>
        <w:autoSpaceDN w:val="0"/>
        <w:adjustRightInd w:val="0"/>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本项目在严格落实《报告表》提出的各项环境保护措</w:t>
      </w:r>
      <w:r>
        <w:rPr>
          <w:rFonts w:hint="eastAsia" w:ascii="仿宋_GB2312" w:hAnsi="仿宋" w:eastAsia="仿宋_GB2312"/>
          <w:color w:val="000000" w:themeColor="text1"/>
          <w:sz w:val="32"/>
          <w:szCs w:val="32"/>
          <w14:textFill>
            <w14:solidFill>
              <w14:schemeClr w14:val="tx1"/>
            </w14:solidFill>
          </w14:textFill>
        </w:rPr>
        <w:t>施后，对</w:t>
      </w:r>
      <w:r>
        <w:rPr>
          <w:rFonts w:hint="eastAsia" w:ascii="仿宋_GB2312" w:hAnsi="仿宋_GB2312" w:eastAsia="仿宋_GB2312"/>
          <w:bCs/>
          <w:color w:val="000000" w:themeColor="text1"/>
          <w:sz w:val="32"/>
          <w:szCs w:val="32"/>
          <w14:textFill>
            <w14:solidFill>
              <w14:schemeClr w14:val="tx1"/>
            </w14:solidFill>
          </w14:textFill>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color w:val="000000" w:themeColor="text1"/>
          <w:sz w:val="32"/>
          <w:szCs w:val="32"/>
          <w14:textFill>
            <w14:solidFill>
              <w14:schemeClr w14:val="tx1"/>
            </w14:solidFill>
          </w14:textFill>
        </w:rPr>
        <w:t>建设。</w:t>
      </w:r>
    </w:p>
    <w:p>
      <w:pPr>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三、项目建设及运行期间应做好的工作</w:t>
      </w:r>
    </w:p>
    <w:p>
      <w:pPr>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（一）严格落实项目施工期、运营期生态环境保护措施，做好生态保护与恢复工作。施工期严格控制施工活动范围，合理布局，尽量减少土地占用和植被破坏。</w:t>
      </w:r>
    </w:p>
    <w:p>
      <w:pPr>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（二）认真落实《报告表》中提出的控制和改善工频电场、工频磁场对周边环境影响的措施和方法，监测值应符合《电磁环境控制限值》（GB8702-2014）要求。</w:t>
      </w:r>
    </w:p>
    <w:p>
      <w:pPr>
        <w:autoSpaceDE w:val="0"/>
        <w:autoSpaceDN w:val="0"/>
        <w:adjustRightInd w:val="0"/>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（三）项目施工期及运行期的噪声值及防噪措施应满足《报告表》中提出的要求，监测值应符合国家评价标准限值要求。</w:t>
      </w:r>
    </w:p>
    <w:p>
      <w:pPr>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（四）环境影响报告表经批准后，项目的性质、规模、地点或生态保护、污染防治措施发生重大变动的，应当按要求重新报批。</w:t>
      </w:r>
    </w:p>
    <w:p>
      <w:pPr>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四、建设单位按规定程序完成竣工环境保护验收后，项目方可投入正式运行。</w:t>
      </w:r>
    </w:p>
    <w:p>
      <w:pPr>
        <w:spacing w:line="560" w:lineRule="exact"/>
        <w:ind w:firstLine="640" w:firstLineChars="200"/>
        <w:jc w:val="both"/>
        <w:rPr>
          <w:rFonts w:hint="eastAsia"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五、我厅委托</w:t>
      </w:r>
      <w:r>
        <w:rPr>
          <w:rFonts w:hint="eastAsia" w:ascii="仿宋_GB2312" w:eastAsia="仿宋_GB2312"/>
          <w:color w:val="000000" w:themeColor="text1"/>
          <w:sz w:val="32"/>
          <w:szCs w:val="32"/>
          <w14:textFill>
            <w14:solidFill>
              <w14:schemeClr w14:val="tx1"/>
            </w14:solidFill>
          </w14:textFill>
        </w:rPr>
        <w:t>鄂尔多斯市</w:t>
      </w:r>
      <w:r>
        <w:rPr>
          <w:rFonts w:hint="eastAsia" w:ascii="仿宋_GB2312" w:hAnsi="仿宋" w:eastAsia="仿宋_GB2312"/>
          <w:color w:val="000000" w:themeColor="text1"/>
          <w:sz w:val="32"/>
          <w:szCs w:val="32"/>
          <w14:textFill>
            <w14:solidFill>
              <w14:schemeClr w14:val="tx1"/>
            </w14:solidFill>
          </w14:textFill>
        </w:rPr>
        <w:t>生态环境局负责该项目施工期的监督检查工作。</w:t>
      </w:r>
    </w:p>
    <w:p>
      <w:pPr>
        <w:spacing w:line="560" w:lineRule="exact"/>
        <w:ind w:firstLine="640" w:firstLineChars="200"/>
        <w:jc w:val="both"/>
        <w:rPr>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六、本批复不具有其他行政审批前置效力。</w:t>
      </w:r>
    </w:p>
    <w:p>
      <w:pPr>
        <w:spacing w:line="560" w:lineRule="exact"/>
        <w:ind w:firstLine="624" w:firstLineChars="200"/>
        <w:rPr>
          <w:rFonts w:ascii="仿宋_GB2312" w:hAnsi="仿宋" w:eastAsia="仿宋_GB2312"/>
          <w:spacing w:val="-4"/>
          <w:sz w:val="32"/>
          <w:szCs w:val="32"/>
        </w:rPr>
      </w:pPr>
    </w:p>
    <w:p>
      <w:pPr>
        <w:pStyle w:val="2"/>
        <w:rPr>
          <w:rFonts w:ascii="仿宋_GB2312" w:hAnsi="仿宋" w:eastAsia="仿宋_GB2312"/>
          <w:spacing w:val="-4"/>
          <w:sz w:val="32"/>
          <w:szCs w:val="32"/>
        </w:rPr>
      </w:pPr>
    </w:p>
    <mc:AlternateContent>
      <mc:Choice Requires="wpsCustomData">
        <wpsCustomData:docfieldEnd id="3"/>
      </mc:Choice>
    </mc:AlternateContent>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w:bookmarkStart w:id="4" w:name="签发日期"/>
      <mc:AlternateContent>
        <mc:Choice Requires="wpsCustomData">
          <wpsCustomData:docfieldStart id="4" docfieldname="签发日期" hidden="false" print="true" readonly="false" index="5"/>
        </mc:Choice>
      </mc:AlternateContent>
      <w:r>
        <w:rPr>
          <w:rFonts w:hint="eastAsia" w:ascii="仿宋_GB2312" w:hAnsi="仿宋" w:eastAsia="仿宋_GB2312"/>
          <w:sz w:val="32"/>
          <w:szCs w:val="32"/>
          <w:lang w:eastAsia="zh-CN"/>
        </w:rPr>
        <w:t>2026年8月21日</w:t>
      </w:r>
      <w:bookmarkEnd w:id="4"/>
      <mc:AlternateContent>
        <mc:Choice Requires="wpsCustomData">
          <wpsCustomData:docfieldEnd id="4"/>
        </mc:Choice>
      </mc:AlternateContent>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BDE5696C"/>
    <w:rsid w:val="DF4FEC23"/>
    <w:rsid w:val="FB737E87"/>
    <w:rsid w:val="FBEF0A50"/>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szCs w:val="20"/>
    </w:rPr>
  </w:style>
  <w:style w:type="paragraph" w:styleId="4">
    <w:name w:val="Body Text 2"/>
    <w:basedOn w:val="1"/>
    <w:qFormat/>
    <w:uiPriority w:val="0"/>
    <w:rPr>
      <w:color w:val="0000FF"/>
      <w:szCs w:val="20"/>
    </w:rPr>
  </w:style>
  <w:style w:type="paragraph" w:styleId="5">
    <w:name w:val="Body Text Indent"/>
    <w:basedOn w:val="1"/>
    <w:next w:val="1"/>
    <w:unhideWhenUsed/>
    <w:qFormat/>
    <w:uiPriority w:val="99"/>
    <w:pPr>
      <w:spacing w:after="120"/>
      <w:ind w:left="420" w:leftChars="200"/>
    </w:pPr>
    <w:rPr>
      <w:szCs w:val="20"/>
    </w:rPr>
  </w:style>
  <w:style w:type="paragraph" w:styleId="6">
    <w:name w:val="Balloon Text"/>
    <w:basedOn w:val="1"/>
    <w:link w:val="17"/>
    <w:qFormat/>
    <w:uiPriority w:val="0"/>
    <w:rPr>
      <w:sz w:val="18"/>
      <w:szCs w:val="18"/>
    </w:rPr>
  </w:style>
  <w:style w:type="paragraph" w:styleId="7">
    <w:name w:val="footer"/>
    <w:basedOn w:val="1"/>
    <w:link w:val="19"/>
    <w:qFormat/>
    <w:uiPriority w:val="0"/>
    <w:pPr>
      <w:tabs>
        <w:tab w:val="center" w:pos="4153"/>
        <w:tab w:val="right" w:pos="8306"/>
      </w:tabs>
      <w:snapToGrid w:val="0"/>
      <w:jc w:val="left"/>
    </w:pPr>
    <w:rPr>
      <w:kern w:val="0"/>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spacing w:before="100" w:beforeAutospacing="1" w:after="100" w:afterAutospacing="1"/>
      <w:jc w:val="left"/>
    </w:pPr>
    <w:rPr>
      <w:kern w:val="0"/>
      <w:sz w:val="24"/>
      <w:szCs w:val="20"/>
    </w:rPr>
  </w:style>
  <w:style w:type="paragraph" w:styleId="10">
    <w:name w:val="Body Text First Indent"/>
    <w:basedOn w:val="3"/>
    <w:next w:val="1"/>
    <w:unhideWhenUsed/>
    <w:qFormat/>
    <w:uiPriority w:val="99"/>
    <w:pPr>
      <w:ind w:firstLine="420" w:firstLineChars="100"/>
    </w:pPr>
  </w:style>
  <w:style w:type="paragraph" w:styleId="11">
    <w:name w:val="Body Text First Indent 2"/>
    <w:basedOn w:val="5"/>
    <w:next w:val="10"/>
    <w:qFormat/>
    <w:uiPriority w:val="0"/>
    <w:pPr>
      <w:ind w:firstLine="420" w:firstLineChars="200"/>
    </w:pPr>
    <w:rPr>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semiHidden/>
    <w:unhideWhenUsed/>
    <w:qFormat/>
    <w:uiPriority w:val="0"/>
  </w:style>
  <w:style w:type="character" w:customStyle="1" w:styleId="16">
    <w:name w:val="页眉 Char"/>
    <w:link w:val="8"/>
    <w:semiHidden/>
    <w:qFormat/>
    <w:uiPriority w:val="99"/>
    <w:rPr>
      <w:sz w:val="18"/>
      <w:szCs w:val="18"/>
    </w:rPr>
  </w:style>
  <w:style w:type="character" w:customStyle="1" w:styleId="17">
    <w:name w:val="批注框文本 Char"/>
    <w:basedOn w:val="14"/>
    <w:link w:val="6"/>
    <w:semiHidden/>
    <w:qFormat/>
    <w:uiPriority w:val="99"/>
    <w:rPr>
      <w:kern w:val="2"/>
      <w:sz w:val="18"/>
      <w:szCs w:val="18"/>
    </w:rPr>
  </w:style>
  <w:style w:type="character" w:customStyle="1" w:styleId="18">
    <w:name w:val="页脚 Char"/>
    <w:link w:val="7"/>
    <w:semiHidden/>
    <w:qFormat/>
    <w:uiPriority w:val="99"/>
    <w:rPr>
      <w:sz w:val="18"/>
      <w:szCs w:val="18"/>
    </w:rPr>
  </w:style>
  <w:style w:type="character" w:customStyle="1" w:styleId="19">
    <w:name w:val="页脚 字符"/>
    <w:basedOn w:val="14"/>
    <w:link w:val="7"/>
    <w:qFormat/>
    <w:uiPriority w:val="0"/>
    <w:rPr>
      <w:rFonts w:ascii="Calibri" w:hAnsi="Calibri" w:eastAsia="宋体" w:cs="Times New Roman"/>
      <w:kern w:val="2"/>
      <w:sz w:val="18"/>
      <w:szCs w:val="18"/>
    </w:rPr>
  </w:style>
  <w:style w:type="character" w:customStyle="1" w:styleId="20">
    <w:name w:val="页眉 字符"/>
    <w:basedOn w:val="14"/>
    <w:link w:val="8"/>
    <w:qFormat/>
    <w:uiPriority w:val="0"/>
    <w:rPr>
      <w:rFonts w:ascii="Calibri" w:hAnsi="Calibri" w:eastAsia="宋体" w:cs="Times New Roman"/>
      <w:kern w:val="2"/>
      <w:sz w:val="18"/>
      <w:szCs w:val="18"/>
    </w:rPr>
  </w:style>
  <w:style w:type="paragraph" w:customStyle="1" w:styleId="21">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 w:type="paragraph" w:customStyle="1" w:styleId="2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23">
    <w:name w:val="0正文"/>
    <w:basedOn w:val="9"/>
    <w:qFormat/>
    <w:uiPriority w:val="0"/>
    <w:pPr>
      <w:spacing w:line="360" w:lineRule="auto"/>
      <w:ind w:firstLine="720" w:firstLineChars="200"/>
    </w:pPr>
  </w:style>
  <w:style w:type="paragraph" w:customStyle="1" w:styleId="24">
    <w:name w:val="Revision"/>
    <w:hidden/>
    <w:unhideWhenUsed/>
    <w:qFormat/>
    <w:uiPriority w:val="99"/>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642</Words>
  <Characters>699</Characters>
  <Lines>5</Lines>
  <Paragraphs>1</Paragraphs>
  <TotalTime>0</TotalTime>
  <ScaleCrop>false</ScaleCrop>
  <LinksUpToDate>false</LinksUpToDate>
  <CharactersWithSpaces>699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2023-02-15T08:32:00Z</dcterms:created>
  <dc:creator>白都荣</dc:creator>
  <cp:lastModifiedBy>hjt</cp:lastModifiedBy>
  <cp:lastPrinted>2023-12-05T18:16:00Z</cp:lastPrinted>
  <dcterms:modified xsi:type="dcterms:W3CDTF">2026-08-26T17:34:42Z</dcterms:modified>
  <dc:title>你公司报送的《固阳县弘元多晶硅项目220kV线路工程建设项目环境影响报告表》（以下简称《报告表》）收悉。经研究，批复如下：</dc:title>
  <cp:revision>176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