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tabs>
          <w:tab w:val="left" w:pos="315"/>
          <w:tab w:val="left" w:pos="8505"/>
        </w:tabs>
        <w:spacing w:line="560" w:lineRule="exact"/>
        <w:jc w:val="center"/>
        <w:rPr>
          <w:rFonts w:ascii="仿宋_GB2312" w:hAnsi="仿宋" w:eastAsia="仿宋_GB2312"/>
          <w:sz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关于内蒙古华电多伦200MW/800MWh电化学储能电站项目配套接网工程建设项目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生态环境影响报告表的批复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mc:AlternateContent>
        <mc:Choice Requires="wpsCustomData">
          <wpsCustomData:docfieldStart id="1" docfieldname="文号" hidden="false" print="true" readonly="false" index="1"/>
        </mc:Choice>
      </mc:AlternateContent>
      <w:bookmarkStart w:id="1" w:name="文号"/>
      <w:r>
        <w:rPr>
          <w:rFonts w:hint="eastAsia" w:ascii="仿宋_GB2312" w:hAnsi="仿宋" w:eastAsia="仿宋_GB2312"/>
          <w:sz w:val="32"/>
          <w:szCs w:val="32"/>
          <w:lang w:eastAsia="zh-CN"/>
        </w:rPr>
        <w:t>内环表〔2026〕224号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内蒙古电力（集团）有限责任公司锡林郭勒供电分公司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2"/>
        <w:spacing w:line="560" w:lineRule="exact"/>
        <w:ind w:firstLine="643"/>
        <w:rPr>
          <w:rFonts w:ascii="仿宋_GB2312" w:eastAsia="仿宋_GB2312"/>
          <w:sz w:val="32"/>
          <w:szCs w:val="32"/>
        </w:rPr>
      </w:pPr>
      <w:bookmarkStart w:id="3" w:name="正文文件"/>
      <w:bookmarkEnd w:id="3"/>
      <mc:AlternateContent>
        <mc:Choice Requires="wpsCustomData">
          <wpsCustomData:docfieldStart id="3" docfieldname="正文文件" hidden="false" print="true" readonly="false" index="4"/>
        </mc:Choice>
      </mc:AlternateContent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你公司报送的《内蒙古华电多伦200MW/800MWh电化学储能电站项目配套接网工程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建设项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</w:rPr>
        <w:t>目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lang w:eastAsia="zh-CN"/>
        </w:rPr>
        <w:t>生态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环境影响报告表》（以下简称《报告表》）收悉。经研究，批复如下：</w:t>
      </w:r>
    </w:p>
    <w:p>
      <w:pPr>
        <w:pStyle w:val="23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一、项目建设基本情况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bidi="ar"/>
          <w14:textFill>
            <w14:solidFill>
              <w14:schemeClr w14:val="tx1"/>
            </w14:solidFill>
          </w14:textFill>
        </w:rPr>
        <w:t>（一）变电工程。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滦河220kV变电站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扩建220kV出线间隔1回。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1"/>
          <w:szCs w:val="31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（二）线路工程。新建220kV输电线路，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起于多伦储能升压站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止于滦河220kV变电站。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新建线路长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km，单回路架设，立塔</w:t>
      </w:r>
      <w:r>
        <w:rPr>
          <w:rFonts w:hint="default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 w:bidi="ar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  <w:t>基。</w:t>
      </w:r>
    </w:p>
    <w:p>
      <w:pPr>
        <w:pStyle w:val="22"/>
        <w:spacing w:line="560" w:lineRule="exact"/>
        <w:ind w:firstLine="643"/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sz w:val="32"/>
          <w:szCs w:val="32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内蒙古自治区锡林郭勒盟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多伦县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境内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1"/>
          <w:szCs w:val="31"/>
          <w:lang w:val="en-US" w:eastAsia="zh-CN" w:bidi="ar"/>
          <w14:textFill>
            <w14:solidFill>
              <w14:schemeClr w14:val="tx1"/>
            </w14:solidFill>
          </w14:textFill>
        </w:rPr>
        <w:t>。</w:t>
      </w:r>
    </w:p>
    <w:p>
      <w:pPr>
        <w:pStyle w:val="22"/>
        <w:spacing w:line="560" w:lineRule="exact"/>
        <w:ind w:firstLine="640"/>
        <w:rPr>
          <w:rFonts w:ascii="仿宋_GB2312" w:hAnsi="仿宋" w:eastAsia="仿宋_GB2312" w:cs="宋体"/>
          <w:sz w:val="32"/>
          <w:szCs w:val="32"/>
        </w:rPr>
      </w:pPr>
      <w:r>
        <w:rPr>
          <w:rFonts w:hint="eastAsia" w:ascii="仿宋_GB2312" w:hAnsi="仿宋" w:eastAsia="仿宋_GB2312" w:cs="宋体"/>
          <w:sz w:val="32"/>
          <w:szCs w:val="32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本项目在严格落实《报告表》提出的各项环境保护措</w:t>
      </w:r>
      <w:r>
        <w:rPr>
          <w:rFonts w:hint="eastAsia" w:ascii="仿宋_GB2312" w:hAnsi="仿宋" w:eastAsia="仿宋_GB2312"/>
          <w:sz w:val="32"/>
          <w:szCs w:val="32"/>
        </w:rPr>
        <w:t>施后，对</w:t>
      </w:r>
      <w:r>
        <w:rPr>
          <w:rFonts w:hint="eastAsia" w:ascii="仿宋_GB2312" w:hAnsi="仿宋_GB2312" w:eastAsia="仿宋_GB2312"/>
          <w:bCs/>
          <w:sz w:val="32"/>
          <w:szCs w:val="32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sz w:val="32"/>
          <w:szCs w:val="32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三</w:t>
      </w:r>
      <w:r>
        <w:rPr>
          <w:rFonts w:hint="eastAsia" w:ascii="仿宋_GB2312" w:hAnsi="仿宋" w:eastAsia="仿宋_GB2312"/>
          <w:sz w:val="32"/>
          <w:szCs w:val="32"/>
        </w:rPr>
        <w:t>）项目施工期及运行期的噪声值及防噪措施应满足《报告表》中提出的要求，监测值应符合国家评价标准限值要求。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（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仿宋" w:eastAsia="仿宋_GB2312"/>
          <w:sz w:val="32"/>
          <w:szCs w:val="32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五、我厅委托</w:t>
      </w:r>
      <w:r>
        <w:rPr>
          <w:rFonts w:hint="eastAsia" w:ascii="仿宋_GB2312" w:eastAsia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锡林郭勒盟</w:t>
      </w:r>
      <w:r>
        <w:rPr>
          <w:rFonts w:hint="eastAsia" w:ascii="仿宋_GB2312" w:hAnsi="仿宋" w:eastAsia="仿宋_GB2312" w:cs="Times New Roman"/>
          <w:sz w:val="32"/>
          <w:szCs w:val="32"/>
        </w:rPr>
        <w:t>生态环境局</w:t>
      </w:r>
      <w:r>
        <w:rPr>
          <w:rFonts w:hint="eastAsia" w:ascii="仿宋_GB2312" w:hAnsi="仿宋" w:eastAsia="仿宋_GB2312"/>
          <w:sz w:val="32"/>
          <w:szCs w:val="32"/>
        </w:rPr>
        <w:t>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</w:rPr>
      </w:pP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六、本批复不具有其他行政审批前置效力。</w:t>
      </w:r>
    </w:p>
    <w:p>
      <w:pPr>
        <w:pStyle w:val="4"/>
      </w:pP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2026年8月31日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9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BF7C95A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EE779B38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0正文"/>
    <w:basedOn w:val="3"/>
    <w:qFormat/>
    <w:uiPriority w:val="0"/>
    <w:pPr>
      <w:spacing w:line="360" w:lineRule="auto"/>
      <w:ind w:firstLine="720" w:firstLineChars="2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rFonts w:eastAsia="宋体" w:cs="Times New Roman"/>
      <w:kern w:val="0"/>
      <w:sz w:val="24"/>
      <w:szCs w:val="20"/>
      <w:lang w:val="en-US" w:eastAsia="zh-CN"/>
    </w:rPr>
  </w:style>
  <w:style w:type="paragraph" w:styleId="5">
    <w:name w:val="Body Text"/>
    <w:basedOn w:val="1"/>
    <w:next w:val="6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6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7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8">
    <w:name w:val="Balloon Text"/>
    <w:basedOn w:val="1"/>
    <w:link w:val="18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0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1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12">
    <w:name w:val="Body Text First Indent 2"/>
    <w:basedOn w:val="7"/>
    <w:next w:val="11"/>
    <w:qFormat/>
    <w:uiPriority w:val="0"/>
    <w:pPr>
      <w:ind w:firstLine="420" w:firstLineChars="200"/>
    </w:pPr>
    <w:rPr>
      <w:sz w:val="24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page number"/>
    <w:basedOn w:val="15"/>
    <w:semiHidden/>
    <w:unhideWhenUsed/>
    <w:qFormat/>
    <w:uiPriority w:val="0"/>
  </w:style>
  <w:style w:type="character" w:customStyle="1" w:styleId="17">
    <w:name w:val="页眉 Char"/>
    <w:link w:val="10"/>
    <w:semiHidden/>
    <w:qFormat/>
    <w:uiPriority w:val="99"/>
    <w:rPr>
      <w:sz w:val="18"/>
      <w:szCs w:val="18"/>
    </w:rPr>
  </w:style>
  <w:style w:type="character" w:customStyle="1" w:styleId="18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  <w:style w:type="character" w:customStyle="1" w:styleId="19">
    <w:name w:val="页脚 Char"/>
    <w:link w:val="9"/>
    <w:semiHidden/>
    <w:qFormat/>
    <w:uiPriority w:val="99"/>
    <w:rPr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1">
    <w:name w:val="页眉 字符"/>
    <w:basedOn w:val="15"/>
    <w:link w:val="10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2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664</Words>
  <Characters>706</Characters>
  <Lines>5</Lines>
  <Paragraphs>1</Paragraphs>
  <TotalTime>0</TotalTime>
  <ScaleCrop>false</ScaleCrop>
  <LinksUpToDate>false</LinksUpToDate>
  <CharactersWithSpaces>706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2023-02-14T16:32:00Z</dcterms:created>
  <dc:creator>白都荣</dc:creator>
  <cp:lastModifiedBy>hjt</cp:lastModifiedBy>
  <cp:lastPrinted>2023-12-05T02:16:00Z</cp:lastPrinted>
  <dcterms:modified xsi:type="dcterms:W3CDTF">2026-09-03T10:25:15Z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