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tabs>
          <w:tab w:val="left" w:pos="315"/>
          <w:tab w:val="left" w:pos="8505"/>
        </w:tabs>
        <w:spacing w:line="560" w:lineRule="exact"/>
        <w:jc w:val="center"/>
        <w:rPr>
          <w:rFonts w:ascii="仿宋_GB2312" w:hAnsi="仿宋" w:eastAsia="仿宋_GB2312"/>
          <w:sz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关于正蓝旗50万千瓦/200万千瓦时</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独立新型储能电站项目配套接网工程建设项目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生态环境影响报告表的批复</w:t>
      </w:r>
      <w:bookmarkEnd w:id="0"/>
    </w:p>
    <mc:AlternateContent>
      <mc:Choice Requires="wpsCustomData">
        <wpsCustomData:docfieldEnd id="0"/>
      </mc:Choice>
    </mc:AlternateContent>
    <w:p>
      <w:pPr>
        <w:pStyle w:val="2"/>
        <w:jc w:val="center"/>
        <w:rPr>
          <w:rFonts w:hint="eastAsia"/>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b w:val="0"/>
          <w:bCs w:val="0"/>
          <w:sz w:val="32"/>
          <w:szCs w:val="32"/>
          <w:lang w:eastAsia="zh-CN"/>
        </w:rPr>
        <w:t>内环表〔2026〕212号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内蒙古电力（集团）有限责任公司锡林郭勒供电分公司</w:t>
      </w:r>
      <w:bookmarkEnd w:id="2"/>
      <mc:AlternateContent>
        <mc:Choice Requires="wpsCustomData">
          <wpsCustomData:docfieldEnd id="2"/>
        </mc:Choice>
      </mc:AlternateContent>
      <w:r>
        <w:rPr>
          <w:rFonts w:hint="eastAsia" w:ascii="仿宋_GB2312" w:hAnsi="仿宋" w:eastAsia="仿宋_GB2312"/>
          <w:bCs/>
          <w:sz w:val="32"/>
          <w:szCs w:val="32"/>
        </w:rPr>
        <w:t>：</w:t>
      </w:r>
    </w:p>
    <w:p>
      <w:pPr>
        <w:pStyle w:val="20"/>
        <w:pageBreakBefore w:val="0"/>
        <w:widowControl w:val="0"/>
        <w:kinsoku/>
        <w:wordWrap/>
        <w:overflowPunct/>
        <w:topLinePunct w:val="0"/>
        <w:bidi w:val="0"/>
        <w:snapToGrid/>
        <w:spacing w:line="560" w:lineRule="exact"/>
        <w:ind w:firstLine="643"/>
        <w:textAlignment w:val="auto"/>
        <w:rPr>
          <w:rFonts w:ascii="仿宋_GB2312" w:eastAsia="仿宋_GB2312"/>
          <w:sz w:val="32"/>
          <w:szCs w:val="32"/>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hAnsi="仿宋_GB2312" w:eastAsia="仿宋_GB2312"/>
          <w:bCs/>
          <w:color w:val="auto"/>
          <w:sz w:val="32"/>
          <w:szCs w:val="32"/>
        </w:rPr>
        <w:t>你公司报送的《</w:t>
      </w:r>
      <w:r>
        <w:rPr>
          <w:rFonts w:hint="eastAsia" w:ascii="仿宋_GB2312" w:hAnsi="仿宋_GB2312" w:eastAsia="仿宋_GB2312" w:cs="Times New Roman"/>
          <w:bCs/>
          <w:color w:val="auto"/>
          <w:sz w:val="32"/>
          <w:szCs w:val="32"/>
          <w:lang w:val="en-US" w:eastAsia="zh-CN"/>
        </w:rPr>
        <w:t>正蓝旗50万千瓦</w:t>
      </w:r>
      <w:r>
        <w:rPr>
          <w:rFonts w:hint="eastAsia" w:ascii="仿宋_GB2312" w:hAnsi="Times New Roman" w:eastAsia="仿宋_GB2312" w:cs="Times New Roman"/>
          <w:b w:val="0"/>
          <w:bCs/>
          <w:color w:val="000000" w:themeColor="text1"/>
          <w:kern w:val="0"/>
          <w:sz w:val="32"/>
          <w:szCs w:val="32"/>
          <w:lang w:val="en-US" w:eastAsia="zh-CN"/>
          <w14:textFill>
            <w14:solidFill>
              <w14:schemeClr w14:val="tx1"/>
            </w14:solidFill>
          </w14:textFill>
        </w:rPr>
        <w:t>/</w:t>
      </w:r>
      <w:r>
        <w:rPr>
          <w:rFonts w:hint="eastAsia" w:ascii="仿宋_GB2312" w:hAnsi="仿宋_GB2312" w:eastAsia="仿宋_GB2312" w:cs="Times New Roman"/>
          <w:bCs/>
          <w:color w:val="auto"/>
          <w:sz w:val="32"/>
          <w:szCs w:val="32"/>
          <w:lang w:val="en-US" w:eastAsia="zh-CN"/>
        </w:rPr>
        <w:t>200万千瓦时独立新型储能电站项目配套接网工程</w:t>
      </w:r>
      <w:r>
        <w:rPr>
          <w:rFonts w:hint="eastAsia" w:ascii="仿宋_GB2312" w:hAnsi="仿宋_GB2312" w:eastAsia="仿宋_GB2312"/>
          <w:bCs/>
          <w:color w:val="auto"/>
          <w:sz w:val="32"/>
          <w:szCs w:val="32"/>
          <w:highlight w:val="none"/>
        </w:rPr>
        <w:t>建设项</w:t>
      </w:r>
      <w:r>
        <w:rPr>
          <w:rFonts w:hint="eastAsia" w:ascii="仿宋_GB2312" w:hAnsi="仿宋_GB2312" w:eastAsia="仿宋_GB2312"/>
          <w:bCs/>
          <w:color w:val="auto"/>
          <w:sz w:val="32"/>
          <w:szCs w:val="32"/>
        </w:rPr>
        <w:t>目</w:t>
      </w:r>
      <w:r>
        <w:rPr>
          <w:rFonts w:hint="eastAsia" w:ascii="仿宋_GB2312" w:hAnsi="仿宋_GB2312" w:eastAsia="仿宋_GB2312"/>
          <w:bCs/>
          <w:color w:val="auto"/>
          <w:sz w:val="32"/>
          <w:szCs w:val="32"/>
          <w:lang w:val="en-US" w:eastAsia="zh-CN"/>
        </w:rPr>
        <w:t>生态</w:t>
      </w:r>
      <w:r>
        <w:rPr>
          <w:rFonts w:hint="eastAsia" w:ascii="仿宋_GB2312" w:hAnsi="仿宋" w:eastAsia="仿宋_GB2312"/>
          <w:color w:val="auto"/>
          <w:sz w:val="32"/>
          <w:szCs w:val="32"/>
        </w:rPr>
        <w:t>环境影响报告表》（以下简称《报告表》）收悉。经研究，批复如下：</w:t>
      </w:r>
    </w:p>
    <w:p>
      <w:pPr>
        <w:pStyle w:val="21"/>
        <w:pageBreakBefore w:val="0"/>
        <w:widowControl w:val="0"/>
        <w:kinsoku/>
        <w:wordWrap/>
        <w:overflowPunct/>
        <w:topLinePunct w:val="0"/>
        <w:bidi w:val="0"/>
        <w:snapToGrid/>
        <w:spacing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20"/>
        <w:pageBreakBefore w:val="0"/>
        <w:widowControl w:val="0"/>
        <w:kinsoku/>
        <w:wordWrap/>
        <w:overflowPunct/>
        <w:topLinePunct w:val="0"/>
        <w:bidi w:val="0"/>
        <w:snapToGrid/>
        <w:spacing w:line="560" w:lineRule="exact"/>
        <w:ind w:firstLine="643"/>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（一）变电工程。白音高勒500kV变电站扩建220kV出线间隔1回。</w:t>
      </w:r>
    </w:p>
    <w:p>
      <w:pPr>
        <w:pStyle w:val="20"/>
        <w:pageBreakBefore w:val="0"/>
        <w:widowControl w:val="0"/>
        <w:kinsoku/>
        <w:wordWrap/>
        <w:overflowPunct/>
        <w:topLinePunct w:val="0"/>
        <w:bidi w:val="0"/>
        <w:snapToGrid/>
        <w:spacing w:line="560" w:lineRule="exact"/>
        <w:ind w:firstLine="643"/>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（二）线路工程。新建220kV输电线路，起于恒能储能升压站，止于白音高勒500kV变电站</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新建线路长3.8km，单回路架设</w:t>
      </w:r>
      <w:r>
        <w:rPr>
          <w:rFonts w:hint="eastAsia" w:ascii="仿宋_GB2312" w:hAnsi="仿宋_GB2312" w:eastAsia="仿宋_GB2312" w:cs="仿宋_GB2312"/>
          <w:color w:val="000000"/>
          <w:kern w:val="0"/>
          <w:sz w:val="32"/>
          <w:szCs w:val="32"/>
          <w:lang w:eastAsia="zh-CN" w:bidi="ar"/>
        </w:rPr>
        <w:t>（除白音高勒变出线采用双回路终端塔单侧挂线外其余均为单回路架设）</w:t>
      </w:r>
      <w:r>
        <w:rPr>
          <w:rFonts w:hint="eastAsia" w:ascii="仿宋_GB2312" w:hAnsi="仿宋_GB2312" w:eastAsia="仿宋_GB2312" w:cs="仿宋_GB2312"/>
          <w:kern w:val="0"/>
          <w:sz w:val="32"/>
          <w:szCs w:val="32"/>
          <w:lang w:bidi="ar"/>
        </w:rPr>
        <w:t>，立塔12基。</w:t>
      </w:r>
    </w:p>
    <w:p>
      <w:pPr>
        <w:pStyle w:val="20"/>
        <w:pageBreakBefore w:val="0"/>
        <w:widowControl w:val="0"/>
        <w:kinsoku/>
        <w:wordWrap/>
        <w:overflowPunct/>
        <w:topLinePunct w:val="0"/>
        <w:bidi w:val="0"/>
        <w:snapToGrid/>
        <w:spacing w:line="560" w:lineRule="exact"/>
        <w:ind w:firstLine="643"/>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bCs/>
          <w:sz w:val="32"/>
          <w:szCs w:val="32"/>
        </w:rPr>
        <w:t>本项目建设地点位于</w:t>
      </w:r>
      <w:r>
        <w:rPr>
          <w:rFonts w:hint="default" w:ascii="仿宋_GB2312" w:hAnsi="仿宋_GB2312" w:eastAsia="仿宋_GB2312" w:cs="仿宋_GB2312"/>
          <w:kern w:val="0"/>
          <w:sz w:val="32"/>
          <w:szCs w:val="32"/>
          <w:lang w:eastAsia="zh-CN" w:bidi="ar"/>
        </w:rPr>
        <w:t>内蒙古自治区锡林郭勒盟正蓝旗</w:t>
      </w:r>
      <w:r>
        <w:rPr>
          <w:rFonts w:hint="eastAsia" w:ascii="仿宋_GB2312" w:hAnsi="仿宋_GB2312" w:eastAsia="仿宋_GB2312" w:cs="仿宋_GB2312"/>
          <w:kern w:val="0"/>
          <w:sz w:val="32"/>
          <w:szCs w:val="32"/>
          <w:lang w:val="en-US" w:eastAsia="zh-CN" w:bidi="ar"/>
        </w:rPr>
        <w:t>境</w:t>
      </w:r>
      <w:r>
        <w:rPr>
          <w:rFonts w:hint="eastAsia" w:ascii="仿宋_GB2312" w:hAnsi="仿宋_GB2312" w:eastAsia="仿宋_GB2312" w:cs="仿宋_GB2312"/>
          <w:b w:val="0"/>
          <w:bCs w:val="0"/>
          <w:color w:val="auto"/>
          <w:sz w:val="32"/>
          <w:szCs w:val="32"/>
          <w:lang w:val="en-US" w:eastAsia="zh-CN"/>
        </w:rPr>
        <w:t>内。</w:t>
      </w:r>
    </w:p>
    <w:p>
      <w:pPr>
        <w:pStyle w:val="20"/>
        <w:pageBreakBefore w:val="0"/>
        <w:widowControl w:val="0"/>
        <w:kinsoku/>
        <w:wordWrap/>
        <w:overflowPunct/>
        <w:topLinePunct w:val="0"/>
        <w:bidi w:val="0"/>
        <w:snapToGrid/>
        <w:spacing w:line="560" w:lineRule="exact"/>
        <w:ind w:firstLine="640"/>
        <w:textAlignment w:val="auto"/>
        <w:rPr>
          <w:rFonts w:ascii="仿宋_GB2312" w:hAnsi="仿宋" w:eastAsia="仿宋_GB2312" w:cs="宋体"/>
          <w:sz w:val="32"/>
          <w:szCs w:val="32"/>
        </w:rPr>
      </w:pPr>
      <w:r>
        <w:rPr>
          <w:rFonts w:hint="eastAsia" w:ascii="仿宋_GB2312" w:hAnsi="仿宋" w:eastAsia="仿宋_GB2312" w:cs="宋体"/>
          <w:sz w:val="32"/>
          <w:szCs w:val="32"/>
        </w:rPr>
        <w:t>二、总体意见</w:t>
      </w:r>
    </w:p>
    <w:p>
      <w:pPr>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仿宋_GB2312" w:hAnsi="仿宋" w:eastAsia="仿宋_GB2312"/>
          <w:sz w:val="32"/>
          <w:szCs w:val="32"/>
        </w:rPr>
      </w:pPr>
      <w:r>
        <w:rPr>
          <w:rFonts w:hint="eastAsia" w:ascii="仿宋_GB2312" w:eastAsia="仿宋_GB2312"/>
          <w:sz w:val="32"/>
          <w:szCs w:val="32"/>
        </w:rPr>
        <w:t>本项目在严格落实《报告表》提出的各项环境保护措</w:t>
      </w:r>
      <w:r>
        <w:rPr>
          <w:rFonts w:hint="eastAsia" w:ascii="仿宋_GB2312" w:hAnsi="仿宋" w:eastAsia="仿宋_GB2312"/>
          <w:sz w:val="32"/>
          <w:szCs w:val="32"/>
        </w:rPr>
        <w:t>施后，对</w:t>
      </w:r>
      <w:r>
        <w:rPr>
          <w:rFonts w:hint="eastAsia" w:ascii="仿宋_GB2312" w:hAnsi="仿宋_GB2312" w:eastAsia="仿宋_GB2312"/>
          <w:bCs/>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sz w:val="32"/>
          <w:szCs w:val="32"/>
        </w:rPr>
        <w:t>建设。</w:t>
      </w:r>
    </w:p>
    <w:p>
      <w:pPr>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（一）严格落实项目施工期、运营期生态环境保护措施，做好生态保护与恢复工作。施工期严格控制施工活动范围，合理布局，尽量减少土地占用和植被破坏。</w:t>
      </w:r>
    </w:p>
    <w:p>
      <w:pPr>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（二）认真落实《报告表》中提出的控制和改善工频电场、工频磁场对周边环境影响的措施和方法，监测值应符合《电磁环境控制限值》（GB8702-2014）要求。</w:t>
      </w:r>
    </w:p>
    <w:p>
      <w:pPr>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三</w:t>
      </w:r>
      <w:r>
        <w:rPr>
          <w:rFonts w:hint="eastAsia" w:ascii="仿宋_GB2312" w:hAnsi="仿宋" w:eastAsia="仿宋_GB2312"/>
          <w:sz w:val="32"/>
          <w:szCs w:val="32"/>
        </w:rPr>
        <w:t>）项目施工期及运行期的噪声值及防噪措施应满足《报告表》中提出的要求，监测值应符合国家评价标准限值要求。</w:t>
      </w:r>
    </w:p>
    <w:p>
      <w:pPr>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四</w:t>
      </w:r>
      <w:r>
        <w:rPr>
          <w:rFonts w:hint="eastAsia" w:ascii="仿宋_GB2312" w:hAnsi="仿宋" w:eastAsia="仿宋_GB2312"/>
          <w:sz w:val="32"/>
          <w:szCs w:val="32"/>
        </w:rPr>
        <w:t>）环境影响报告表经批准后，项目的性质、规模、地点或生态保护、污染防治措施发生重大变动的，应当按要求重新报批。</w:t>
      </w:r>
    </w:p>
    <w:p>
      <w:pPr>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五、我厅委托</w:t>
      </w:r>
      <w:r>
        <w:rPr>
          <w:rFonts w:hint="default" w:ascii="仿宋_GB2312" w:hAnsi="仿宋_GB2312" w:eastAsia="仿宋_GB2312" w:cs="仿宋_GB2312"/>
          <w:kern w:val="0"/>
          <w:sz w:val="32"/>
          <w:szCs w:val="32"/>
          <w:lang w:eastAsia="zh-CN" w:bidi="ar"/>
        </w:rPr>
        <w:t>锡林郭勒盟</w:t>
      </w:r>
      <w:r>
        <w:rPr>
          <w:rFonts w:hint="eastAsia" w:ascii="仿宋_GB2312" w:hAnsi="仿宋" w:eastAsia="仿宋_GB2312" w:cs="Times New Roman"/>
          <w:sz w:val="32"/>
          <w:szCs w:val="32"/>
        </w:rPr>
        <w:t>生态环境局</w:t>
      </w:r>
      <w:r>
        <w:rPr>
          <w:rFonts w:hint="eastAsia" w:ascii="仿宋_GB2312" w:hAnsi="仿宋" w:eastAsia="仿宋_GB2312"/>
          <w:sz w:val="32"/>
          <w:szCs w:val="32"/>
        </w:rPr>
        <w:t>负责该项目施工期的监督检查工作。</w:t>
      </w:r>
    </w:p>
    <w:p>
      <w:pPr>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六、本批复不具有其他行政审批前置效力。</w:t>
      </w:r>
    </w:p>
    <w:p>
      <w:pPr>
        <w:pStyle w:val="2"/>
        <w:pageBreakBefore w:val="0"/>
        <w:widowControl w:val="0"/>
        <w:kinsoku/>
        <w:wordWrap/>
        <w:overflowPunct/>
        <w:topLinePunct w:val="0"/>
        <w:bidi w:val="0"/>
        <w:snapToGrid/>
        <w:spacing w:line="560" w:lineRule="exact"/>
        <w:textAlignment w:val="auto"/>
        <w:rPr>
          <w:sz w:val="32"/>
          <w:szCs w:val="32"/>
        </w:rPr>
      </w:pPr>
    </w:p>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4"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2026年8月28日</w:t>
      </w:r>
      <mc:AlternateContent>
        <mc:Choice Requires="wpsCustomData">
          <wpsCustomData:docfieldEnd id="4"/>
        </mc:Choice>
      </mc:AlternateContent>
      <w:bookmarkEnd w:id="4"/>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Pr>
        <w:pStyle w:val="2"/>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BD16616E"/>
    <w:rsid w:val="DD654ED4"/>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673</Words>
  <Characters>711</Characters>
  <Lines>5</Lines>
  <Paragraphs>1</Paragraphs>
  <TotalTime>0</TotalTime>
  <ScaleCrop>false</ScaleCrop>
  <LinksUpToDate>false</LinksUpToDate>
  <CharactersWithSpaces>711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2023-02-14T16:32:00Z</dcterms:created>
  <dc:creator>白都荣</dc:creator>
  <cp:lastModifiedBy>hjt</cp:lastModifiedBy>
  <cp:lastPrinted>2023-12-05T02:16:00Z</cp:lastPrinted>
  <dcterms:modified xsi:type="dcterms:W3CDTF">2026-09-03T10:32:43Z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