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pacing w:line="560" w:lineRule="exact"/>
        <w:jc w:val="center"/>
        <w:rPr>
          <w:rFonts w:ascii="仿宋_GB2312" w:hAnsi="仿宋" w:eastAsia="仿宋_GB2312"/>
          <w:sz w:val="32"/>
          <w:szCs w:val="32"/>
        </w:rPr>
      </w:pPr>
    </w:p>
    <w:p>
      <w:pPr>
        <w:spacing w:line="560" w:lineRule="exact"/>
        <w:jc w:val="center"/>
        <w:rPr>
          <w:rFonts w:ascii="仿宋" w:hAnsi="仿宋" w:eastAsia="仿宋"/>
          <w:sz w:val="32"/>
          <w:szCs w:val="32"/>
        </w:rPr>
      </w:pPr>
    </w:p>
    <w:p>
      <w:pPr>
        <w:spacing w:line="560" w:lineRule="exact"/>
        <w:jc w:val="center"/>
        <w:rPr>
          <w:rFonts w:hint="eastAsia" w:ascii="方正小标宋简体" w:hAnsi="宋体" w:eastAsia="方正小标宋简体"/>
          <w:sz w:val="44"/>
          <w:szCs w:val="44"/>
          <w:lang w:eastAsia="zh-CN"/>
        </w:rPr>
      </w:pPr>
      <mc:AlternateContent>
        <mc:Choice Requires="wpsCustomData">
          <wpsCustomData:docfieldStart id="0" docfieldname="标题" hidden="false" print="true" readonly="false" index="2"/>
        </mc:Choice>
      </mc:AlternateContent>
      <w:bookmarkStart w:id="0" w:name="标题"/>
      <w:bookmarkEnd w:id="0"/>
      <w:r>
        <w:rPr>
          <w:rFonts w:hint="eastAsia" w:ascii="方正小标宋简体" w:hAnsi="宋体" w:eastAsia="方正小标宋简体"/>
          <w:sz w:val="44"/>
          <w:szCs w:val="44"/>
          <w:lang w:eastAsia="zh-CN"/>
        </w:rPr>
        <w:t>内蒙古自治区生态环境厅</w:t>
      </w:r>
    </w:p>
    <w:p>
      <w:pPr>
        <w:spacing w:line="560" w:lineRule="exact"/>
        <w:jc w:val="center"/>
        <w:rPr>
          <w:rFonts w:hint="eastAsia" w:ascii="方正小标宋简体" w:hAnsi="宋体" w:eastAsia="方正小标宋简体"/>
          <w:sz w:val="44"/>
          <w:szCs w:val="44"/>
          <w:lang w:eastAsia="zh-CN"/>
        </w:rPr>
      </w:pPr>
      <w:r>
        <w:rPr>
          <w:rFonts w:hint="eastAsia" w:ascii="方正小标宋简体" w:hAnsi="宋体" w:eastAsia="方正小标宋简体"/>
          <w:sz w:val="44"/>
          <w:szCs w:val="44"/>
          <w:lang w:eastAsia="zh-CN"/>
        </w:rPr>
        <w:t>关于中国移动内蒙古公司超级基站和应急</w:t>
      </w:r>
    </w:p>
    <w:p>
      <w:pPr>
        <w:spacing w:line="560" w:lineRule="exact"/>
        <w:jc w:val="center"/>
        <w:rPr>
          <w:rFonts w:hint="eastAsia" w:ascii="方正小标宋简体" w:hAnsi="宋体" w:eastAsia="方正小标宋简体"/>
          <w:sz w:val="44"/>
          <w:szCs w:val="44"/>
          <w:lang w:eastAsia="zh-CN"/>
        </w:rPr>
      </w:pPr>
      <w:r>
        <w:rPr>
          <w:rFonts w:hint="eastAsia" w:ascii="方正小标宋简体" w:hAnsi="宋体" w:eastAsia="方正小标宋简体"/>
          <w:sz w:val="44"/>
          <w:szCs w:val="44"/>
          <w:lang w:eastAsia="zh-CN"/>
        </w:rPr>
        <w:t>卫星网能力升级工程变更建设项目</w:t>
      </w:r>
    </w:p>
    <w:p>
      <w:pPr>
        <w:spacing w:line="560" w:lineRule="exact"/>
        <w:jc w:val="center"/>
        <w:rPr>
          <w:rFonts w:hint="eastAsia" w:ascii="方正小标宋简体" w:hAnsi="宋体" w:eastAsia="方正小标宋简体"/>
          <w:sz w:val="44"/>
          <w:szCs w:val="44"/>
          <w:lang w:eastAsia="zh-CN"/>
        </w:rPr>
      </w:pPr>
      <w:r>
        <w:rPr>
          <w:rFonts w:hint="eastAsia" w:ascii="方正小标宋简体" w:hAnsi="宋体" w:eastAsia="方正小标宋简体"/>
          <w:sz w:val="44"/>
          <w:szCs w:val="44"/>
          <w:lang w:eastAsia="zh-CN"/>
        </w:rPr>
        <w:t>生态环境影响报告书的批复</w:t>
      </w:r>
    </w:p>
    <mc:AlternateContent>
      <mc:Choice Requires="wpsCustomData">
        <wpsCustomData:docfieldEnd id="0"/>
      </mc:Choice>
    </mc:AlternateContent>
    <w:p>
      <w:pPr>
        <w:pStyle w:val="2"/>
        <w:jc w:val="center"/>
        <w:rPr>
          <w:rFonts w:hint="eastAsia"/>
          <w:lang w:eastAsia="zh-CN"/>
        </w:rPr>
      </w:pPr>
      <mc:AlternateContent>
        <mc:Choice Requires="wpsCustomData">
          <wpsCustomData:docfieldStart id="1" docfieldname="文号" hidden="false" print="true" readonly="false" index="1"/>
        </mc:Choice>
      </mc:AlternateContent>
      <w:r>
        <w:rPr>
          <w:rFonts w:hint="eastAsia" w:ascii="仿宋_GB2312" w:hAnsi="仿宋" w:eastAsia="仿宋_GB2312"/>
          <w:b w:val="0"/>
          <w:bCs w:val="0"/>
          <w:sz w:val="32"/>
          <w:szCs w:val="32"/>
          <w:lang w:eastAsia="zh-CN"/>
        </w:rPr>
        <w:t>内环审〔2026〕101号</w:t>
      </w:r>
      <mc:AlternateContent>
        <mc:Choice Requires="wpsCustomData">
          <wpsCustomData:docfieldEnd id="1"/>
        </mc:Choice>
      </mc:AlternateContent>
    </w:p>
    <w:p>
      <w:pPr>
        <w:spacing w:line="560" w:lineRule="exact"/>
        <w:rPr>
          <w:rFonts w:ascii="仿宋" w:hAnsi="仿宋" w:eastAsia="仿宋"/>
          <w:sz w:val="28"/>
        </w:rPr>
      </w:pPr>
    </w:p>
    <w:p>
      <w:pPr>
        <w:spacing w:line="560" w:lineRule="exact"/>
        <w:rPr>
          <w:rFonts w:ascii="仿宋_GB2312" w:hAnsi="仿宋" w:eastAsia="仿宋_GB2312"/>
          <w:bCs/>
          <w:sz w:val="32"/>
          <w:szCs w:val="32"/>
        </w:rPr>
      </w:pPr>
      <w:bookmarkStart w:id="1" w:name="主送单位"/>
      <w:bookmarkEnd w:id="1"/>
      <mc:AlternateContent>
        <mc:Choice Requires="wpsCustomData">
          <wpsCustomData:docfieldStart id="2" docfieldname="主送单位" hidden="false" print="true" readonly="false" index="3"/>
        </mc:Choice>
      </mc:AlternateContent>
      <w:r>
        <w:rPr>
          <w:rFonts w:hint="eastAsia" w:ascii="仿宋_GB2312" w:hAnsi="仿宋" w:eastAsia="仿宋_GB2312"/>
          <w:bCs/>
          <w:sz w:val="32"/>
          <w:szCs w:val="32"/>
          <w:lang w:eastAsia="zh-CN"/>
        </w:rPr>
        <w:t>中国移动通信集团有限公司内蒙古分公司</w:t>
      </w:r>
      <mc:AlternateContent>
        <mc:Choice Requires="wpsCustomData">
          <wpsCustomData:docfieldEnd id="2"/>
        </mc:Choice>
      </mc:AlternateContent>
      <w:r>
        <w:rPr>
          <w:rFonts w:hint="eastAsia" w:ascii="仿宋_GB2312" w:hAnsi="仿宋" w:eastAsia="仿宋_GB2312"/>
          <w:bCs/>
          <w:sz w:val="32"/>
          <w:szCs w:val="32"/>
        </w:rPr>
        <w:t>：</w:t>
      </w:r>
    </w:p>
    <w:p>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eastAsia" w:ascii="仿宋_GB2312" w:hAnsi="仿宋" w:eastAsia="仿宋_GB2312" w:cs="Times New Roman"/>
          <w:kern w:val="0"/>
          <w:sz w:val="32"/>
          <w:szCs w:val="32"/>
          <w14:ligatures w14:val="none"/>
        </w:rPr>
      </w:pPr>
      <mc:AlternateContent>
        <mc:Choice Requires="wpsCustomData">
          <wpsCustomData:docfieldStart id="3" docfieldname="正文文件" hidden="false" print="true" readonly="false" index="4"/>
        </mc:Choice>
      </mc:AlternateContent>
      <w:bookmarkStart w:id="2" w:name="正文文件"/>
      <w:bookmarkEnd w:id="2"/>
      <w:r>
        <w:rPr>
          <w:rFonts w:hint="eastAsia" w:ascii="仿宋_GB2312" w:hAnsi="仿宋" w:eastAsia="仿宋_GB2312" w:cs="Times New Roman"/>
          <w:kern w:val="0"/>
          <w:sz w:val="32"/>
          <w:szCs w:val="32"/>
          <w14:ligatures w14:val="none"/>
        </w:rPr>
        <w:t>你公司报送的《</w:t>
      </w:r>
      <w:r>
        <w:rPr>
          <w:rFonts w:hint="eastAsia" w:ascii="仿宋_GB2312" w:hAnsi="Calibri" w:eastAsia="仿宋_GB2312" w:cs="Times New Roman"/>
          <w:kern w:val="0"/>
          <w:sz w:val="32"/>
          <w:szCs w:val="32"/>
          <w:lang w:val="zh-CN" w:eastAsia="zh-CN"/>
          <w14:ligatures w14:val="none"/>
        </w:rPr>
        <w:t>中国移动内蒙古公司超级基站和应急卫星网能力升级工程变更</w:t>
      </w:r>
      <w:r>
        <w:rPr>
          <w:rFonts w:hint="eastAsia" w:ascii="仿宋_GB2312" w:hAnsi="Calibri" w:eastAsia="仿宋_GB2312" w:cs="Times New Roman"/>
          <w:kern w:val="0"/>
          <w:sz w:val="32"/>
          <w:szCs w:val="32"/>
          <w14:ligatures w14:val="none"/>
        </w:rPr>
        <w:t>建设项目生态</w:t>
      </w:r>
      <w:r>
        <w:rPr>
          <w:rFonts w:hint="eastAsia" w:ascii="仿宋_GB2312" w:hAnsi="仿宋" w:eastAsia="仿宋_GB2312" w:cs="Times New Roman"/>
          <w:kern w:val="0"/>
          <w:sz w:val="32"/>
          <w:szCs w:val="32"/>
          <w14:ligatures w14:val="none"/>
        </w:rPr>
        <w:t>环境影响</w:t>
      </w:r>
      <w:r>
        <w:rPr>
          <w:rFonts w:hint="eastAsia" w:ascii="仿宋_GB2312" w:hAnsi="仿宋" w:eastAsia="仿宋_GB2312" w:cs="Times New Roman"/>
          <w:kern w:val="0"/>
          <w:sz w:val="32"/>
          <w:szCs w:val="32"/>
          <w:lang w:eastAsia="zh-CN"/>
          <w14:ligatures w14:val="none"/>
        </w:rPr>
        <w:t>报告书</w:t>
      </w:r>
      <w:r>
        <w:rPr>
          <w:rFonts w:hint="eastAsia" w:ascii="仿宋_GB2312" w:hAnsi="仿宋" w:eastAsia="仿宋_GB2312" w:cs="Times New Roman"/>
          <w:kern w:val="0"/>
          <w:sz w:val="32"/>
          <w:szCs w:val="32"/>
          <w14:ligatures w14:val="none"/>
        </w:rPr>
        <w:t>》（以下简称《</w:t>
      </w:r>
      <w:r>
        <w:rPr>
          <w:rFonts w:hint="eastAsia" w:ascii="仿宋_GB2312" w:hAnsi="仿宋" w:eastAsia="仿宋_GB2312" w:cs="Times New Roman"/>
          <w:kern w:val="0"/>
          <w:sz w:val="32"/>
          <w:szCs w:val="32"/>
          <w:lang w:eastAsia="zh-CN"/>
          <w14:ligatures w14:val="none"/>
        </w:rPr>
        <w:t>报告书</w:t>
      </w:r>
      <w:r>
        <w:rPr>
          <w:rFonts w:hint="eastAsia" w:ascii="仿宋_GB2312" w:hAnsi="仿宋" w:eastAsia="仿宋_GB2312" w:cs="Times New Roman"/>
          <w:kern w:val="0"/>
          <w:sz w:val="32"/>
          <w:szCs w:val="32"/>
          <w14:ligatures w14:val="none"/>
        </w:rPr>
        <w:t>》）收悉。经研究，批复如下：</w:t>
      </w:r>
    </w:p>
    <w:p>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eastAsia" w:ascii="仿宋_GB2312" w:hAnsi="仿宋" w:eastAsia="仿宋_GB2312" w:cs="Times New Roman"/>
          <w:kern w:val="0"/>
          <w:sz w:val="32"/>
          <w:szCs w:val="32"/>
          <w14:ligatures w14:val="none"/>
        </w:rPr>
      </w:pPr>
      <w:r>
        <w:rPr>
          <w:rFonts w:hint="eastAsia" w:ascii="仿宋_GB2312" w:hAnsi="仿宋" w:eastAsia="仿宋_GB2312" w:cs="Times New Roman"/>
          <w:kern w:val="0"/>
          <w:sz w:val="32"/>
          <w:szCs w:val="32"/>
          <w14:ligatures w14:val="none"/>
        </w:rPr>
        <w:t>一、项目</w:t>
      </w:r>
      <w:r>
        <w:rPr>
          <w:rFonts w:hint="eastAsia" w:ascii="仿宋_GB2312" w:hAnsi="仿宋" w:eastAsia="仿宋_GB2312" w:cs="Times New Roman"/>
          <w:kern w:val="0"/>
          <w:sz w:val="32"/>
          <w:szCs w:val="32"/>
          <w:lang w:eastAsia="zh-CN"/>
          <w14:ligatures w14:val="none"/>
        </w:rPr>
        <w:t>变更</w:t>
      </w:r>
      <w:r>
        <w:rPr>
          <w:rFonts w:hint="eastAsia" w:ascii="仿宋_GB2312" w:hAnsi="仿宋" w:eastAsia="仿宋_GB2312" w:cs="Times New Roman"/>
          <w:kern w:val="0"/>
          <w:sz w:val="32"/>
          <w:szCs w:val="32"/>
          <w14:ligatures w14:val="none"/>
        </w:rPr>
        <w:t>基本情况</w:t>
      </w:r>
    </w:p>
    <w:p>
      <w:pPr>
        <w:pStyle w:val="13"/>
        <w:keepNext w:val="0"/>
        <w:keepLines w:val="0"/>
        <w:pageBreakBefore w:val="0"/>
        <w:widowControl w:val="0"/>
        <w:kinsoku/>
        <w:wordWrap/>
        <w:overflowPunct/>
        <w:topLinePunct w:val="0"/>
        <w:bidi w:val="0"/>
        <w:adjustRightInd/>
        <w:snapToGrid/>
        <w:spacing w:line="560" w:lineRule="exact"/>
        <w:ind w:firstLine="643"/>
        <w:textAlignment w:val="auto"/>
        <w:rPr>
          <w:rFonts w:hint="eastAsia" w:ascii="仿宋_GB2312" w:hAnsi="Times New Roman" w:eastAsia="仿宋_GB2312" w:cs="Times New Roman"/>
          <w:color w:val="auto"/>
          <w:sz w:val="32"/>
          <w:szCs w:val="32"/>
          <w:lang w:val="en-US" w:eastAsia="zh-CN"/>
        </w:rPr>
      </w:pPr>
      <w:r>
        <w:rPr>
          <w:rFonts w:hint="eastAsia" w:ascii="仿宋_GB2312" w:hAnsi="Times New Roman" w:eastAsia="仿宋_GB2312" w:cs="Times New Roman"/>
          <w:color w:val="auto"/>
          <w:sz w:val="32"/>
          <w:szCs w:val="32"/>
          <w:lang w:val="en-US" w:eastAsia="zh-CN"/>
        </w:rPr>
        <w:t>原项目为中国移动内蒙古公司超级基站和应急卫星网能力升级工程，于202</w:t>
      </w:r>
      <w:r>
        <w:rPr>
          <w:rFonts w:hint="eastAsia" w:ascii="仿宋_GB2312" w:eastAsia="仿宋_GB2312" w:cs="Times New Roman"/>
          <w:color w:val="auto"/>
          <w:sz w:val="32"/>
          <w:szCs w:val="32"/>
          <w:lang w:val="en-US" w:eastAsia="zh-CN"/>
        </w:rPr>
        <w:t>5</w:t>
      </w:r>
      <w:r>
        <w:rPr>
          <w:rFonts w:hint="eastAsia" w:ascii="仿宋_GB2312" w:hAnsi="Times New Roman" w:eastAsia="仿宋_GB2312" w:cs="Times New Roman"/>
          <w:color w:val="auto"/>
          <w:sz w:val="32"/>
          <w:szCs w:val="32"/>
          <w:lang w:val="en-US" w:eastAsia="zh-CN"/>
        </w:rPr>
        <w:t>年</w:t>
      </w:r>
      <w:r>
        <w:rPr>
          <w:rFonts w:hint="eastAsia" w:ascii="仿宋_GB2312" w:eastAsia="仿宋_GB2312" w:cs="Times New Roman"/>
          <w:color w:val="auto"/>
          <w:sz w:val="32"/>
          <w:szCs w:val="32"/>
          <w:lang w:val="en-US" w:eastAsia="zh-CN"/>
        </w:rPr>
        <w:t>2</w:t>
      </w:r>
      <w:r>
        <w:rPr>
          <w:rFonts w:hint="eastAsia" w:ascii="仿宋_GB2312" w:hAnsi="Times New Roman" w:eastAsia="仿宋_GB2312" w:cs="Times New Roman"/>
          <w:color w:val="auto"/>
          <w:sz w:val="32"/>
          <w:szCs w:val="32"/>
          <w:lang w:val="en-US" w:eastAsia="zh-CN"/>
        </w:rPr>
        <w:t>月1</w:t>
      </w:r>
      <w:r>
        <w:rPr>
          <w:rFonts w:hint="eastAsia" w:ascii="仿宋_GB2312" w:eastAsia="仿宋_GB2312" w:cs="Times New Roman"/>
          <w:color w:val="auto"/>
          <w:sz w:val="32"/>
          <w:szCs w:val="32"/>
          <w:lang w:val="en-US" w:eastAsia="zh-CN"/>
        </w:rPr>
        <w:t>0</w:t>
      </w:r>
      <w:r>
        <w:rPr>
          <w:rFonts w:hint="eastAsia" w:ascii="仿宋_GB2312" w:hAnsi="Times New Roman" w:eastAsia="仿宋_GB2312" w:cs="Times New Roman"/>
          <w:color w:val="auto"/>
          <w:sz w:val="32"/>
          <w:szCs w:val="32"/>
          <w:lang w:val="en-US" w:eastAsia="zh-CN"/>
        </w:rPr>
        <w:t>日取得内蒙古自治区生态环境厅环评批复（内环</w:t>
      </w:r>
      <w:r>
        <w:rPr>
          <w:rFonts w:hint="eastAsia" w:ascii="仿宋_GB2312" w:eastAsia="仿宋_GB2312" w:cs="Times New Roman"/>
          <w:color w:val="auto"/>
          <w:sz w:val="32"/>
          <w:szCs w:val="32"/>
          <w:lang w:val="en-US" w:eastAsia="zh-CN"/>
        </w:rPr>
        <w:t>审</w:t>
      </w:r>
      <w:r>
        <w:rPr>
          <w:rFonts w:hint="eastAsia" w:ascii="仿宋_GB2312" w:hAnsi="Times New Roman" w:eastAsia="仿宋_GB2312" w:cs="Times New Roman"/>
          <w:color w:val="auto"/>
          <w:sz w:val="32"/>
          <w:szCs w:val="32"/>
          <w:lang w:val="en-US" w:eastAsia="zh-CN"/>
        </w:rPr>
        <w:t>〔202</w:t>
      </w:r>
      <w:r>
        <w:rPr>
          <w:rFonts w:hint="eastAsia" w:ascii="仿宋_GB2312" w:eastAsia="仿宋_GB2312" w:cs="Times New Roman"/>
          <w:color w:val="auto"/>
          <w:sz w:val="32"/>
          <w:szCs w:val="32"/>
          <w:lang w:val="en-US" w:eastAsia="zh-CN"/>
        </w:rPr>
        <w:t>5</w:t>
      </w:r>
      <w:r>
        <w:rPr>
          <w:rFonts w:hint="eastAsia" w:ascii="仿宋_GB2312" w:hAnsi="Times New Roman" w:eastAsia="仿宋_GB2312" w:cs="Times New Roman"/>
          <w:color w:val="auto"/>
          <w:sz w:val="32"/>
          <w:szCs w:val="32"/>
          <w:lang w:val="en-US" w:eastAsia="zh-CN"/>
        </w:rPr>
        <w:t>〕</w:t>
      </w:r>
      <w:r>
        <w:rPr>
          <w:rFonts w:hint="eastAsia" w:ascii="仿宋_GB2312" w:eastAsia="仿宋_GB2312" w:cs="Times New Roman"/>
          <w:color w:val="auto"/>
          <w:sz w:val="32"/>
          <w:szCs w:val="32"/>
          <w:lang w:val="en-US" w:eastAsia="zh-CN"/>
        </w:rPr>
        <w:t>7</w:t>
      </w:r>
      <w:r>
        <w:rPr>
          <w:rFonts w:hint="eastAsia" w:ascii="仿宋_GB2312" w:hAnsi="Times New Roman" w:eastAsia="仿宋_GB2312" w:cs="Times New Roman"/>
          <w:color w:val="auto"/>
          <w:sz w:val="32"/>
          <w:szCs w:val="32"/>
          <w:lang w:val="en-US" w:eastAsia="zh-CN"/>
        </w:rPr>
        <w:t>号）。</w:t>
      </w:r>
      <w:r>
        <w:rPr>
          <w:rFonts w:hint="eastAsia" w:ascii="仿宋_GB2312" w:hAnsi="Times New Roman" w:eastAsia="仿宋_GB2312" w:cs="Times New Roman"/>
          <w:b w:val="0"/>
          <w:bCs w:val="0"/>
          <w:color w:val="auto"/>
          <w:sz w:val="32"/>
          <w:szCs w:val="32"/>
          <w:lang w:val="en-US" w:eastAsia="zh-CN"/>
        </w:rPr>
        <w:t>原项目建设内容为：</w:t>
      </w:r>
      <w:r>
        <w:rPr>
          <w:rFonts w:hint="eastAsia" w:ascii="仿宋_GB2312" w:hAnsi="Times New Roman" w:eastAsia="仿宋_GB2312" w:cs="Times New Roman"/>
          <w:color w:val="auto"/>
          <w:sz w:val="32"/>
          <w:szCs w:val="32"/>
          <w:lang w:val="en-US" w:eastAsia="zh-CN"/>
        </w:rPr>
        <w:t>依托现有基站场地、通信、供电等公辅设施，新建22个超级基站卫星远端站，建设22套1205mmKu频段双反射抛物面天线(包括调制解调器、网络互联设备、卫星天线控制器、卫星天线、BUC、LNB)。</w:t>
      </w:r>
    </w:p>
    <w:p>
      <w:pPr>
        <w:pStyle w:val="13"/>
        <w:keepNext w:val="0"/>
        <w:keepLines w:val="0"/>
        <w:pageBreakBefore w:val="0"/>
        <w:widowControl w:val="0"/>
        <w:kinsoku/>
        <w:wordWrap/>
        <w:overflowPunct/>
        <w:topLinePunct w:val="0"/>
        <w:bidi w:val="0"/>
        <w:adjustRightInd/>
        <w:snapToGrid/>
        <w:spacing w:line="560" w:lineRule="exact"/>
        <w:ind w:firstLine="643"/>
        <w:textAlignment w:val="auto"/>
        <w:rPr>
          <w:rFonts w:ascii="仿宋_GB2312" w:hAnsi="Times New Roman" w:eastAsia="仿宋_GB2312" w:cs="Times New Roman"/>
          <w:kern w:val="0"/>
          <w:sz w:val="32"/>
          <w:szCs w:val="32"/>
          <w:highlight w:val="none"/>
          <w:lang w:val="zh-CN"/>
          <w14:ligatures w14:val="none"/>
        </w:rPr>
      </w:pPr>
      <w:r>
        <w:rPr>
          <w:rFonts w:hint="eastAsia" w:ascii="仿宋_GB2312" w:hAnsi="Times New Roman" w:eastAsia="仿宋_GB2312" w:cs="Times New Roman"/>
          <w:kern w:val="0"/>
          <w:sz w:val="32"/>
          <w:szCs w:val="32"/>
          <w:highlight w:val="none"/>
          <w:lang w:val="zh-CN" w:eastAsia="zh-CN"/>
          <w14:ligatures w14:val="none"/>
        </w:rPr>
        <w:t>本次工程变更内容为：</w:t>
      </w:r>
      <w:r>
        <w:rPr>
          <w:rFonts w:hint="eastAsia" w:ascii="仿宋_GB2312" w:hAnsi="Times New Roman" w:eastAsia="仿宋_GB2312" w:cs="Times New Roman"/>
          <w:color w:val="auto"/>
          <w:sz w:val="32"/>
          <w:szCs w:val="32"/>
          <w:lang w:val="en-US" w:eastAsia="zh-CN"/>
        </w:rPr>
        <w:t>将原批复位于鄂尔多斯市杭锦旗独贵塔拉镇向阳社区居委会西侧移动通信机房顶卫星站站址（经纬度：E108.7113°，N40.5052°）调整至独贵特拉村移动公司现有基站机房楼顶</w:t>
      </w:r>
      <w:r>
        <w:rPr>
          <w:rFonts w:hint="eastAsia" w:ascii="仿宋_GB2312" w:eastAsia="仿宋_GB2312" w:cs="Times New Roman"/>
          <w:color w:val="auto"/>
          <w:sz w:val="32"/>
          <w:szCs w:val="32"/>
          <w:lang w:val="en-US" w:eastAsia="zh-CN"/>
        </w:rPr>
        <w:t>（</w:t>
      </w:r>
      <w:r>
        <w:rPr>
          <w:rFonts w:hint="eastAsia" w:ascii="仿宋_GB2312" w:hAnsi="Times New Roman" w:eastAsia="仿宋_GB2312" w:cs="Times New Roman"/>
          <w:color w:val="auto"/>
          <w:sz w:val="32"/>
          <w:szCs w:val="32"/>
          <w:lang w:val="en-US" w:eastAsia="zh-CN"/>
        </w:rPr>
        <w:t>经纬度：E108.7329°，N40.5567°</w:t>
      </w:r>
      <w:r>
        <w:rPr>
          <w:rFonts w:hint="eastAsia" w:ascii="仿宋_GB2312" w:eastAsia="仿宋_GB2312" w:cs="Times New Roman"/>
          <w:color w:val="auto"/>
          <w:sz w:val="32"/>
          <w:szCs w:val="32"/>
          <w:lang w:val="en-US" w:eastAsia="zh-CN"/>
        </w:rPr>
        <w:t>）</w:t>
      </w:r>
      <w:r>
        <w:rPr>
          <w:rFonts w:hint="eastAsia" w:ascii="仿宋_GB2312" w:hAnsi="Times New Roman" w:eastAsia="仿宋_GB2312" w:cs="Times New Roman"/>
          <w:color w:val="auto"/>
          <w:sz w:val="32"/>
          <w:szCs w:val="32"/>
          <w:lang w:val="en-US" w:eastAsia="zh-CN"/>
        </w:rPr>
        <w:t>。建设1个超级基站卫星网远端站，建设1套1005mmKu频段双反射抛物面天线，并配套调制解调器、网络互联设备、卫星天线控制器、功放BUC、低噪放LNB等设备。其余21座卫星站工程内容不变。</w:t>
      </w:r>
    </w:p>
    <w:p>
      <w:pPr>
        <w:keepNext w:val="0"/>
        <w:keepLines w:val="0"/>
        <w:pageBreakBefore w:val="0"/>
        <w:widowControl w:val="0"/>
        <w:kinsoku/>
        <w:wordWrap/>
        <w:overflowPunct/>
        <w:topLinePunct w:val="0"/>
        <w:bidi w:val="0"/>
        <w:snapToGrid/>
        <w:spacing w:line="560" w:lineRule="exact"/>
        <w:ind w:firstLine="640" w:firstLineChars="200"/>
        <w:textAlignment w:val="auto"/>
        <w:rPr>
          <w:rFonts w:hint="eastAsia" w:ascii="仿宋_GB2312" w:hAnsi="仿宋_GB2312" w:eastAsia="仿宋_GB2312" w:cs="Times New Roman"/>
          <w:bCs/>
          <w:kern w:val="0"/>
          <w:sz w:val="32"/>
          <w:szCs w:val="32"/>
          <w:lang w:val="zh-CN"/>
          <w14:ligatures w14:val="none"/>
        </w:rPr>
      </w:pPr>
      <w:r>
        <w:rPr>
          <w:rFonts w:hint="eastAsia" w:ascii="仿宋_GB2312" w:hAnsi="仿宋_GB2312" w:eastAsia="仿宋_GB2312" w:cs="Times New Roman"/>
          <w:bCs/>
          <w:kern w:val="0"/>
          <w:sz w:val="32"/>
          <w:szCs w:val="32"/>
          <w:lang w:val="zh-CN"/>
          <w14:ligatures w14:val="none"/>
        </w:rPr>
        <w:t>本项目建设地点位于</w:t>
      </w:r>
      <w:r>
        <w:rPr>
          <w:rFonts w:hint="eastAsia" w:ascii="仿宋_GB2312" w:hAnsi="仿宋_GB2312" w:eastAsia="仿宋_GB2312" w:cs="Times New Roman"/>
          <w:bCs/>
          <w:kern w:val="0"/>
          <w:sz w:val="32"/>
          <w:szCs w:val="32"/>
          <w:lang w:val="zh-CN" w:eastAsia="zh-CN"/>
          <w14:ligatures w14:val="none"/>
        </w:rPr>
        <w:t>内蒙古自治区鄂尔多斯市杭锦旗境内。</w:t>
      </w:r>
    </w:p>
    <w:p>
      <w:pPr>
        <w:keepNext w:val="0"/>
        <w:keepLines w:val="0"/>
        <w:pageBreakBefore w:val="0"/>
        <w:widowControl w:val="0"/>
        <w:kinsoku/>
        <w:wordWrap/>
        <w:overflowPunct/>
        <w:topLinePunct w:val="0"/>
        <w:bidi w:val="0"/>
        <w:snapToGrid/>
        <w:spacing w:line="560" w:lineRule="exact"/>
        <w:ind w:firstLine="640" w:firstLineChars="200"/>
        <w:textAlignment w:val="auto"/>
        <w:rPr>
          <w:rFonts w:hint="eastAsia" w:ascii="仿宋_GB2312" w:hAnsi="仿宋_GB2312" w:eastAsia="仿宋_GB2312" w:cs="Times New Roman"/>
          <w:bCs/>
          <w:kern w:val="0"/>
          <w:sz w:val="32"/>
          <w:szCs w:val="32"/>
          <w:lang w:val="zh-CN"/>
          <w14:ligatures w14:val="none"/>
        </w:rPr>
      </w:pPr>
      <w:r>
        <w:rPr>
          <w:rFonts w:hint="eastAsia" w:ascii="仿宋_GB2312" w:hAnsi="仿宋_GB2312" w:eastAsia="仿宋_GB2312" w:cs="Times New Roman"/>
          <w:bCs/>
          <w:kern w:val="0"/>
          <w:sz w:val="32"/>
          <w:szCs w:val="32"/>
          <w:lang w:val="zh-CN"/>
          <w14:ligatures w14:val="none"/>
        </w:rPr>
        <w:t>二、总体意见</w:t>
      </w:r>
    </w:p>
    <w:p>
      <w:pPr>
        <w:keepNext w:val="0"/>
        <w:keepLines w:val="0"/>
        <w:pageBreakBefore w:val="0"/>
        <w:widowControl w:val="0"/>
        <w:kinsoku/>
        <w:wordWrap/>
        <w:overflowPunct/>
        <w:topLinePunct w:val="0"/>
        <w:bidi w:val="0"/>
        <w:snapToGrid/>
        <w:spacing w:line="560" w:lineRule="exact"/>
        <w:ind w:firstLine="640" w:firstLineChars="200"/>
        <w:textAlignment w:val="auto"/>
        <w:rPr>
          <w:rFonts w:hint="eastAsia" w:ascii="仿宋_GB2312" w:hAnsi="仿宋_GB2312" w:eastAsia="仿宋_GB2312" w:cs="Times New Roman"/>
          <w:bCs/>
          <w:kern w:val="0"/>
          <w:sz w:val="32"/>
          <w:szCs w:val="32"/>
          <w:lang w:val="zh-CN"/>
          <w14:ligatures w14:val="none"/>
        </w:rPr>
      </w:pPr>
      <w:r>
        <w:rPr>
          <w:rFonts w:hint="eastAsia" w:ascii="仿宋_GB2312" w:hAnsi="仿宋_GB2312" w:eastAsia="仿宋_GB2312" w:cs="Times New Roman"/>
          <w:bCs/>
          <w:kern w:val="0"/>
          <w:sz w:val="32"/>
          <w:szCs w:val="32"/>
          <w:lang w:val="zh-CN"/>
          <w14:ligatures w14:val="none"/>
        </w:rPr>
        <w:t>本项目在严格落实《报告</w:t>
      </w:r>
      <w:r>
        <w:rPr>
          <w:rFonts w:hint="eastAsia" w:ascii="仿宋_GB2312" w:hAnsi="仿宋_GB2312" w:eastAsia="仿宋_GB2312" w:cs="Times New Roman"/>
          <w:bCs/>
          <w:kern w:val="0"/>
          <w:sz w:val="32"/>
          <w:szCs w:val="32"/>
          <w:lang w:val="en-US" w:eastAsia="zh-CN"/>
          <w14:ligatures w14:val="none"/>
        </w:rPr>
        <w:t>书</w:t>
      </w:r>
      <w:r>
        <w:rPr>
          <w:rFonts w:hint="eastAsia" w:ascii="仿宋_GB2312" w:hAnsi="仿宋_GB2312" w:eastAsia="仿宋_GB2312" w:cs="Times New Roman"/>
          <w:bCs/>
          <w:kern w:val="0"/>
          <w:sz w:val="32"/>
          <w:szCs w:val="32"/>
          <w:lang w:val="zh-CN"/>
          <w14:ligatures w14:val="none"/>
        </w:rPr>
        <w:t>》提出的各项环境保护措施后，对环境的不利影响和可能存在的环境风险在可控范围内。从环境保护角度分析，我厅原则同意本项目按照《报告</w:t>
      </w:r>
      <w:r>
        <w:rPr>
          <w:rFonts w:hint="eastAsia" w:ascii="仿宋_GB2312" w:hAnsi="仿宋_GB2312" w:eastAsia="仿宋_GB2312" w:cs="Times New Roman"/>
          <w:bCs/>
          <w:kern w:val="0"/>
          <w:sz w:val="32"/>
          <w:szCs w:val="32"/>
          <w:lang w:val="en-US" w:eastAsia="zh-CN"/>
          <w14:ligatures w14:val="none"/>
        </w:rPr>
        <w:t>书</w:t>
      </w:r>
      <w:r>
        <w:rPr>
          <w:rFonts w:hint="eastAsia" w:ascii="仿宋_GB2312" w:hAnsi="仿宋_GB2312" w:eastAsia="仿宋_GB2312" w:cs="Times New Roman"/>
          <w:bCs/>
          <w:kern w:val="0"/>
          <w:sz w:val="32"/>
          <w:szCs w:val="32"/>
          <w:lang w:val="zh-CN"/>
          <w14:ligatures w14:val="none"/>
        </w:rPr>
        <w:t>》中所列的性质、规模、地点和拟采取的环保措施进行建设。</w:t>
      </w:r>
    </w:p>
    <w:p>
      <w:pPr>
        <w:keepNext w:val="0"/>
        <w:keepLines w:val="0"/>
        <w:pageBreakBefore w:val="0"/>
        <w:widowControl w:val="0"/>
        <w:kinsoku/>
        <w:wordWrap/>
        <w:overflowPunct/>
        <w:topLinePunct w:val="0"/>
        <w:bidi w:val="0"/>
        <w:snapToGrid/>
        <w:spacing w:line="560" w:lineRule="exact"/>
        <w:ind w:firstLine="640" w:firstLineChars="200"/>
        <w:textAlignment w:val="auto"/>
        <w:rPr>
          <w:rFonts w:hint="eastAsia" w:ascii="仿宋_GB2312" w:hAnsi="仿宋" w:eastAsia="仿宋_GB2312" w:cs="Times New Roman"/>
          <w:sz w:val="32"/>
          <w:szCs w:val="32"/>
          <w14:ligatures w14:val="none"/>
        </w:rPr>
      </w:pPr>
      <w:r>
        <w:rPr>
          <w:rFonts w:hint="eastAsia" w:ascii="仿宋_GB2312" w:hAnsi="仿宋" w:eastAsia="仿宋_GB2312" w:cs="Times New Roman"/>
          <w:sz w:val="32"/>
          <w:szCs w:val="32"/>
          <w14:ligatures w14:val="none"/>
        </w:rPr>
        <w:t>三、项目建设及运行期间应做好的工作</w:t>
      </w:r>
    </w:p>
    <w:p>
      <w:pPr>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（一）认真落实《报告书》中提出的控制和改善电磁辐射、噪声对周边环境影响的措施和方法。在围墙、围栏上挂设当心电磁辐射警示牌、标语等告知公众。</w:t>
      </w:r>
    </w:p>
    <w:p>
      <w:pPr>
        <w:autoSpaceDE w:val="0"/>
        <w:autoSpaceDN w:val="0"/>
        <w:adjustRightIn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（二）施工场地要严格控制在站区内，尽量减少对地表植被的破坏。定期对路面洒水，避免产生扬尘。施工期产生的垃圾必须集中回收，送交当地环卫部门集中处置。</w:t>
      </w:r>
    </w:p>
    <w:p>
      <w:pPr>
        <w:autoSpaceDE w:val="0"/>
        <w:autoSpaceDN w:val="0"/>
        <w:adjustRightIn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（三）项目施工期及运行期的噪声值及防噪措施应满足《报告书》中提出的要求，监测值应符合国家评价标准限值要求。</w:t>
      </w:r>
    </w:p>
    <w:p>
      <w:pPr>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（四）环境影响报告书经批准后，项目的性质、规模、地点或生态保护、污染防治措施发生重大变动的，应当按要求重新报批。</w:t>
      </w:r>
    </w:p>
    <w:p>
      <w:pPr>
        <w:keepNext w:val="0"/>
        <w:keepLines w:val="0"/>
        <w:pageBreakBefore w:val="0"/>
        <w:widowControl w:val="0"/>
        <w:kinsoku/>
        <w:wordWrap/>
        <w:overflowPunct/>
        <w:topLinePunct w:val="0"/>
        <w:bidi w:val="0"/>
        <w:snapToGrid/>
        <w:spacing w:line="560" w:lineRule="exact"/>
        <w:ind w:firstLine="640" w:firstLineChars="200"/>
        <w:textAlignment w:val="auto"/>
        <w:rPr>
          <w:rFonts w:hint="eastAsia" w:ascii="仿宋_GB2312" w:hAnsi="仿宋" w:eastAsia="仿宋_GB2312" w:cs="Times New Roman"/>
          <w:sz w:val="32"/>
          <w:szCs w:val="32"/>
          <w14:ligatures w14:val="none"/>
        </w:rPr>
      </w:pPr>
      <w:r>
        <w:rPr>
          <w:rFonts w:hint="eastAsia" w:ascii="仿宋_GB2312" w:hAnsi="仿宋" w:eastAsia="仿宋_GB2312" w:cs="Times New Roman"/>
          <w:sz w:val="32"/>
          <w:szCs w:val="32"/>
          <w14:ligatures w14:val="none"/>
        </w:rPr>
        <w:t>四、建设单位按规定程序完成竣工环境保护验收后，项目方可投入正式运行。</w:t>
      </w:r>
    </w:p>
    <w:p>
      <w:pPr>
        <w:keepNext w:val="0"/>
        <w:keepLines w:val="0"/>
        <w:pageBreakBefore w:val="0"/>
        <w:widowControl w:val="0"/>
        <w:kinsoku/>
        <w:wordWrap/>
        <w:overflowPunct/>
        <w:topLinePunct w:val="0"/>
        <w:bidi w:val="0"/>
        <w:snapToGrid/>
        <w:spacing w:line="560" w:lineRule="exact"/>
        <w:ind w:firstLine="640" w:firstLineChars="200"/>
        <w:textAlignment w:val="auto"/>
        <w:rPr>
          <w:rFonts w:hint="eastAsia" w:ascii="仿宋_GB2312" w:hAnsi="仿宋" w:eastAsia="仿宋_GB2312" w:cs="Times New Roman"/>
          <w:sz w:val="32"/>
          <w:szCs w:val="32"/>
          <w14:ligatures w14:val="none"/>
        </w:rPr>
      </w:pPr>
      <w:r>
        <w:rPr>
          <w:rFonts w:hint="eastAsia" w:ascii="仿宋_GB2312" w:hAnsi="仿宋" w:eastAsia="仿宋_GB2312" w:cs="Times New Roman"/>
          <w:sz w:val="32"/>
          <w:szCs w:val="32"/>
          <w14:ligatures w14:val="none"/>
        </w:rPr>
        <w:t>五、我厅委托</w:t>
      </w:r>
      <w:r>
        <w:rPr>
          <w:rFonts w:hint="eastAsia" w:ascii="仿宋_GB2312" w:hAnsi="仿宋" w:eastAsia="仿宋_GB2312" w:cs="Times New Roman"/>
          <w:sz w:val="32"/>
          <w:szCs w:val="32"/>
          <w:lang w:val="en-US" w:eastAsia="zh-CN"/>
          <w14:ligatures w14:val="none"/>
        </w:rPr>
        <w:t>鄂尔多斯市</w:t>
      </w:r>
      <w:r>
        <w:rPr>
          <w:rFonts w:hint="eastAsia" w:ascii="仿宋_GB2312" w:hAnsi="仿宋" w:eastAsia="仿宋_GB2312" w:cs="Times New Roman"/>
          <w:sz w:val="32"/>
          <w:szCs w:val="32"/>
          <w14:ligatures w14:val="none"/>
        </w:rPr>
        <w:t>生态环境局负责该项目施工期的监督检查工作。</w:t>
      </w:r>
    </w:p>
    <w:p>
      <w:pPr>
        <w:keepNext w:val="0"/>
        <w:keepLines w:val="0"/>
        <w:pageBreakBefore w:val="0"/>
        <w:widowControl w:val="0"/>
        <w:kinsoku/>
        <w:wordWrap/>
        <w:overflowPunct/>
        <w:topLinePunct w:val="0"/>
        <w:bidi w:val="0"/>
        <w:snapToGrid/>
        <w:spacing w:line="560" w:lineRule="exact"/>
        <w:ind w:firstLine="640" w:firstLineChars="200"/>
        <w:textAlignment w:val="auto"/>
        <w:rPr>
          <w:rFonts w:hint="eastAsia" w:ascii="仿宋_GB2312" w:hAnsi="仿宋" w:eastAsia="仿宋_GB2312" w:cs="Times New Roman"/>
          <w:sz w:val="32"/>
          <w:szCs w:val="32"/>
          <w14:ligatures w14:val="none"/>
        </w:rPr>
      </w:pPr>
      <w:r>
        <w:rPr>
          <w:rFonts w:hint="eastAsia" w:ascii="仿宋_GB2312" w:hAnsi="仿宋" w:eastAsia="仿宋_GB2312" w:cs="Times New Roman"/>
          <w:sz w:val="32"/>
          <w:szCs w:val="32"/>
          <w14:ligatures w14:val="none"/>
        </w:rPr>
        <w:t>六、本批复不具有其他行政审批前置效力。</w:t>
      </w:r>
    </w:p>
    <w:p>
      <w:pPr>
        <w:keepNext w:val="0"/>
        <w:keepLines w:val="0"/>
        <w:pageBreakBefore w:val="0"/>
        <w:widowControl w:val="0"/>
        <w:kinsoku/>
        <w:wordWrap/>
        <w:overflowPunct/>
        <w:topLinePunct w:val="0"/>
        <w:bidi w:val="0"/>
        <w:snapToGrid/>
        <w:spacing w:line="560" w:lineRule="exact"/>
        <w:ind w:firstLine="640" w:firstLineChars="200"/>
        <w:textAlignment w:val="auto"/>
        <w:rPr>
          <w:rFonts w:hint="eastAsia" w:ascii="仿宋_GB2312" w:hAnsi="仿宋" w:eastAsia="仿宋_GB2312" w:cs="Times New Roman"/>
          <w:sz w:val="32"/>
          <w:szCs w:val="32"/>
          <w14:ligatures w14:val="none"/>
        </w:rPr>
      </w:pPr>
    </w:p>
    <w:p>
      <w:pPr>
        <w:keepNext w:val="0"/>
        <w:keepLines w:val="0"/>
        <w:pageBreakBefore w:val="0"/>
        <w:widowControl w:val="0"/>
        <w:kinsoku/>
        <w:wordWrap/>
        <w:overflowPunct/>
        <w:topLinePunct w:val="0"/>
        <w:bidi w:val="0"/>
        <w:snapToGrid/>
        <w:spacing w:line="560" w:lineRule="exact"/>
        <w:ind w:firstLine="640" w:firstLineChars="200"/>
        <w:textAlignment w:val="auto"/>
        <w:rPr>
          <w:rFonts w:hint="eastAsia"/>
          <w:sz w:val="32"/>
          <w:szCs w:val="32"/>
        </w:rPr>
      </w:pPr>
    </w:p>
    <mc:AlternateContent>
      <mc:Choice Requires="wpsCustomData">
        <wpsCustomData:docfieldEnd id="3"/>
      </mc:Choice>
    </mc:AlternateContent>
    <w:p>
      <w:pPr>
        <w:spacing w:line="560" w:lineRule="exact"/>
        <w:ind w:firstLine="624" w:firstLineChars="200"/>
        <w:rPr>
          <w:rFonts w:ascii="仿宋_GB2312" w:hAnsi="仿宋" w:eastAsia="仿宋_GB2312"/>
          <w:spacing w:val="-4"/>
          <w:sz w:val="32"/>
          <w:szCs w:val="32"/>
        </w:rPr>
      </w:pPr>
    </w:p>
    <w:p>
      <w:pPr>
        <w:spacing w:line="560" w:lineRule="exact"/>
        <w:jc w:val="left"/>
        <w:rPr>
          <w:rFonts w:ascii="仿宋_GB2312" w:hAnsi="仿宋" w:eastAsia="仿宋_GB2312"/>
          <w:sz w:val="32"/>
          <w:szCs w:val="32"/>
        </w:rPr>
      </w:pPr>
      <w:r>
        <w:rPr>
          <w:rFonts w:hint="eastAsia" w:ascii="仿宋_GB2312" w:hAnsi="仿宋" w:eastAsia="仿宋_GB2312"/>
          <w:spacing w:val="-4"/>
          <w:sz w:val="32"/>
          <w:szCs w:val="32"/>
        </w:rPr>
        <w:t xml:space="preserve">                           内蒙古自治区生态环境厅  </w:t>
      </w:r>
      <w:r>
        <w:rPr>
          <w:rFonts w:hint="eastAsia" w:ascii="仿宋_GB2312" w:hAnsi="仿宋" w:eastAsia="仿宋_GB2312"/>
          <w:sz w:val="32"/>
          <w:szCs w:val="32"/>
        </w:rPr>
        <w:t xml:space="preserve"> </w:t>
      </w:r>
    </w:p>
    <w:p>
      <w:pPr>
        <w:spacing w:line="560" w:lineRule="exact"/>
        <w:ind w:right="55" w:rightChars="26"/>
        <w:jc w:val="left"/>
        <w:rPr>
          <w:rFonts w:hint="eastAsia" w:ascii="仿宋_GB2312" w:hAnsi="仿宋" w:eastAsia="仿宋_GB2312"/>
          <w:sz w:val="32"/>
          <w:szCs w:val="32"/>
          <w:lang w:eastAsia="zh-CN"/>
        </w:rPr>
      </w:pPr>
      <w:r>
        <w:rPr>
          <w:rFonts w:hint="eastAsia" w:ascii="仿宋_GB2312" w:hAnsi="仿宋" w:eastAsia="仿宋_GB2312"/>
          <w:sz w:val="32"/>
          <w:szCs w:val="32"/>
        </w:rPr>
        <w:t xml:space="preserve">                             </w:t>
      </w:r>
      <mc:AlternateContent>
        <mc:Choice Requires="wpsCustomData">
          <wpsCustomData:docfieldStart id="4" docfieldname="签发日期" hidden="false" print="true" readonly="false" index="5"/>
        </mc:Choice>
      </mc:AlternateContent>
      <w:bookmarkStart w:id="3" w:name="签发日期"/>
      <w:bookmarkEnd w:id="3"/>
      <w:r>
        <w:rPr>
          <w:rFonts w:hint="eastAsia" w:ascii="仿宋_GB2312" w:hAnsi="仿宋" w:eastAsia="仿宋_GB2312"/>
          <w:sz w:val="32"/>
          <w:szCs w:val="32"/>
          <w:lang w:eastAsia="zh-CN"/>
        </w:rPr>
        <w:t>2026年10月22日</w:t>
      </w:r>
      <mc:AlternateContent>
        <mc:Choice Requires="wpsCustomData">
          <wpsCustomData:docfieldEnd id="4"/>
        </mc:Choice>
      </mc:AlternateContent>
    </w:p>
    <w:p>
      <w:pPr>
        <w:spacing w:line="560" w:lineRule="exact"/>
      </w:pPr>
    </w:p>
    <w:p>
      <w:pPr>
        <w:pStyle w:val="2"/>
      </w:pPr>
    </w:p>
    <w:p/>
    <w:p>
      <w:pPr>
        <w:pStyle w:val="2"/>
      </w:pPr>
    </w:p>
    <w:p/>
    <w:p>
      <w:pPr>
        <w:pStyle w:val="2"/>
      </w:pPr>
    </w:p>
    <w:p/>
    <w:p>
      <w:pPr>
        <w:pStyle w:val="2"/>
      </w:pPr>
    </w:p>
    <w:p/>
    <w:p>
      <w:pPr>
        <w:pStyle w:val="2"/>
      </w:pPr>
    </w:p>
    <w:p/>
    <w:p>
      <w:pPr>
        <w:pStyle w:val="2"/>
      </w:pPr>
    </w:p>
    <w:p/>
    <w:p>
      <w:pPr>
        <w:pStyle w:val="2"/>
      </w:pPr>
    </w:p>
    <w:p/>
    <w:p>
      <w:pPr>
        <w:pStyle w:val="2"/>
      </w:pPr>
    </w:p>
    <w:p/>
    <w:p>
      <w:pPr>
        <w:pStyle w:val="2"/>
      </w:pPr>
    </w:p>
    <w:p/>
    <w:p>
      <w:pPr>
        <w:pStyle w:val="2"/>
      </w:pPr>
    </w:p>
    <w:p/>
    <w:p>
      <w:pPr>
        <w:pStyle w:val="2"/>
      </w:pPr>
    </w:p>
    <w:p/>
    <w:p>
      <w:pPr>
        <w:pStyle w:val="2"/>
      </w:pPr>
    </w:p>
    <w:p/>
    <w:p>
      <w:pPr>
        <w:spacing w:line="14" w:lineRule="exact"/>
        <w:ind w:right="315" w:rightChars="150"/>
        <w:rPr>
          <w:rFonts w:ascii="仿宋_GB2312" w:hAnsi="仿宋" w:eastAsia="仿宋_GB2312"/>
          <w:sz w:val="28"/>
          <w:szCs w:val="28"/>
        </w:rPr>
      </w:pPr>
      <w:bookmarkStart w:id="4" w:name="_GoBack"/>
      <w:bookmarkEnd w:id="4"/>
    </w:p>
    <w:sectPr>
      <w:headerReference r:id="rId3" w:type="default"/>
      <w:footerReference r:id="rId5" w:type="default"/>
      <w:headerReference r:id="rId4" w:type="even"/>
      <w:footerReference r:id="rId6" w:type="even"/>
      <w:type w:val="continuous"/>
      <w:pgSz w:w="11907" w:h="16840"/>
      <w:pgMar w:top="2041" w:right="1531" w:bottom="2041" w:left="1531" w:header="851" w:footer="1587"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7F"/>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Cambria">
    <w:altName w:val="FreeSerif"/>
    <w:panose1 w:val="02040503050406030204"/>
    <w:charset w:val="00"/>
    <w:family w:val="roman"/>
    <w:pitch w:val="default"/>
    <w:sig w:usb0="00000000" w:usb1="00000000" w:usb2="00000000" w:usb3="00000000" w:csb0="2000019F" w:csb1="00000000"/>
  </w:font>
  <w:font w:name="仿宋_GB2312">
    <w:panose1 w:val="02010609030101010101"/>
    <w:charset w:val="86"/>
    <w:family w:val="auto"/>
    <w:pitch w:val="default"/>
    <w:sig w:usb0="00000001" w:usb1="080E0000" w:usb2="00000000" w:usb3="00000000" w:csb0="00040000" w:csb1="00000000"/>
  </w:font>
  <w:font w:name="仿宋">
    <w:altName w:val="微软雅黑"/>
    <w:panose1 w:val="02010609060101010101"/>
    <w:charset w:val="86"/>
    <w:family w:val="auto"/>
    <w:pitch w:val="default"/>
    <w:sig w:usb0="00000000" w:usb1="00000000"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方正书宋_GBK">
    <w:panose1 w:val="02000000000000000000"/>
    <w:charset w:val="86"/>
    <w:family w:val="auto"/>
    <w:pitch w:val="default"/>
    <w:sig w:usb0="00000001" w:usb1="08000000" w:usb2="00000000" w:usb3="00000000" w:csb0="00040000" w:csb1="00000000"/>
  </w:font>
  <w:font w:name="微软雅黑">
    <w:panose1 w:val="020B0503020204020204"/>
    <w:charset w:val="86"/>
    <w:family w:val="auto"/>
    <w:pitch w:val="default"/>
    <w:sig w:usb0="80000287" w:usb1="2A0F3C52" w:usb2="00000016" w:usb3="00000000" w:csb0="0004001F" w:csb1="00000000"/>
  </w:font>
  <w:font w:name="FreeSerif">
    <w:panose1 w:val="02020603050405020304"/>
    <w:charset w:val="00"/>
    <w:family w:val="auto"/>
    <w:pitch w:val="default"/>
    <w:sig w:usb0="E59FAFFF" w:usb1="C200FDFF" w:usb2="43501B29" w:usb3="04000043" w:csb0="600101FF" w:csb1="FFFF0000"/>
  </w:font>
  <w:font w:name="DejaVu Sans">
    <w:panose1 w:val="020B0603030804020204"/>
    <w:charset w:val="00"/>
    <w:family w:val="auto"/>
    <w:pitch w:val="default"/>
    <w:sig w:usb0="E7006EFF" w:usb1="D200FDFF" w:usb2="0A246029" w:usb3="0400200C" w:csb0="600001FF" w:csb1="DFFF0000"/>
  </w:font>
  <w:font w:name="Standard Symbols PS">
    <w:panose1 w:val="05050102010706020507"/>
    <w:charset w:val="00"/>
    <w:family w:val="auto"/>
    <w:pitch w:val="default"/>
    <w:sig w:usb0="00000003" w:usb1="00000000" w:usb2="00000000" w:usb3="00000000" w:csb0="00000001" w:csb1="00000000"/>
  </w:font>
  <w:font w:name="方正黑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rFonts w:ascii="Calibri" w:hAnsi="Calibri" w:eastAsia="宋体" w:cs="Times New Roman"/>
        <w:kern w:val="0"/>
        <w:sz w:val="18"/>
        <w:szCs w:val="18"/>
        <w:lang w:val="en-US" w:eastAsia="zh-CN" w:bidi="ar-SA"/>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635</wp:posOffset>
              </wp:positionV>
              <wp:extent cx="591185" cy="230505"/>
              <wp:effectExtent l="0" t="0" r="0" b="0"/>
              <wp:wrapNone/>
              <wp:docPr id="3" name="Quad Arrow 3"/>
              <wp:cNvGraphicFramePr/>
              <a:graphic xmlns:a="http://schemas.openxmlformats.org/drawingml/2006/main">
                <a:graphicData uri="http://schemas.microsoft.com/office/word/2010/wordprocessingShape">
                  <wps:wsp>
                    <wps:cNvSpPr txBox="true"/>
                    <wps:spPr>
                      <a:xfrm>
                        <a:off x="0" y="0"/>
                        <a:ext cx="591185" cy="230505"/>
                      </a:xfrm>
                      <a:prstGeom prst="rect">
                        <a:avLst/>
                      </a:prstGeom>
                      <a:noFill/>
                      <a:ln>
                        <a:noFill/>
                      </a:ln>
                    </wps:spPr>
                    <wps:txbx>
                      <w:txbxContent>
                        <w:p>
                          <w:pPr>
                            <w:pStyle w:val="4"/>
                            <w:jc w:val="center"/>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wrap="square" lIns="0" tIns="0" rIns="0" bIns="0" upright="false"/>
                  </wps:wsp>
                </a:graphicData>
              </a:graphic>
            </wp:anchor>
          </w:drawing>
        </mc:Choice>
        <mc:Fallback>
          <w:pict>
            <v:shape id="Quad Arrow 3" o:spid="_x0000_s1026" o:spt="202" type="#_x0000_t202" style="position:absolute;left:0pt;margin-top:0.05pt;height:18.15pt;width:46.55pt;mso-position-horizontal:outside;mso-position-horizontal-relative:margin;z-index:251659264;mso-width-relative:page;mso-height-relative:page;" filled="f" stroked="f" coordsize="21600,21600" o:gfxdata="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FgAAAGRycy9QSwECFAAUAAAACACHTuJA&#10;ripQTtQAAAADAQAADwAAAAAAAAABACAAAAA4AAAAZHJzL2Rvd25yZXYueG1sUEsBAhQAFAAAAAgA&#10;h07iQLGQ83+hAQAAOQMAAA4AAAAAAAAAAQAgAAAAOQEAAGRycy9lMm9Eb2MueG1sUEsFBgAAAAAG&#10;AAYAWQEAAEwFAAAAAA==&#10;">
              <v:fill on="f" focussize="0,0"/>
              <v:stroke on="f"/>
              <v:imagedata o:title=""/>
              <o:lock v:ext="edit" aspectratio="f"/>
              <v:textbox inset="0mm,0mm,0mm,0mm">
                <w:txbxContent>
                  <w:p>
                    <w:pPr>
                      <w:pStyle w:val="4"/>
                      <w:jc w:val="center"/>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right="360"/>
    </w:pPr>
    <w:r>
      <w:rPr>
        <w:rFonts w:ascii="Calibri" w:hAnsi="Calibri" w:eastAsia="宋体" w:cs="Times New Roman"/>
        <w:kern w:val="0"/>
        <w:sz w:val="18"/>
        <w:szCs w:val="18"/>
        <w:lang w:val="en-US" w:eastAsia="zh-CN" w:bidi="ar-SA"/>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635</wp:posOffset>
              </wp:positionV>
              <wp:extent cx="608965" cy="230505"/>
              <wp:effectExtent l="0" t="0" r="0" b="0"/>
              <wp:wrapNone/>
              <wp:docPr id="4" name="Quad Arrow 4"/>
              <wp:cNvGraphicFramePr/>
              <a:graphic xmlns:a="http://schemas.openxmlformats.org/drawingml/2006/main">
                <a:graphicData uri="http://schemas.microsoft.com/office/word/2010/wordprocessingShape">
                  <wps:wsp>
                    <wps:cNvSpPr txBox="true"/>
                    <wps:spPr>
                      <a:xfrm>
                        <a:off x="0" y="0"/>
                        <a:ext cx="608965" cy="230505"/>
                      </a:xfrm>
                      <a:prstGeom prst="rect">
                        <a:avLst/>
                      </a:prstGeom>
                      <a:noFill/>
                      <a:ln>
                        <a:noFill/>
                      </a:ln>
                    </wps:spPr>
                    <wps:txbx>
                      <w:txbxContent>
                        <w:p>
                          <w:pPr>
                            <w:pStyle w:val="4"/>
                            <w:jc w:val="center"/>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- 2 -</w:t>
                          </w:r>
                          <w:r>
                            <w:rPr>
                              <w:rFonts w:hint="eastAsia" w:ascii="宋体" w:hAnsi="宋体" w:eastAsia="宋体" w:cs="宋体"/>
                              <w:sz w:val="28"/>
                              <w:szCs w:val="28"/>
                            </w:rPr>
                            <w:fldChar w:fldCharType="end"/>
                          </w:r>
                        </w:p>
                      </w:txbxContent>
                    </wps:txbx>
                    <wps:bodyPr wrap="square" lIns="0" tIns="0" rIns="0" bIns="0" upright="false"/>
                  </wps:wsp>
                </a:graphicData>
              </a:graphic>
            </wp:anchor>
          </w:drawing>
        </mc:Choice>
        <mc:Fallback>
          <w:pict>
            <v:shape id="Quad Arrow 4" o:spid="_x0000_s1026" o:spt="202" type="#_x0000_t202" style="position:absolute;left:0pt;margin-top:0.05pt;height:18.15pt;width:47.95pt;mso-position-horizontal:outside;mso-position-horizontal-relative:margin;z-index:251660288;mso-width-relative:page;mso-height-relative:page;" filled="f" stroked="f" coordsize="21600,21600" o:gfxdata="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WAAAAZHJzL1BLAQIUABQAAAAIAIdO4kBq&#10;8m6J0wAAAAMBAAAPAAAAAAAAAAEAIAAAADgAAABkcnMvZG93bnJldi54bWxQSwECFAAUAAAACACH&#10;TuJA+pDoVqEBAAA5AwAADgAAAAAAAAABACAAAAA4AQAAZHJzL2Uyb0RvYy54bWxQSwUGAAAAAAYA&#10;BgBZAQAASwUAAAAA&#10;">
              <v:fill on="f" focussize="0,0"/>
              <v:stroke on="f"/>
              <v:imagedata o:title=""/>
              <o:lock v:ext="edit" aspectratio="f"/>
              <v:textbox inset="0mm,0mm,0mm,0mm">
                <w:txbxContent>
                  <w:p>
                    <w:pPr>
                      <w:pStyle w:val="4"/>
                      <w:jc w:val="center"/>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- 2 -</w:t>
                    </w:r>
                    <w:r>
                      <w:rPr>
                        <w:rFonts w:hint="eastAsia" w:ascii="宋体" w:hAnsi="宋体" w:eastAsia="宋体" w:cs="宋体"/>
                        <w:sz w:val="28"/>
                        <w:szCs w:val="2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true"/>
  <w:bordersDoNotSurroundFooter w:val="tru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evenAndOddHeaders w:val="true"/>
  <w:drawingGridHorizontalSpacing w:val="105"/>
  <w:drawingGridVerticalSpacing w:val="156"/>
  <w:displayHorizontalDrawingGridEvery w:val="0"/>
  <w:displayVerticalDrawingGridEvery w:val="2"/>
  <w:characterSpacingControl w:val="compressPunctuation"/>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0101"/>
    <w:rsid w:val="000502D9"/>
    <w:rsid w:val="00053C74"/>
    <w:rsid w:val="00081DD9"/>
    <w:rsid w:val="000A43C9"/>
    <w:rsid w:val="000F448F"/>
    <w:rsid w:val="00104AD5"/>
    <w:rsid w:val="00107F1D"/>
    <w:rsid w:val="00112653"/>
    <w:rsid w:val="00161599"/>
    <w:rsid w:val="0019160D"/>
    <w:rsid w:val="00212159"/>
    <w:rsid w:val="002203D3"/>
    <w:rsid w:val="002432A7"/>
    <w:rsid w:val="002778D8"/>
    <w:rsid w:val="00290DA8"/>
    <w:rsid w:val="002B7D95"/>
    <w:rsid w:val="002D6AFC"/>
    <w:rsid w:val="002F0DE2"/>
    <w:rsid w:val="0030486D"/>
    <w:rsid w:val="00323B61"/>
    <w:rsid w:val="003619FA"/>
    <w:rsid w:val="00393E71"/>
    <w:rsid w:val="003B1A02"/>
    <w:rsid w:val="003C6CE9"/>
    <w:rsid w:val="00424C6E"/>
    <w:rsid w:val="00452E4A"/>
    <w:rsid w:val="004B7461"/>
    <w:rsid w:val="004C640A"/>
    <w:rsid w:val="004D3FC2"/>
    <w:rsid w:val="004F50C6"/>
    <w:rsid w:val="00505381"/>
    <w:rsid w:val="00544386"/>
    <w:rsid w:val="0056424C"/>
    <w:rsid w:val="0057112D"/>
    <w:rsid w:val="00571F6F"/>
    <w:rsid w:val="00577293"/>
    <w:rsid w:val="0058220B"/>
    <w:rsid w:val="00585C83"/>
    <w:rsid w:val="00590474"/>
    <w:rsid w:val="00592CC9"/>
    <w:rsid w:val="005A5BF2"/>
    <w:rsid w:val="006132A1"/>
    <w:rsid w:val="00624B4A"/>
    <w:rsid w:val="006661A4"/>
    <w:rsid w:val="006A7884"/>
    <w:rsid w:val="006B38F9"/>
    <w:rsid w:val="006E1CA5"/>
    <w:rsid w:val="006E2329"/>
    <w:rsid w:val="006F6255"/>
    <w:rsid w:val="00701535"/>
    <w:rsid w:val="0070579B"/>
    <w:rsid w:val="00715743"/>
    <w:rsid w:val="007173A8"/>
    <w:rsid w:val="00761FB3"/>
    <w:rsid w:val="0076589A"/>
    <w:rsid w:val="00786B2F"/>
    <w:rsid w:val="007925F1"/>
    <w:rsid w:val="0079344F"/>
    <w:rsid w:val="007A1610"/>
    <w:rsid w:val="007C0101"/>
    <w:rsid w:val="007D373D"/>
    <w:rsid w:val="00835942"/>
    <w:rsid w:val="00847C4B"/>
    <w:rsid w:val="00861920"/>
    <w:rsid w:val="008643C3"/>
    <w:rsid w:val="00873CD5"/>
    <w:rsid w:val="008804D9"/>
    <w:rsid w:val="008838C5"/>
    <w:rsid w:val="00883BA1"/>
    <w:rsid w:val="0089055A"/>
    <w:rsid w:val="00896DE4"/>
    <w:rsid w:val="008A4595"/>
    <w:rsid w:val="008B77EC"/>
    <w:rsid w:val="008C34AF"/>
    <w:rsid w:val="008D27CA"/>
    <w:rsid w:val="00907606"/>
    <w:rsid w:val="00922F9C"/>
    <w:rsid w:val="0095741D"/>
    <w:rsid w:val="00964200"/>
    <w:rsid w:val="0096751F"/>
    <w:rsid w:val="00967FB8"/>
    <w:rsid w:val="00971513"/>
    <w:rsid w:val="0099392B"/>
    <w:rsid w:val="009950F5"/>
    <w:rsid w:val="00996316"/>
    <w:rsid w:val="009F0D7E"/>
    <w:rsid w:val="009F4F97"/>
    <w:rsid w:val="00A03E70"/>
    <w:rsid w:val="00A14283"/>
    <w:rsid w:val="00A16266"/>
    <w:rsid w:val="00A32DBE"/>
    <w:rsid w:val="00A3438E"/>
    <w:rsid w:val="00A36EAB"/>
    <w:rsid w:val="00A42722"/>
    <w:rsid w:val="00A43C93"/>
    <w:rsid w:val="00AA5ECB"/>
    <w:rsid w:val="00AF257E"/>
    <w:rsid w:val="00B057C0"/>
    <w:rsid w:val="00B16355"/>
    <w:rsid w:val="00B22816"/>
    <w:rsid w:val="00B2798A"/>
    <w:rsid w:val="00B4476C"/>
    <w:rsid w:val="00B46191"/>
    <w:rsid w:val="00B61218"/>
    <w:rsid w:val="00B86149"/>
    <w:rsid w:val="00B91AFD"/>
    <w:rsid w:val="00BA1A77"/>
    <w:rsid w:val="00BA3600"/>
    <w:rsid w:val="00BD25C9"/>
    <w:rsid w:val="00BD4473"/>
    <w:rsid w:val="00BE3516"/>
    <w:rsid w:val="00BE5282"/>
    <w:rsid w:val="00BF428E"/>
    <w:rsid w:val="00BF6CDF"/>
    <w:rsid w:val="00C113FC"/>
    <w:rsid w:val="00C26472"/>
    <w:rsid w:val="00C51E40"/>
    <w:rsid w:val="00C56BFB"/>
    <w:rsid w:val="00C577B3"/>
    <w:rsid w:val="00C621D4"/>
    <w:rsid w:val="00C746BE"/>
    <w:rsid w:val="00C85C1B"/>
    <w:rsid w:val="00C93108"/>
    <w:rsid w:val="00CA6FED"/>
    <w:rsid w:val="00CD05D4"/>
    <w:rsid w:val="00CE37E8"/>
    <w:rsid w:val="00CE5F3B"/>
    <w:rsid w:val="00CE6186"/>
    <w:rsid w:val="00CF1A19"/>
    <w:rsid w:val="00CF24AC"/>
    <w:rsid w:val="00D01418"/>
    <w:rsid w:val="00D04066"/>
    <w:rsid w:val="00D32923"/>
    <w:rsid w:val="00D50FC8"/>
    <w:rsid w:val="00D80399"/>
    <w:rsid w:val="00D809A3"/>
    <w:rsid w:val="00D902CF"/>
    <w:rsid w:val="00D94E37"/>
    <w:rsid w:val="00DC1210"/>
    <w:rsid w:val="00DC440E"/>
    <w:rsid w:val="00DD67D3"/>
    <w:rsid w:val="00E012C8"/>
    <w:rsid w:val="00E157E5"/>
    <w:rsid w:val="00E50C21"/>
    <w:rsid w:val="00E62075"/>
    <w:rsid w:val="00E7161E"/>
    <w:rsid w:val="00E7452B"/>
    <w:rsid w:val="00E90476"/>
    <w:rsid w:val="00EB0809"/>
    <w:rsid w:val="00EE242A"/>
    <w:rsid w:val="00F06195"/>
    <w:rsid w:val="00F2401B"/>
    <w:rsid w:val="00F373F3"/>
    <w:rsid w:val="00F556D9"/>
    <w:rsid w:val="00FC281C"/>
    <w:rsid w:val="00FF0974"/>
    <w:rsid w:val="01067184"/>
    <w:rsid w:val="01283F97"/>
    <w:rsid w:val="02034156"/>
    <w:rsid w:val="035D2B78"/>
    <w:rsid w:val="03696E5B"/>
    <w:rsid w:val="03EA6B8D"/>
    <w:rsid w:val="04AF3D28"/>
    <w:rsid w:val="06414C48"/>
    <w:rsid w:val="06FD2E81"/>
    <w:rsid w:val="078C4B32"/>
    <w:rsid w:val="0C293B57"/>
    <w:rsid w:val="0E4627D6"/>
    <w:rsid w:val="0FF01CE2"/>
    <w:rsid w:val="11DB31C3"/>
    <w:rsid w:val="125A4F9B"/>
    <w:rsid w:val="166710AD"/>
    <w:rsid w:val="171D0934"/>
    <w:rsid w:val="1750305B"/>
    <w:rsid w:val="17BE3596"/>
    <w:rsid w:val="17CC3694"/>
    <w:rsid w:val="18BF59B2"/>
    <w:rsid w:val="1C3B00DC"/>
    <w:rsid w:val="1EC02023"/>
    <w:rsid w:val="201A69CD"/>
    <w:rsid w:val="20A91A11"/>
    <w:rsid w:val="21C84299"/>
    <w:rsid w:val="22904BBD"/>
    <w:rsid w:val="238A2596"/>
    <w:rsid w:val="24A86E33"/>
    <w:rsid w:val="251E1B7F"/>
    <w:rsid w:val="259B6FBE"/>
    <w:rsid w:val="28044EC3"/>
    <w:rsid w:val="293C7576"/>
    <w:rsid w:val="2A4C74AD"/>
    <w:rsid w:val="2D3E0262"/>
    <w:rsid w:val="3078340E"/>
    <w:rsid w:val="377E1867"/>
    <w:rsid w:val="3C032EFE"/>
    <w:rsid w:val="3C431296"/>
    <w:rsid w:val="3D997D89"/>
    <w:rsid w:val="40DE7A76"/>
    <w:rsid w:val="41E57898"/>
    <w:rsid w:val="43BE5DA5"/>
    <w:rsid w:val="48D80B0B"/>
    <w:rsid w:val="4955784C"/>
    <w:rsid w:val="4E08718E"/>
    <w:rsid w:val="500F600B"/>
    <w:rsid w:val="52D72F1B"/>
    <w:rsid w:val="55BA08E6"/>
    <w:rsid w:val="56354618"/>
    <w:rsid w:val="56770825"/>
    <w:rsid w:val="58CA2C35"/>
    <w:rsid w:val="5A0A5B88"/>
    <w:rsid w:val="5A2A1A16"/>
    <w:rsid w:val="5AAB5CAE"/>
    <w:rsid w:val="5F001B36"/>
    <w:rsid w:val="5F0D4001"/>
    <w:rsid w:val="610B5ACF"/>
    <w:rsid w:val="615D0E52"/>
    <w:rsid w:val="622C3B53"/>
    <w:rsid w:val="625C4B72"/>
    <w:rsid w:val="647C4CF5"/>
    <w:rsid w:val="64B557C6"/>
    <w:rsid w:val="653806B8"/>
    <w:rsid w:val="67C12074"/>
    <w:rsid w:val="67CD23C4"/>
    <w:rsid w:val="68AC3246"/>
    <w:rsid w:val="69EE13C7"/>
    <w:rsid w:val="6A9579E6"/>
    <w:rsid w:val="6AE33BBB"/>
    <w:rsid w:val="6C5D38C7"/>
    <w:rsid w:val="6E0A6B18"/>
    <w:rsid w:val="6E401570"/>
    <w:rsid w:val="71D96AFD"/>
    <w:rsid w:val="72536B1A"/>
    <w:rsid w:val="73942F17"/>
    <w:rsid w:val="73ED7448"/>
    <w:rsid w:val="73FF04CC"/>
    <w:rsid w:val="775DCE8C"/>
    <w:rsid w:val="77E77440"/>
    <w:rsid w:val="7BE16A25"/>
    <w:rsid w:val="7BF6A3E2"/>
    <w:rsid w:val="7BFF4D51"/>
    <w:rsid w:val="7D6F7921"/>
    <w:rsid w:val="7D754DCD"/>
    <w:rsid w:val="7E705781"/>
    <w:rsid w:val="DF4FEC23"/>
    <w:rsid w:val="FB737E87"/>
    <w:rsid w:val="FDBE67B1"/>
    <w:rsid w:val="FED44BBC"/>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nhideWhenUsed="0" w:uiPriority="0"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6"/>
    <w:basedOn w:val="1"/>
    <w:next w:val="1"/>
    <w:qFormat/>
    <w:uiPriority w:val="0"/>
    <w:pPr>
      <w:keepNext/>
      <w:keepLines/>
      <w:spacing w:before="240" w:after="64" w:line="320" w:lineRule="auto"/>
      <w:outlineLvl w:val="5"/>
    </w:pPr>
    <w:rPr>
      <w:rFonts w:ascii="Cambria" w:hAnsi="Cambria" w:eastAsiaTheme="minorEastAsia" w:cstheme="minorBidi"/>
      <w:b/>
      <w:bCs/>
      <w:sz w:val="24"/>
      <w:szCs w:val="24"/>
      <w14:ligatures w14:val="standardContextual"/>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1"/>
    <w:semiHidden/>
    <w:unhideWhenUsed/>
    <w:qFormat/>
    <w:uiPriority w:val="99"/>
    <w:rPr>
      <w:sz w:val="18"/>
      <w:szCs w:val="18"/>
    </w:rPr>
  </w:style>
  <w:style w:type="paragraph" w:styleId="4">
    <w:name w:val="footer"/>
    <w:basedOn w:val="1"/>
    <w:link w:val="12"/>
    <w:semiHidden/>
    <w:unhideWhenUsed/>
    <w:qFormat/>
    <w:uiPriority w:val="99"/>
    <w:pPr>
      <w:tabs>
        <w:tab w:val="center" w:pos="4153"/>
        <w:tab w:val="right" w:pos="8306"/>
      </w:tabs>
      <w:snapToGrid w:val="0"/>
      <w:jc w:val="left"/>
    </w:pPr>
    <w:rPr>
      <w:kern w:val="0"/>
      <w:sz w:val="18"/>
      <w:szCs w:val="18"/>
    </w:rPr>
  </w:style>
  <w:style w:type="paragraph" w:styleId="5">
    <w:name w:val="header"/>
    <w:basedOn w:val="1"/>
    <w:link w:val="10"/>
    <w:semiHidden/>
    <w:unhideWhenUsed/>
    <w:qFormat/>
    <w:uiPriority w:val="99"/>
    <w:pPr>
      <w:pBdr>
        <w:bottom w:val="single" w:color="auto" w:sz="6" w:space="1"/>
      </w:pBdr>
      <w:tabs>
        <w:tab w:val="center" w:pos="4153"/>
        <w:tab w:val="right" w:pos="8306"/>
      </w:tabs>
      <w:snapToGrid w:val="0"/>
      <w:jc w:val="center"/>
    </w:pPr>
    <w:rPr>
      <w:kern w:val="0"/>
      <w:sz w:val="18"/>
      <w:szCs w:val="18"/>
    </w:rPr>
  </w:style>
  <w:style w:type="table" w:styleId="7">
    <w:name w:val="Table Grid"/>
    <w:basedOn w:val="6"/>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9">
    <w:name w:val="page number"/>
    <w:basedOn w:val="8"/>
    <w:semiHidden/>
    <w:unhideWhenUsed/>
    <w:qFormat/>
    <w:uiPriority w:val="99"/>
  </w:style>
  <w:style w:type="character" w:customStyle="1" w:styleId="10">
    <w:name w:val="页眉 Char"/>
    <w:link w:val="5"/>
    <w:semiHidden/>
    <w:qFormat/>
    <w:uiPriority w:val="99"/>
    <w:rPr>
      <w:sz w:val="18"/>
      <w:szCs w:val="18"/>
    </w:rPr>
  </w:style>
  <w:style w:type="character" w:customStyle="1" w:styleId="11">
    <w:name w:val="批注框文本 Char"/>
    <w:basedOn w:val="8"/>
    <w:link w:val="3"/>
    <w:semiHidden/>
    <w:qFormat/>
    <w:uiPriority w:val="99"/>
    <w:rPr>
      <w:kern w:val="2"/>
      <w:sz w:val="18"/>
      <w:szCs w:val="18"/>
    </w:rPr>
  </w:style>
  <w:style w:type="character" w:customStyle="1" w:styleId="12">
    <w:name w:val="页脚 Char"/>
    <w:link w:val="4"/>
    <w:semiHidden/>
    <w:qFormat/>
    <w:uiPriority w:val="99"/>
    <w:rPr>
      <w:sz w:val="18"/>
      <w:szCs w:val="18"/>
    </w:rPr>
  </w:style>
  <w:style w:type="paragraph" w:customStyle="1" w:styleId="13">
    <w:name w:val="[1]正文"/>
    <w:qFormat/>
    <w:uiPriority w:val="0"/>
    <w:pPr>
      <w:widowControl w:val="0"/>
      <w:autoSpaceDE w:val="0"/>
      <w:autoSpaceDN w:val="0"/>
      <w:ind w:firstLine="200" w:firstLineChars="200"/>
      <w:jc w:val="both"/>
    </w:pPr>
    <w:rPr>
      <w:rFonts w:ascii="Times New Roman" w:hAnsi="Times New Roman" w:eastAsia="宋体" w:cs="Times New Roman"/>
      <w:color w:val="000000"/>
      <w:kern w:val="0"/>
      <w:sz w:val="21"/>
      <w:szCs w:val="24"/>
      <w:lang w:val="zh-CN"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Foundertech</Company>
  <Pages>4</Pages>
  <Words>29</Words>
  <Characters>29</Characters>
  <Lines>1</Lines>
  <Paragraphs>1</Paragraphs>
  <TotalTime>0</TotalTime>
  <ScaleCrop>false</ScaleCrop>
  <LinksUpToDate>false</LinksUpToDate>
  <CharactersWithSpaces>88</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2021-10-25T13:08:00Z</dcterms:created>
  <dc:creator>袁迎辉</dc:creator>
  <cp:lastModifiedBy>hjt</cp:lastModifiedBy>
  <cp:lastPrinted>2018-11-14T09:34:00Z</cp:lastPrinted>
  <dcterms:modified xsi:type="dcterms:W3CDTF">2026-10-23T15:07:39Z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ICV">
    <vt:lpwstr>3A3E9ACF1B5C4802B330381ABAEA2165</vt:lpwstr>
  </property>
  <property fmtid="{D5CDD505-2E9C-101B-9397-08002B2CF9AE}" pid="4" name="KSOTemplateDocerSaveRecord">
    <vt:lpwstr>eyJoZGlkIjoiMWQzZjA1MWE4MThhZTZlNDA4ZWM2ZWMxYTg5ZTQ0N2MiLCJ1c2VySWQiOiIxNjQ3NzE5Mzk5In0=</vt:lpwstr>
  </property>
</Properties>
</file>