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CF7" w:rsidRDefault="00E30CF7" w:rsidP="00E30CF7">
      <w:pPr>
        <w:pStyle w:val="10"/>
        <w:shd w:val="clear" w:color="auto" w:fill="FFFFFF"/>
        <w:spacing w:before="0" w:beforeAutospacing="0" w:afterLines="50" w:after="156" w:afterAutospacing="0"/>
        <w:rPr>
          <w:rFonts w:ascii="黑体" w:eastAsia="黑体" w:hAnsi="黑体"/>
          <w:sz w:val="32"/>
          <w:szCs w:val="32"/>
          <w:shd w:val="clear" w:color="auto" w:fill="FFFFFF"/>
        </w:rPr>
      </w:pPr>
      <w:r>
        <w:rPr>
          <w:rFonts w:ascii="黑体" w:eastAsia="黑体" w:hAnsi="黑体" w:hint="eastAsia"/>
          <w:sz w:val="32"/>
          <w:szCs w:val="32"/>
          <w:shd w:val="clear" w:color="auto" w:fill="FFFFFF"/>
        </w:rPr>
        <w:t>附件</w:t>
      </w:r>
    </w:p>
    <w:p w:rsidR="00E30CF7" w:rsidRDefault="00E30CF7" w:rsidP="00E30CF7">
      <w:pPr>
        <w:pStyle w:val="10"/>
        <w:shd w:val="clear" w:color="auto" w:fill="FFFFFF"/>
        <w:spacing w:before="0" w:beforeAutospacing="0" w:afterLines="50" w:after="156" w:afterAutospacing="0" w:line="600" w:lineRule="exact"/>
        <w:jc w:val="center"/>
        <w:rPr>
          <w:rFonts w:ascii="方正小标宋简体" w:eastAsia="方正小标宋简体"/>
          <w:sz w:val="44"/>
          <w:szCs w:val="44"/>
          <w:shd w:val="clear" w:color="auto" w:fill="FFFFFF"/>
        </w:rPr>
      </w:pPr>
      <w:bookmarkStart w:id="0" w:name="_GoBack"/>
      <w:r>
        <w:rPr>
          <w:rFonts w:ascii="方正小标宋简体" w:eastAsia="方正小标宋简体" w:hint="eastAsia"/>
          <w:sz w:val="44"/>
          <w:szCs w:val="44"/>
          <w:shd w:val="clear" w:color="auto" w:fill="FFFFFF"/>
        </w:rPr>
        <w:t>内蒙古自治区工业炉窑大气污染</w:t>
      </w:r>
    </w:p>
    <w:p w:rsidR="00E30CF7" w:rsidRDefault="00E30CF7" w:rsidP="00E30CF7">
      <w:pPr>
        <w:pStyle w:val="10"/>
        <w:shd w:val="clear" w:color="auto" w:fill="FFFFFF"/>
        <w:spacing w:before="0" w:beforeAutospacing="0" w:afterLines="50" w:after="156" w:afterAutospacing="0" w:line="600" w:lineRule="exact"/>
        <w:jc w:val="center"/>
        <w:rPr>
          <w:rFonts w:ascii="方正小标宋简体" w:eastAsia="方正小标宋简体"/>
          <w:sz w:val="44"/>
          <w:szCs w:val="44"/>
          <w:shd w:val="clear" w:color="auto" w:fill="FFFFFF"/>
        </w:rPr>
      </w:pPr>
      <w:r>
        <w:rPr>
          <w:rFonts w:ascii="方正小标宋简体" w:eastAsia="方正小标宋简体" w:hint="eastAsia"/>
          <w:sz w:val="44"/>
          <w:szCs w:val="44"/>
          <w:shd w:val="clear" w:color="auto" w:fill="FFFFFF"/>
        </w:rPr>
        <w:t>综合治理实施方案</w:t>
      </w:r>
    </w:p>
    <w:bookmarkEnd w:id="0"/>
    <w:p w:rsidR="00E30CF7" w:rsidRDefault="00E30CF7" w:rsidP="00E30CF7">
      <w:pPr>
        <w:pStyle w:val="10"/>
        <w:shd w:val="clear" w:color="auto" w:fill="FFFFFF"/>
        <w:spacing w:before="0" w:beforeAutospacing="0" w:after="0" w:afterAutospacing="0"/>
        <w:jc w:val="center"/>
        <w:rPr>
          <w:rFonts w:ascii="楷体_GB2312" w:eastAsia="楷体_GB2312"/>
          <w:b/>
          <w:sz w:val="32"/>
          <w:szCs w:val="32"/>
          <w:shd w:val="clear" w:color="auto" w:fill="FFFFFF"/>
        </w:rPr>
      </w:pPr>
    </w:p>
    <w:p w:rsidR="00E30CF7" w:rsidRDefault="00E30CF7" w:rsidP="00E30CF7">
      <w:pPr>
        <w:pStyle w:val="10"/>
        <w:shd w:val="clear" w:color="auto" w:fill="FFFFFF"/>
        <w:spacing w:before="0" w:beforeAutospacing="0" w:after="0" w:afterAutospacing="0" w:line="600" w:lineRule="exact"/>
        <w:ind w:firstLineChars="200" w:firstLine="640"/>
        <w:jc w:val="both"/>
        <w:rPr>
          <w:rFonts w:ascii="仿宋_GB2312" w:eastAsia="仿宋_GB2312" w:hAnsi="微软雅黑"/>
          <w:sz w:val="32"/>
          <w:szCs w:val="32"/>
          <w:shd w:val="clear" w:color="auto" w:fill="FFFFFF"/>
        </w:rPr>
      </w:pPr>
      <w:r>
        <w:rPr>
          <w:rFonts w:ascii="仿宋_GB2312" w:eastAsia="仿宋_GB2312" w:hAnsi="微软雅黑" w:hint="eastAsia"/>
          <w:sz w:val="32"/>
          <w:szCs w:val="32"/>
          <w:shd w:val="clear" w:color="auto" w:fill="FFFFFF"/>
        </w:rPr>
        <w:t>为贯彻落实国务院《打赢蓝天保卫战三年行动计划》</w:t>
      </w:r>
      <w:r>
        <w:rPr>
          <w:rFonts w:ascii="仿宋_GB2312" w:eastAsia="仿宋_GB2312" w:hAnsi="Times New Roman" w:hint="eastAsia"/>
          <w:sz w:val="32"/>
          <w:szCs w:val="32"/>
        </w:rPr>
        <w:t>（</w:t>
      </w:r>
      <w:r>
        <w:rPr>
          <w:rFonts w:ascii="仿宋_GB2312" w:eastAsia="仿宋_GB2312" w:hAnsi="Times New Roman" w:cs="Times New Roman" w:hint="eastAsia"/>
          <w:kern w:val="2"/>
          <w:sz w:val="32"/>
          <w:szCs w:val="32"/>
        </w:rPr>
        <w:t>国发〔2018〕22号</w:t>
      </w:r>
      <w:r>
        <w:rPr>
          <w:rFonts w:ascii="仿宋_GB2312" w:eastAsia="仿宋_GB2312" w:hAnsi="Times New Roman" w:hint="eastAsia"/>
          <w:sz w:val="32"/>
          <w:szCs w:val="32"/>
        </w:rPr>
        <w:t>）</w:t>
      </w:r>
      <w:r>
        <w:rPr>
          <w:rFonts w:ascii="仿宋_GB2312" w:eastAsia="仿宋_GB2312" w:hAnsi="微软雅黑" w:hint="eastAsia"/>
          <w:sz w:val="32"/>
          <w:szCs w:val="32"/>
          <w:shd w:val="clear" w:color="auto" w:fill="FFFFFF"/>
        </w:rPr>
        <w:t>和《内蒙古自治区打赢蓝天保卫战三年行动计划实施方案》（内政发</w:t>
      </w:r>
      <w:r>
        <w:rPr>
          <w:rFonts w:ascii="仿宋_GB2312" w:eastAsia="仿宋_GB2312" w:hAnsi="Times New Roman" w:cs="Times New Roman" w:hint="eastAsia"/>
          <w:kern w:val="2"/>
          <w:sz w:val="32"/>
          <w:szCs w:val="32"/>
        </w:rPr>
        <w:t>〔</w:t>
      </w:r>
      <w:r>
        <w:rPr>
          <w:rFonts w:ascii="仿宋_GB2312" w:eastAsia="仿宋_GB2312" w:hAnsi="微软雅黑" w:hint="eastAsia"/>
          <w:sz w:val="32"/>
          <w:szCs w:val="32"/>
          <w:shd w:val="clear" w:color="auto" w:fill="FFFFFF"/>
        </w:rPr>
        <w:t>2018</w:t>
      </w:r>
      <w:r>
        <w:rPr>
          <w:rFonts w:ascii="仿宋_GB2312" w:eastAsia="仿宋_GB2312" w:hAnsi="Times New Roman" w:cs="Times New Roman" w:hint="eastAsia"/>
          <w:kern w:val="2"/>
          <w:sz w:val="32"/>
          <w:szCs w:val="32"/>
        </w:rPr>
        <w:t>〕</w:t>
      </w:r>
      <w:r>
        <w:rPr>
          <w:rFonts w:ascii="仿宋_GB2312" w:eastAsia="仿宋_GB2312" w:hAnsi="微软雅黑" w:hint="eastAsia"/>
          <w:sz w:val="32"/>
          <w:szCs w:val="32"/>
          <w:shd w:val="clear" w:color="auto" w:fill="FFFFFF"/>
        </w:rPr>
        <w:t>37号）总体要求，深入开展</w:t>
      </w:r>
      <w:r>
        <w:rPr>
          <w:rFonts w:ascii="仿宋_GB2312" w:eastAsia="仿宋_GB2312" w:hAnsi="Times New Roman" w:hint="eastAsia"/>
          <w:sz w:val="32"/>
          <w:szCs w:val="32"/>
        </w:rPr>
        <w:t>我区2019-2020年</w:t>
      </w:r>
      <w:r>
        <w:rPr>
          <w:rFonts w:ascii="仿宋_GB2312" w:eastAsia="仿宋_GB2312" w:hAnsi="微软雅黑" w:hint="eastAsia"/>
          <w:sz w:val="32"/>
          <w:szCs w:val="32"/>
          <w:shd w:val="clear" w:color="auto" w:fill="FFFFFF"/>
        </w:rPr>
        <w:t>工业炉窑专项治理</w:t>
      </w:r>
      <w:r>
        <w:rPr>
          <w:rFonts w:ascii="仿宋_GB2312" w:eastAsia="仿宋_GB2312" w:hAnsi="Times New Roman" w:hint="eastAsia"/>
          <w:sz w:val="32"/>
          <w:szCs w:val="32"/>
        </w:rPr>
        <w:t>，</w:t>
      </w:r>
      <w:r>
        <w:rPr>
          <w:rFonts w:ascii="仿宋_GB2312" w:eastAsia="仿宋_GB2312" w:hAnsi="微软雅黑" w:hint="eastAsia"/>
          <w:sz w:val="32"/>
          <w:szCs w:val="32"/>
          <w:shd w:val="clear" w:color="auto" w:fill="FFFFFF"/>
        </w:rPr>
        <w:t>根据生态环境部等四部委印发的《工业炉窑大气污染综合治理方案》（环大气</w:t>
      </w:r>
      <w:r>
        <w:rPr>
          <w:rFonts w:ascii="仿宋_GB2312" w:eastAsia="仿宋_GB2312" w:hAnsi="Times New Roman" w:cs="Times New Roman" w:hint="eastAsia"/>
          <w:kern w:val="2"/>
          <w:sz w:val="32"/>
          <w:szCs w:val="32"/>
        </w:rPr>
        <w:t>〔</w:t>
      </w:r>
      <w:r>
        <w:rPr>
          <w:rFonts w:ascii="仿宋_GB2312" w:eastAsia="仿宋_GB2312" w:hAnsi="微软雅黑" w:hint="eastAsia"/>
          <w:sz w:val="32"/>
          <w:szCs w:val="32"/>
          <w:shd w:val="clear" w:color="auto" w:fill="FFFFFF"/>
        </w:rPr>
        <w:t>2019</w:t>
      </w:r>
      <w:r>
        <w:rPr>
          <w:rFonts w:ascii="仿宋_GB2312" w:eastAsia="仿宋_GB2312" w:hAnsi="Times New Roman" w:cs="Times New Roman" w:hint="eastAsia"/>
          <w:kern w:val="2"/>
          <w:sz w:val="32"/>
          <w:szCs w:val="32"/>
        </w:rPr>
        <w:t>〕</w:t>
      </w:r>
      <w:r>
        <w:rPr>
          <w:rFonts w:ascii="仿宋_GB2312" w:eastAsia="仿宋_GB2312" w:hAnsi="微软雅黑" w:hint="eastAsia"/>
          <w:sz w:val="32"/>
          <w:szCs w:val="32"/>
          <w:shd w:val="clear" w:color="auto" w:fill="FFFFFF"/>
        </w:rPr>
        <w:t>56号），</w:t>
      </w:r>
      <w:r>
        <w:rPr>
          <w:rFonts w:ascii="仿宋_GB2312" w:eastAsia="仿宋_GB2312" w:hAnsi="Times New Roman" w:hint="eastAsia"/>
          <w:sz w:val="32"/>
          <w:szCs w:val="32"/>
        </w:rPr>
        <w:t>促进我区工业炉窑升级淘汰和燃料清洁替代</w:t>
      </w:r>
      <w:r>
        <w:rPr>
          <w:rFonts w:ascii="仿宋_GB2312" w:eastAsia="仿宋_GB2312" w:hAnsi="微软雅黑" w:hint="eastAsia"/>
          <w:sz w:val="32"/>
          <w:szCs w:val="32"/>
          <w:shd w:val="clear" w:color="auto" w:fill="FFFFFF"/>
        </w:rPr>
        <w:t>，推进全面达标排放，制定本方案。本方案是《内蒙古自治区打赢蓝天保卫战三年行动计划实施方案》的子方案，各盟行政公署、市人民政府负责组织实施。</w:t>
      </w:r>
    </w:p>
    <w:p w:rsidR="00E30CF7" w:rsidRDefault="00E30CF7" w:rsidP="00E30CF7">
      <w:pPr>
        <w:pStyle w:val="10"/>
        <w:shd w:val="clear" w:color="auto" w:fill="FFFFFF"/>
        <w:spacing w:before="0" w:beforeAutospacing="0" w:after="0" w:afterAutospacing="0" w:line="600" w:lineRule="exact"/>
        <w:ind w:firstLineChars="196" w:firstLine="630"/>
        <w:rPr>
          <w:rFonts w:ascii="仿宋_GB2312" w:eastAsia="仿宋_GB2312" w:hAnsi="微软雅黑"/>
          <w:sz w:val="32"/>
          <w:szCs w:val="32"/>
        </w:rPr>
      </w:pPr>
      <w:r>
        <w:rPr>
          <w:rStyle w:val="ad"/>
          <w:rFonts w:ascii="黑体" w:eastAsia="黑体" w:hAnsi="黑体" w:hint="eastAsia"/>
          <w:sz w:val="32"/>
          <w:szCs w:val="32"/>
        </w:rPr>
        <w:t>一、总体要求</w:t>
      </w:r>
    </w:p>
    <w:p w:rsidR="00E30CF7" w:rsidRDefault="00E30CF7" w:rsidP="00E30CF7">
      <w:pPr>
        <w:pStyle w:val="10"/>
        <w:shd w:val="clear" w:color="auto" w:fill="FFFFFF"/>
        <w:spacing w:before="0" w:beforeAutospacing="0" w:after="0" w:afterAutospacing="0" w:line="60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深入贯彻习近平生态文明思想，按照一鼓作气打赢蓝天保卫战的总要求，全面摸底全区工业炉窑的分布状况与排放特征，建立工业炉窑详细管理清单，实现监管全覆盖。作为方案实施的责任主体，</w:t>
      </w:r>
      <w:r>
        <w:rPr>
          <w:rFonts w:ascii="仿宋_GB2312" w:eastAsia="仿宋_GB2312" w:hAnsi="微软雅黑" w:hint="eastAsia"/>
          <w:sz w:val="32"/>
          <w:szCs w:val="32"/>
          <w:shd w:val="clear" w:color="auto" w:fill="FFFFFF"/>
        </w:rPr>
        <w:t>各盟市人民</w:t>
      </w:r>
      <w:r>
        <w:rPr>
          <w:rFonts w:ascii="仿宋_GB2312" w:eastAsia="仿宋_GB2312" w:hAnsi="Times New Roman" w:cs="Times New Roman" w:hint="eastAsia"/>
          <w:kern w:val="2"/>
          <w:sz w:val="32"/>
          <w:szCs w:val="32"/>
        </w:rPr>
        <w:t>政府要认真组织开展现有工业炉窑排查整治，按照“淘汰一批、替代一批、治理一批”的原则，确保辖区内工业炉窑综合治理全面完成。严格落实企业治理的主体责任，强化各部门联动执法，建立工业炉窑综合治理长效机制。2020年，全区工业炉窑全面实现污染物</w:t>
      </w:r>
      <w:r>
        <w:rPr>
          <w:rFonts w:ascii="仿宋_GB2312" w:eastAsia="仿宋_GB2312" w:hAnsi="Times New Roman" w:cs="Times New Roman" w:hint="eastAsia"/>
          <w:kern w:val="2"/>
          <w:sz w:val="32"/>
          <w:szCs w:val="32"/>
        </w:rPr>
        <w:lastRenderedPageBreak/>
        <w:t>达标排放，基本建成工业炉窑大气污染综合治理管理体系，重点区域有效控制钢铁、建材等重点行业二氧化碳排放总量，持续推动产业高质量发展。</w:t>
      </w:r>
    </w:p>
    <w:p w:rsidR="00E30CF7" w:rsidRDefault="00E30CF7" w:rsidP="00E30CF7">
      <w:pPr>
        <w:pStyle w:val="10"/>
        <w:shd w:val="clear" w:color="auto" w:fill="FFFFFF"/>
        <w:spacing w:before="0" w:beforeAutospacing="0" w:after="0" w:afterAutospacing="0" w:line="600" w:lineRule="exact"/>
        <w:ind w:firstLineChars="196" w:firstLine="630"/>
        <w:rPr>
          <w:rStyle w:val="ad"/>
          <w:rFonts w:ascii="仿宋_GB2312" w:eastAsia="仿宋_GB2312" w:hAnsi="黑体"/>
          <w:b w:val="0"/>
          <w:sz w:val="32"/>
          <w:szCs w:val="32"/>
        </w:rPr>
      </w:pPr>
      <w:r>
        <w:rPr>
          <w:rStyle w:val="ad"/>
          <w:rFonts w:ascii="仿宋_GB2312" w:eastAsia="仿宋_GB2312" w:hAnsi="黑体" w:hint="eastAsia"/>
          <w:sz w:val="32"/>
          <w:szCs w:val="32"/>
        </w:rPr>
        <w:t>二、工作范围</w:t>
      </w:r>
    </w:p>
    <w:p w:rsidR="00E30CF7" w:rsidRDefault="00E30CF7" w:rsidP="00E30CF7">
      <w:pPr>
        <w:pStyle w:val="10"/>
        <w:shd w:val="clear" w:color="auto" w:fill="FFFFFF"/>
        <w:spacing w:before="0" w:beforeAutospacing="0" w:after="0" w:afterAutospacing="0" w:line="600" w:lineRule="exact"/>
        <w:ind w:firstLineChars="196" w:firstLine="627"/>
        <w:jc w:val="both"/>
        <w:rPr>
          <w:rFonts w:ascii="仿宋_GB2312" w:eastAsia="仿宋_GB2312" w:hAnsi="微软雅黑"/>
          <w:sz w:val="32"/>
          <w:szCs w:val="32"/>
          <w:shd w:val="clear" w:color="auto" w:fill="FFFFFF"/>
        </w:rPr>
      </w:pPr>
      <w:r>
        <w:rPr>
          <w:rFonts w:ascii="仿宋_GB2312" w:eastAsia="仿宋_GB2312" w:hAnsi="微软雅黑" w:hint="eastAsia"/>
          <w:sz w:val="32"/>
          <w:szCs w:val="32"/>
        </w:rPr>
        <w:t>我区工业炉窑的类型包括钢铁、焦化、有色、建材、石化、化工、机械制造等重点行业的各类熔炼炉、熔化炉、焙（煅）烧炉（窑）、加热炉、热处理炉、干燥炉（窑）、焦炉、煤气发生炉等八类（见附表1）。</w:t>
      </w:r>
      <w:r>
        <w:rPr>
          <w:rFonts w:ascii="仿宋_GB2312" w:eastAsia="仿宋_GB2312" w:hAnsi="仿宋" w:hint="eastAsia"/>
          <w:sz w:val="32"/>
          <w:szCs w:val="32"/>
        </w:rPr>
        <w:t>全区</w:t>
      </w:r>
      <w:r>
        <w:rPr>
          <w:rFonts w:ascii="仿宋_GB2312" w:eastAsia="仿宋_GB2312" w:hAnsi="Times New Roman" w:hint="eastAsia"/>
          <w:sz w:val="32"/>
          <w:szCs w:val="32"/>
        </w:rPr>
        <w:t>工业炉窑综合</w:t>
      </w:r>
      <w:r>
        <w:rPr>
          <w:rFonts w:ascii="仿宋_GB2312" w:eastAsia="仿宋_GB2312" w:hAnsi="微软雅黑" w:hint="eastAsia"/>
          <w:sz w:val="32"/>
          <w:szCs w:val="32"/>
          <w:shd w:val="clear" w:color="auto" w:fill="FFFFFF"/>
        </w:rPr>
        <w:t>治理</w:t>
      </w:r>
      <w:r>
        <w:rPr>
          <w:rFonts w:ascii="仿宋_GB2312" w:eastAsia="仿宋_GB2312" w:hAnsi="Times New Roman" w:hint="eastAsia"/>
          <w:sz w:val="32"/>
          <w:szCs w:val="32"/>
        </w:rPr>
        <w:t>工作的重点区域包括呼和浩特市、包头市、乌海市及周边地区、鄂尔多斯市准格尔旗和达拉特旗等地区（以下简称重点区域）。本方案中未明确属于重点区域的</w:t>
      </w:r>
      <w:r>
        <w:rPr>
          <w:rFonts w:ascii="仿宋_GB2312" w:eastAsia="仿宋_GB2312" w:hAnsi="微软雅黑" w:hint="eastAsia"/>
          <w:sz w:val="32"/>
          <w:szCs w:val="32"/>
          <w:shd w:val="clear" w:color="auto" w:fill="FFFFFF"/>
        </w:rPr>
        <w:t>治理</w:t>
      </w:r>
      <w:r>
        <w:rPr>
          <w:rFonts w:ascii="仿宋_GB2312" w:eastAsia="仿宋_GB2312" w:hAnsi="Times New Roman" w:hint="eastAsia"/>
          <w:sz w:val="32"/>
          <w:szCs w:val="32"/>
        </w:rPr>
        <w:t>任务，全区统一实施。</w:t>
      </w:r>
    </w:p>
    <w:p w:rsidR="00E30CF7" w:rsidRDefault="00E30CF7" w:rsidP="00E30CF7">
      <w:pPr>
        <w:pStyle w:val="10"/>
        <w:shd w:val="clear" w:color="auto" w:fill="FFFFFF"/>
        <w:spacing w:before="0" w:beforeAutospacing="0" w:after="0" w:afterAutospacing="0" w:line="600" w:lineRule="exact"/>
        <w:ind w:firstLineChars="196" w:firstLine="630"/>
        <w:rPr>
          <w:rStyle w:val="ad"/>
          <w:rFonts w:ascii="黑体" w:eastAsia="黑体" w:hAnsi="黑体"/>
          <w:sz w:val="32"/>
          <w:szCs w:val="32"/>
        </w:rPr>
      </w:pPr>
      <w:r>
        <w:rPr>
          <w:rStyle w:val="ad"/>
          <w:rFonts w:ascii="黑体" w:eastAsia="黑体" w:hAnsi="黑体"/>
          <w:sz w:val="32"/>
          <w:szCs w:val="32"/>
        </w:rPr>
        <w:t>三</w:t>
      </w:r>
      <w:r>
        <w:rPr>
          <w:rStyle w:val="ad"/>
          <w:rFonts w:ascii="黑体" w:eastAsia="黑体" w:hAnsi="黑体" w:hint="eastAsia"/>
          <w:sz w:val="32"/>
          <w:szCs w:val="32"/>
        </w:rPr>
        <w:t>、实施步骤</w:t>
      </w:r>
    </w:p>
    <w:p w:rsidR="00E30CF7" w:rsidRDefault="00E30CF7" w:rsidP="00E30CF7">
      <w:pPr>
        <w:pStyle w:val="10"/>
        <w:shd w:val="clear" w:color="auto" w:fill="FFFFFF"/>
        <w:spacing w:before="0" w:beforeAutospacing="0" w:after="0" w:afterAutospacing="0" w:line="600" w:lineRule="exact"/>
        <w:ind w:firstLineChars="200" w:firstLine="643"/>
        <w:rPr>
          <w:rFonts w:ascii="楷体_GB2312" w:eastAsia="楷体_GB2312" w:hAnsi="楷体_GB2312"/>
          <w:b/>
          <w:sz w:val="32"/>
          <w:szCs w:val="32"/>
          <w:shd w:val="clear" w:color="auto" w:fill="FFFFFF"/>
        </w:rPr>
      </w:pPr>
      <w:r>
        <w:rPr>
          <w:rFonts w:ascii="楷体_GB2312" w:eastAsia="楷体_GB2312" w:hAnsi="楷体_GB2312" w:hint="eastAsia"/>
          <w:b/>
          <w:sz w:val="32"/>
          <w:szCs w:val="32"/>
          <w:shd w:val="clear" w:color="auto" w:fill="FFFFFF"/>
        </w:rPr>
        <w:t>（一）全面建立工业炉窑整治管理清单</w:t>
      </w:r>
    </w:p>
    <w:p w:rsidR="00E30CF7" w:rsidRDefault="00E30CF7" w:rsidP="00E30CF7">
      <w:pPr>
        <w:pStyle w:val="10"/>
        <w:shd w:val="clear" w:color="auto" w:fill="FFFFFF"/>
        <w:spacing w:before="0" w:beforeAutospacing="0" w:after="0" w:afterAutospacing="0" w:line="600" w:lineRule="exact"/>
        <w:ind w:firstLineChars="200" w:firstLine="640"/>
        <w:jc w:val="both"/>
        <w:rPr>
          <w:rFonts w:ascii="仿宋_GB2312" w:eastAsia="仿宋_GB2312" w:hAnsi="Times New Roman" w:cs="Times New Roman"/>
          <w:kern w:val="2"/>
          <w:sz w:val="32"/>
          <w:szCs w:val="32"/>
        </w:rPr>
      </w:pPr>
      <w:r>
        <w:rPr>
          <w:rFonts w:ascii="仿宋_GB2312" w:eastAsia="仿宋_GB2312" w:hAnsi="微软雅黑" w:hint="eastAsia"/>
          <w:sz w:val="32"/>
          <w:szCs w:val="32"/>
          <w:shd w:val="clear" w:color="auto" w:fill="FFFFFF"/>
        </w:rPr>
        <w:t>各盟市</w:t>
      </w:r>
      <w:r>
        <w:rPr>
          <w:rFonts w:ascii="仿宋_GB2312" w:eastAsia="仿宋_GB2312" w:hAnsi="Times New Roman" w:cs="Times New Roman" w:hint="eastAsia"/>
          <w:kern w:val="2"/>
          <w:sz w:val="32"/>
          <w:szCs w:val="32"/>
        </w:rPr>
        <w:t>按照国家关于工业</w:t>
      </w:r>
      <w:r>
        <w:rPr>
          <w:rFonts w:ascii="仿宋_GB2312" w:eastAsia="仿宋_GB2312" w:hAnsi="Times New Roman" w:hint="eastAsia"/>
          <w:sz w:val="32"/>
          <w:szCs w:val="32"/>
        </w:rPr>
        <w:t>炉窑</w:t>
      </w:r>
      <w:r>
        <w:rPr>
          <w:rFonts w:ascii="仿宋_GB2312" w:eastAsia="仿宋_GB2312" w:hAnsi="Times New Roman" w:cs="Times New Roman" w:hint="eastAsia"/>
          <w:kern w:val="2"/>
          <w:sz w:val="32"/>
          <w:szCs w:val="32"/>
        </w:rPr>
        <w:t>各项标准要求，结合第二次污染源普查工作，开展辖区内工业炉窑拉网式排查</w:t>
      </w:r>
      <w:r>
        <w:rPr>
          <w:rFonts w:ascii="仿宋_GB2312" w:eastAsia="仿宋_GB2312" w:hAnsi="微软雅黑" w:hint="eastAsia"/>
          <w:sz w:val="32"/>
          <w:szCs w:val="32"/>
          <w:shd w:val="clear" w:color="auto" w:fill="FFFFFF"/>
        </w:rPr>
        <w:t>，</w:t>
      </w:r>
      <w:r>
        <w:rPr>
          <w:rFonts w:ascii="仿宋_GB2312" w:eastAsia="仿宋_GB2312" w:hAnsi="Times New Roman" w:cs="Times New Roman" w:hint="eastAsia"/>
          <w:kern w:val="2"/>
          <w:sz w:val="32"/>
          <w:szCs w:val="32"/>
        </w:rPr>
        <w:t>建立全口径的工业炉窑管理台账</w:t>
      </w:r>
      <w:r>
        <w:rPr>
          <w:rFonts w:ascii="仿宋_GB2312" w:eastAsia="仿宋_GB2312" w:hAnsi="微软雅黑" w:hint="eastAsia"/>
          <w:sz w:val="32"/>
          <w:szCs w:val="32"/>
          <w:shd w:val="clear" w:color="auto" w:fill="FFFFFF"/>
        </w:rPr>
        <w:t>，</w:t>
      </w:r>
      <w:r>
        <w:rPr>
          <w:rFonts w:ascii="仿宋_GB2312" w:eastAsia="仿宋_GB2312" w:hAnsi="Times New Roman" w:cs="Times New Roman" w:hint="eastAsia"/>
          <w:kern w:val="2"/>
          <w:sz w:val="32"/>
          <w:szCs w:val="32"/>
        </w:rPr>
        <w:t>确定综合</w:t>
      </w:r>
      <w:r>
        <w:rPr>
          <w:rFonts w:ascii="仿宋_GB2312" w:eastAsia="仿宋_GB2312" w:hAnsi="微软雅黑" w:hint="eastAsia"/>
          <w:sz w:val="32"/>
          <w:szCs w:val="32"/>
          <w:shd w:val="clear" w:color="auto" w:fill="FFFFFF"/>
        </w:rPr>
        <w:t>治理</w:t>
      </w:r>
      <w:r>
        <w:rPr>
          <w:rFonts w:ascii="仿宋_GB2312" w:eastAsia="仿宋_GB2312" w:hAnsi="Times New Roman" w:cs="Times New Roman" w:hint="eastAsia"/>
          <w:kern w:val="2"/>
          <w:sz w:val="32"/>
          <w:szCs w:val="32"/>
        </w:rPr>
        <w:t>单位和责任人员（见附</w:t>
      </w:r>
      <w:r>
        <w:rPr>
          <w:rFonts w:ascii="仿宋_GB2312" w:eastAsia="仿宋_GB2312" w:hAnsi="微软雅黑" w:hint="eastAsia"/>
          <w:sz w:val="32"/>
          <w:szCs w:val="32"/>
        </w:rPr>
        <w:t>表</w:t>
      </w:r>
      <w:r>
        <w:rPr>
          <w:rFonts w:ascii="仿宋_GB2312" w:eastAsia="仿宋_GB2312" w:hAnsi="Times New Roman" w:cs="Times New Roman" w:hint="eastAsia"/>
          <w:kern w:val="2"/>
          <w:sz w:val="32"/>
          <w:szCs w:val="32"/>
        </w:rPr>
        <w:t>2）。各盟市在对辖区内各类型工业炉窑分布、炉窑耗能和污染状况等进行逐一核查的基础上，</w:t>
      </w:r>
      <w:r>
        <w:rPr>
          <w:rFonts w:ascii="仿宋_GB2312" w:eastAsia="仿宋_GB2312" w:hAnsi="微软雅黑" w:hint="eastAsia"/>
          <w:sz w:val="32"/>
          <w:szCs w:val="32"/>
          <w:shd w:val="clear" w:color="auto" w:fill="FFFFFF"/>
        </w:rPr>
        <w:t>分别按照淘汰取缔、清洁替代、深度治理的要求，制定辖区内工业炉窑大气污染综合治理分类整改清单和分年度实施计划，明确清单内所有工业炉窑分类治理内容和时间进度安排</w:t>
      </w:r>
      <w:r>
        <w:rPr>
          <w:rFonts w:ascii="仿宋_GB2312" w:eastAsia="仿宋_GB2312" w:hAnsi="Times New Roman" w:cs="Times New Roman" w:hint="eastAsia"/>
          <w:kern w:val="2"/>
          <w:sz w:val="32"/>
          <w:szCs w:val="32"/>
        </w:rPr>
        <w:t>，按照要求填报大气污染综合治理重点项目表（见附</w:t>
      </w:r>
      <w:r>
        <w:rPr>
          <w:rFonts w:ascii="仿宋_GB2312" w:eastAsia="仿宋_GB2312" w:hAnsi="微软雅黑" w:hint="eastAsia"/>
          <w:sz w:val="32"/>
          <w:szCs w:val="32"/>
        </w:rPr>
        <w:t>表</w:t>
      </w:r>
      <w:r>
        <w:rPr>
          <w:rFonts w:ascii="仿宋_GB2312" w:eastAsia="仿宋_GB2312" w:hAnsi="Times New Roman" w:cs="Times New Roman" w:hint="eastAsia"/>
          <w:kern w:val="2"/>
          <w:sz w:val="32"/>
          <w:szCs w:val="32"/>
        </w:rPr>
        <w:t>3）。各盟市将附</w:t>
      </w:r>
      <w:r>
        <w:rPr>
          <w:rFonts w:ascii="仿宋_GB2312" w:eastAsia="仿宋_GB2312" w:hAnsi="微软雅黑" w:hint="eastAsia"/>
          <w:sz w:val="32"/>
          <w:szCs w:val="32"/>
        </w:rPr>
        <w:lastRenderedPageBreak/>
        <w:t>表</w:t>
      </w:r>
      <w:r>
        <w:rPr>
          <w:rFonts w:ascii="仿宋_GB2312" w:eastAsia="仿宋_GB2312" w:hAnsi="Times New Roman" w:cs="Times New Roman" w:hint="eastAsia"/>
          <w:kern w:val="2"/>
          <w:sz w:val="32"/>
          <w:szCs w:val="32"/>
        </w:rPr>
        <w:t>2、附</w:t>
      </w:r>
      <w:r>
        <w:rPr>
          <w:rFonts w:ascii="仿宋_GB2312" w:eastAsia="仿宋_GB2312" w:hAnsi="微软雅黑" w:hint="eastAsia"/>
          <w:sz w:val="32"/>
          <w:szCs w:val="32"/>
        </w:rPr>
        <w:t>表</w:t>
      </w:r>
      <w:r>
        <w:rPr>
          <w:rFonts w:ascii="仿宋_GB2312" w:eastAsia="仿宋_GB2312" w:hAnsi="Times New Roman" w:cs="Times New Roman" w:hint="eastAsia"/>
          <w:kern w:val="2"/>
          <w:sz w:val="32"/>
          <w:szCs w:val="32"/>
        </w:rPr>
        <w:t>3和分年度实施计划分别加盖公章，于2019年10月31日前报送自治区生态环境厅。</w:t>
      </w:r>
    </w:p>
    <w:p w:rsidR="00E30CF7" w:rsidRDefault="00E30CF7" w:rsidP="00E30CF7">
      <w:pPr>
        <w:pStyle w:val="10"/>
        <w:shd w:val="clear" w:color="auto" w:fill="FFFFFF"/>
        <w:spacing w:before="0" w:beforeAutospacing="0" w:after="0" w:afterAutospacing="0" w:line="600" w:lineRule="exact"/>
        <w:ind w:firstLineChars="200" w:firstLine="643"/>
        <w:rPr>
          <w:rFonts w:ascii="楷体_GB2312" w:eastAsia="楷体_GB2312" w:hAnsi="楷体_GB2312"/>
          <w:b/>
          <w:sz w:val="32"/>
          <w:szCs w:val="32"/>
          <w:shd w:val="clear" w:color="auto" w:fill="FFFFFF"/>
        </w:rPr>
      </w:pPr>
      <w:r>
        <w:rPr>
          <w:rFonts w:ascii="楷体_GB2312" w:eastAsia="楷体_GB2312" w:hAnsi="楷体_GB2312" w:hint="eastAsia"/>
          <w:b/>
          <w:sz w:val="32"/>
          <w:szCs w:val="32"/>
          <w:shd w:val="clear" w:color="auto" w:fill="FFFFFF"/>
        </w:rPr>
        <w:t>（二）分类实施工业炉窑各项整治任务</w:t>
      </w:r>
    </w:p>
    <w:p w:rsidR="00E30CF7" w:rsidRDefault="00E30CF7" w:rsidP="00E30CF7">
      <w:pPr>
        <w:spacing w:line="600" w:lineRule="exact"/>
        <w:rPr>
          <w:rFonts w:ascii="仿宋_GB2312" w:eastAsia="仿宋_GB2312" w:hAnsi="微软雅黑"/>
          <w:sz w:val="32"/>
          <w:szCs w:val="32"/>
          <w:shd w:val="clear" w:color="auto" w:fill="FFFFFF"/>
        </w:rPr>
      </w:pPr>
      <w:r>
        <w:rPr>
          <w:rFonts w:ascii="仿宋_GB2312" w:eastAsia="仿宋_GB2312" w:hAnsi="微软雅黑" w:hint="eastAsia"/>
          <w:sz w:val="32"/>
          <w:szCs w:val="32"/>
          <w:shd w:val="clear" w:color="auto" w:fill="FFFFFF"/>
        </w:rPr>
        <w:t xml:space="preserve">    各盟市要按照淘汰取缔、清洁替代、深度治理的不同要求，加强辖区内相关工业企业和产业集群工业炉窑综合治理工作部署</w:t>
      </w:r>
      <w:r>
        <w:rPr>
          <w:rFonts w:ascii="仿宋_GB2312" w:eastAsia="仿宋_GB2312" w:hAnsi="微软雅黑" w:hint="eastAsia"/>
          <w:bCs/>
          <w:sz w:val="32"/>
          <w:szCs w:val="32"/>
          <w:shd w:val="clear" w:color="auto" w:fill="FFFFFF"/>
        </w:rPr>
        <w:t>，并对</w:t>
      </w:r>
      <w:r>
        <w:rPr>
          <w:rFonts w:ascii="Times New Roman" w:eastAsia="仿宋_GB2312" w:hAnsi="Times New Roman" w:hint="eastAsia"/>
          <w:sz w:val="32"/>
          <w:szCs w:val="32"/>
        </w:rPr>
        <w:t>治理</w:t>
      </w:r>
      <w:r>
        <w:rPr>
          <w:rFonts w:ascii="仿宋_GB2312" w:eastAsia="仿宋_GB2312" w:hAnsi="微软雅黑" w:hint="eastAsia"/>
          <w:bCs/>
          <w:sz w:val="32"/>
          <w:szCs w:val="32"/>
          <w:shd w:val="clear" w:color="auto" w:fill="FFFFFF"/>
        </w:rPr>
        <w:t>效果负责。要严格环境准入、加大落后产能和不达标工业炉窑淘汰力度，积极推进燃料清洁化替代，大力实施工业炉窑深度治理，推进辖区内工业炉窑全面达标排放。</w:t>
      </w:r>
      <w:r>
        <w:rPr>
          <w:rFonts w:ascii="仿宋_GB2312" w:eastAsia="仿宋_GB2312" w:hAnsi="微软雅黑" w:hint="eastAsia"/>
          <w:sz w:val="32"/>
          <w:szCs w:val="32"/>
          <w:shd w:val="clear" w:color="auto" w:fill="FFFFFF"/>
        </w:rPr>
        <w:t>各盟市要</w:t>
      </w:r>
      <w:r>
        <w:rPr>
          <w:rFonts w:ascii="仿宋_GB2312" w:eastAsia="仿宋_GB2312" w:hAnsi="微软雅黑" w:hint="eastAsia"/>
          <w:bCs/>
          <w:sz w:val="32"/>
          <w:szCs w:val="32"/>
          <w:shd w:val="clear" w:color="auto" w:fill="FFFFFF"/>
        </w:rPr>
        <w:t>加强对辖区内工业炉窑综合</w:t>
      </w:r>
      <w:r>
        <w:rPr>
          <w:rFonts w:ascii="Times New Roman" w:eastAsia="仿宋_GB2312" w:hAnsi="Times New Roman" w:hint="eastAsia"/>
          <w:sz w:val="32"/>
          <w:szCs w:val="32"/>
        </w:rPr>
        <w:t>治理</w:t>
      </w:r>
      <w:r>
        <w:rPr>
          <w:rFonts w:ascii="仿宋_GB2312" w:eastAsia="仿宋_GB2312" w:hAnsi="微软雅黑" w:hint="eastAsia"/>
          <w:bCs/>
          <w:sz w:val="32"/>
          <w:szCs w:val="32"/>
          <w:shd w:val="clear" w:color="auto" w:fill="FFFFFF"/>
        </w:rPr>
        <w:t>工作的督导检查，对各项整治任务边治理、边验收、边巩固，确保整治任务不打折扣、整治进度按期完成、整治成果不出现反弹。各盟市工业炉窑各项治理任务应于2020年11月底之前全面完成。</w:t>
      </w:r>
    </w:p>
    <w:p w:rsidR="00E30CF7" w:rsidRDefault="00E30CF7" w:rsidP="00E30CF7">
      <w:pPr>
        <w:pStyle w:val="10"/>
        <w:shd w:val="clear" w:color="auto" w:fill="FFFFFF"/>
        <w:spacing w:before="0" w:beforeAutospacing="0" w:after="0" w:afterAutospacing="0" w:line="600" w:lineRule="exact"/>
        <w:ind w:firstLineChars="200" w:firstLine="643"/>
        <w:rPr>
          <w:rFonts w:ascii="楷体_GB2312" w:eastAsia="楷体_GB2312" w:hAnsi="楷体_GB2312"/>
          <w:b/>
          <w:sz w:val="32"/>
          <w:szCs w:val="32"/>
          <w:shd w:val="clear" w:color="auto" w:fill="FFFFFF"/>
        </w:rPr>
      </w:pPr>
      <w:r>
        <w:rPr>
          <w:rFonts w:ascii="楷体_GB2312" w:eastAsia="楷体_GB2312" w:hAnsi="楷体_GB2312" w:hint="eastAsia"/>
          <w:b/>
          <w:sz w:val="32"/>
          <w:szCs w:val="32"/>
          <w:shd w:val="clear" w:color="auto" w:fill="FFFFFF"/>
        </w:rPr>
        <w:t>（三）严格进行工业炉窑治理效果评价</w:t>
      </w:r>
    </w:p>
    <w:p w:rsidR="00E30CF7" w:rsidRDefault="00E30CF7" w:rsidP="00E30CF7">
      <w:pPr>
        <w:pStyle w:val="10"/>
        <w:shd w:val="clear" w:color="auto" w:fill="FFFFFF"/>
        <w:spacing w:before="0" w:beforeAutospacing="0" w:after="0" w:afterAutospacing="0" w:line="600" w:lineRule="exact"/>
        <w:ind w:firstLineChars="200" w:firstLine="640"/>
        <w:jc w:val="both"/>
        <w:rPr>
          <w:rFonts w:ascii="楷体" w:eastAsia="楷体" w:hAnsi="楷体" w:cs="楷体_GB2312"/>
          <w:b/>
          <w:sz w:val="32"/>
          <w:szCs w:val="32"/>
        </w:rPr>
      </w:pPr>
      <w:r>
        <w:rPr>
          <w:rFonts w:ascii="仿宋_GB2312" w:eastAsia="仿宋_GB2312" w:hAnsi="微软雅黑" w:hint="eastAsia"/>
          <w:sz w:val="32"/>
          <w:szCs w:val="32"/>
          <w:shd w:val="clear" w:color="auto" w:fill="FFFFFF"/>
        </w:rPr>
        <w:t>相关工业企业</w:t>
      </w:r>
      <w:r>
        <w:rPr>
          <w:rFonts w:ascii="仿宋_GB2312" w:eastAsia="仿宋_GB2312" w:hAnsi="微软雅黑" w:cs="黑体" w:hint="eastAsia"/>
          <w:kern w:val="2"/>
          <w:sz w:val="32"/>
          <w:szCs w:val="32"/>
          <w:shd w:val="clear" w:color="auto" w:fill="FFFFFF"/>
        </w:rPr>
        <w:t>要按照行业治理标准和规范要求，依据工业炉窑综合治理效果付费，防止低价中标乱象，严把工程建设质量，严防建设简易低效环保治理设施。各盟市人民政府要认真组织完成工业炉窑综合治理情况总结报告，并与附</w:t>
      </w:r>
      <w:r>
        <w:rPr>
          <w:rFonts w:ascii="仿宋_GB2312" w:eastAsia="仿宋_GB2312" w:hAnsi="微软雅黑" w:hint="eastAsia"/>
          <w:sz w:val="32"/>
          <w:szCs w:val="32"/>
        </w:rPr>
        <w:t>表</w:t>
      </w:r>
      <w:r>
        <w:rPr>
          <w:rFonts w:ascii="仿宋_GB2312" w:eastAsia="仿宋_GB2312" w:hAnsi="微软雅黑" w:cs="黑体" w:hint="eastAsia"/>
          <w:kern w:val="2"/>
          <w:sz w:val="32"/>
          <w:szCs w:val="32"/>
          <w:shd w:val="clear" w:color="auto" w:fill="FFFFFF"/>
        </w:rPr>
        <w:t>2、附</w:t>
      </w:r>
      <w:r>
        <w:rPr>
          <w:rFonts w:ascii="仿宋_GB2312" w:eastAsia="仿宋_GB2312" w:hAnsi="微软雅黑" w:hint="eastAsia"/>
          <w:sz w:val="32"/>
          <w:szCs w:val="32"/>
        </w:rPr>
        <w:t>表</w:t>
      </w:r>
      <w:r>
        <w:rPr>
          <w:rFonts w:ascii="仿宋_GB2312" w:eastAsia="仿宋_GB2312" w:hAnsi="微软雅黑" w:cs="黑体" w:hint="eastAsia"/>
          <w:kern w:val="2"/>
          <w:sz w:val="32"/>
          <w:szCs w:val="32"/>
          <w:shd w:val="clear" w:color="auto" w:fill="FFFFFF"/>
        </w:rPr>
        <w:t>3一同加盖公章，于2</w:t>
      </w:r>
      <w:r>
        <w:rPr>
          <w:rFonts w:ascii="仿宋_GB2312" w:eastAsia="仿宋_GB2312" w:hAnsi="微软雅黑" w:cs="黑体"/>
          <w:kern w:val="2"/>
          <w:sz w:val="32"/>
          <w:szCs w:val="32"/>
          <w:shd w:val="clear" w:color="auto" w:fill="FFFFFF"/>
        </w:rPr>
        <w:t>020年</w:t>
      </w:r>
      <w:r>
        <w:rPr>
          <w:rFonts w:ascii="仿宋_GB2312" w:eastAsia="仿宋_GB2312" w:hAnsi="微软雅黑" w:cs="黑体" w:hint="eastAsia"/>
          <w:kern w:val="2"/>
          <w:sz w:val="32"/>
          <w:szCs w:val="32"/>
          <w:shd w:val="clear" w:color="auto" w:fill="FFFFFF"/>
        </w:rPr>
        <w:t>12</w:t>
      </w:r>
      <w:r>
        <w:rPr>
          <w:rFonts w:ascii="仿宋_GB2312" w:eastAsia="仿宋_GB2312" w:hAnsi="微软雅黑" w:cs="黑体"/>
          <w:kern w:val="2"/>
          <w:sz w:val="32"/>
          <w:szCs w:val="32"/>
          <w:shd w:val="clear" w:color="auto" w:fill="FFFFFF"/>
        </w:rPr>
        <w:t>月底前</w:t>
      </w:r>
      <w:r>
        <w:rPr>
          <w:rFonts w:ascii="仿宋_GB2312" w:eastAsia="仿宋_GB2312" w:hAnsi="微软雅黑" w:cs="黑体" w:hint="eastAsia"/>
          <w:kern w:val="2"/>
          <w:sz w:val="32"/>
          <w:szCs w:val="32"/>
          <w:shd w:val="clear" w:color="auto" w:fill="FFFFFF"/>
        </w:rPr>
        <w:t>报送自治区生态环境厅。</w:t>
      </w:r>
      <w:r>
        <w:rPr>
          <w:rFonts w:ascii="仿宋_GB2312" w:eastAsia="仿宋_GB2312" w:hAnsi="微软雅黑" w:hint="eastAsia"/>
          <w:sz w:val="32"/>
          <w:szCs w:val="32"/>
          <w:shd w:val="clear" w:color="auto" w:fill="FFFFFF"/>
        </w:rPr>
        <w:t>自治区生态环境厅会同其他有关部门，按照各盟市工业炉窑大气污染综合治理年度计划安排，对上一年度各盟市工业炉窑治理计划和实施效果进行评价。对完成质量高、进度快的盟市，在专项资金支持等方面予以倾斜。</w:t>
      </w:r>
    </w:p>
    <w:p w:rsidR="00E30CF7" w:rsidRDefault="00E30CF7" w:rsidP="00E30CF7">
      <w:pPr>
        <w:pStyle w:val="10"/>
        <w:shd w:val="clear" w:color="auto" w:fill="FFFFFF"/>
        <w:spacing w:before="0" w:beforeAutospacing="0" w:after="0" w:afterAutospacing="0" w:line="600" w:lineRule="exact"/>
        <w:ind w:firstLineChars="200" w:firstLine="643"/>
        <w:rPr>
          <w:rFonts w:ascii="仿宋_GB2312" w:eastAsia="仿宋_GB2312" w:hAnsi="微软雅黑"/>
          <w:b/>
          <w:sz w:val="32"/>
          <w:szCs w:val="32"/>
        </w:rPr>
      </w:pPr>
      <w:r>
        <w:rPr>
          <w:rStyle w:val="ad"/>
          <w:rFonts w:ascii="黑体" w:eastAsia="黑体" w:hAnsi="黑体" w:hint="eastAsia"/>
          <w:sz w:val="32"/>
          <w:szCs w:val="32"/>
        </w:rPr>
        <w:lastRenderedPageBreak/>
        <w:t>四、重点任务</w:t>
      </w:r>
    </w:p>
    <w:p w:rsidR="00E30CF7" w:rsidRDefault="00E30CF7" w:rsidP="00E30CF7">
      <w:pPr>
        <w:pStyle w:val="10"/>
        <w:shd w:val="clear" w:color="auto" w:fill="FFFFFF"/>
        <w:spacing w:before="0" w:beforeAutospacing="0" w:after="0" w:afterAutospacing="0" w:line="600" w:lineRule="exact"/>
        <w:ind w:firstLineChars="200" w:firstLine="643"/>
        <w:rPr>
          <w:rFonts w:ascii="楷体_GB2312" w:eastAsia="楷体_GB2312" w:hAnsi="楷体_GB2312"/>
          <w:b/>
          <w:sz w:val="32"/>
          <w:szCs w:val="32"/>
          <w:shd w:val="clear" w:color="auto" w:fill="FFFFFF"/>
        </w:rPr>
      </w:pPr>
      <w:r>
        <w:rPr>
          <w:rFonts w:ascii="楷体_GB2312" w:eastAsia="楷体_GB2312" w:hAnsi="楷体_GB2312" w:hint="eastAsia"/>
          <w:b/>
          <w:sz w:val="32"/>
          <w:szCs w:val="32"/>
          <w:shd w:val="clear" w:color="auto" w:fill="FFFFFF"/>
        </w:rPr>
        <w:t>（一）加大产业结构调整力度</w:t>
      </w:r>
    </w:p>
    <w:p w:rsidR="00E30CF7" w:rsidRDefault="00E30CF7" w:rsidP="00E30CF7">
      <w:pPr>
        <w:pStyle w:val="10"/>
        <w:shd w:val="clear" w:color="auto" w:fill="FFFFFF"/>
        <w:spacing w:before="0" w:beforeAutospacing="0" w:after="0" w:afterAutospacing="0" w:line="600" w:lineRule="exact"/>
        <w:ind w:firstLineChars="200" w:firstLine="643"/>
        <w:jc w:val="both"/>
        <w:rPr>
          <w:rFonts w:ascii="楷体_GB2312" w:eastAsia="楷体_GB2312" w:hAnsi="楷体_GB2312"/>
          <w:b/>
          <w:sz w:val="32"/>
          <w:szCs w:val="32"/>
          <w:shd w:val="clear" w:color="auto" w:fill="FFFFFF"/>
        </w:rPr>
      </w:pPr>
      <w:r>
        <w:rPr>
          <w:rFonts w:ascii="仿宋_GB2312" w:eastAsia="仿宋_GB2312" w:hAnsi="Times New Roman" w:hint="eastAsia"/>
          <w:b/>
          <w:sz w:val="32"/>
          <w:szCs w:val="32"/>
        </w:rPr>
        <w:t>优化调整产业布局。</w:t>
      </w:r>
      <w:r>
        <w:rPr>
          <w:rFonts w:ascii="仿宋_GB2312" w:eastAsia="仿宋_GB2312" w:hAnsi="Times New Roman" w:hint="eastAsia"/>
          <w:sz w:val="32"/>
          <w:szCs w:val="32"/>
        </w:rPr>
        <w:t>严格新改扩建项目环境准入，新建涉工业炉窑的建设项目，原则上要进入园区，配套建设高效环保治理设施。</w:t>
      </w:r>
      <w:r>
        <w:rPr>
          <w:rFonts w:ascii="仿宋_GB2312" w:eastAsia="仿宋_GB2312" w:hAnsi="Times New Roman"/>
          <w:sz w:val="32"/>
          <w:szCs w:val="32"/>
        </w:rPr>
        <w:t>禁止在自然保护区</w:t>
      </w:r>
      <w:r>
        <w:rPr>
          <w:rFonts w:ascii="仿宋_GB2312" w:eastAsia="仿宋_GB2312" w:hAnsi="Times New Roman" w:hint="eastAsia"/>
          <w:sz w:val="32"/>
          <w:szCs w:val="32"/>
        </w:rPr>
        <w:t>、</w:t>
      </w:r>
      <w:r>
        <w:rPr>
          <w:rFonts w:ascii="仿宋_GB2312" w:eastAsia="仿宋_GB2312" w:hAnsi="Times New Roman"/>
          <w:sz w:val="32"/>
          <w:szCs w:val="32"/>
        </w:rPr>
        <w:t>饮用</w:t>
      </w:r>
      <w:r>
        <w:rPr>
          <w:rFonts w:ascii="仿宋_GB2312" w:eastAsia="仿宋_GB2312" w:hAnsi="Times New Roman" w:hint="eastAsia"/>
          <w:sz w:val="32"/>
          <w:szCs w:val="32"/>
        </w:rPr>
        <w:t>水</w:t>
      </w:r>
      <w:r>
        <w:rPr>
          <w:rFonts w:ascii="仿宋_GB2312" w:eastAsia="仿宋_GB2312" w:hAnsi="Times New Roman"/>
          <w:sz w:val="32"/>
          <w:szCs w:val="32"/>
        </w:rPr>
        <w:t>水源</w:t>
      </w:r>
      <w:r>
        <w:rPr>
          <w:rFonts w:ascii="仿宋_GB2312" w:eastAsia="仿宋_GB2312" w:hAnsi="Times New Roman" w:hint="eastAsia"/>
          <w:sz w:val="32"/>
          <w:szCs w:val="32"/>
        </w:rPr>
        <w:t>保护区</w:t>
      </w:r>
      <w:r>
        <w:rPr>
          <w:rFonts w:ascii="仿宋_GB2312" w:eastAsia="仿宋_GB2312" w:hAnsi="Times New Roman"/>
          <w:sz w:val="32"/>
          <w:szCs w:val="32"/>
        </w:rPr>
        <w:t>、风景名胜区</w:t>
      </w:r>
      <w:r>
        <w:rPr>
          <w:rFonts w:ascii="仿宋_GB2312" w:eastAsia="仿宋_GB2312" w:hAnsi="Times New Roman" w:hint="eastAsia"/>
          <w:sz w:val="32"/>
          <w:szCs w:val="32"/>
        </w:rPr>
        <w:t>等敏感区域内</w:t>
      </w:r>
      <w:r>
        <w:rPr>
          <w:rFonts w:ascii="仿宋_GB2312" w:eastAsia="仿宋_GB2312" w:hAnsi="Times New Roman"/>
          <w:sz w:val="32"/>
          <w:szCs w:val="32"/>
        </w:rPr>
        <w:t>新建、扩建、改建工业炉</w:t>
      </w:r>
      <w:r>
        <w:rPr>
          <w:rFonts w:ascii="Times New Roman" w:eastAsia="仿宋_GB2312" w:hAnsi="Times New Roman"/>
          <w:sz w:val="32"/>
          <w:szCs w:val="32"/>
        </w:rPr>
        <w:t>窑</w:t>
      </w:r>
      <w:r>
        <w:rPr>
          <w:rFonts w:ascii="Times New Roman" w:eastAsia="仿宋_GB2312" w:hAnsi="Times New Roman" w:hint="eastAsia"/>
          <w:sz w:val="32"/>
          <w:szCs w:val="32"/>
        </w:rPr>
        <w:t>。各盟市应制定计划，对位于</w:t>
      </w:r>
      <w:r>
        <w:rPr>
          <w:rFonts w:ascii="Times New Roman" w:eastAsia="仿宋_GB2312" w:hAnsi="Times New Roman"/>
          <w:sz w:val="32"/>
          <w:szCs w:val="32"/>
        </w:rPr>
        <w:t>城市建成区</w:t>
      </w:r>
      <w:r>
        <w:rPr>
          <w:rFonts w:ascii="Times New Roman" w:eastAsia="仿宋_GB2312" w:hAnsi="Times New Roman" w:hint="eastAsia"/>
          <w:sz w:val="32"/>
          <w:szCs w:val="32"/>
        </w:rPr>
        <w:t>范围内涉工业炉窑的</w:t>
      </w:r>
      <w:r>
        <w:rPr>
          <w:rFonts w:ascii="仿宋_GB2312" w:eastAsia="仿宋_GB2312" w:hAnsi="Times New Roman" w:hint="eastAsia"/>
          <w:sz w:val="32"/>
          <w:szCs w:val="32"/>
        </w:rPr>
        <w:t>钢铁、石化、化工、有色、水泥等高耗能、高排放企业完成搬迁、改造。</w:t>
      </w:r>
      <w:r>
        <w:rPr>
          <w:rFonts w:ascii="楷体_GB2312" w:eastAsia="楷体_GB2312" w:hAnsi="楷体_GB2312" w:hint="eastAsia"/>
          <w:b/>
          <w:sz w:val="32"/>
          <w:szCs w:val="32"/>
          <w:shd w:val="clear" w:color="auto" w:fill="FFFFFF"/>
        </w:rPr>
        <w:t>（自治区生态环境厅、工业和信息化厅、发展和改革委按照职责分工牵头督导。以下责任主体均为地方各级人民政府，不再列出）</w:t>
      </w:r>
    </w:p>
    <w:p w:rsidR="00E30CF7" w:rsidRDefault="00E30CF7" w:rsidP="00E30CF7">
      <w:pPr>
        <w:pStyle w:val="10"/>
        <w:shd w:val="clear" w:color="auto" w:fill="FFFFFF"/>
        <w:spacing w:before="0" w:beforeAutospacing="0" w:after="0" w:afterAutospacing="0" w:line="600" w:lineRule="exact"/>
        <w:ind w:firstLineChars="200" w:firstLine="643"/>
        <w:jc w:val="both"/>
        <w:rPr>
          <w:rFonts w:ascii="楷体_GB2312" w:eastAsia="楷体_GB2312" w:hAnsi="楷体_GB2312"/>
          <w:b/>
          <w:sz w:val="32"/>
          <w:szCs w:val="32"/>
          <w:shd w:val="clear" w:color="auto" w:fill="FFFFFF"/>
        </w:rPr>
      </w:pPr>
      <w:r>
        <w:rPr>
          <w:rFonts w:ascii="仿宋_GB2312" w:eastAsia="仿宋_GB2312" w:hAnsi="仿宋_GB2312" w:cs="仿宋_GB2312"/>
          <w:b/>
          <w:sz w:val="32"/>
          <w:szCs w:val="32"/>
        </w:rPr>
        <w:t>加大落后产能淘汰。</w:t>
      </w:r>
      <w:r>
        <w:rPr>
          <w:rFonts w:ascii="仿宋_GB2312" w:eastAsia="仿宋_GB2312" w:hAnsi="仿宋_GB2312" w:cs="仿宋_GB2312" w:hint="eastAsia"/>
          <w:sz w:val="32"/>
          <w:szCs w:val="32"/>
        </w:rPr>
        <w:t>按照工业和信息化部等十六部门《关于利用综合标准依法依规推动落后产能退出的指导意见》（工信部联产业</w:t>
      </w:r>
      <w:r>
        <w:rPr>
          <w:rFonts w:ascii="仿宋_GB2312" w:eastAsia="仿宋_GB2312" w:hAnsi="Times New Roman" w:cs="Times New Roman" w:hint="eastAsia"/>
          <w:sz w:val="32"/>
          <w:szCs w:val="32"/>
        </w:rPr>
        <w:t>〔</w:t>
      </w:r>
      <w:r>
        <w:rPr>
          <w:rFonts w:ascii="仿宋_GB2312" w:eastAsia="仿宋_GB2312" w:hAnsi="仿宋_GB2312" w:cs="仿宋_GB2312" w:hint="eastAsia"/>
          <w:sz w:val="32"/>
          <w:szCs w:val="32"/>
        </w:rPr>
        <w:t>2017</w:t>
      </w:r>
      <w:r>
        <w:rPr>
          <w:rFonts w:ascii="仿宋_GB2312" w:eastAsia="仿宋_GB2312" w:hAnsi="Times New Roman" w:cs="Times New Roman" w:hint="eastAsia"/>
          <w:sz w:val="32"/>
          <w:szCs w:val="32"/>
        </w:rPr>
        <w:t>〕</w:t>
      </w:r>
      <w:r>
        <w:rPr>
          <w:rFonts w:ascii="仿宋_GB2312" w:eastAsia="仿宋_GB2312" w:hAnsi="仿宋_GB2312" w:cs="仿宋_GB2312" w:hint="eastAsia"/>
          <w:sz w:val="32"/>
          <w:szCs w:val="32"/>
        </w:rPr>
        <w:t>30号）的要求，对落后产能和不达标工业炉窑依法依规予以处置。各盟市人民政府要制定整治计划，对热效率低下、敞开未封闭，装备简易落后、自动化程度低，无组织排放突出，无治理设施或治理设施工艺落后等严重污染环境的工业炉窑，以及</w:t>
      </w:r>
      <w:r>
        <w:rPr>
          <w:rFonts w:ascii="仿宋_GB2312" w:eastAsia="仿宋_GB2312" w:hAnsi="Times New Roman" w:hint="eastAsia"/>
          <w:sz w:val="32"/>
          <w:szCs w:val="32"/>
        </w:rPr>
        <w:t>对无证排污、超标超总量排放以及逃避监管方式排放大气污染物的，依法予以停产整治，情节严重的，报经有批准权的人民政府批准，依法责令停业、关闭。各盟市应结合《内蒙古自治区“散乱污”工业企业综合整治专项行动方案》</w:t>
      </w:r>
      <w:r>
        <w:rPr>
          <w:rFonts w:ascii="仿宋_GB2312" w:eastAsia="仿宋_GB2312" w:hAnsi="微软雅黑" w:hint="eastAsia"/>
          <w:sz w:val="32"/>
          <w:szCs w:val="32"/>
          <w:shd w:val="clear" w:color="auto" w:fill="FFFFFF"/>
        </w:rPr>
        <w:t>（内政办发</w:t>
      </w:r>
      <w:r>
        <w:rPr>
          <w:rFonts w:ascii="仿宋_GB2312" w:eastAsia="仿宋_GB2312" w:hAnsi="Times New Roman" w:cs="Times New Roman" w:hint="eastAsia"/>
          <w:sz w:val="32"/>
          <w:szCs w:val="32"/>
        </w:rPr>
        <w:t>〔</w:t>
      </w:r>
      <w:r>
        <w:rPr>
          <w:rFonts w:ascii="仿宋_GB2312" w:eastAsia="仿宋_GB2312" w:hAnsi="微软雅黑" w:hint="eastAsia"/>
          <w:sz w:val="32"/>
          <w:szCs w:val="32"/>
          <w:shd w:val="clear" w:color="auto" w:fill="FFFFFF"/>
        </w:rPr>
        <w:t>2019</w:t>
      </w:r>
      <w:r>
        <w:rPr>
          <w:rFonts w:ascii="仿宋_GB2312" w:eastAsia="仿宋_GB2312" w:hAnsi="Times New Roman" w:cs="Times New Roman" w:hint="eastAsia"/>
          <w:sz w:val="32"/>
          <w:szCs w:val="32"/>
        </w:rPr>
        <w:t>〕9</w:t>
      </w:r>
      <w:r>
        <w:rPr>
          <w:rFonts w:ascii="仿宋_GB2312" w:eastAsia="仿宋_GB2312" w:hAnsi="微软雅黑" w:hint="eastAsia"/>
          <w:sz w:val="32"/>
          <w:szCs w:val="32"/>
          <w:shd w:val="clear" w:color="auto" w:fill="FFFFFF"/>
        </w:rPr>
        <w:t>号）相关要求和</w:t>
      </w:r>
      <w:r>
        <w:rPr>
          <w:rFonts w:ascii="仿宋_GB2312" w:eastAsia="仿宋_GB2312" w:hAnsi="Times New Roman" w:hint="eastAsia"/>
          <w:sz w:val="32"/>
          <w:szCs w:val="32"/>
        </w:rPr>
        <w:t>前期摸底排查的结果，将涉及工业炉窑淘汰取缔</w:t>
      </w:r>
      <w:r>
        <w:rPr>
          <w:rFonts w:ascii="仿宋_GB2312" w:eastAsia="仿宋_GB2312" w:hAnsi="Times New Roman" w:hint="eastAsia"/>
          <w:sz w:val="32"/>
          <w:szCs w:val="32"/>
        </w:rPr>
        <w:lastRenderedPageBreak/>
        <w:t>的整治内容一并实施。</w:t>
      </w:r>
      <w:r>
        <w:rPr>
          <w:rFonts w:ascii="楷体_GB2312" w:eastAsia="楷体_GB2312" w:hAnsi="楷体_GB2312" w:hint="eastAsia"/>
          <w:b/>
          <w:sz w:val="32"/>
          <w:szCs w:val="32"/>
          <w:shd w:val="clear" w:color="auto" w:fill="FFFFFF"/>
        </w:rPr>
        <w:t>（自治区工业和信息化厅、生态环境厅按照职责分工牵头督导）</w:t>
      </w:r>
    </w:p>
    <w:p w:rsidR="00E30CF7" w:rsidRDefault="00E30CF7" w:rsidP="00E30CF7">
      <w:pPr>
        <w:pStyle w:val="10"/>
        <w:shd w:val="clear" w:color="auto" w:fill="FFFFFF"/>
        <w:spacing w:before="0" w:beforeAutospacing="0" w:after="0" w:afterAutospacing="0" w:line="600" w:lineRule="exact"/>
        <w:ind w:firstLineChars="200" w:firstLine="641"/>
        <w:rPr>
          <w:rFonts w:ascii="华文楷体" w:eastAsia="华文楷体" w:hAnsi="华文楷体"/>
          <w:b/>
          <w:sz w:val="32"/>
          <w:szCs w:val="32"/>
        </w:rPr>
      </w:pPr>
      <w:r>
        <w:rPr>
          <w:rFonts w:ascii="华文楷体" w:eastAsia="华文楷体" w:hAnsi="华文楷体" w:hint="eastAsia"/>
          <w:b/>
          <w:sz w:val="32"/>
          <w:szCs w:val="32"/>
        </w:rPr>
        <w:t>（二）加快燃料清洁化替代</w:t>
      </w:r>
    </w:p>
    <w:p w:rsidR="00E30CF7" w:rsidRDefault="00E30CF7" w:rsidP="00E30CF7">
      <w:pPr>
        <w:pStyle w:val="10"/>
        <w:shd w:val="clear" w:color="auto" w:fill="FFFFFF"/>
        <w:spacing w:before="0" w:beforeAutospacing="0" w:after="0" w:afterAutospacing="0" w:line="600" w:lineRule="exact"/>
        <w:ind w:firstLineChars="200" w:firstLine="640"/>
        <w:rPr>
          <w:rFonts w:ascii="楷体_GB2312" w:eastAsia="楷体_GB2312" w:hAnsi="楷体_GB2312"/>
          <w:b/>
          <w:sz w:val="32"/>
          <w:szCs w:val="32"/>
          <w:shd w:val="clear" w:color="auto" w:fill="FFFFFF"/>
        </w:rPr>
      </w:pPr>
      <w:r>
        <w:rPr>
          <w:rFonts w:ascii="仿宋_GB2312" w:eastAsia="仿宋_GB2312" w:hAnsi="仿宋_GB2312" w:cs="仿宋_GB2312" w:hint="eastAsia"/>
          <w:sz w:val="32"/>
          <w:szCs w:val="32"/>
        </w:rPr>
        <w:t>加快淘汰热电联产供热管网覆盖范围内的燃煤加热、烘干炉（窑）；加快推动铸造（10 吨/小时及以下）、岩棉等行业冲天炉改为电炉。推进燃料清洁化替代，重点区域禁止掺烧高硫石油焦</w:t>
      </w:r>
      <w:r>
        <w:rPr>
          <w:rFonts w:ascii="仿宋_GB2312" w:eastAsia="仿宋_GB2312" w:hAnsi="仿宋_GB2312" w:cs="仿宋_GB2312"/>
          <w:sz w:val="32"/>
          <w:szCs w:val="32"/>
        </w:rPr>
        <w:t>（硫含量大于3%）。玻璃行业全面禁止掺烧高硫石油焦。</w:t>
      </w:r>
      <w:r>
        <w:rPr>
          <w:rFonts w:ascii="楷体_GB2312" w:eastAsia="楷体_GB2312" w:hAnsi="楷体_GB2312" w:hint="eastAsia"/>
          <w:b/>
          <w:sz w:val="32"/>
          <w:szCs w:val="32"/>
          <w:shd w:val="clear" w:color="auto" w:fill="FFFFFF"/>
        </w:rPr>
        <w:t>（自治区生态环境厅、工业和信息化厅按照职责分工牵头督导）</w:t>
      </w:r>
    </w:p>
    <w:p w:rsidR="00E30CF7" w:rsidRDefault="00E30CF7" w:rsidP="00E30CF7">
      <w:pPr>
        <w:pStyle w:val="10"/>
        <w:shd w:val="clear" w:color="auto" w:fill="FFFFFF"/>
        <w:spacing w:before="0" w:beforeAutospacing="0" w:after="0" w:afterAutospacing="0" w:line="600" w:lineRule="exact"/>
        <w:ind w:firstLineChars="200" w:firstLine="643"/>
        <w:rPr>
          <w:rFonts w:ascii="楷体_GB2312" w:eastAsia="楷体_GB2312" w:hAnsi="楷体_GB2312"/>
          <w:b/>
          <w:sz w:val="32"/>
          <w:szCs w:val="32"/>
          <w:shd w:val="clear" w:color="auto" w:fill="FFFFFF"/>
        </w:rPr>
      </w:pPr>
      <w:r>
        <w:rPr>
          <w:rFonts w:ascii="楷体_GB2312" w:eastAsia="楷体_GB2312" w:hAnsi="楷体_GB2312" w:hint="eastAsia"/>
          <w:b/>
          <w:sz w:val="32"/>
          <w:szCs w:val="32"/>
          <w:shd w:val="clear" w:color="auto" w:fill="FFFFFF"/>
        </w:rPr>
        <w:t>（三）大力实施工业炉窑深度治理</w:t>
      </w:r>
    </w:p>
    <w:p w:rsidR="00E30CF7" w:rsidRDefault="00E30CF7" w:rsidP="00E30CF7">
      <w:pPr>
        <w:pStyle w:val="10"/>
        <w:shd w:val="clear" w:color="auto" w:fill="FFFFFF"/>
        <w:spacing w:before="0" w:beforeAutospacing="0" w:after="0" w:afterAutospacing="0" w:line="600" w:lineRule="exact"/>
        <w:ind w:firstLineChars="200" w:firstLine="643"/>
        <w:jc w:val="both"/>
        <w:rPr>
          <w:rFonts w:ascii="楷体_GB2312" w:eastAsia="楷体_GB2312" w:hAnsi="楷体_GB2312"/>
          <w:b/>
          <w:sz w:val="32"/>
          <w:szCs w:val="32"/>
          <w:shd w:val="clear" w:color="auto" w:fill="FFFFFF"/>
        </w:rPr>
      </w:pPr>
      <w:r>
        <w:rPr>
          <w:rFonts w:ascii="仿宋_GB2312" w:eastAsia="仿宋_GB2312" w:hAnsi="仿宋_GB2312" w:cs="仿宋_GB2312"/>
          <w:b/>
          <w:sz w:val="32"/>
          <w:szCs w:val="32"/>
        </w:rPr>
        <w:t>推进工业炉窑全面达标排放。</w:t>
      </w:r>
      <w:r>
        <w:rPr>
          <w:rFonts w:ascii="仿宋_GB2312" w:eastAsia="仿宋_GB2312" w:hAnsi="仿宋_GB2312" w:cs="仿宋_GB2312"/>
          <w:sz w:val="32"/>
          <w:szCs w:val="32"/>
        </w:rPr>
        <w:t>根据国家已颁布的行业排放标准</w:t>
      </w:r>
      <w:r>
        <w:rPr>
          <w:rFonts w:ascii="仿宋_GB2312" w:eastAsia="仿宋_GB2312" w:hAnsi="仿宋_GB2312" w:cs="仿宋_GB2312" w:hint="eastAsia"/>
          <w:sz w:val="32"/>
          <w:szCs w:val="32"/>
        </w:rPr>
        <w:t>（见附</w:t>
      </w:r>
      <w:r>
        <w:rPr>
          <w:rFonts w:ascii="仿宋_GB2312" w:eastAsia="仿宋_GB2312" w:hAnsi="微软雅黑" w:hint="eastAsia"/>
          <w:sz w:val="32"/>
          <w:szCs w:val="32"/>
        </w:rPr>
        <w:t>表</w:t>
      </w:r>
      <w:r>
        <w:rPr>
          <w:rFonts w:ascii="仿宋_GB2312" w:eastAsia="仿宋_GB2312" w:hAnsi="仿宋_GB2312" w:cs="仿宋_GB2312" w:hint="eastAsia"/>
          <w:sz w:val="32"/>
          <w:szCs w:val="32"/>
        </w:rPr>
        <w:t>4），配套建设高效脱硫脱硝除尘设施（见附</w:t>
      </w:r>
      <w:r>
        <w:rPr>
          <w:rFonts w:ascii="仿宋_GB2312" w:eastAsia="仿宋_GB2312" w:hAnsi="微软雅黑" w:hint="eastAsia"/>
          <w:sz w:val="32"/>
          <w:szCs w:val="32"/>
        </w:rPr>
        <w:t>表</w:t>
      </w:r>
      <w:r>
        <w:rPr>
          <w:rFonts w:ascii="仿宋_GB2312" w:eastAsia="仿宋_GB2312" w:hAnsi="仿宋_GB2312" w:cs="仿宋_GB2312" w:hint="eastAsia"/>
          <w:sz w:val="32"/>
          <w:szCs w:val="32"/>
        </w:rPr>
        <w:t>5），</w:t>
      </w:r>
      <w:r>
        <w:rPr>
          <w:rFonts w:ascii="仿宋_GB2312" w:eastAsia="仿宋_GB2312" w:hAnsi="仿宋_GB2312" w:cs="仿宋_GB2312"/>
          <w:sz w:val="32"/>
          <w:szCs w:val="32"/>
        </w:rPr>
        <w:t>实施工业炉窑</w:t>
      </w:r>
      <w:r>
        <w:rPr>
          <w:rFonts w:ascii="仿宋_GB2312" w:eastAsia="仿宋_GB2312" w:hAnsi="仿宋_GB2312" w:cs="仿宋_GB2312" w:hint="eastAsia"/>
          <w:sz w:val="32"/>
          <w:szCs w:val="32"/>
        </w:rPr>
        <w:t>深度治理，推进</w:t>
      </w:r>
      <w:r>
        <w:rPr>
          <w:rFonts w:ascii="仿宋_GB2312" w:eastAsia="仿宋_GB2312" w:hAnsi="仿宋_GB2312" w:cs="仿宋_GB2312"/>
          <w:sz w:val="32"/>
          <w:szCs w:val="32"/>
        </w:rPr>
        <w:t>我区工业炉窑全面达标排放</w:t>
      </w:r>
      <w:r>
        <w:rPr>
          <w:rFonts w:ascii="仿宋_GB2312" w:eastAsia="仿宋_GB2312" w:hAnsi="仿宋_GB2312" w:cs="仿宋_GB2312" w:hint="eastAsia"/>
          <w:sz w:val="32"/>
          <w:szCs w:val="32"/>
        </w:rPr>
        <w:t>。暂未制订行业排放标准的工业炉窑，包括铸造，日用玻璃，玻璃纤维、耐火材料、石灰、矿物棉等建材行业，钨、工业硅、金属冶炼废渣（灰）二次提取等有色金属行业，氮肥、电石、无机磷、活性炭等化工行业，应参照相关行业已出台的标准，全面加大污染治理力度（见附</w:t>
      </w:r>
      <w:r>
        <w:rPr>
          <w:rFonts w:ascii="仿宋_GB2312" w:eastAsia="仿宋_GB2312" w:hAnsi="微软雅黑" w:hint="eastAsia"/>
          <w:sz w:val="32"/>
          <w:szCs w:val="32"/>
        </w:rPr>
        <w:t>表</w:t>
      </w:r>
      <w:r>
        <w:rPr>
          <w:rFonts w:ascii="仿宋_GB2312" w:eastAsia="仿宋_GB2312" w:hAnsi="仿宋_GB2312" w:cs="仿宋_GB2312" w:hint="eastAsia"/>
          <w:sz w:val="32"/>
          <w:szCs w:val="32"/>
        </w:rPr>
        <w:t>5）；铸造行业烧结、高炉工序污染排放控制按照钢铁行业相关标准要求执行。</w:t>
      </w:r>
      <w:r>
        <w:rPr>
          <w:rFonts w:ascii="楷体_GB2312" w:eastAsia="楷体_GB2312" w:hAnsi="楷体_GB2312" w:hint="eastAsia"/>
          <w:b/>
          <w:sz w:val="32"/>
          <w:szCs w:val="32"/>
          <w:shd w:val="clear" w:color="auto" w:fill="FFFFFF"/>
        </w:rPr>
        <w:t>（自治区生态环境厅牵头督导）</w:t>
      </w:r>
    </w:p>
    <w:p w:rsidR="00E30CF7" w:rsidRDefault="00E30CF7" w:rsidP="00E30CF7">
      <w:pPr>
        <w:pStyle w:val="10"/>
        <w:shd w:val="clear" w:color="auto" w:fill="FFFFFF"/>
        <w:spacing w:before="0" w:beforeAutospacing="0" w:after="0" w:afterAutospacing="0" w:line="600" w:lineRule="exact"/>
        <w:ind w:firstLineChars="200" w:firstLine="640"/>
        <w:jc w:val="both"/>
        <w:rPr>
          <w:rFonts w:ascii="楷体_GB2312" w:eastAsia="楷体_GB2312" w:hAnsi="楷体_GB2312"/>
          <w:b/>
          <w:sz w:val="32"/>
          <w:szCs w:val="32"/>
          <w:shd w:val="clear" w:color="auto" w:fill="FFFFFF"/>
        </w:rPr>
      </w:pPr>
      <w:r>
        <w:rPr>
          <w:rFonts w:ascii="仿宋_GB2312" w:eastAsia="仿宋_GB2312" w:hAnsi="仿宋_GB2312" w:cs="仿宋_GB2312" w:hint="eastAsia"/>
          <w:sz w:val="32"/>
          <w:szCs w:val="32"/>
        </w:rPr>
        <w:t>我区重点区域内有色金属冶炼（不含氧化铝）、钢铁、水泥、平板玻璃、焦化、石化和化工等行业，二氧化硫、氮氧化物、颗粒物、挥发性有机物从2020年1月1日起全面执</w:t>
      </w:r>
      <w:r>
        <w:rPr>
          <w:rFonts w:ascii="仿宋_GB2312" w:eastAsia="仿宋_GB2312" w:hAnsi="仿宋_GB2312" w:cs="仿宋_GB2312" w:hint="eastAsia"/>
          <w:sz w:val="32"/>
          <w:szCs w:val="32"/>
        </w:rPr>
        <w:lastRenderedPageBreak/>
        <w:t>行大气污染物特别排放限值，国家、自治区排放标准中未规定大气污染物特别排放限值的行业，执行现有排放标准。已核发排污许可证的，严格执行许可要求。</w:t>
      </w:r>
      <w:r>
        <w:rPr>
          <w:rFonts w:ascii="楷体_GB2312" w:eastAsia="楷体_GB2312" w:hAnsi="楷体_GB2312" w:hint="eastAsia"/>
          <w:b/>
          <w:sz w:val="32"/>
          <w:szCs w:val="32"/>
          <w:shd w:val="clear" w:color="auto" w:fill="FFFFFF"/>
        </w:rPr>
        <w:t>（自治区生态环境厅牵头督导）</w:t>
      </w:r>
    </w:p>
    <w:p w:rsidR="00E30CF7" w:rsidRDefault="00E30CF7" w:rsidP="00E30CF7">
      <w:pPr>
        <w:pStyle w:val="10"/>
        <w:shd w:val="clear" w:color="auto" w:fill="FFFFFF"/>
        <w:spacing w:before="0" w:beforeAutospacing="0" w:after="0" w:afterAutospacing="0" w:line="600" w:lineRule="exact"/>
        <w:ind w:firstLineChars="200" w:firstLine="643"/>
        <w:jc w:val="both"/>
        <w:rPr>
          <w:rFonts w:ascii="楷体_GB2312" w:eastAsia="楷体_GB2312" w:hAnsi="楷体_GB2312"/>
          <w:b/>
          <w:sz w:val="32"/>
          <w:szCs w:val="32"/>
          <w:shd w:val="clear" w:color="auto" w:fill="FFFFFF"/>
        </w:rPr>
      </w:pPr>
      <w:r>
        <w:rPr>
          <w:rFonts w:ascii="仿宋_GB2312" w:eastAsia="仿宋_GB2312" w:hAnsi="仿宋_GB2312" w:cs="仿宋_GB2312" w:hint="eastAsia"/>
          <w:b/>
          <w:sz w:val="32"/>
          <w:szCs w:val="32"/>
        </w:rPr>
        <w:t>全面加强无组织排放管理。</w:t>
      </w:r>
      <w:r>
        <w:rPr>
          <w:rFonts w:ascii="仿宋_GB2312" w:eastAsia="仿宋_GB2312" w:hAnsi="Times New Roman" w:hint="eastAsia"/>
          <w:sz w:val="32"/>
          <w:szCs w:val="32"/>
        </w:rPr>
        <w:t>严格控制工业炉窑生产工艺过程及相关物料储存、输送等无组织排放。在保障生产安全的前提下，采取密闭、封闭等有效措施（见附</w:t>
      </w:r>
      <w:r>
        <w:rPr>
          <w:rFonts w:ascii="仿宋_GB2312" w:eastAsia="仿宋_GB2312" w:hAnsi="微软雅黑" w:hint="eastAsia"/>
          <w:sz w:val="32"/>
          <w:szCs w:val="32"/>
        </w:rPr>
        <w:t>表</w:t>
      </w:r>
      <w:r>
        <w:rPr>
          <w:rFonts w:ascii="仿宋_GB2312" w:eastAsia="仿宋_GB2312" w:hAnsi="Times New Roman" w:hint="eastAsia"/>
          <w:sz w:val="32"/>
          <w:szCs w:val="32"/>
        </w:rPr>
        <w:t>6），有效提高废气收集率，产尘点及车间不得有可见烟粉尘外逸。生产工艺产尘点（装置）应采取密闭、封闭或设置集气罩等措施。煤粉、粉煤灰、石灰、除尘灰、脱硫灰等粉状物料应密闭或封闭储存、输送。粒状、块状物料应采用入棚入仓或建设防风抑尘网等封闭措施进行储存；粒状物料采用密闭、封闭等方式输送，块状物料应当采取有效抑尘措施进行输送。物料输送过程中产尘点应采取有效抑尘措施。</w:t>
      </w:r>
      <w:r>
        <w:rPr>
          <w:rFonts w:ascii="楷体_GB2312" w:eastAsia="楷体_GB2312" w:hAnsi="楷体_GB2312" w:hint="eastAsia"/>
          <w:b/>
          <w:sz w:val="32"/>
          <w:szCs w:val="32"/>
          <w:shd w:val="clear" w:color="auto" w:fill="FFFFFF"/>
        </w:rPr>
        <w:t>（自治区生态环境厅牵头督导）</w:t>
      </w:r>
    </w:p>
    <w:p w:rsidR="00E30CF7" w:rsidRDefault="00E30CF7" w:rsidP="00E30CF7">
      <w:pPr>
        <w:pStyle w:val="10"/>
        <w:shd w:val="clear" w:color="auto" w:fill="FFFFFF"/>
        <w:spacing w:before="0" w:beforeAutospacing="0" w:after="0" w:afterAutospacing="0" w:line="600" w:lineRule="exact"/>
        <w:ind w:firstLineChars="200" w:firstLine="643"/>
        <w:jc w:val="both"/>
        <w:rPr>
          <w:rFonts w:ascii="楷体_GB2312" w:eastAsia="楷体_GB2312" w:hAnsi="楷体_GB2312"/>
          <w:b/>
          <w:sz w:val="32"/>
          <w:szCs w:val="32"/>
          <w:shd w:val="clear" w:color="auto" w:fill="FFFFFF"/>
        </w:rPr>
      </w:pPr>
      <w:r>
        <w:rPr>
          <w:rFonts w:ascii="仿宋_GB2312" w:eastAsia="仿宋_GB2312" w:hAnsi="Times New Roman" w:hint="eastAsia"/>
          <w:b/>
          <w:sz w:val="32"/>
          <w:szCs w:val="32"/>
        </w:rPr>
        <w:t>推进重点行业污染深度治理。</w:t>
      </w:r>
      <w:r>
        <w:rPr>
          <w:rFonts w:ascii="仿宋_GB2312" w:eastAsia="仿宋_GB2312" w:hAnsi="Times New Roman" w:hint="eastAsia"/>
          <w:sz w:val="32"/>
          <w:szCs w:val="32"/>
        </w:rPr>
        <w:t>落实《关于推进实施钢铁行业超低排放的意见》，加快推进钢铁行业超低排放改造。积极推进电解铝、平板玻璃、水泥、焦化等行业污染治理升级改造。通辽北部地区电解铝企业全面推进脱硫设施建设，加快推进包头地区电解铝企业脱硫设施建设进度。鼓励水泥企业实施全流程污染深度治理；重点区域内平板玻璃、建筑陶瓷企业逐步取消脱硫脱硝烟气旁路或设置备用脱硫脱硝</w:t>
      </w:r>
      <w:r>
        <w:rPr>
          <w:rFonts w:ascii="仿宋_GB2312" w:eastAsia="仿宋_GB2312" w:hAnsi="Times New Roman" w:hint="eastAsia"/>
          <w:sz w:val="32"/>
          <w:szCs w:val="32"/>
        </w:rPr>
        <w:lastRenderedPageBreak/>
        <w:t>等设施；推进具备条件的焦化企业实施干熄焦改造。</w:t>
      </w:r>
      <w:r>
        <w:rPr>
          <w:rFonts w:ascii="楷体_GB2312" w:eastAsia="楷体_GB2312" w:hAnsi="楷体_GB2312" w:hint="eastAsia"/>
          <w:b/>
          <w:sz w:val="32"/>
          <w:szCs w:val="32"/>
          <w:shd w:val="clear" w:color="auto" w:fill="FFFFFF"/>
        </w:rPr>
        <w:t>（自治区生态环境厅牵头督导）</w:t>
      </w:r>
    </w:p>
    <w:p w:rsidR="00E30CF7" w:rsidRDefault="00E30CF7" w:rsidP="00E30CF7">
      <w:pPr>
        <w:pStyle w:val="10"/>
        <w:shd w:val="clear" w:color="auto" w:fill="FFFFFF"/>
        <w:spacing w:before="0" w:beforeAutospacing="0" w:after="0" w:afterAutospacing="0" w:line="600" w:lineRule="exact"/>
        <w:ind w:firstLineChars="200" w:firstLine="643"/>
        <w:jc w:val="both"/>
        <w:rPr>
          <w:rFonts w:ascii="楷体_GB2312" w:eastAsia="楷体_GB2312" w:hAnsi="楷体_GB2312"/>
          <w:b/>
          <w:sz w:val="32"/>
          <w:szCs w:val="32"/>
          <w:shd w:val="clear" w:color="auto" w:fill="FFFFFF"/>
        </w:rPr>
      </w:pPr>
      <w:r>
        <w:rPr>
          <w:rFonts w:ascii="仿宋_GB2312" w:eastAsia="仿宋_GB2312" w:hAnsi="仿宋_GB2312" w:cs="仿宋_GB2312" w:hint="eastAsia"/>
          <w:b/>
          <w:sz w:val="32"/>
          <w:szCs w:val="32"/>
        </w:rPr>
        <w:t>加大煤气发生炉污染治理力度。</w:t>
      </w:r>
      <w:r>
        <w:rPr>
          <w:rFonts w:ascii="仿宋_GB2312" w:eastAsia="仿宋_GB2312" w:hAnsi="Times New Roman" w:hint="eastAsia"/>
          <w:sz w:val="32"/>
          <w:szCs w:val="32"/>
        </w:rPr>
        <w:t>酚水系统应封闭并配套VOCs收集处理措施；酚水应送至煤气发生炉处置，或回收酚、氨后深度处理，或送至水煤浆炉进行焚烧等。禁止含酚废水作为煤气水封水、冲渣水。加快完成我区重点区域氮肥行业固定床间歇式煤气化炉煤气冷却由直接水洗改为间接冷却，其他区域采用直接水洗冷却方式的，造气循环水集输、储存、处理系统应封闭，收集的废气送至三废炉处理。吹风气、驰放气应全部收集利用。</w:t>
      </w:r>
      <w:r>
        <w:rPr>
          <w:rFonts w:ascii="楷体_GB2312" w:eastAsia="楷体_GB2312" w:hAnsi="楷体_GB2312" w:hint="eastAsia"/>
          <w:b/>
          <w:sz w:val="32"/>
          <w:szCs w:val="32"/>
          <w:shd w:val="clear" w:color="auto" w:fill="FFFFFF"/>
        </w:rPr>
        <w:t>（自治区生态环境厅牵头督导，自治区工业和信息化厅参与）</w:t>
      </w:r>
    </w:p>
    <w:p w:rsidR="00E30CF7" w:rsidRDefault="00E30CF7" w:rsidP="00E30CF7">
      <w:pPr>
        <w:pStyle w:val="10"/>
        <w:shd w:val="clear" w:color="auto" w:fill="FFFFFF"/>
        <w:spacing w:before="0" w:beforeAutospacing="0" w:after="0" w:afterAutospacing="0" w:line="600" w:lineRule="exact"/>
        <w:ind w:firstLineChars="200" w:firstLine="643"/>
        <w:rPr>
          <w:rFonts w:ascii="楷体_GB2312" w:eastAsia="楷体_GB2312" w:hAnsi="楷体_GB2312"/>
          <w:b/>
          <w:sz w:val="32"/>
          <w:szCs w:val="32"/>
          <w:shd w:val="clear" w:color="auto" w:fill="FFFFFF"/>
        </w:rPr>
      </w:pPr>
      <w:r>
        <w:rPr>
          <w:rFonts w:ascii="楷体_GB2312" w:eastAsia="楷体_GB2312" w:hAnsi="楷体_GB2312" w:hint="eastAsia"/>
          <w:b/>
          <w:sz w:val="32"/>
          <w:szCs w:val="32"/>
          <w:shd w:val="clear" w:color="auto" w:fill="FFFFFF"/>
        </w:rPr>
        <w:t>（四）开展园区和产业集群综合治理</w:t>
      </w:r>
    </w:p>
    <w:p w:rsidR="00E30CF7" w:rsidRDefault="00E30CF7" w:rsidP="00E30CF7">
      <w:pPr>
        <w:widowControl/>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涉工业炉窑类产业集群主要包括陶瓷、玻璃、砖瓦、耐火材料、石灰、矿物棉、铸造、独立轧钢、铁合金、再生有色金属、炭素、化工等行业。各盟市要加大涉工业炉窑类工业园区和产业集群的综合</w:t>
      </w:r>
      <w:r>
        <w:rPr>
          <w:rFonts w:ascii="仿宋_GB2312" w:eastAsia="仿宋_GB2312" w:hAnsi="微软雅黑" w:hint="eastAsia"/>
          <w:sz w:val="32"/>
          <w:szCs w:val="32"/>
          <w:shd w:val="clear" w:color="auto" w:fill="FFFFFF"/>
        </w:rPr>
        <w:t>治理</w:t>
      </w:r>
      <w:r>
        <w:rPr>
          <w:rFonts w:ascii="仿宋_GB2312" w:eastAsia="仿宋_GB2312" w:hAnsi="Times New Roman" w:hint="eastAsia"/>
          <w:sz w:val="32"/>
          <w:szCs w:val="32"/>
        </w:rPr>
        <w:t>力度，结合“三线一单”、区域战略环评、园区规划环评等文件要求，进一步梳理园区和产业发展定位、规模、结构。对标先进企业，从生产工艺、产能规模、燃料类型、污染治理等方面提出明确要求，提升产业发展质量和环保治理水平；按照统一标准、统一时间表的要求，同步推进区域环境综合</w:t>
      </w:r>
      <w:r>
        <w:rPr>
          <w:rFonts w:ascii="仿宋_GB2312" w:eastAsia="仿宋_GB2312" w:hAnsi="微软雅黑" w:hint="eastAsia"/>
          <w:sz w:val="32"/>
          <w:szCs w:val="32"/>
          <w:shd w:val="clear" w:color="auto" w:fill="FFFFFF"/>
        </w:rPr>
        <w:t>治理</w:t>
      </w:r>
      <w:r>
        <w:rPr>
          <w:rFonts w:ascii="仿宋_GB2312" w:eastAsia="仿宋_GB2312" w:hAnsi="Times New Roman" w:hint="eastAsia"/>
          <w:sz w:val="32"/>
          <w:szCs w:val="32"/>
        </w:rPr>
        <w:t>和企业升级改造。对于工业园区，加强能源替代利用与资源共享；积极推广集中供汽供热或建设清洁能源中心等，替代工业炉窑燃料用煤；充</w:t>
      </w:r>
      <w:r>
        <w:rPr>
          <w:rFonts w:ascii="仿宋_GB2312" w:eastAsia="仿宋_GB2312" w:hAnsi="Times New Roman" w:hint="eastAsia"/>
          <w:sz w:val="32"/>
          <w:szCs w:val="32"/>
        </w:rPr>
        <w:lastRenderedPageBreak/>
        <w:t>分利用园区内工厂余热、焦炉煤气等清洁能源，加强分质与梯级利用，提高能源利用效率，促进形成清洁高效产业链。</w:t>
      </w:r>
      <w:r>
        <w:rPr>
          <w:rFonts w:ascii="楷体_GB2312" w:eastAsia="楷体_GB2312" w:hAnsi="楷体_GB2312" w:cs="宋体" w:hint="eastAsia"/>
          <w:b/>
          <w:kern w:val="0"/>
          <w:sz w:val="32"/>
          <w:szCs w:val="32"/>
          <w:shd w:val="clear" w:color="auto" w:fill="FFFFFF"/>
        </w:rPr>
        <w:t>（自治区工业和信息化厅牵头督导，自治区生态环境厅参与）</w:t>
      </w:r>
    </w:p>
    <w:p w:rsidR="00E30CF7" w:rsidRDefault="00E30CF7" w:rsidP="00E30CF7">
      <w:pPr>
        <w:pStyle w:val="10"/>
        <w:shd w:val="clear" w:color="auto" w:fill="FFFFFF"/>
        <w:spacing w:before="0" w:beforeAutospacing="0" w:after="0" w:afterAutospacing="0" w:line="600" w:lineRule="exact"/>
        <w:ind w:firstLineChars="200" w:firstLine="643"/>
        <w:rPr>
          <w:rStyle w:val="ad"/>
          <w:rFonts w:ascii="仿宋_GB2312" w:eastAsia="仿宋_GB2312" w:hAnsi="微软雅黑"/>
          <w:b w:val="0"/>
          <w:sz w:val="32"/>
          <w:szCs w:val="32"/>
        </w:rPr>
      </w:pPr>
      <w:r>
        <w:rPr>
          <w:rStyle w:val="ad"/>
          <w:rFonts w:ascii="黑体" w:eastAsia="黑体" w:hAnsi="黑体"/>
          <w:sz w:val="32"/>
          <w:szCs w:val="32"/>
        </w:rPr>
        <w:t>五</w:t>
      </w:r>
      <w:r>
        <w:rPr>
          <w:rStyle w:val="ad"/>
          <w:rFonts w:ascii="黑体" w:eastAsia="黑体" w:hAnsi="黑体" w:hint="eastAsia"/>
          <w:sz w:val="32"/>
          <w:szCs w:val="32"/>
        </w:rPr>
        <w:t>、政策保障措施</w:t>
      </w:r>
    </w:p>
    <w:p w:rsidR="00E30CF7" w:rsidRDefault="00E30CF7" w:rsidP="00E30CF7">
      <w:pPr>
        <w:pStyle w:val="10"/>
        <w:shd w:val="clear" w:color="auto" w:fill="FFFFFF"/>
        <w:spacing w:before="0" w:beforeAutospacing="0" w:after="0" w:afterAutospacing="0" w:line="600" w:lineRule="exact"/>
        <w:ind w:firstLineChars="200" w:firstLine="643"/>
        <w:rPr>
          <w:rFonts w:ascii="楷体_GB2312" w:eastAsia="楷体_GB2312" w:hAnsi="楷体_GB2312"/>
          <w:b/>
          <w:sz w:val="32"/>
          <w:szCs w:val="32"/>
          <w:shd w:val="clear" w:color="auto" w:fill="FFFFFF"/>
        </w:rPr>
      </w:pPr>
      <w:r>
        <w:rPr>
          <w:rFonts w:ascii="楷体_GB2312" w:eastAsia="楷体_GB2312" w:hAnsi="楷体_GB2312" w:hint="eastAsia"/>
          <w:b/>
          <w:sz w:val="32"/>
          <w:szCs w:val="32"/>
          <w:shd w:val="clear" w:color="auto" w:fill="FFFFFF"/>
        </w:rPr>
        <w:t>（一）加强组织领导</w:t>
      </w:r>
    </w:p>
    <w:p w:rsidR="00E30CF7" w:rsidRDefault="00E30CF7" w:rsidP="00E30CF7">
      <w:pPr>
        <w:pStyle w:val="10"/>
        <w:shd w:val="clear" w:color="auto" w:fill="FFFFFF"/>
        <w:spacing w:before="0" w:beforeAutospacing="0" w:after="0" w:afterAutospacing="0" w:line="600" w:lineRule="exact"/>
        <w:ind w:firstLineChars="200" w:firstLine="640"/>
        <w:jc w:val="both"/>
        <w:rPr>
          <w:rFonts w:ascii="楷体_GB2312" w:eastAsia="楷体_GB2312" w:hAnsi="楷体_GB2312"/>
          <w:b/>
          <w:sz w:val="32"/>
          <w:szCs w:val="32"/>
          <w:shd w:val="clear" w:color="auto" w:fill="FFFFFF"/>
        </w:rPr>
      </w:pPr>
      <w:r>
        <w:rPr>
          <w:rFonts w:ascii="仿宋_GB2312" w:eastAsia="仿宋_GB2312" w:hAnsi="仿宋_GB2312" w:cs="仿宋_GB2312" w:hint="eastAsia"/>
          <w:sz w:val="32"/>
          <w:szCs w:val="32"/>
        </w:rPr>
        <w:t>自治区生态环境厅、发展改革委、工业和信息化厅、财政厅对全区工业炉窑综合</w:t>
      </w:r>
      <w:r>
        <w:rPr>
          <w:rFonts w:ascii="Times New Roman" w:eastAsia="仿宋_GB2312" w:hAnsi="Times New Roman" w:cs="Times New Roman" w:hint="eastAsia"/>
          <w:sz w:val="32"/>
          <w:szCs w:val="32"/>
        </w:rPr>
        <w:t>治理</w:t>
      </w:r>
      <w:r>
        <w:rPr>
          <w:rFonts w:ascii="仿宋_GB2312" w:eastAsia="仿宋_GB2312" w:hAnsi="仿宋_GB2312" w:cs="仿宋_GB2312" w:hint="eastAsia"/>
          <w:sz w:val="32"/>
          <w:szCs w:val="32"/>
        </w:rPr>
        <w:t>工作进行联合督导，其他有关部门各司其职、密切配合，形成工作合力。各盟市人民政府要严格落实“一岗双责”，加强组织领导，按照打赢蓝天保卫战总体部署，细化目标任务、合理安排进度、强化监督检查、巩固治理成果。各盟市要将工业炉窑淘汰、替代、深度治理任务分解到相关单位及企业，采取有力措施确保落地落实，要积极</w:t>
      </w:r>
      <w:r>
        <w:rPr>
          <w:rFonts w:ascii="仿宋_GB2312" w:eastAsia="仿宋_GB2312" w:hAnsi="微软雅黑" w:hint="eastAsia"/>
          <w:sz w:val="32"/>
          <w:szCs w:val="32"/>
          <w:shd w:val="clear" w:color="auto" w:fill="FFFFFF"/>
        </w:rPr>
        <w:t>做好辖区内工业炉窑综合</w:t>
      </w:r>
      <w:r>
        <w:rPr>
          <w:rFonts w:ascii="Times New Roman" w:eastAsia="仿宋_GB2312" w:hAnsi="Times New Roman" w:cs="Times New Roman" w:hint="eastAsia"/>
          <w:sz w:val="32"/>
          <w:szCs w:val="32"/>
        </w:rPr>
        <w:t>治理</w:t>
      </w:r>
      <w:r>
        <w:rPr>
          <w:rFonts w:ascii="仿宋_GB2312" w:eastAsia="仿宋_GB2312" w:hAnsi="微软雅黑" w:hint="eastAsia"/>
          <w:sz w:val="32"/>
          <w:szCs w:val="32"/>
          <w:shd w:val="clear" w:color="auto" w:fill="FFFFFF"/>
        </w:rPr>
        <w:t>的监督检查和跟踪服务，督促相关园区、企业按照时间进度安排，</w:t>
      </w:r>
      <w:r>
        <w:rPr>
          <w:rFonts w:ascii="仿宋_GB2312" w:eastAsia="仿宋_GB2312" w:hAnsi="仿宋_GB2312" w:cs="仿宋_GB2312" w:hint="eastAsia"/>
          <w:sz w:val="32"/>
          <w:szCs w:val="32"/>
        </w:rPr>
        <w:t>全面有序完成工业</w:t>
      </w:r>
      <w:r>
        <w:rPr>
          <w:rFonts w:ascii="仿宋_GB2312" w:eastAsia="仿宋_GB2312" w:hAnsi="Times New Roman" w:hint="eastAsia"/>
          <w:sz w:val="32"/>
          <w:szCs w:val="32"/>
        </w:rPr>
        <w:t>炉窑</w:t>
      </w:r>
      <w:r>
        <w:rPr>
          <w:rFonts w:ascii="仿宋_GB2312" w:eastAsia="仿宋_GB2312" w:hAnsi="仿宋_GB2312" w:cs="仿宋_GB2312" w:hint="eastAsia"/>
          <w:sz w:val="32"/>
          <w:szCs w:val="32"/>
        </w:rPr>
        <w:t>各项</w:t>
      </w:r>
      <w:r>
        <w:rPr>
          <w:rFonts w:ascii="仿宋_GB2312" w:eastAsia="仿宋_GB2312" w:hAnsi="微软雅黑" w:hint="eastAsia"/>
          <w:sz w:val="32"/>
          <w:szCs w:val="32"/>
          <w:shd w:val="clear" w:color="auto" w:fill="FFFFFF"/>
        </w:rPr>
        <w:t>治理</w:t>
      </w:r>
      <w:r>
        <w:rPr>
          <w:rFonts w:ascii="仿宋_GB2312" w:eastAsia="仿宋_GB2312" w:hAnsi="仿宋_GB2312" w:cs="仿宋_GB2312" w:hint="eastAsia"/>
          <w:sz w:val="32"/>
          <w:szCs w:val="32"/>
        </w:rPr>
        <w:t>任务，持续巩固治理成果。</w:t>
      </w:r>
      <w:r>
        <w:rPr>
          <w:rFonts w:ascii="楷体_GB2312" w:eastAsia="楷体_GB2312" w:hAnsi="楷体_GB2312" w:hint="eastAsia"/>
          <w:b/>
          <w:sz w:val="32"/>
          <w:szCs w:val="32"/>
          <w:shd w:val="clear" w:color="auto" w:fill="FFFFFF"/>
        </w:rPr>
        <w:t>（自治区生态环境厅、发展改革委、工业和信息化厅、财政厅牵头督导，相关部门参与）</w:t>
      </w:r>
    </w:p>
    <w:p w:rsidR="00E30CF7" w:rsidRDefault="00E30CF7" w:rsidP="00E30CF7">
      <w:pPr>
        <w:pStyle w:val="10"/>
        <w:shd w:val="clear" w:color="auto" w:fill="FFFFFF"/>
        <w:spacing w:before="0" w:beforeAutospacing="0" w:after="0" w:afterAutospacing="0" w:line="600" w:lineRule="exact"/>
        <w:ind w:firstLineChars="200" w:firstLine="643"/>
        <w:rPr>
          <w:rFonts w:ascii="楷体_GB2312" w:eastAsia="楷体_GB2312" w:hAnsi="楷体_GB2312"/>
          <w:b/>
          <w:sz w:val="32"/>
          <w:szCs w:val="32"/>
          <w:shd w:val="clear" w:color="auto" w:fill="FFFFFF"/>
        </w:rPr>
      </w:pPr>
      <w:r>
        <w:rPr>
          <w:rFonts w:ascii="楷体_GB2312" w:eastAsia="楷体_GB2312" w:hAnsi="楷体_GB2312" w:hint="eastAsia"/>
          <w:b/>
          <w:sz w:val="32"/>
          <w:szCs w:val="32"/>
          <w:shd w:val="clear" w:color="auto" w:fill="FFFFFF"/>
        </w:rPr>
        <w:t>（二）强化企业主体责任</w:t>
      </w:r>
    </w:p>
    <w:p w:rsidR="00E30CF7" w:rsidRDefault="00E30CF7" w:rsidP="00E30CF7">
      <w:pPr>
        <w:pStyle w:val="10"/>
        <w:shd w:val="clear" w:color="auto" w:fill="FFFFFF"/>
        <w:spacing w:before="0" w:beforeAutospacing="0" w:after="0" w:afterAutospacing="0" w:line="600" w:lineRule="exact"/>
        <w:ind w:firstLineChars="200" w:firstLine="640"/>
        <w:jc w:val="both"/>
        <w:rPr>
          <w:rFonts w:ascii="楷体_GB2312" w:eastAsia="楷体_GB2312" w:hAnsi="楷体_GB2312"/>
          <w:b/>
          <w:sz w:val="32"/>
          <w:szCs w:val="32"/>
          <w:shd w:val="clear" w:color="auto" w:fill="FFFFFF"/>
        </w:rPr>
      </w:pPr>
      <w:r>
        <w:rPr>
          <w:rFonts w:ascii="仿宋_GB2312" w:eastAsia="仿宋_GB2312" w:hAnsi="微软雅黑" w:hint="eastAsia"/>
          <w:sz w:val="32"/>
          <w:szCs w:val="32"/>
          <w:shd w:val="clear" w:color="auto" w:fill="FFFFFF"/>
        </w:rPr>
        <w:t>企业是工业炉窑污染治理的责任主体，要切实履行责任，按照本方案和地方有关部门要求等制定工业炉窑综合治理实施计划，确保按期完成改造任务。加大资金投入，加快装备升级和燃料清洁低碳化替代，实施污染深度治理。加强</w:t>
      </w:r>
      <w:r>
        <w:rPr>
          <w:rFonts w:ascii="仿宋_GB2312" w:eastAsia="仿宋_GB2312" w:hAnsi="微软雅黑" w:hint="eastAsia"/>
          <w:sz w:val="32"/>
          <w:szCs w:val="32"/>
          <w:shd w:val="clear" w:color="auto" w:fill="FFFFFF"/>
        </w:rPr>
        <w:lastRenderedPageBreak/>
        <w:t>人员技术培训，健全内部环保考核管理机制，确保治污设施长期稳定运行。及时公布自行监测和污染排放数据、污染治理措施、重污染天气应对、环保违法处罚及整改等信息，推动公众参与和社会监督。国有企业和龙头企业要发挥表率作用，引导行业转型升级和高质量发展。</w:t>
      </w:r>
      <w:r>
        <w:rPr>
          <w:rFonts w:ascii="楷体_GB2312" w:eastAsia="楷体_GB2312" w:hAnsi="楷体_GB2312" w:hint="eastAsia"/>
          <w:b/>
          <w:sz w:val="32"/>
          <w:szCs w:val="32"/>
          <w:shd w:val="clear" w:color="auto" w:fill="FFFFFF"/>
        </w:rPr>
        <w:t>（自治区生态环境厅、工业和信息化厅按职责分工负责）</w:t>
      </w:r>
    </w:p>
    <w:p w:rsidR="00E30CF7" w:rsidRDefault="00E30CF7" w:rsidP="00E30CF7">
      <w:pPr>
        <w:spacing w:line="600" w:lineRule="exact"/>
        <w:ind w:firstLineChars="200" w:firstLine="643"/>
        <w:contextualSpacing/>
        <w:rPr>
          <w:rFonts w:ascii="楷体_GB2312" w:eastAsia="楷体_GB2312" w:hAnsi="楷体_GB2312"/>
          <w:b/>
          <w:sz w:val="32"/>
          <w:szCs w:val="32"/>
          <w:shd w:val="clear" w:color="auto" w:fill="FFFFFF"/>
        </w:rPr>
      </w:pPr>
      <w:r>
        <w:rPr>
          <w:rFonts w:ascii="楷体_GB2312" w:eastAsia="楷体_GB2312" w:hAnsi="楷体_GB2312" w:hint="eastAsia"/>
          <w:b/>
          <w:sz w:val="32"/>
          <w:szCs w:val="32"/>
          <w:shd w:val="clear" w:color="auto" w:fill="FFFFFF"/>
        </w:rPr>
        <w:t>（三）强化定期报告和执法检查</w:t>
      </w:r>
    </w:p>
    <w:p w:rsidR="00E30CF7" w:rsidRDefault="00E30CF7" w:rsidP="00E30CF7">
      <w:pPr>
        <w:pStyle w:val="10"/>
        <w:shd w:val="clear" w:color="auto" w:fill="FFFFFF"/>
        <w:spacing w:before="0" w:beforeAutospacing="0" w:after="0" w:afterAutospacing="0" w:line="600" w:lineRule="exact"/>
        <w:ind w:firstLineChars="200" w:firstLine="640"/>
        <w:jc w:val="both"/>
        <w:rPr>
          <w:rFonts w:ascii="楷体_GB2312" w:eastAsia="楷体_GB2312" w:hAnsi="楷体_GB2312"/>
          <w:b/>
          <w:sz w:val="32"/>
          <w:szCs w:val="32"/>
          <w:shd w:val="clear" w:color="auto" w:fill="FFFFFF"/>
        </w:rPr>
      </w:pPr>
      <w:r>
        <w:rPr>
          <w:rFonts w:ascii="仿宋_GB2312" w:eastAsia="仿宋_GB2312" w:hAnsi="仿宋_GB2312" w:cs="仿宋_GB2312" w:hint="eastAsia"/>
          <w:sz w:val="32"/>
          <w:szCs w:val="32"/>
        </w:rPr>
        <w:t>各盟市工业炉窑综合</w:t>
      </w:r>
      <w:r>
        <w:rPr>
          <w:rFonts w:ascii="Times New Roman" w:eastAsia="仿宋_GB2312" w:hAnsi="Times New Roman" w:cs="Times New Roman" w:hint="eastAsia"/>
          <w:sz w:val="32"/>
          <w:szCs w:val="32"/>
        </w:rPr>
        <w:t>治理</w:t>
      </w:r>
      <w:r>
        <w:rPr>
          <w:rFonts w:ascii="仿宋_GB2312" w:eastAsia="仿宋_GB2312" w:hAnsi="仿宋_GB2312" w:cs="仿宋_GB2312" w:hint="eastAsia"/>
          <w:sz w:val="32"/>
          <w:szCs w:val="32"/>
        </w:rPr>
        <w:t>工作实行季度报告制。在每季度初3个工作日内，将辖区内上季度工业炉窑综合</w:t>
      </w:r>
      <w:r>
        <w:rPr>
          <w:rFonts w:ascii="Times New Roman" w:eastAsia="仿宋_GB2312" w:hAnsi="Times New Roman" w:cs="Times New Roman" w:hint="eastAsia"/>
          <w:sz w:val="32"/>
          <w:szCs w:val="32"/>
        </w:rPr>
        <w:t>治理</w:t>
      </w:r>
      <w:r>
        <w:rPr>
          <w:rFonts w:ascii="仿宋_GB2312" w:eastAsia="仿宋_GB2312" w:hAnsi="仿宋_GB2312" w:cs="仿宋_GB2312" w:hint="eastAsia"/>
          <w:sz w:val="32"/>
          <w:szCs w:val="32"/>
        </w:rPr>
        <w:t>工作情况汇总材料和实施的重点项目表（附</w:t>
      </w:r>
      <w:r>
        <w:rPr>
          <w:rFonts w:ascii="仿宋_GB2312" w:eastAsia="仿宋_GB2312" w:hAnsi="微软雅黑" w:hint="eastAsia"/>
          <w:sz w:val="32"/>
          <w:szCs w:val="32"/>
        </w:rPr>
        <w:t>表</w:t>
      </w:r>
      <w:r>
        <w:rPr>
          <w:rFonts w:ascii="仿宋_GB2312" w:eastAsia="仿宋_GB2312" w:hAnsi="仿宋_GB2312" w:cs="仿宋_GB2312" w:hint="eastAsia"/>
          <w:sz w:val="32"/>
          <w:szCs w:val="32"/>
        </w:rPr>
        <w:t>3）一并上报至自治区生态环境厅。各盟市人民政府要积极开展工业炉窑专项执法行动，加强日常监督和执法检查，严厉打击违法排污行为。对不达标、未按证排污、弄虚作假、擅自停运环保设施等严重违法行为，综合运用按日连续处罚、查封扣押、限产停产等手段依法从严处罚，并依法追究相关人员责任。自治区相关主管部门组织开展日常调度和联合督导，对各盟市每季度工业炉窑综合治理工作进展缓慢、敷衍了事，甚至弄虚作假的，对相关盟市政府实行通报、约谈。</w:t>
      </w:r>
      <w:r>
        <w:rPr>
          <w:rFonts w:ascii="楷体_GB2312" w:eastAsia="楷体_GB2312" w:hAnsi="楷体_GB2312" w:hint="eastAsia"/>
          <w:b/>
          <w:sz w:val="32"/>
          <w:szCs w:val="32"/>
          <w:shd w:val="clear" w:color="auto" w:fill="FFFFFF"/>
        </w:rPr>
        <w:t>（自治区生态环境厅牵头督导，自治区发展和改革委、工业和信息化厅、财政厅按职责分工负责）</w:t>
      </w:r>
    </w:p>
    <w:p w:rsidR="00E30CF7" w:rsidRDefault="00E30CF7" w:rsidP="00E30CF7">
      <w:pPr>
        <w:pStyle w:val="10"/>
        <w:shd w:val="clear" w:color="auto" w:fill="FFFFFF"/>
        <w:spacing w:before="0" w:beforeAutospacing="0" w:after="0" w:afterAutospacing="0" w:line="600" w:lineRule="exact"/>
        <w:ind w:firstLineChars="200" w:firstLine="643"/>
        <w:rPr>
          <w:rFonts w:ascii="楷体_GB2312" w:eastAsia="楷体_GB2312" w:hAnsi="楷体_GB2312"/>
          <w:b/>
          <w:sz w:val="32"/>
          <w:szCs w:val="32"/>
          <w:shd w:val="clear" w:color="auto" w:fill="FFFFFF"/>
        </w:rPr>
      </w:pPr>
      <w:r>
        <w:rPr>
          <w:rFonts w:ascii="楷体_GB2312" w:eastAsia="楷体_GB2312" w:hAnsi="楷体_GB2312" w:hint="eastAsia"/>
          <w:b/>
          <w:sz w:val="32"/>
          <w:szCs w:val="32"/>
          <w:shd w:val="clear" w:color="auto" w:fill="FFFFFF"/>
        </w:rPr>
        <w:t>（四）加强重点污染源自动监控体系建设</w:t>
      </w:r>
    </w:p>
    <w:p w:rsidR="00E30CF7" w:rsidRDefault="00E30CF7" w:rsidP="00E30CF7">
      <w:pPr>
        <w:pStyle w:val="10"/>
        <w:shd w:val="clear" w:color="auto" w:fill="FFFFFF"/>
        <w:spacing w:before="0" w:beforeAutospacing="0" w:after="0" w:afterAutospacing="0" w:line="600" w:lineRule="exact"/>
        <w:ind w:firstLineChars="200" w:firstLine="640"/>
        <w:jc w:val="both"/>
        <w:rPr>
          <w:rFonts w:ascii="楷体_GB2312" w:eastAsia="楷体_GB2312" w:hAnsi="楷体_GB2312"/>
          <w:b/>
          <w:sz w:val="32"/>
          <w:szCs w:val="32"/>
          <w:shd w:val="clear" w:color="auto" w:fill="FFFFFF"/>
        </w:rPr>
      </w:pPr>
      <w:r>
        <w:rPr>
          <w:rFonts w:ascii="仿宋_GB2312" w:eastAsia="仿宋_GB2312" w:hAnsi="Times New Roman" w:hint="eastAsia"/>
          <w:sz w:val="32"/>
          <w:szCs w:val="32"/>
        </w:rPr>
        <w:t>加强重点污染源自动监控体系建设。排气口高度超过 45 米的高架源，纳入重点排污单位名录，督促企业安装烟</w:t>
      </w:r>
      <w:r>
        <w:rPr>
          <w:rFonts w:ascii="仿宋_GB2312" w:eastAsia="仿宋_GB2312" w:hAnsi="Times New Roman" w:hint="eastAsia"/>
          <w:sz w:val="32"/>
          <w:szCs w:val="32"/>
        </w:rPr>
        <w:lastRenderedPageBreak/>
        <w:t>气排放自动监控设施。钢铁、焦化、水泥、平板玻璃、陶瓷、氮肥、有色金属冶炼、再生有色金属等行业，严格按照排污许可管理规定安装和运行自动监控设施；加快其他行业工业炉窑大气污染排放自动监控设施建设。具备条件的企业，应安装分布式控制系统（DCS），记录工业炉窑环保设施运行及相关生产过程主要参数。推进焦炉炉体等安装视频监控系统。自动监控、DCS监控等数据至少要保存一年，视频监控数据至少要保存三个月。</w:t>
      </w:r>
      <w:r>
        <w:rPr>
          <w:rFonts w:ascii="楷体_GB2312" w:eastAsia="楷体_GB2312" w:hAnsi="楷体_GB2312" w:hint="eastAsia"/>
          <w:b/>
          <w:sz w:val="32"/>
          <w:szCs w:val="32"/>
          <w:shd w:val="clear" w:color="auto" w:fill="FFFFFF"/>
        </w:rPr>
        <w:t>（自治区生态环境厅牵头督导）</w:t>
      </w:r>
    </w:p>
    <w:p w:rsidR="00E30CF7" w:rsidRDefault="00E30CF7" w:rsidP="00E30CF7">
      <w:pPr>
        <w:pStyle w:val="10"/>
        <w:shd w:val="clear" w:color="auto" w:fill="FFFFFF"/>
        <w:spacing w:before="0" w:beforeAutospacing="0" w:after="0" w:afterAutospacing="0" w:line="600" w:lineRule="exact"/>
        <w:ind w:firstLineChars="200" w:firstLine="643"/>
        <w:rPr>
          <w:rFonts w:ascii="楷体_GB2312" w:eastAsia="楷体_GB2312" w:hAnsi="楷体_GB2312"/>
          <w:b/>
          <w:sz w:val="32"/>
          <w:szCs w:val="32"/>
          <w:shd w:val="clear" w:color="auto" w:fill="FFFFFF"/>
        </w:rPr>
      </w:pPr>
      <w:r>
        <w:rPr>
          <w:rFonts w:ascii="楷体_GB2312" w:eastAsia="楷体_GB2312" w:hAnsi="楷体_GB2312" w:hint="eastAsia"/>
          <w:b/>
          <w:sz w:val="32"/>
          <w:szCs w:val="32"/>
          <w:shd w:val="clear" w:color="auto" w:fill="FFFFFF"/>
        </w:rPr>
        <w:t>（五）强化监测数据质量控制</w:t>
      </w:r>
    </w:p>
    <w:p w:rsidR="00E30CF7" w:rsidRDefault="00E30CF7" w:rsidP="00E30CF7">
      <w:pPr>
        <w:pStyle w:val="10"/>
        <w:shd w:val="clear" w:color="auto" w:fill="FFFFFF"/>
        <w:spacing w:before="0" w:beforeAutospacing="0" w:after="0" w:afterAutospacing="0" w:line="600" w:lineRule="exact"/>
        <w:ind w:firstLineChars="200" w:firstLine="640"/>
        <w:jc w:val="both"/>
        <w:rPr>
          <w:rFonts w:ascii="楷体_GB2312" w:eastAsia="楷体_GB2312" w:hAnsi="楷体_GB2312"/>
          <w:b/>
          <w:sz w:val="32"/>
          <w:szCs w:val="32"/>
          <w:shd w:val="clear" w:color="auto" w:fill="FFFFFF"/>
        </w:rPr>
      </w:pPr>
      <w:r>
        <w:rPr>
          <w:rFonts w:ascii="仿宋_GB2312" w:eastAsia="仿宋_GB2312" w:hAnsi="Times New Roman" w:hint="eastAsia"/>
          <w:sz w:val="32"/>
          <w:szCs w:val="32"/>
        </w:rPr>
        <w:t>自动监控设施应与生态环境主管部门联网。加强自动监控设施运营维护，数据传输有效率达到90%。企业在正常生产以及限产、停产、检修等非正常工况下，均应保证自动监控设施正常运行并联网传输数据。各地对出现数据缺失、长时间掉线等异常情况，要及时进行核实和调查处理。严厉打击篡改、伪造监测数据等行为，对监测机构运行维护不到位及篡改、伪造、干扰监测数据的，排污单位弄虚作假的，依纪依法从严处罚，追究责任。</w:t>
      </w:r>
      <w:r>
        <w:rPr>
          <w:rFonts w:ascii="楷体_GB2312" w:eastAsia="楷体_GB2312" w:hAnsi="楷体_GB2312" w:hint="eastAsia"/>
          <w:b/>
          <w:sz w:val="32"/>
          <w:szCs w:val="32"/>
          <w:shd w:val="clear" w:color="auto" w:fill="FFFFFF"/>
        </w:rPr>
        <w:t>（自治区生态环境厅牵头督导）</w:t>
      </w:r>
    </w:p>
    <w:p w:rsidR="00E30CF7" w:rsidRDefault="00E30CF7" w:rsidP="00E30CF7">
      <w:pPr>
        <w:pStyle w:val="10"/>
        <w:shd w:val="clear" w:color="auto" w:fill="FFFFFF"/>
        <w:spacing w:before="0" w:beforeAutospacing="0" w:after="0" w:afterAutospacing="0" w:line="600" w:lineRule="exact"/>
        <w:ind w:firstLineChars="200" w:firstLine="643"/>
        <w:rPr>
          <w:rFonts w:ascii="楷体_GB2312" w:eastAsia="楷体_GB2312" w:hAnsi="楷体_GB2312"/>
          <w:b/>
          <w:sz w:val="32"/>
          <w:szCs w:val="32"/>
          <w:shd w:val="clear" w:color="auto" w:fill="FFFFFF"/>
        </w:rPr>
      </w:pPr>
      <w:r>
        <w:rPr>
          <w:rFonts w:ascii="楷体_GB2312" w:eastAsia="楷体_GB2312" w:hAnsi="楷体_GB2312" w:hint="eastAsia"/>
          <w:b/>
          <w:sz w:val="32"/>
          <w:szCs w:val="32"/>
          <w:shd w:val="clear" w:color="auto" w:fill="FFFFFF"/>
        </w:rPr>
        <w:t>（六）完善经济政策</w:t>
      </w:r>
    </w:p>
    <w:p w:rsidR="00E30CF7" w:rsidRDefault="00E30CF7" w:rsidP="00E30CF7">
      <w:pPr>
        <w:pStyle w:val="10"/>
        <w:shd w:val="clear" w:color="auto" w:fill="FFFFFF"/>
        <w:spacing w:before="0" w:beforeAutospacing="0" w:after="0" w:afterAutospacing="0" w:line="600" w:lineRule="exact"/>
        <w:ind w:firstLineChars="200" w:firstLine="640"/>
        <w:jc w:val="both"/>
        <w:rPr>
          <w:rFonts w:ascii="楷体_GB2312" w:eastAsia="楷体_GB2312" w:hAnsi="楷体_GB2312"/>
          <w:b/>
          <w:sz w:val="32"/>
          <w:szCs w:val="32"/>
          <w:shd w:val="clear" w:color="auto" w:fill="FFFFFF"/>
        </w:rPr>
      </w:pPr>
      <w:r>
        <w:rPr>
          <w:rFonts w:ascii="仿宋_GB2312" w:eastAsia="仿宋_GB2312" w:hAnsi="Times New Roman" w:hint="eastAsia"/>
          <w:bCs/>
          <w:sz w:val="32"/>
          <w:szCs w:val="32"/>
        </w:rPr>
        <w:t>各级财政应加大对工业炉窑综合</w:t>
      </w:r>
      <w:r>
        <w:rPr>
          <w:rFonts w:ascii="仿宋_GB2312" w:eastAsia="仿宋_GB2312" w:hAnsi="微软雅黑" w:hint="eastAsia"/>
          <w:sz w:val="32"/>
          <w:szCs w:val="32"/>
          <w:shd w:val="clear" w:color="auto" w:fill="FFFFFF"/>
        </w:rPr>
        <w:t>治理</w:t>
      </w:r>
      <w:r>
        <w:rPr>
          <w:rFonts w:ascii="仿宋_GB2312" w:eastAsia="仿宋_GB2312" w:hAnsi="Times New Roman" w:hint="eastAsia"/>
          <w:bCs/>
          <w:sz w:val="32"/>
          <w:szCs w:val="32"/>
        </w:rPr>
        <w:t>支持力度，对我区工业炉窑治理标杆企业予以引导性、奖励性资金支持。自治区财政大气污染防治专项资金应向工业炉窑治理重点区域盟市以及治理进展快、规模大的其他盟市予以适当倾斜。严格落实铁合金、电石、烧碱、水泥、钢铁、黄磷、锌冶炼等</w:t>
      </w:r>
      <w:r>
        <w:rPr>
          <w:rFonts w:ascii="仿宋_GB2312" w:eastAsia="仿宋_GB2312" w:hAnsi="Times New Roman" w:hint="eastAsia"/>
          <w:bCs/>
          <w:sz w:val="32"/>
          <w:szCs w:val="32"/>
        </w:rPr>
        <w:lastRenderedPageBreak/>
        <w:t>行业差别电价政策，对限制类企业用电</w:t>
      </w:r>
      <w:r>
        <w:rPr>
          <w:rFonts w:ascii="仿宋_GB2312" w:eastAsia="仿宋_GB2312" w:hAnsi="Times New Roman"/>
          <w:bCs/>
          <w:sz w:val="32"/>
          <w:szCs w:val="32"/>
        </w:rPr>
        <w:t>(</w:t>
      </w:r>
      <w:r>
        <w:rPr>
          <w:rFonts w:ascii="仿宋_GB2312" w:eastAsia="仿宋_GB2312" w:hAnsi="Times New Roman" w:hint="eastAsia"/>
          <w:bCs/>
          <w:sz w:val="32"/>
          <w:szCs w:val="32"/>
        </w:rPr>
        <w:t>含市场化交易电量</w:t>
      </w:r>
      <w:r>
        <w:rPr>
          <w:rFonts w:ascii="仿宋_GB2312" w:eastAsia="仿宋_GB2312" w:hAnsi="Times New Roman"/>
          <w:bCs/>
          <w:sz w:val="32"/>
          <w:szCs w:val="32"/>
        </w:rPr>
        <w:t>)</w:t>
      </w:r>
      <w:r>
        <w:rPr>
          <w:rFonts w:ascii="仿宋_GB2312" w:eastAsia="仿宋_GB2312" w:hAnsi="Times New Roman" w:hint="eastAsia"/>
          <w:bCs/>
          <w:sz w:val="32"/>
          <w:szCs w:val="32"/>
        </w:rPr>
        <w:t>实行更高价格，推动涉工业炉窑行业加快落后产能淘汰。支持符合条件的企业发行企业债券进行直接融资，募集资金用于工业炉窑综合治理等。</w:t>
      </w:r>
      <w:r>
        <w:rPr>
          <w:rFonts w:ascii="楷体_GB2312" w:eastAsia="楷体_GB2312" w:hAnsi="楷体_GB2312" w:hint="eastAsia"/>
          <w:b/>
          <w:sz w:val="32"/>
          <w:szCs w:val="32"/>
          <w:shd w:val="clear" w:color="auto" w:fill="FFFFFF"/>
        </w:rPr>
        <w:t>（自治区发展和改革委、财政厅牵头督导）</w:t>
      </w:r>
    </w:p>
    <w:p w:rsidR="00E30CF7" w:rsidRDefault="00E30CF7" w:rsidP="00E30CF7">
      <w:pPr>
        <w:pStyle w:val="10"/>
        <w:shd w:val="clear" w:color="auto" w:fill="FFFFFF"/>
        <w:spacing w:before="0" w:beforeAutospacing="0" w:after="0" w:afterAutospacing="0" w:line="600" w:lineRule="exact"/>
        <w:ind w:firstLineChars="200" w:firstLine="643"/>
        <w:rPr>
          <w:rFonts w:ascii="楷体_GB2312" w:eastAsia="楷体_GB2312" w:hAnsi="楷体_GB2312"/>
          <w:b/>
          <w:sz w:val="32"/>
          <w:szCs w:val="32"/>
          <w:shd w:val="clear" w:color="auto" w:fill="FFFFFF"/>
        </w:rPr>
      </w:pPr>
      <w:r>
        <w:rPr>
          <w:rFonts w:ascii="楷体_GB2312" w:eastAsia="楷体_GB2312" w:hAnsi="楷体_GB2312" w:hint="eastAsia"/>
          <w:b/>
          <w:sz w:val="32"/>
          <w:szCs w:val="32"/>
          <w:shd w:val="clear" w:color="auto" w:fill="FFFFFF"/>
        </w:rPr>
        <w:t>（七）强化重污染天气应对</w:t>
      </w:r>
    </w:p>
    <w:p w:rsidR="00E30CF7" w:rsidRDefault="00E30CF7" w:rsidP="00E30CF7">
      <w:pPr>
        <w:pStyle w:val="10"/>
        <w:shd w:val="clear" w:color="auto" w:fill="FFFFFF"/>
        <w:spacing w:before="0" w:beforeAutospacing="0" w:after="0" w:afterAutospacing="0" w:line="600" w:lineRule="exact"/>
        <w:ind w:firstLineChars="200" w:firstLine="640"/>
        <w:jc w:val="both"/>
        <w:rPr>
          <w:rFonts w:ascii="楷体_GB2312" w:eastAsia="楷体_GB2312" w:hAnsi="楷体_GB2312"/>
          <w:b/>
          <w:sz w:val="32"/>
          <w:szCs w:val="32"/>
          <w:shd w:val="clear" w:color="auto" w:fill="FFFFFF"/>
        </w:rPr>
      </w:pPr>
      <w:r>
        <w:rPr>
          <w:rFonts w:ascii="仿宋_GB2312" w:eastAsia="仿宋_GB2312" w:hAnsi="Times New Roman" w:hint="eastAsia"/>
          <w:bCs/>
          <w:sz w:val="32"/>
          <w:szCs w:val="32"/>
        </w:rPr>
        <w:t>各盟市应将涉工业炉窑企业全面纳入重污染天气应急减排清单，以“可操作、可检测、可核查”为基本要求，采取切实有效的应急减排措施，落实到具体生产线和设备，做到全覆盖。原则上工业炉窑应以停止生产线或主要产排污环节（设备）为主，对不可临时中断的生产线或生产工序，相关企业应提前调整生产计划，确保预警期间减排措施的落实。树立我区工业炉窑治理标杆企业，根据污染排放绩效水平，实行差异化应急减排管理，对我区工业炉窑治理标杆企业和完成工业炉窑超低排放改造并稳定运行的企业，在重污染天气应对等方面予以支持。</w:t>
      </w:r>
      <w:r>
        <w:rPr>
          <w:rFonts w:ascii="楷体_GB2312" w:eastAsia="楷体_GB2312" w:hAnsi="楷体_GB2312" w:hint="eastAsia"/>
          <w:b/>
          <w:sz w:val="32"/>
          <w:szCs w:val="32"/>
          <w:shd w:val="clear" w:color="auto" w:fill="FFFFFF"/>
        </w:rPr>
        <w:t>（自治区生态环境厅、内蒙古气象局牵头督导）</w:t>
      </w:r>
    </w:p>
    <w:p w:rsidR="00E30CF7" w:rsidRDefault="00E30CF7" w:rsidP="00E30CF7">
      <w:pPr>
        <w:pStyle w:val="10"/>
        <w:shd w:val="clear" w:color="auto" w:fill="FFFFFF"/>
        <w:spacing w:before="0" w:beforeAutospacing="0" w:after="0" w:afterAutospacing="0"/>
        <w:ind w:firstLineChars="200" w:firstLine="643"/>
        <w:rPr>
          <w:rFonts w:ascii="楷体_GB2312" w:eastAsia="楷体_GB2312" w:hAnsi="楷体_GB2312"/>
          <w:b/>
          <w:sz w:val="32"/>
          <w:szCs w:val="32"/>
          <w:shd w:val="clear" w:color="auto" w:fill="FFFFFF"/>
        </w:rPr>
      </w:pPr>
    </w:p>
    <w:p w:rsidR="00E30CF7" w:rsidRDefault="00E30CF7" w:rsidP="00E30CF7">
      <w:pPr>
        <w:pStyle w:val="10"/>
        <w:shd w:val="clear" w:color="auto" w:fill="FFFFFF"/>
        <w:spacing w:before="0" w:beforeAutospacing="0" w:after="0" w:afterAutospacing="0"/>
        <w:ind w:firstLineChars="200" w:firstLine="643"/>
        <w:rPr>
          <w:rFonts w:ascii="楷体_GB2312" w:eastAsia="楷体_GB2312" w:hAnsi="楷体_GB2312"/>
          <w:b/>
          <w:sz w:val="32"/>
          <w:szCs w:val="32"/>
          <w:shd w:val="clear" w:color="auto" w:fill="FFFFFF"/>
        </w:rPr>
      </w:pPr>
    </w:p>
    <w:p w:rsidR="00E30CF7" w:rsidRDefault="00E30CF7" w:rsidP="00E30CF7">
      <w:pPr>
        <w:pStyle w:val="10"/>
        <w:shd w:val="clear" w:color="auto" w:fill="FFFFFF"/>
        <w:spacing w:before="0" w:beforeAutospacing="0" w:after="0" w:afterAutospacing="0"/>
        <w:ind w:firstLineChars="200" w:firstLine="643"/>
        <w:rPr>
          <w:rFonts w:ascii="楷体_GB2312" w:eastAsia="楷体_GB2312" w:hAnsi="楷体_GB2312"/>
          <w:b/>
          <w:sz w:val="32"/>
          <w:szCs w:val="32"/>
          <w:shd w:val="clear" w:color="auto" w:fill="FFFFFF"/>
        </w:rPr>
      </w:pPr>
    </w:p>
    <w:p w:rsidR="00E30CF7" w:rsidRDefault="00E30CF7" w:rsidP="00E30CF7">
      <w:pPr>
        <w:pStyle w:val="10"/>
        <w:shd w:val="clear" w:color="auto" w:fill="FFFFFF"/>
        <w:spacing w:before="0" w:beforeAutospacing="0" w:after="0" w:afterAutospacing="0"/>
        <w:ind w:firstLineChars="200" w:firstLine="643"/>
        <w:rPr>
          <w:rFonts w:ascii="楷体_GB2312" w:eastAsia="楷体_GB2312" w:hAnsi="楷体_GB2312"/>
          <w:b/>
          <w:sz w:val="32"/>
          <w:szCs w:val="32"/>
          <w:shd w:val="clear" w:color="auto" w:fill="FFFFFF"/>
        </w:rPr>
      </w:pPr>
    </w:p>
    <w:p w:rsidR="00E30CF7" w:rsidRDefault="00E30CF7" w:rsidP="00E30CF7">
      <w:pPr>
        <w:pStyle w:val="10"/>
        <w:shd w:val="clear" w:color="auto" w:fill="FFFFFF"/>
        <w:spacing w:before="0" w:beforeAutospacing="0" w:after="0" w:afterAutospacing="0"/>
        <w:ind w:firstLineChars="200" w:firstLine="643"/>
        <w:rPr>
          <w:rFonts w:ascii="楷体_GB2312" w:eastAsia="楷体_GB2312" w:hAnsi="楷体_GB2312"/>
          <w:b/>
          <w:sz w:val="32"/>
          <w:szCs w:val="32"/>
          <w:shd w:val="clear" w:color="auto" w:fill="FFFFFF"/>
        </w:rPr>
      </w:pPr>
    </w:p>
    <w:p w:rsidR="00E30CF7" w:rsidRDefault="00E30CF7" w:rsidP="00E30CF7">
      <w:pPr>
        <w:pStyle w:val="10"/>
        <w:shd w:val="clear" w:color="auto" w:fill="FFFFFF"/>
        <w:spacing w:before="0" w:beforeAutospacing="0" w:after="0" w:afterAutospacing="0"/>
        <w:ind w:firstLineChars="200" w:firstLine="643"/>
        <w:rPr>
          <w:rFonts w:ascii="楷体_GB2312" w:eastAsia="楷体_GB2312" w:hAnsi="楷体_GB2312"/>
          <w:b/>
          <w:sz w:val="32"/>
          <w:szCs w:val="32"/>
          <w:shd w:val="clear" w:color="auto" w:fill="FFFFFF"/>
        </w:rPr>
      </w:pPr>
    </w:p>
    <w:p w:rsidR="00E30CF7" w:rsidRDefault="00E30CF7" w:rsidP="00E30CF7">
      <w:pPr>
        <w:widowControl/>
        <w:shd w:val="clear" w:color="auto" w:fill="FFFFFF"/>
        <w:spacing w:line="540" w:lineRule="atLeast"/>
        <w:jc w:val="left"/>
        <w:rPr>
          <w:rFonts w:ascii="微软雅黑" w:eastAsia="微软雅黑" w:hAnsi="微软雅黑" w:cs="宋体"/>
          <w:kern w:val="0"/>
          <w:sz w:val="24"/>
          <w:szCs w:val="24"/>
        </w:rPr>
      </w:pPr>
      <w:r>
        <w:rPr>
          <w:rFonts w:ascii="微软雅黑" w:eastAsia="微软雅黑" w:hAnsi="微软雅黑" w:cs="宋体" w:hint="eastAsia"/>
          <w:bCs/>
          <w:kern w:val="0"/>
          <w:sz w:val="24"/>
          <w:szCs w:val="24"/>
        </w:rPr>
        <w:lastRenderedPageBreak/>
        <w:t>附表1</w:t>
      </w:r>
    </w:p>
    <w:p w:rsidR="00E30CF7" w:rsidRDefault="00E30CF7" w:rsidP="00E30CF7">
      <w:pPr>
        <w:widowControl/>
        <w:shd w:val="clear" w:color="auto" w:fill="FFFFFF"/>
        <w:spacing w:line="540" w:lineRule="atLeast"/>
        <w:jc w:val="center"/>
        <w:rPr>
          <w:rFonts w:ascii="微软雅黑" w:eastAsia="微软雅黑" w:hAnsi="微软雅黑" w:cs="宋体"/>
          <w:kern w:val="0"/>
          <w:sz w:val="24"/>
          <w:szCs w:val="24"/>
        </w:rPr>
      </w:pPr>
      <w:r>
        <w:rPr>
          <w:rFonts w:ascii="微软雅黑" w:eastAsia="微软雅黑" w:hAnsi="微软雅黑" w:cs="宋体" w:hint="eastAsia"/>
          <w:b/>
          <w:bCs/>
          <w:kern w:val="0"/>
          <w:sz w:val="24"/>
          <w:szCs w:val="24"/>
        </w:rPr>
        <w:t>工业炉窑分类表</w:t>
      </w:r>
    </w:p>
    <w:tbl>
      <w:tblPr>
        <w:tblW w:w="0" w:type="auto"/>
        <w:jc w:val="center"/>
        <w:tblLayout w:type="fixed"/>
        <w:tblCellMar>
          <w:left w:w="0" w:type="dxa"/>
          <w:right w:w="0" w:type="dxa"/>
        </w:tblCellMar>
        <w:tblLook w:val="04A0" w:firstRow="1" w:lastRow="0" w:firstColumn="1" w:lastColumn="0" w:noHBand="0" w:noVBand="1"/>
      </w:tblPr>
      <w:tblGrid>
        <w:gridCol w:w="846"/>
        <w:gridCol w:w="1555"/>
        <w:gridCol w:w="2507"/>
        <w:gridCol w:w="2410"/>
        <w:gridCol w:w="2551"/>
      </w:tblGrid>
      <w:tr w:rsidR="00E30CF7" w:rsidTr="00CC0537">
        <w:trPr>
          <w:cantSplit/>
          <w:trHeight w:val="454"/>
          <w:jc w:val="center"/>
        </w:trPr>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b/>
                <w:bCs/>
                <w:kern w:val="0"/>
                <w:szCs w:val="21"/>
              </w:rPr>
              <w:t>炉窑类型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b/>
                <w:bCs/>
                <w:kern w:val="0"/>
                <w:szCs w:val="21"/>
              </w:rPr>
              <w:t>行业类别</w:t>
            </w:r>
          </w:p>
        </w:tc>
        <w:tc>
          <w:tcPr>
            <w:tcW w:w="2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b/>
                <w:bCs/>
                <w:kern w:val="0"/>
                <w:szCs w:val="21"/>
              </w:rPr>
              <w:t>产品类别</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b/>
                <w:bCs/>
                <w:kern w:val="0"/>
                <w:szCs w:val="21"/>
              </w:rPr>
              <w:t>炉窑子类</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b/>
                <w:bCs/>
                <w:kern w:val="0"/>
                <w:szCs w:val="21"/>
              </w:rPr>
              <w:t>说  明</w:t>
            </w:r>
          </w:p>
        </w:tc>
      </w:tr>
      <w:tr w:rsidR="00E30CF7" w:rsidTr="00CC0537">
        <w:trPr>
          <w:cantSplit/>
          <w:trHeight w:val="454"/>
          <w:jc w:val="center"/>
        </w:trPr>
        <w:tc>
          <w:tcPr>
            <w:tcW w:w="8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熔炼炉</w:t>
            </w:r>
          </w:p>
        </w:tc>
        <w:tc>
          <w:tcPr>
            <w:tcW w:w="155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钢铁</w:t>
            </w:r>
          </w:p>
        </w:tc>
        <w:tc>
          <w:tcPr>
            <w:tcW w:w="25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粗钢/生铁</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炼铁高炉</w:t>
            </w:r>
          </w:p>
        </w:tc>
        <w:tc>
          <w:tcPr>
            <w:tcW w:w="25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将物料熔化，使其发生物理化学变化、去除杂质，获得设定组分产品的工业炉窑。</w:t>
            </w:r>
          </w:p>
        </w:tc>
      </w:tr>
      <w:tr w:rsidR="00E30CF7" w:rsidTr="00CC0537">
        <w:trPr>
          <w:cantSplit/>
          <w:trHeight w:val="454"/>
          <w:jc w:val="center"/>
        </w:trPr>
        <w:tc>
          <w:tcPr>
            <w:tcW w:w="846"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555"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2507"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炼钢转炉、炼钢电炉、铁水预处理炉</w:t>
            </w:r>
          </w:p>
        </w:tc>
        <w:tc>
          <w:tcPr>
            <w:tcW w:w="2551"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r>
      <w:tr w:rsidR="00E30CF7" w:rsidTr="00CC0537">
        <w:trPr>
          <w:cantSplit/>
          <w:trHeight w:val="839"/>
          <w:jc w:val="center"/>
        </w:trPr>
        <w:tc>
          <w:tcPr>
            <w:tcW w:w="846"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铁合金</w:t>
            </w:r>
          </w:p>
        </w:tc>
        <w:tc>
          <w:tcPr>
            <w:tcW w:w="2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铁合金</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spacing w:val="-4"/>
                <w:kern w:val="0"/>
                <w:szCs w:val="21"/>
              </w:rPr>
              <w:t>还原矿热电炉、精炼电炉、锰铁高炉、富锰渣高炉、精炼转炉、</w:t>
            </w:r>
            <w:r>
              <w:rPr>
                <w:rFonts w:ascii="宋体" w:hAnsi="宋体" w:cs="宋体" w:hint="eastAsia"/>
                <w:kern w:val="0"/>
                <w:szCs w:val="21"/>
              </w:rPr>
              <w:t>铝热法熔炼炉等</w:t>
            </w:r>
          </w:p>
        </w:tc>
        <w:tc>
          <w:tcPr>
            <w:tcW w:w="2551"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r>
      <w:tr w:rsidR="00E30CF7" w:rsidTr="00CC0537">
        <w:trPr>
          <w:cantSplit/>
          <w:trHeight w:val="811"/>
          <w:jc w:val="center"/>
        </w:trPr>
        <w:tc>
          <w:tcPr>
            <w:tcW w:w="846"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有色</w:t>
            </w:r>
          </w:p>
        </w:tc>
        <w:tc>
          <w:tcPr>
            <w:tcW w:w="2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铝、铜、铅、锌、钛、钴、镍、锡、锑、稀土、钒、硅等</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底（侧、顶）吹炉、闪速炉、阳极炉、转炉、反射炉、铝电解槽、矿热炉、鼓风炉等</w:t>
            </w:r>
          </w:p>
        </w:tc>
        <w:tc>
          <w:tcPr>
            <w:tcW w:w="2551"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r>
      <w:tr w:rsidR="00E30CF7" w:rsidTr="00CC0537">
        <w:trPr>
          <w:cantSplit/>
          <w:trHeight w:val="454"/>
          <w:jc w:val="center"/>
        </w:trPr>
        <w:tc>
          <w:tcPr>
            <w:tcW w:w="846"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建材</w:t>
            </w:r>
          </w:p>
        </w:tc>
        <w:tc>
          <w:tcPr>
            <w:tcW w:w="2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玻璃、岩矿棉等</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玻璃熔窑、岩矿棉熔炼炉等</w:t>
            </w:r>
          </w:p>
        </w:tc>
        <w:tc>
          <w:tcPr>
            <w:tcW w:w="2551"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r>
      <w:tr w:rsidR="00E30CF7" w:rsidTr="00CC0537">
        <w:trPr>
          <w:cantSplit/>
          <w:trHeight w:val="454"/>
          <w:jc w:val="center"/>
        </w:trPr>
        <w:tc>
          <w:tcPr>
            <w:tcW w:w="846"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化工</w:t>
            </w:r>
          </w:p>
        </w:tc>
        <w:tc>
          <w:tcPr>
            <w:tcW w:w="2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电石、黄磷等</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电石炉、黄磷炉等</w:t>
            </w:r>
          </w:p>
        </w:tc>
        <w:tc>
          <w:tcPr>
            <w:tcW w:w="2551"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r>
      <w:tr w:rsidR="00E30CF7" w:rsidTr="00CC0537">
        <w:trPr>
          <w:cantSplit/>
          <w:trHeight w:val="454"/>
          <w:jc w:val="center"/>
        </w:trPr>
        <w:tc>
          <w:tcPr>
            <w:tcW w:w="846"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轻工</w:t>
            </w:r>
          </w:p>
        </w:tc>
        <w:tc>
          <w:tcPr>
            <w:tcW w:w="2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日用玻璃</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玻璃熔窑等</w:t>
            </w:r>
          </w:p>
        </w:tc>
        <w:tc>
          <w:tcPr>
            <w:tcW w:w="2551"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r>
      <w:tr w:rsidR="00E30CF7" w:rsidTr="00CC0537">
        <w:trPr>
          <w:cantSplit/>
          <w:trHeight w:val="454"/>
          <w:jc w:val="center"/>
        </w:trPr>
        <w:tc>
          <w:tcPr>
            <w:tcW w:w="8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熔化炉</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铸造</w:t>
            </w:r>
          </w:p>
        </w:tc>
        <w:tc>
          <w:tcPr>
            <w:tcW w:w="2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铸件</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冲天炉、感应电炉、电弧炉、燃气炉等</w:t>
            </w:r>
          </w:p>
        </w:tc>
        <w:tc>
          <w:tcPr>
            <w:tcW w:w="25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将物料或工件熔化成液体的工业炉窑。</w:t>
            </w:r>
          </w:p>
        </w:tc>
      </w:tr>
      <w:tr w:rsidR="00E30CF7" w:rsidTr="00CC0537">
        <w:trPr>
          <w:cantSplit/>
          <w:trHeight w:val="454"/>
          <w:jc w:val="center"/>
        </w:trPr>
        <w:tc>
          <w:tcPr>
            <w:tcW w:w="846"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有色</w:t>
            </w:r>
          </w:p>
        </w:tc>
        <w:tc>
          <w:tcPr>
            <w:tcW w:w="2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铝、铜、铅等制品</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化铅炉、熔铝炉、熔铜炉等</w:t>
            </w:r>
          </w:p>
        </w:tc>
        <w:tc>
          <w:tcPr>
            <w:tcW w:w="2551"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r>
      <w:tr w:rsidR="00E30CF7" w:rsidTr="00CC0537">
        <w:trPr>
          <w:cantSplit/>
          <w:trHeight w:val="454"/>
          <w:jc w:val="center"/>
        </w:trPr>
        <w:tc>
          <w:tcPr>
            <w:tcW w:w="846"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建材</w:t>
            </w:r>
          </w:p>
        </w:tc>
        <w:tc>
          <w:tcPr>
            <w:tcW w:w="2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玻璃、玻璃纤维等制品</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玻璃、玻璃纤维熔化炉等</w:t>
            </w:r>
          </w:p>
        </w:tc>
        <w:tc>
          <w:tcPr>
            <w:tcW w:w="2551"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r>
      <w:tr w:rsidR="00E30CF7" w:rsidTr="00CC0537">
        <w:trPr>
          <w:cantSplit/>
          <w:trHeight w:val="454"/>
          <w:jc w:val="center"/>
        </w:trPr>
        <w:tc>
          <w:tcPr>
            <w:tcW w:w="846"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化工</w:t>
            </w:r>
          </w:p>
        </w:tc>
        <w:tc>
          <w:tcPr>
            <w:tcW w:w="2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铅、锌等重金属单质、烧碱等</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熔融炉等</w:t>
            </w:r>
          </w:p>
        </w:tc>
        <w:tc>
          <w:tcPr>
            <w:tcW w:w="2551"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r>
      <w:tr w:rsidR="00E30CF7" w:rsidTr="00CC0537">
        <w:trPr>
          <w:cantSplit/>
          <w:trHeight w:val="340"/>
          <w:jc w:val="center"/>
        </w:trPr>
        <w:tc>
          <w:tcPr>
            <w:tcW w:w="8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焙（煅）烧炉（窑）</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钢铁</w:t>
            </w:r>
          </w:p>
        </w:tc>
        <w:tc>
          <w:tcPr>
            <w:tcW w:w="2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烧结矿、球团矿</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烧结机、球团竖炉、链篦机回转窑、球团带式焙烧机</w:t>
            </w:r>
          </w:p>
        </w:tc>
        <w:tc>
          <w:tcPr>
            <w:tcW w:w="25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对物料进行焙（煅）烧，使其发生物理化学变化或烧结成块的工业炉窑。</w:t>
            </w:r>
          </w:p>
        </w:tc>
      </w:tr>
      <w:tr w:rsidR="00E30CF7" w:rsidTr="00CC0537">
        <w:trPr>
          <w:cantSplit/>
          <w:trHeight w:val="340"/>
          <w:jc w:val="center"/>
        </w:trPr>
        <w:tc>
          <w:tcPr>
            <w:tcW w:w="846"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有色</w:t>
            </w:r>
          </w:p>
        </w:tc>
        <w:tc>
          <w:tcPr>
            <w:tcW w:w="2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氧化铝、稀土、镁等</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spacing w:val="-4"/>
                <w:kern w:val="0"/>
                <w:szCs w:val="21"/>
              </w:rPr>
              <w:t>焙烧炉、煅烧炉（窑）、熟料烧成窑、回转窑等</w:t>
            </w:r>
          </w:p>
        </w:tc>
        <w:tc>
          <w:tcPr>
            <w:tcW w:w="2551"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r>
      <w:tr w:rsidR="00E30CF7" w:rsidTr="00CC0537">
        <w:trPr>
          <w:cantSplit/>
          <w:trHeight w:val="340"/>
          <w:jc w:val="center"/>
        </w:trPr>
        <w:tc>
          <w:tcPr>
            <w:tcW w:w="846"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55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建材</w:t>
            </w:r>
          </w:p>
        </w:tc>
        <w:tc>
          <w:tcPr>
            <w:tcW w:w="2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水泥</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新型干法窑、立窑等</w:t>
            </w:r>
          </w:p>
        </w:tc>
        <w:tc>
          <w:tcPr>
            <w:tcW w:w="2551"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r>
      <w:tr w:rsidR="00E30CF7" w:rsidTr="00CC0537">
        <w:trPr>
          <w:cantSplit/>
          <w:trHeight w:val="340"/>
          <w:jc w:val="center"/>
        </w:trPr>
        <w:tc>
          <w:tcPr>
            <w:tcW w:w="846"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555"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2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陶瓷（含卫生陶瓷等）、搪瓷</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辊道窑、隧道窑、梭式窑等</w:t>
            </w:r>
          </w:p>
        </w:tc>
        <w:tc>
          <w:tcPr>
            <w:tcW w:w="2551"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r>
      <w:tr w:rsidR="00E30CF7" w:rsidTr="00CC0537">
        <w:trPr>
          <w:cantSplit/>
          <w:trHeight w:val="340"/>
          <w:jc w:val="center"/>
        </w:trPr>
        <w:tc>
          <w:tcPr>
            <w:tcW w:w="846"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555"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2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耐火材料</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回转窑、隧道窑等</w:t>
            </w:r>
          </w:p>
        </w:tc>
        <w:tc>
          <w:tcPr>
            <w:tcW w:w="2551"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r>
      <w:tr w:rsidR="00E30CF7" w:rsidTr="00CC0537">
        <w:trPr>
          <w:cantSplit/>
          <w:trHeight w:val="340"/>
          <w:jc w:val="center"/>
        </w:trPr>
        <w:tc>
          <w:tcPr>
            <w:tcW w:w="846"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555"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2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砖瓦</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隧道窑、轮窑等</w:t>
            </w:r>
          </w:p>
        </w:tc>
        <w:tc>
          <w:tcPr>
            <w:tcW w:w="2551"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r>
      <w:tr w:rsidR="00E30CF7" w:rsidTr="00CC0537">
        <w:trPr>
          <w:cantSplit/>
          <w:trHeight w:val="340"/>
          <w:jc w:val="center"/>
        </w:trPr>
        <w:tc>
          <w:tcPr>
            <w:tcW w:w="846"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555"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2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石灰</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竖窑、套筒窑等</w:t>
            </w:r>
          </w:p>
        </w:tc>
        <w:tc>
          <w:tcPr>
            <w:tcW w:w="2551"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r>
      <w:tr w:rsidR="00E30CF7" w:rsidTr="00CC0537">
        <w:trPr>
          <w:cantSplit/>
          <w:trHeight w:val="340"/>
          <w:jc w:val="center"/>
        </w:trPr>
        <w:tc>
          <w:tcPr>
            <w:tcW w:w="846"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55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化工</w:t>
            </w:r>
          </w:p>
        </w:tc>
        <w:tc>
          <w:tcPr>
            <w:tcW w:w="2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铬、钡、锶、铅、锌、锰等重金属无机化合物、硫化合物、硫酸盐、磷酸盐、无机氟化物、轻质碳酸钙、泡花碱等</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回转窑、竖窑、马蹄窑等</w:t>
            </w:r>
          </w:p>
        </w:tc>
        <w:tc>
          <w:tcPr>
            <w:tcW w:w="2551"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r>
      <w:tr w:rsidR="00E30CF7" w:rsidTr="00CC0537">
        <w:trPr>
          <w:cantSplit/>
          <w:trHeight w:val="340"/>
          <w:jc w:val="center"/>
        </w:trPr>
        <w:tc>
          <w:tcPr>
            <w:tcW w:w="846"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555"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2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炭素</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焙烧炉、煅烧炉（窑）</w:t>
            </w:r>
          </w:p>
        </w:tc>
        <w:tc>
          <w:tcPr>
            <w:tcW w:w="2551"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r>
      <w:tr w:rsidR="00E30CF7" w:rsidTr="00CC0537">
        <w:trPr>
          <w:cantSplit/>
          <w:trHeight w:val="340"/>
          <w:jc w:val="center"/>
        </w:trPr>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加热炉</w:t>
            </w:r>
          </w:p>
        </w:tc>
        <w:tc>
          <w:tcPr>
            <w:tcW w:w="406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钢铁、有色、建材、化工、石化等</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将物料或工件加热，提高温度但不改变其形态的工业炉窑。</w:t>
            </w:r>
          </w:p>
        </w:tc>
      </w:tr>
      <w:tr w:rsidR="00E30CF7" w:rsidTr="00CC0537">
        <w:trPr>
          <w:cantSplit/>
          <w:trHeight w:val="340"/>
          <w:jc w:val="center"/>
        </w:trPr>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lastRenderedPageBreak/>
              <w:t>热处理炉</w:t>
            </w:r>
          </w:p>
        </w:tc>
        <w:tc>
          <w:tcPr>
            <w:tcW w:w="406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钢铁、有色、铸造等</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退火炉、正火炉、回火炉、保温炉、淬火炉、固溶炉、调质炉等</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将工件加热后进行热处理工艺（正火、回火、淬火、退火等）的工业炉窑。</w:t>
            </w:r>
          </w:p>
        </w:tc>
      </w:tr>
      <w:tr w:rsidR="00E30CF7" w:rsidTr="00CC0537">
        <w:trPr>
          <w:cantSplit/>
          <w:trHeight w:val="340"/>
          <w:jc w:val="center"/>
        </w:trPr>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干燥炉（窑）</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农林产品、设备制造、金属制品、建材、化工等</w:t>
            </w:r>
          </w:p>
        </w:tc>
        <w:tc>
          <w:tcPr>
            <w:tcW w:w="2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烟草、木材、铸造砂、砂石、矿料（渣）、化工产品、有机涂层产品等</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烘干炉（窑）、干燥炉（窑）</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去除物料或产品中所含水分或挥发分的工业炉窑。</w:t>
            </w:r>
          </w:p>
        </w:tc>
      </w:tr>
      <w:tr w:rsidR="00E30CF7" w:rsidTr="00CC0537">
        <w:trPr>
          <w:cantSplit/>
          <w:trHeight w:val="340"/>
          <w:jc w:val="center"/>
        </w:trPr>
        <w:tc>
          <w:tcPr>
            <w:tcW w:w="8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焦炉</w:t>
            </w:r>
          </w:p>
        </w:tc>
        <w:tc>
          <w:tcPr>
            <w:tcW w:w="155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焦化</w:t>
            </w:r>
          </w:p>
        </w:tc>
        <w:tc>
          <w:tcPr>
            <w:tcW w:w="2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焦炭</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常规机焦炉、热回收焦炉等</w:t>
            </w:r>
          </w:p>
        </w:tc>
        <w:tc>
          <w:tcPr>
            <w:tcW w:w="25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对炼焦煤等进行干馏转化，生产焦炭及其他副产品的工业炉窑。</w:t>
            </w:r>
          </w:p>
        </w:tc>
      </w:tr>
      <w:tr w:rsidR="00E30CF7" w:rsidTr="00CC0537">
        <w:trPr>
          <w:cantSplit/>
          <w:trHeight w:val="340"/>
          <w:jc w:val="center"/>
        </w:trPr>
        <w:tc>
          <w:tcPr>
            <w:tcW w:w="846"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555"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2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兰炭</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炭化炉</w:t>
            </w:r>
          </w:p>
        </w:tc>
        <w:tc>
          <w:tcPr>
            <w:tcW w:w="2551"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r>
      <w:tr w:rsidR="00E30CF7" w:rsidTr="00CC0537">
        <w:trPr>
          <w:cantSplit/>
          <w:trHeight w:val="340"/>
          <w:jc w:val="center"/>
        </w:trPr>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煤气</w:t>
            </w:r>
          </w:p>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发生炉</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建材、化工、轧钢、有色等</w:t>
            </w:r>
          </w:p>
        </w:tc>
        <w:tc>
          <w:tcPr>
            <w:tcW w:w="2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以煤等为气化原料，通过与气化剂在高温下进行物理化学反应制取煤气的工业炉窑。</w:t>
            </w:r>
          </w:p>
        </w:tc>
      </w:tr>
    </w:tbl>
    <w:p w:rsidR="00E30CF7" w:rsidRDefault="00E30CF7" w:rsidP="00E30CF7">
      <w:pPr>
        <w:widowControl/>
        <w:shd w:val="clear" w:color="auto" w:fill="FFFFFF"/>
        <w:spacing w:line="540" w:lineRule="atLeast"/>
        <w:jc w:val="left"/>
        <w:rPr>
          <w:rFonts w:ascii="微软雅黑" w:eastAsia="微软雅黑" w:hAnsi="微软雅黑" w:cs="宋体"/>
          <w:b/>
          <w:bCs/>
          <w:kern w:val="0"/>
          <w:sz w:val="24"/>
          <w:szCs w:val="24"/>
        </w:rPr>
      </w:pPr>
      <w:r>
        <w:rPr>
          <w:rFonts w:ascii="微软雅黑" w:eastAsia="微软雅黑" w:hAnsi="微软雅黑" w:cs="宋体" w:hint="eastAsia"/>
          <w:b/>
          <w:bCs/>
          <w:kern w:val="0"/>
          <w:sz w:val="24"/>
          <w:szCs w:val="24"/>
        </w:rPr>
        <w:t xml:space="preserve"> 　　</w:t>
      </w:r>
    </w:p>
    <w:p w:rsidR="00E30CF7" w:rsidRDefault="00E30CF7" w:rsidP="00E30CF7">
      <w:pPr>
        <w:widowControl/>
        <w:shd w:val="clear" w:color="auto" w:fill="FFFFFF"/>
        <w:spacing w:line="540" w:lineRule="atLeast"/>
        <w:jc w:val="left"/>
        <w:rPr>
          <w:rFonts w:ascii="微软雅黑" w:eastAsia="微软雅黑" w:hAnsi="微软雅黑" w:cs="宋体"/>
          <w:b/>
          <w:bCs/>
          <w:kern w:val="0"/>
          <w:sz w:val="24"/>
          <w:szCs w:val="24"/>
        </w:rPr>
      </w:pPr>
    </w:p>
    <w:p w:rsidR="00E30CF7" w:rsidRDefault="00E30CF7" w:rsidP="00E30CF7">
      <w:pPr>
        <w:widowControl/>
        <w:shd w:val="clear" w:color="auto" w:fill="FFFFFF"/>
        <w:spacing w:line="540" w:lineRule="atLeast"/>
        <w:jc w:val="left"/>
        <w:rPr>
          <w:rFonts w:ascii="微软雅黑" w:eastAsia="微软雅黑" w:hAnsi="微软雅黑" w:cs="宋体"/>
          <w:b/>
          <w:bCs/>
          <w:kern w:val="0"/>
          <w:sz w:val="24"/>
          <w:szCs w:val="24"/>
        </w:rPr>
      </w:pPr>
    </w:p>
    <w:p w:rsidR="00E30CF7" w:rsidRDefault="00E30CF7" w:rsidP="00E30CF7">
      <w:pPr>
        <w:widowControl/>
        <w:shd w:val="clear" w:color="auto" w:fill="FFFFFF"/>
        <w:spacing w:line="540" w:lineRule="atLeast"/>
        <w:jc w:val="left"/>
        <w:rPr>
          <w:rFonts w:ascii="微软雅黑" w:eastAsia="微软雅黑" w:hAnsi="微软雅黑" w:cs="宋体"/>
          <w:b/>
          <w:bCs/>
          <w:kern w:val="0"/>
          <w:sz w:val="24"/>
          <w:szCs w:val="24"/>
        </w:rPr>
      </w:pPr>
    </w:p>
    <w:p w:rsidR="00E30CF7" w:rsidRDefault="00E30CF7" w:rsidP="00E30CF7">
      <w:pPr>
        <w:widowControl/>
        <w:shd w:val="clear" w:color="auto" w:fill="FFFFFF"/>
        <w:spacing w:line="540" w:lineRule="atLeast"/>
        <w:jc w:val="left"/>
        <w:rPr>
          <w:rFonts w:ascii="微软雅黑" w:eastAsia="微软雅黑" w:hAnsi="微软雅黑" w:cs="宋体"/>
          <w:b/>
          <w:bCs/>
          <w:kern w:val="0"/>
          <w:sz w:val="24"/>
          <w:szCs w:val="24"/>
        </w:rPr>
      </w:pPr>
    </w:p>
    <w:p w:rsidR="00E30CF7" w:rsidRDefault="00E30CF7" w:rsidP="00E30CF7">
      <w:pPr>
        <w:widowControl/>
        <w:shd w:val="clear" w:color="auto" w:fill="FFFFFF"/>
        <w:spacing w:line="540" w:lineRule="atLeast"/>
        <w:jc w:val="left"/>
        <w:rPr>
          <w:rFonts w:ascii="微软雅黑" w:eastAsia="微软雅黑" w:hAnsi="微软雅黑" w:cs="宋体"/>
          <w:b/>
          <w:bCs/>
          <w:kern w:val="0"/>
          <w:sz w:val="24"/>
          <w:szCs w:val="24"/>
        </w:rPr>
      </w:pPr>
    </w:p>
    <w:p w:rsidR="00E30CF7" w:rsidRDefault="00E30CF7" w:rsidP="00E30CF7">
      <w:pPr>
        <w:widowControl/>
        <w:shd w:val="clear" w:color="auto" w:fill="FFFFFF"/>
        <w:spacing w:line="540" w:lineRule="atLeast"/>
        <w:jc w:val="left"/>
        <w:rPr>
          <w:rFonts w:ascii="微软雅黑" w:eastAsia="微软雅黑" w:hAnsi="微软雅黑" w:cs="宋体"/>
          <w:b/>
          <w:bCs/>
          <w:kern w:val="0"/>
          <w:sz w:val="24"/>
          <w:szCs w:val="24"/>
        </w:rPr>
      </w:pPr>
    </w:p>
    <w:p w:rsidR="00E30CF7" w:rsidRDefault="00E30CF7" w:rsidP="00E30CF7">
      <w:pPr>
        <w:widowControl/>
        <w:shd w:val="clear" w:color="auto" w:fill="FFFFFF"/>
        <w:spacing w:line="540" w:lineRule="atLeast"/>
        <w:jc w:val="left"/>
        <w:rPr>
          <w:rFonts w:ascii="微软雅黑" w:eastAsia="微软雅黑" w:hAnsi="微软雅黑" w:cs="宋体"/>
          <w:b/>
          <w:bCs/>
          <w:kern w:val="0"/>
          <w:sz w:val="24"/>
          <w:szCs w:val="24"/>
        </w:rPr>
      </w:pPr>
    </w:p>
    <w:p w:rsidR="00E30CF7" w:rsidRDefault="00E30CF7" w:rsidP="00E30CF7">
      <w:pPr>
        <w:widowControl/>
        <w:shd w:val="clear" w:color="auto" w:fill="FFFFFF"/>
        <w:spacing w:line="540" w:lineRule="atLeast"/>
        <w:jc w:val="left"/>
        <w:rPr>
          <w:rFonts w:ascii="微软雅黑" w:eastAsia="微软雅黑" w:hAnsi="微软雅黑" w:cs="宋体"/>
          <w:b/>
          <w:bCs/>
          <w:kern w:val="0"/>
          <w:sz w:val="24"/>
          <w:szCs w:val="24"/>
        </w:rPr>
      </w:pPr>
    </w:p>
    <w:p w:rsidR="00E30CF7" w:rsidRDefault="00E30CF7" w:rsidP="00E30CF7">
      <w:pPr>
        <w:widowControl/>
        <w:shd w:val="clear" w:color="auto" w:fill="FFFFFF"/>
        <w:spacing w:line="540" w:lineRule="atLeast"/>
        <w:jc w:val="left"/>
        <w:rPr>
          <w:rFonts w:ascii="微软雅黑" w:eastAsia="微软雅黑" w:hAnsi="微软雅黑" w:cs="宋体"/>
          <w:b/>
          <w:bCs/>
          <w:kern w:val="0"/>
          <w:sz w:val="24"/>
          <w:szCs w:val="24"/>
        </w:rPr>
      </w:pPr>
    </w:p>
    <w:p w:rsidR="00E30CF7" w:rsidRDefault="00E30CF7" w:rsidP="00E30CF7">
      <w:pPr>
        <w:widowControl/>
        <w:shd w:val="clear" w:color="auto" w:fill="FFFFFF"/>
        <w:spacing w:line="540" w:lineRule="atLeast"/>
        <w:jc w:val="left"/>
        <w:rPr>
          <w:rFonts w:ascii="微软雅黑" w:eastAsia="微软雅黑" w:hAnsi="微软雅黑" w:cs="宋体"/>
          <w:b/>
          <w:bCs/>
          <w:kern w:val="0"/>
          <w:sz w:val="24"/>
          <w:szCs w:val="24"/>
        </w:rPr>
      </w:pPr>
    </w:p>
    <w:p w:rsidR="00E30CF7" w:rsidRDefault="00E30CF7" w:rsidP="00E30CF7">
      <w:pPr>
        <w:widowControl/>
        <w:shd w:val="clear" w:color="auto" w:fill="FFFFFF"/>
        <w:spacing w:line="540" w:lineRule="atLeast"/>
        <w:jc w:val="left"/>
        <w:rPr>
          <w:rFonts w:ascii="微软雅黑" w:eastAsia="微软雅黑" w:hAnsi="微软雅黑" w:cs="宋体"/>
          <w:b/>
          <w:bCs/>
          <w:kern w:val="0"/>
          <w:sz w:val="24"/>
          <w:szCs w:val="24"/>
        </w:rPr>
      </w:pPr>
    </w:p>
    <w:p w:rsidR="00E30CF7" w:rsidRDefault="00E30CF7" w:rsidP="00E30CF7">
      <w:pPr>
        <w:widowControl/>
        <w:shd w:val="clear" w:color="auto" w:fill="FFFFFF"/>
        <w:spacing w:line="540" w:lineRule="atLeast"/>
        <w:jc w:val="left"/>
        <w:rPr>
          <w:rFonts w:ascii="微软雅黑" w:eastAsia="微软雅黑" w:hAnsi="微软雅黑" w:cs="宋体"/>
          <w:b/>
          <w:bCs/>
          <w:kern w:val="0"/>
          <w:sz w:val="24"/>
          <w:szCs w:val="24"/>
        </w:rPr>
      </w:pPr>
    </w:p>
    <w:p w:rsidR="00E30CF7" w:rsidRDefault="00E30CF7" w:rsidP="00E30CF7">
      <w:pPr>
        <w:widowControl/>
        <w:shd w:val="clear" w:color="auto" w:fill="FFFFFF"/>
        <w:spacing w:line="540" w:lineRule="atLeast"/>
        <w:jc w:val="left"/>
        <w:rPr>
          <w:rFonts w:ascii="微软雅黑" w:eastAsia="微软雅黑" w:hAnsi="微软雅黑" w:cs="宋体"/>
          <w:b/>
          <w:bCs/>
          <w:kern w:val="0"/>
          <w:sz w:val="24"/>
          <w:szCs w:val="24"/>
        </w:rPr>
      </w:pPr>
    </w:p>
    <w:p w:rsidR="00E30CF7" w:rsidRDefault="00E30CF7" w:rsidP="00E30CF7">
      <w:pPr>
        <w:widowControl/>
        <w:shd w:val="clear" w:color="auto" w:fill="FFFFFF"/>
        <w:spacing w:line="540" w:lineRule="atLeast"/>
        <w:jc w:val="left"/>
        <w:rPr>
          <w:rFonts w:ascii="微软雅黑" w:eastAsia="微软雅黑" w:hAnsi="微软雅黑" w:cs="宋体"/>
          <w:b/>
          <w:bCs/>
          <w:kern w:val="0"/>
          <w:sz w:val="24"/>
          <w:szCs w:val="24"/>
        </w:rPr>
      </w:pPr>
    </w:p>
    <w:p w:rsidR="00E30CF7" w:rsidRDefault="00E30CF7" w:rsidP="00E30CF7">
      <w:pPr>
        <w:widowControl/>
        <w:shd w:val="clear" w:color="auto" w:fill="FFFFFF"/>
        <w:spacing w:line="540" w:lineRule="atLeast"/>
        <w:jc w:val="left"/>
        <w:rPr>
          <w:rFonts w:ascii="微软雅黑" w:eastAsia="微软雅黑" w:hAnsi="微软雅黑" w:cs="宋体"/>
          <w:b/>
          <w:bCs/>
          <w:kern w:val="0"/>
          <w:sz w:val="24"/>
          <w:szCs w:val="24"/>
        </w:rPr>
      </w:pPr>
    </w:p>
    <w:p w:rsidR="00E30CF7" w:rsidRDefault="00E30CF7" w:rsidP="00E30CF7">
      <w:pPr>
        <w:widowControl/>
        <w:shd w:val="clear" w:color="auto" w:fill="FFFFFF"/>
        <w:spacing w:line="540" w:lineRule="atLeast"/>
        <w:jc w:val="left"/>
        <w:rPr>
          <w:rFonts w:ascii="微软雅黑" w:eastAsia="微软雅黑" w:hAnsi="微软雅黑" w:cs="宋体"/>
          <w:b/>
          <w:bCs/>
          <w:kern w:val="0"/>
          <w:sz w:val="24"/>
          <w:szCs w:val="24"/>
        </w:rPr>
        <w:sectPr w:rsidR="00E30CF7">
          <w:footerReference w:type="default" r:id="rId7"/>
          <w:pgSz w:w="11906" w:h="16838"/>
          <w:pgMar w:top="1440" w:right="1800" w:bottom="1440" w:left="1800" w:header="851" w:footer="992" w:gutter="0"/>
          <w:cols w:space="720"/>
          <w:docGrid w:type="lines" w:linePitch="312"/>
        </w:sectPr>
      </w:pPr>
    </w:p>
    <w:p w:rsidR="00E30CF7" w:rsidRDefault="00E30CF7" w:rsidP="00E30CF7">
      <w:pPr>
        <w:widowControl/>
        <w:shd w:val="clear" w:color="auto" w:fill="FFFFFF"/>
        <w:spacing w:line="540" w:lineRule="atLeast"/>
        <w:jc w:val="left"/>
        <w:rPr>
          <w:rFonts w:ascii="微软雅黑" w:eastAsia="微软雅黑" w:hAnsi="微软雅黑" w:cs="宋体"/>
          <w:bCs/>
          <w:kern w:val="0"/>
          <w:sz w:val="24"/>
          <w:szCs w:val="24"/>
        </w:rPr>
      </w:pPr>
      <w:r>
        <w:rPr>
          <w:rFonts w:ascii="微软雅黑" w:eastAsia="微软雅黑" w:hAnsi="微软雅黑" w:cs="宋体" w:hint="eastAsia"/>
          <w:bCs/>
          <w:kern w:val="0"/>
          <w:sz w:val="24"/>
          <w:szCs w:val="24"/>
        </w:rPr>
        <w:lastRenderedPageBreak/>
        <w:t>附表2</w:t>
      </w:r>
    </w:p>
    <w:p w:rsidR="00E30CF7" w:rsidRDefault="00E30CF7" w:rsidP="00E30CF7">
      <w:pPr>
        <w:widowControl/>
        <w:shd w:val="clear" w:color="auto" w:fill="FFFFFF"/>
        <w:spacing w:line="540" w:lineRule="atLeast"/>
        <w:jc w:val="center"/>
        <w:rPr>
          <w:rFonts w:ascii="微软雅黑" w:eastAsia="微软雅黑" w:hAnsi="微软雅黑" w:cs="宋体"/>
          <w:b/>
          <w:bCs/>
          <w:kern w:val="0"/>
          <w:sz w:val="24"/>
          <w:szCs w:val="24"/>
          <w:highlight w:val="yellow"/>
        </w:rPr>
      </w:pPr>
      <w:r>
        <w:rPr>
          <w:rFonts w:ascii="微软雅黑" w:eastAsia="微软雅黑" w:hAnsi="微软雅黑" w:cs="宋体" w:hint="eastAsia"/>
          <w:b/>
          <w:bCs/>
          <w:kern w:val="0"/>
          <w:sz w:val="24"/>
          <w:szCs w:val="24"/>
        </w:rPr>
        <w:t>自治区工业炉窑管理台账</w:t>
      </w:r>
    </w:p>
    <w:tbl>
      <w:tblPr>
        <w:tblW w:w="0" w:type="auto"/>
        <w:jc w:val="center"/>
        <w:tblLayout w:type="fixed"/>
        <w:tblCellMar>
          <w:left w:w="0" w:type="dxa"/>
          <w:right w:w="0" w:type="dxa"/>
        </w:tblCellMar>
        <w:tblLook w:val="04A0" w:firstRow="1" w:lastRow="0" w:firstColumn="1" w:lastColumn="0" w:noHBand="0" w:noVBand="1"/>
      </w:tblPr>
      <w:tblGrid>
        <w:gridCol w:w="232"/>
        <w:gridCol w:w="282"/>
        <w:gridCol w:w="266"/>
        <w:gridCol w:w="505"/>
        <w:gridCol w:w="374"/>
        <w:gridCol w:w="274"/>
        <w:gridCol w:w="423"/>
        <w:gridCol w:w="274"/>
        <w:gridCol w:w="274"/>
        <w:gridCol w:w="289"/>
        <w:gridCol w:w="291"/>
        <w:gridCol w:w="272"/>
        <w:gridCol w:w="267"/>
        <w:gridCol w:w="489"/>
        <w:gridCol w:w="281"/>
        <w:gridCol w:w="366"/>
        <w:gridCol w:w="388"/>
        <w:gridCol w:w="284"/>
        <w:gridCol w:w="755"/>
        <w:gridCol w:w="314"/>
        <w:gridCol w:w="375"/>
        <w:gridCol w:w="332"/>
        <w:gridCol w:w="382"/>
        <w:gridCol w:w="274"/>
        <w:gridCol w:w="274"/>
        <w:gridCol w:w="282"/>
        <w:gridCol w:w="382"/>
        <w:gridCol w:w="364"/>
        <w:gridCol w:w="366"/>
        <w:gridCol w:w="372"/>
        <w:gridCol w:w="365"/>
        <w:gridCol w:w="366"/>
        <w:gridCol w:w="364"/>
        <w:gridCol w:w="374"/>
        <w:gridCol w:w="374"/>
        <w:gridCol w:w="422"/>
        <w:gridCol w:w="415"/>
        <w:gridCol w:w="373"/>
        <w:gridCol w:w="282"/>
        <w:gridCol w:w="287"/>
        <w:gridCol w:w="741"/>
        <w:gridCol w:w="240"/>
        <w:gridCol w:w="240"/>
        <w:gridCol w:w="279"/>
      </w:tblGrid>
      <w:tr w:rsidR="00E30CF7" w:rsidTr="00CC0537">
        <w:trPr>
          <w:trHeight w:val="940"/>
          <w:jc w:val="center"/>
        </w:trPr>
        <w:tc>
          <w:tcPr>
            <w:tcW w:w="232"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序号</w:t>
            </w:r>
          </w:p>
        </w:tc>
        <w:tc>
          <w:tcPr>
            <w:tcW w:w="282"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盟市</w:t>
            </w:r>
          </w:p>
        </w:tc>
        <w:tc>
          <w:tcPr>
            <w:tcW w:w="266"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旗县区</w:t>
            </w:r>
          </w:p>
        </w:tc>
        <w:tc>
          <w:tcPr>
            <w:tcW w:w="505"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街道（乡镇、工业园区）</w:t>
            </w:r>
          </w:p>
        </w:tc>
        <w:tc>
          <w:tcPr>
            <w:tcW w:w="374"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建成区</w:t>
            </w:r>
            <w:r>
              <w:rPr>
                <w:rFonts w:ascii="宋体" w:hAnsi="宋体" w:hint="eastAsia"/>
                <w:b/>
                <w:bCs/>
                <w:szCs w:val="18"/>
              </w:rPr>
              <w:br/>
              <w:t>（内/外）</w:t>
            </w:r>
          </w:p>
        </w:tc>
        <w:tc>
          <w:tcPr>
            <w:tcW w:w="274"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单位名称</w:t>
            </w:r>
          </w:p>
        </w:tc>
        <w:tc>
          <w:tcPr>
            <w:tcW w:w="423"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组织机构代码</w:t>
            </w:r>
          </w:p>
        </w:tc>
        <w:tc>
          <w:tcPr>
            <w:tcW w:w="54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地理坐标</w:t>
            </w:r>
          </w:p>
        </w:tc>
        <w:tc>
          <w:tcPr>
            <w:tcW w:w="289"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所属行业</w:t>
            </w:r>
          </w:p>
        </w:tc>
        <w:tc>
          <w:tcPr>
            <w:tcW w:w="3393"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炉窑目前基本信息</w:t>
            </w:r>
          </w:p>
        </w:tc>
        <w:tc>
          <w:tcPr>
            <w:tcW w:w="68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全厂主要产品</w:t>
            </w:r>
          </w:p>
        </w:tc>
        <w:tc>
          <w:tcPr>
            <w:tcW w:w="71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全厂主要原料</w:t>
            </w:r>
          </w:p>
        </w:tc>
        <w:tc>
          <w:tcPr>
            <w:tcW w:w="1576"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炉窑目前治理措施</w:t>
            </w:r>
          </w:p>
        </w:tc>
        <w:tc>
          <w:tcPr>
            <w:tcW w:w="73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二氧化硫排放量（t/a）</w:t>
            </w:r>
          </w:p>
        </w:tc>
        <w:tc>
          <w:tcPr>
            <w:tcW w:w="73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氮氧化物（t/a）</w:t>
            </w:r>
          </w:p>
        </w:tc>
        <w:tc>
          <w:tcPr>
            <w:tcW w:w="73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颗粒物（t/a）</w:t>
            </w:r>
          </w:p>
        </w:tc>
        <w:tc>
          <w:tcPr>
            <w:tcW w:w="79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挥发性有机物（t/a）</w:t>
            </w:r>
          </w:p>
        </w:tc>
        <w:tc>
          <w:tcPr>
            <w:tcW w:w="78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无组织（t/a）</w:t>
            </w:r>
          </w:p>
        </w:tc>
        <w:tc>
          <w:tcPr>
            <w:tcW w:w="282"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治理方式</w:t>
            </w:r>
          </w:p>
        </w:tc>
        <w:tc>
          <w:tcPr>
            <w:tcW w:w="287"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治理内容</w:t>
            </w:r>
          </w:p>
        </w:tc>
        <w:tc>
          <w:tcPr>
            <w:tcW w:w="741"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治理后</w:t>
            </w:r>
            <w:r>
              <w:rPr>
                <w:rFonts w:ascii="宋体" w:hAnsi="宋体" w:hint="eastAsia"/>
                <w:b/>
                <w:bCs/>
                <w:szCs w:val="18"/>
              </w:rPr>
              <w:br/>
              <w:t>执行标准（浓度值）</w:t>
            </w:r>
          </w:p>
        </w:tc>
        <w:tc>
          <w:tcPr>
            <w:tcW w:w="240"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完成时间</w:t>
            </w:r>
          </w:p>
        </w:tc>
        <w:tc>
          <w:tcPr>
            <w:tcW w:w="240"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责任人</w:t>
            </w:r>
          </w:p>
        </w:tc>
        <w:tc>
          <w:tcPr>
            <w:tcW w:w="279"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备注</w:t>
            </w:r>
          </w:p>
        </w:tc>
      </w:tr>
      <w:tr w:rsidR="00E30CF7" w:rsidTr="00CC0537">
        <w:trPr>
          <w:trHeight w:val="2211"/>
          <w:jc w:val="center"/>
        </w:trPr>
        <w:tc>
          <w:tcPr>
            <w:tcW w:w="232" w:type="dxa"/>
            <w:vMerge/>
            <w:tcBorders>
              <w:left w:val="single" w:sz="4" w:space="0" w:color="auto"/>
              <w:bottom w:val="single" w:sz="4" w:space="0" w:color="auto"/>
              <w:right w:val="single" w:sz="4" w:space="0" w:color="auto"/>
            </w:tcBorders>
            <w:vAlign w:val="center"/>
          </w:tcPr>
          <w:p w:rsidR="00E30CF7" w:rsidRDefault="00E30CF7" w:rsidP="00CC0537">
            <w:pPr>
              <w:rPr>
                <w:rFonts w:ascii="宋体" w:hAnsi="宋体"/>
                <w:b/>
                <w:bCs/>
                <w:szCs w:val="18"/>
              </w:rPr>
            </w:pPr>
          </w:p>
        </w:tc>
        <w:tc>
          <w:tcPr>
            <w:tcW w:w="282" w:type="dxa"/>
            <w:vMerge/>
            <w:tcBorders>
              <w:left w:val="single" w:sz="4" w:space="0" w:color="auto"/>
              <w:bottom w:val="single" w:sz="4" w:space="0" w:color="auto"/>
              <w:right w:val="single" w:sz="4" w:space="0" w:color="auto"/>
            </w:tcBorders>
            <w:vAlign w:val="center"/>
          </w:tcPr>
          <w:p w:rsidR="00E30CF7" w:rsidRDefault="00E30CF7" w:rsidP="00CC0537">
            <w:pPr>
              <w:rPr>
                <w:rFonts w:ascii="宋体" w:hAnsi="宋体"/>
                <w:b/>
                <w:bCs/>
                <w:szCs w:val="18"/>
              </w:rPr>
            </w:pPr>
          </w:p>
        </w:tc>
        <w:tc>
          <w:tcPr>
            <w:tcW w:w="266" w:type="dxa"/>
            <w:vMerge/>
            <w:tcBorders>
              <w:left w:val="single" w:sz="4" w:space="0" w:color="auto"/>
              <w:bottom w:val="single" w:sz="4" w:space="0" w:color="auto"/>
              <w:right w:val="single" w:sz="4" w:space="0" w:color="auto"/>
            </w:tcBorders>
            <w:vAlign w:val="center"/>
          </w:tcPr>
          <w:p w:rsidR="00E30CF7" w:rsidRDefault="00E30CF7" w:rsidP="00CC0537">
            <w:pPr>
              <w:rPr>
                <w:rFonts w:ascii="宋体" w:hAnsi="宋体"/>
                <w:b/>
                <w:bCs/>
                <w:szCs w:val="18"/>
              </w:rPr>
            </w:pPr>
          </w:p>
        </w:tc>
        <w:tc>
          <w:tcPr>
            <w:tcW w:w="505" w:type="dxa"/>
            <w:vMerge/>
            <w:tcBorders>
              <w:left w:val="single" w:sz="4" w:space="0" w:color="auto"/>
              <w:bottom w:val="single" w:sz="4" w:space="0" w:color="auto"/>
              <w:right w:val="single" w:sz="4" w:space="0" w:color="auto"/>
            </w:tcBorders>
            <w:vAlign w:val="center"/>
          </w:tcPr>
          <w:p w:rsidR="00E30CF7" w:rsidRDefault="00E30CF7" w:rsidP="00CC0537">
            <w:pPr>
              <w:rPr>
                <w:rFonts w:ascii="宋体" w:hAnsi="宋体"/>
                <w:b/>
                <w:bCs/>
                <w:szCs w:val="18"/>
              </w:rPr>
            </w:pPr>
          </w:p>
        </w:tc>
        <w:tc>
          <w:tcPr>
            <w:tcW w:w="374" w:type="dxa"/>
            <w:vMerge/>
            <w:tcBorders>
              <w:left w:val="single" w:sz="4" w:space="0" w:color="auto"/>
              <w:bottom w:val="single" w:sz="4" w:space="0" w:color="auto"/>
              <w:right w:val="single" w:sz="4" w:space="0" w:color="auto"/>
            </w:tcBorders>
            <w:vAlign w:val="center"/>
          </w:tcPr>
          <w:p w:rsidR="00E30CF7" w:rsidRDefault="00E30CF7" w:rsidP="00CC0537">
            <w:pPr>
              <w:rPr>
                <w:rFonts w:ascii="宋体" w:hAnsi="宋体"/>
                <w:b/>
                <w:bCs/>
                <w:szCs w:val="18"/>
              </w:rPr>
            </w:pPr>
          </w:p>
        </w:tc>
        <w:tc>
          <w:tcPr>
            <w:tcW w:w="274" w:type="dxa"/>
            <w:vMerge/>
            <w:tcBorders>
              <w:left w:val="single" w:sz="4" w:space="0" w:color="auto"/>
              <w:bottom w:val="single" w:sz="4" w:space="0" w:color="auto"/>
              <w:right w:val="single" w:sz="4" w:space="0" w:color="auto"/>
            </w:tcBorders>
            <w:vAlign w:val="center"/>
          </w:tcPr>
          <w:p w:rsidR="00E30CF7" w:rsidRDefault="00E30CF7" w:rsidP="00CC0537">
            <w:pPr>
              <w:rPr>
                <w:rFonts w:ascii="宋体" w:hAnsi="宋体"/>
                <w:b/>
                <w:bCs/>
                <w:szCs w:val="18"/>
              </w:rPr>
            </w:pPr>
          </w:p>
        </w:tc>
        <w:tc>
          <w:tcPr>
            <w:tcW w:w="423" w:type="dxa"/>
            <w:vMerge/>
            <w:tcBorders>
              <w:left w:val="single" w:sz="4" w:space="0" w:color="auto"/>
              <w:bottom w:val="single" w:sz="4" w:space="0" w:color="auto"/>
              <w:right w:val="single" w:sz="4" w:space="0" w:color="auto"/>
            </w:tcBorders>
            <w:vAlign w:val="center"/>
          </w:tcPr>
          <w:p w:rsidR="00E30CF7" w:rsidRDefault="00E30CF7" w:rsidP="00CC0537">
            <w:pPr>
              <w:rPr>
                <w:rFonts w:ascii="宋体" w:hAnsi="宋体"/>
                <w:b/>
                <w:bCs/>
                <w:szCs w:val="18"/>
              </w:rPr>
            </w:pPr>
          </w:p>
        </w:tc>
        <w:tc>
          <w:tcPr>
            <w:tcW w:w="2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经度</w:t>
            </w:r>
          </w:p>
        </w:tc>
        <w:tc>
          <w:tcPr>
            <w:tcW w:w="2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纬度</w:t>
            </w:r>
          </w:p>
        </w:tc>
        <w:tc>
          <w:tcPr>
            <w:tcW w:w="289"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b/>
                <w:bCs/>
                <w:szCs w:val="18"/>
              </w:rPr>
            </w:pPr>
          </w:p>
        </w:tc>
        <w:tc>
          <w:tcPr>
            <w:tcW w:w="2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类型</w:t>
            </w:r>
          </w:p>
        </w:tc>
        <w:tc>
          <w:tcPr>
            <w:tcW w:w="2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型号</w:t>
            </w:r>
          </w:p>
        </w:tc>
        <w:tc>
          <w:tcPr>
            <w:tcW w:w="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规模</w:t>
            </w:r>
          </w:p>
        </w:tc>
        <w:tc>
          <w:tcPr>
            <w:tcW w:w="4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规模的计量单位</w:t>
            </w:r>
          </w:p>
        </w:tc>
        <w:tc>
          <w:tcPr>
            <w:tcW w:w="2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用途</w:t>
            </w:r>
          </w:p>
        </w:tc>
        <w:tc>
          <w:tcPr>
            <w:tcW w:w="3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数量（台）</w:t>
            </w:r>
          </w:p>
        </w:tc>
        <w:tc>
          <w:tcPr>
            <w:tcW w:w="3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年生产</w:t>
            </w:r>
            <w:r>
              <w:rPr>
                <w:rFonts w:ascii="宋体" w:hAnsi="宋体" w:hint="eastAsia"/>
                <w:b/>
                <w:bCs/>
                <w:szCs w:val="18"/>
              </w:rPr>
              <w:br/>
              <w:t>小时</w:t>
            </w:r>
          </w:p>
        </w:tc>
        <w:tc>
          <w:tcPr>
            <w:tcW w:w="2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燃料类型</w:t>
            </w:r>
          </w:p>
        </w:tc>
        <w:tc>
          <w:tcPr>
            <w:tcW w:w="7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燃料消耗量</w:t>
            </w:r>
            <w:r>
              <w:rPr>
                <w:rFonts w:ascii="宋体" w:hAnsi="宋体" w:hint="eastAsia"/>
                <w:b/>
                <w:bCs/>
                <w:szCs w:val="18"/>
              </w:rPr>
              <w:br/>
              <w:t>（固体燃料t/a，气体燃料m</w:t>
            </w:r>
            <w:r>
              <w:rPr>
                <w:rFonts w:ascii="宋体" w:hAnsi="宋体" w:hint="eastAsia"/>
                <w:b/>
                <w:bCs/>
                <w:szCs w:val="18"/>
                <w:vertAlign w:val="superscript"/>
              </w:rPr>
              <w:t>3</w:t>
            </w:r>
            <w:r>
              <w:rPr>
                <w:rFonts w:ascii="宋体" w:hAnsi="宋体" w:hint="eastAsia"/>
                <w:b/>
                <w:bCs/>
                <w:szCs w:val="18"/>
              </w:rPr>
              <w:t>/a）</w:t>
            </w:r>
          </w:p>
        </w:tc>
        <w:tc>
          <w:tcPr>
            <w:tcW w:w="3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产品名称</w:t>
            </w:r>
          </w:p>
        </w:tc>
        <w:tc>
          <w:tcPr>
            <w:tcW w:w="3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年产量</w:t>
            </w:r>
          </w:p>
        </w:tc>
        <w:tc>
          <w:tcPr>
            <w:tcW w:w="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原料名称</w:t>
            </w:r>
          </w:p>
        </w:tc>
        <w:tc>
          <w:tcPr>
            <w:tcW w:w="3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年用量</w:t>
            </w:r>
          </w:p>
        </w:tc>
        <w:tc>
          <w:tcPr>
            <w:tcW w:w="2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脱硫</w:t>
            </w:r>
          </w:p>
        </w:tc>
        <w:tc>
          <w:tcPr>
            <w:tcW w:w="2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脱硝</w:t>
            </w:r>
          </w:p>
        </w:tc>
        <w:tc>
          <w:tcPr>
            <w:tcW w:w="2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除尘</w:t>
            </w:r>
          </w:p>
        </w:tc>
        <w:tc>
          <w:tcPr>
            <w:tcW w:w="3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挥发性有机物</w:t>
            </w:r>
          </w:p>
        </w:tc>
        <w:tc>
          <w:tcPr>
            <w:tcW w:w="36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无组织</w:t>
            </w:r>
          </w:p>
        </w:tc>
        <w:tc>
          <w:tcPr>
            <w:tcW w:w="3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治理前</w:t>
            </w:r>
          </w:p>
        </w:tc>
        <w:tc>
          <w:tcPr>
            <w:tcW w:w="3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治理后</w:t>
            </w:r>
          </w:p>
        </w:tc>
        <w:tc>
          <w:tcPr>
            <w:tcW w:w="3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治理前</w:t>
            </w:r>
          </w:p>
        </w:tc>
        <w:tc>
          <w:tcPr>
            <w:tcW w:w="3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治理后</w:t>
            </w:r>
          </w:p>
        </w:tc>
        <w:tc>
          <w:tcPr>
            <w:tcW w:w="36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治理前</w:t>
            </w:r>
          </w:p>
        </w:tc>
        <w:tc>
          <w:tcPr>
            <w:tcW w:w="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治理后</w:t>
            </w:r>
          </w:p>
        </w:tc>
        <w:tc>
          <w:tcPr>
            <w:tcW w:w="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治理前</w:t>
            </w:r>
          </w:p>
        </w:tc>
        <w:tc>
          <w:tcPr>
            <w:tcW w:w="4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治理后</w:t>
            </w:r>
          </w:p>
        </w:tc>
        <w:tc>
          <w:tcPr>
            <w:tcW w:w="4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治理前</w:t>
            </w:r>
          </w:p>
        </w:tc>
        <w:tc>
          <w:tcPr>
            <w:tcW w:w="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b/>
                <w:bCs/>
                <w:szCs w:val="18"/>
              </w:rPr>
            </w:pPr>
            <w:r>
              <w:rPr>
                <w:rFonts w:ascii="宋体" w:hAnsi="宋体" w:hint="eastAsia"/>
                <w:b/>
                <w:bCs/>
                <w:szCs w:val="18"/>
              </w:rPr>
              <w:t>治理后</w:t>
            </w:r>
          </w:p>
        </w:tc>
        <w:tc>
          <w:tcPr>
            <w:tcW w:w="282" w:type="dxa"/>
            <w:vMerge/>
            <w:tcBorders>
              <w:left w:val="single" w:sz="4" w:space="0" w:color="auto"/>
              <w:bottom w:val="single" w:sz="4" w:space="0" w:color="auto"/>
              <w:right w:val="single" w:sz="4" w:space="0" w:color="auto"/>
            </w:tcBorders>
            <w:vAlign w:val="center"/>
          </w:tcPr>
          <w:p w:rsidR="00E30CF7" w:rsidRDefault="00E30CF7" w:rsidP="00CC0537">
            <w:pPr>
              <w:rPr>
                <w:rFonts w:ascii="宋体" w:hAnsi="宋体"/>
                <w:b/>
                <w:bCs/>
                <w:szCs w:val="18"/>
              </w:rPr>
            </w:pPr>
          </w:p>
        </w:tc>
        <w:tc>
          <w:tcPr>
            <w:tcW w:w="287" w:type="dxa"/>
            <w:vMerge/>
            <w:tcBorders>
              <w:left w:val="single" w:sz="4" w:space="0" w:color="auto"/>
              <w:bottom w:val="single" w:sz="4" w:space="0" w:color="auto"/>
              <w:right w:val="single" w:sz="4" w:space="0" w:color="auto"/>
            </w:tcBorders>
            <w:vAlign w:val="center"/>
          </w:tcPr>
          <w:p w:rsidR="00E30CF7" w:rsidRDefault="00E30CF7" w:rsidP="00CC0537">
            <w:pPr>
              <w:rPr>
                <w:rFonts w:ascii="宋体" w:hAnsi="宋体"/>
                <w:b/>
                <w:bCs/>
                <w:szCs w:val="18"/>
              </w:rPr>
            </w:pPr>
          </w:p>
        </w:tc>
        <w:tc>
          <w:tcPr>
            <w:tcW w:w="741" w:type="dxa"/>
            <w:vMerge/>
            <w:tcBorders>
              <w:left w:val="single" w:sz="4" w:space="0" w:color="auto"/>
              <w:bottom w:val="single" w:sz="4" w:space="0" w:color="auto"/>
              <w:right w:val="single" w:sz="4" w:space="0" w:color="auto"/>
            </w:tcBorders>
            <w:vAlign w:val="center"/>
          </w:tcPr>
          <w:p w:rsidR="00E30CF7" w:rsidRDefault="00E30CF7" w:rsidP="00CC0537">
            <w:pPr>
              <w:rPr>
                <w:rFonts w:ascii="宋体" w:hAnsi="宋体"/>
                <w:b/>
                <w:bCs/>
                <w:szCs w:val="18"/>
              </w:rPr>
            </w:pPr>
          </w:p>
        </w:tc>
        <w:tc>
          <w:tcPr>
            <w:tcW w:w="240" w:type="dxa"/>
            <w:vMerge/>
            <w:tcBorders>
              <w:left w:val="single" w:sz="4" w:space="0" w:color="auto"/>
              <w:bottom w:val="single" w:sz="4" w:space="0" w:color="auto"/>
              <w:right w:val="single" w:sz="4" w:space="0" w:color="auto"/>
            </w:tcBorders>
            <w:vAlign w:val="center"/>
          </w:tcPr>
          <w:p w:rsidR="00E30CF7" w:rsidRDefault="00E30CF7" w:rsidP="00CC0537">
            <w:pPr>
              <w:rPr>
                <w:rFonts w:ascii="宋体" w:hAnsi="宋体"/>
                <w:b/>
                <w:bCs/>
                <w:szCs w:val="18"/>
              </w:rPr>
            </w:pPr>
          </w:p>
        </w:tc>
        <w:tc>
          <w:tcPr>
            <w:tcW w:w="240" w:type="dxa"/>
            <w:vMerge/>
            <w:tcBorders>
              <w:left w:val="single" w:sz="4" w:space="0" w:color="auto"/>
              <w:bottom w:val="single" w:sz="4" w:space="0" w:color="auto"/>
              <w:right w:val="single" w:sz="4" w:space="0" w:color="auto"/>
            </w:tcBorders>
            <w:vAlign w:val="center"/>
          </w:tcPr>
          <w:p w:rsidR="00E30CF7" w:rsidRDefault="00E30CF7" w:rsidP="00CC0537">
            <w:pPr>
              <w:rPr>
                <w:rFonts w:ascii="宋体" w:hAnsi="宋体"/>
                <w:b/>
                <w:bCs/>
                <w:szCs w:val="18"/>
              </w:rPr>
            </w:pPr>
          </w:p>
        </w:tc>
        <w:tc>
          <w:tcPr>
            <w:tcW w:w="279" w:type="dxa"/>
            <w:vMerge/>
            <w:tcBorders>
              <w:left w:val="single" w:sz="4" w:space="0" w:color="auto"/>
              <w:bottom w:val="single" w:sz="4" w:space="0" w:color="auto"/>
              <w:right w:val="single" w:sz="4" w:space="0" w:color="auto"/>
            </w:tcBorders>
            <w:vAlign w:val="center"/>
          </w:tcPr>
          <w:p w:rsidR="00E30CF7" w:rsidRDefault="00E30CF7" w:rsidP="00CC0537">
            <w:pPr>
              <w:rPr>
                <w:rFonts w:ascii="宋体" w:hAnsi="宋体"/>
                <w:b/>
                <w:bCs/>
                <w:szCs w:val="18"/>
              </w:rPr>
            </w:pPr>
          </w:p>
        </w:tc>
      </w:tr>
      <w:tr w:rsidR="00E30CF7" w:rsidTr="00CC0537">
        <w:trPr>
          <w:trHeight w:val="392"/>
          <w:jc w:val="center"/>
        </w:trPr>
        <w:tc>
          <w:tcPr>
            <w:tcW w:w="2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szCs w:val="18"/>
              </w:rPr>
            </w:pPr>
            <w:r>
              <w:rPr>
                <w:rFonts w:ascii="宋体" w:hAnsi="宋体" w:hint="eastAsia"/>
                <w:szCs w:val="18"/>
              </w:rPr>
              <w:t>1</w:t>
            </w:r>
          </w:p>
        </w:tc>
        <w:tc>
          <w:tcPr>
            <w:tcW w:w="2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5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4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4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7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6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6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4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4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74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r>
      <w:tr w:rsidR="00E30CF7" w:rsidTr="00CC0537">
        <w:trPr>
          <w:trHeight w:val="286"/>
          <w:jc w:val="center"/>
        </w:trPr>
        <w:tc>
          <w:tcPr>
            <w:tcW w:w="2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szCs w:val="18"/>
              </w:rPr>
            </w:pPr>
            <w:r>
              <w:rPr>
                <w:rFonts w:ascii="宋体" w:hAnsi="宋体" w:hint="eastAsia"/>
                <w:szCs w:val="18"/>
              </w:rPr>
              <w:t>2</w:t>
            </w:r>
          </w:p>
        </w:tc>
        <w:tc>
          <w:tcPr>
            <w:tcW w:w="2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5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4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4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7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6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6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4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4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74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r>
      <w:tr w:rsidR="00E30CF7" w:rsidTr="00CC0537">
        <w:trPr>
          <w:trHeight w:val="392"/>
          <w:jc w:val="center"/>
        </w:trPr>
        <w:tc>
          <w:tcPr>
            <w:tcW w:w="2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szCs w:val="18"/>
              </w:rPr>
            </w:pPr>
            <w:r>
              <w:rPr>
                <w:rFonts w:ascii="宋体" w:hAnsi="宋体" w:hint="eastAsia"/>
                <w:szCs w:val="18"/>
              </w:rPr>
              <w:t>3</w:t>
            </w:r>
          </w:p>
        </w:tc>
        <w:tc>
          <w:tcPr>
            <w:tcW w:w="2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5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4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4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7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6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6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4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4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74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r>
      <w:tr w:rsidR="00E30CF7" w:rsidTr="00CC0537">
        <w:trPr>
          <w:trHeight w:val="392"/>
          <w:jc w:val="center"/>
        </w:trPr>
        <w:tc>
          <w:tcPr>
            <w:tcW w:w="2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center"/>
              <w:rPr>
                <w:rFonts w:ascii="宋体" w:hAnsi="宋体"/>
                <w:szCs w:val="18"/>
              </w:rPr>
            </w:pPr>
            <w:r>
              <w:rPr>
                <w:rFonts w:ascii="宋体" w:hAnsi="宋体" w:hint="eastAsia"/>
                <w:szCs w:val="18"/>
              </w:rPr>
              <w:t>…</w:t>
            </w:r>
          </w:p>
        </w:tc>
        <w:tc>
          <w:tcPr>
            <w:tcW w:w="2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5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42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4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7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6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6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4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4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3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74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c>
          <w:tcPr>
            <w:tcW w:w="2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rPr>
                <w:rFonts w:ascii="宋体" w:hAnsi="宋体"/>
                <w:szCs w:val="18"/>
              </w:rPr>
            </w:pPr>
          </w:p>
        </w:tc>
      </w:tr>
      <w:tr w:rsidR="00E30CF7" w:rsidTr="00CC0537">
        <w:trPr>
          <w:trHeight w:val="1372"/>
          <w:jc w:val="center"/>
        </w:trPr>
        <w:tc>
          <w:tcPr>
            <w:tcW w:w="15425" w:type="dxa"/>
            <w:gridSpan w:val="4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30CF7" w:rsidRDefault="00E30CF7" w:rsidP="00CC0537">
            <w:pPr>
              <w:jc w:val="left"/>
              <w:rPr>
                <w:rFonts w:ascii="宋体" w:hAnsi="宋体"/>
              </w:rPr>
            </w:pPr>
            <w:r>
              <w:rPr>
                <w:rFonts w:ascii="宋体" w:hAnsi="宋体" w:hint="eastAsia"/>
              </w:rPr>
              <w:t>注：</w:t>
            </w:r>
          </w:p>
          <w:p w:rsidR="00E30CF7" w:rsidRDefault="00E30CF7" w:rsidP="00CC0537">
            <w:pPr>
              <w:jc w:val="left"/>
              <w:rPr>
                <w:rFonts w:ascii="宋体" w:hAnsi="宋体"/>
              </w:rPr>
            </w:pPr>
            <w:r>
              <w:rPr>
                <w:rFonts w:ascii="宋体" w:hAnsi="宋体" w:hint="eastAsia"/>
              </w:rPr>
              <w:t>1.炉窑类型包括：熔炼炉、熔化炉、烧结机（炉）、焙（煅）烧炉、加热炉、热处理炉、干燥炉（窑）、炼焦炉、煤气发生炉等。</w:t>
            </w:r>
          </w:p>
          <w:p w:rsidR="00E30CF7" w:rsidRDefault="00E30CF7" w:rsidP="00CC0537">
            <w:pPr>
              <w:jc w:val="left"/>
              <w:rPr>
                <w:rFonts w:ascii="宋体" w:hAnsi="宋体"/>
              </w:rPr>
            </w:pPr>
            <w:r>
              <w:rPr>
                <w:rFonts w:ascii="宋体" w:hAnsi="宋体" w:hint="eastAsia"/>
              </w:rPr>
              <w:t>2.治理方式包括：淘汰取缔、清洁替代、深度治理三种。</w:t>
            </w:r>
          </w:p>
          <w:p w:rsidR="00E30CF7" w:rsidRDefault="00E30CF7" w:rsidP="00CC0537">
            <w:pPr>
              <w:jc w:val="left"/>
              <w:rPr>
                <w:rFonts w:ascii="宋体" w:hAnsi="宋体"/>
              </w:rPr>
            </w:pPr>
            <w:r>
              <w:rPr>
                <w:rFonts w:ascii="宋体" w:hAnsi="宋体" w:hint="eastAsia"/>
              </w:rPr>
              <w:t>3.治理内容：需要简单填写针对炉窑脱硫、脱硝、除尘、VOCs、无组织中的一项或几项采取的治理内容。</w:t>
            </w:r>
          </w:p>
          <w:p w:rsidR="00E30CF7" w:rsidRDefault="00E30CF7" w:rsidP="00CC0537">
            <w:pPr>
              <w:jc w:val="left"/>
              <w:rPr>
                <w:rFonts w:ascii="宋体" w:hAnsi="宋体"/>
              </w:rPr>
            </w:pPr>
            <w:r>
              <w:rPr>
                <w:rFonts w:ascii="宋体" w:hAnsi="宋体" w:hint="eastAsia"/>
              </w:rPr>
              <w:t>4.工业炉窑现有的所有基本信息需要填报后于2019年10月底之前提交；治理效果需要待该工业炉窑综合治理完成后填报，于2020年11月底之前提交。</w:t>
            </w:r>
          </w:p>
        </w:tc>
      </w:tr>
    </w:tbl>
    <w:p w:rsidR="00E30CF7" w:rsidRDefault="00E30CF7" w:rsidP="00E30CF7">
      <w:pPr>
        <w:widowControl/>
        <w:shd w:val="clear" w:color="auto" w:fill="FFFFFF"/>
        <w:spacing w:line="450" w:lineRule="atLeast"/>
        <w:jc w:val="left"/>
        <w:rPr>
          <w:rFonts w:ascii="微软雅黑" w:eastAsia="微软雅黑" w:hAnsi="微软雅黑" w:cs="宋体"/>
          <w:bCs/>
          <w:kern w:val="0"/>
          <w:sz w:val="24"/>
          <w:szCs w:val="24"/>
        </w:rPr>
      </w:pPr>
      <w:r>
        <w:rPr>
          <w:rFonts w:ascii="微软雅黑" w:eastAsia="微软雅黑" w:hAnsi="微软雅黑" w:cs="宋体" w:hint="eastAsia"/>
          <w:bCs/>
          <w:kern w:val="0"/>
          <w:sz w:val="24"/>
          <w:szCs w:val="24"/>
        </w:rPr>
        <w:lastRenderedPageBreak/>
        <w:t>附表3</w:t>
      </w:r>
    </w:p>
    <w:p w:rsidR="00E30CF7" w:rsidRDefault="00E30CF7" w:rsidP="00E30CF7">
      <w:pPr>
        <w:widowControl/>
        <w:shd w:val="clear" w:color="auto" w:fill="FFFFFF"/>
        <w:spacing w:line="450" w:lineRule="atLeast"/>
        <w:jc w:val="center"/>
        <w:rPr>
          <w:rFonts w:ascii="楷体" w:eastAsia="楷体" w:hAnsi="楷体" w:cs="宋体"/>
          <w:kern w:val="0"/>
          <w:szCs w:val="21"/>
        </w:rPr>
      </w:pPr>
      <w:r>
        <w:rPr>
          <w:rFonts w:ascii="微软雅黑" w:eastAsia="微软雅黑" w:hAnsi="微软雅黑" w:cs="宋体" w:hint="eastAsia"/>
          <w:b/>
          <w:bCs/>
          <w:kern w:val="0"/>
          <w:sz w:val="24"/>
          <w:szCs w:val="24"/>
        </w:rPr>
        <w:t>工业炉窑大气污染综合治理重点项目表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55"/>
        <w:gridCol w:w="754"/>
        <w:gridCol w:w="754"/>
        <w:gridCol w:w="614"/>
        <w:gridCol w:w="614"/>
        <w:gridCol w:w="614"/>
        <w:gridCol w:w="614"/>
        <w:gridCol w:w="614"/>
        <w:gridCol w:w="614"/>
        <w:gridCol w:w="614"/>
        <w:gridCol w:w="614"/>
        <w:gridCol w:w="791"/>
        <w:gridCol w:w="614"/>
        <w:gridCol w:w="614"/>
        <w:gridCol w:w="791"/>
        <w:gridCol w:w="614"/>
        <w:gridCol w:w="614"/>
        <w:gridCol w:w="592"/>
        <w:gridCol w:w="813"/>
        <w:gridCol w:w="614"/>
        <w:gridCol w:w="614"/>
      </w:tblGrid>
      <w:tr w:rsidR="00E30CF7" w:rsidTr="00CC0537">
        <w:trPr>
          <w:trHeight w:val="1350"/>
          <w:jc w:val="center"/>
        </w:trPr>
        <w:tc>
          <w:tcPr>
            <w:tcW w:w="705" w:type="dxa"/>
            <w:vAlign w:val="center"/>
          </w:tcPr>
          <w:p w:rsidR="00E30CF7" w:rsidRDefault="00E30CF7" w:rsidP="00CC0537">
            <w:pPr>
              <w:widowControl/>
              <w:spacing w:line="240" w:lineRule="exact"/>
              <w:ind w:leftChars="-44" w:left="-92" w:rightChars="-36" w:right="-76"/>
              <w:jc w:val="center"/>
              <w:rPr>
                <w:rFonts w:ascii="宋体" w:hAnsi="宋体" w:cs="宋体"/>
                <w:kern w:val="0"/>
                <w:szCs w:val="21"/>
              </w:rPr>
            </w:pPr>
            <w:r>
              <w:rPr>
                <w:rFonts w:ascii="宋体" w:hAnsi="宋体" w:cs="宋体" w:hint="eastAsia"/>
                <w:kern w:val="0"/>
                <w:szCs w:val="21"/>
              </w:rPr>
              <w:t>序号</w:t>
            </w:r>
          </w:p>
        </w:tc>
        <w:tc>
          <w:tcPr>
            <w:tcW w:w="755" w:type="dxa"/>
            <w:vAlign w:val="center"/>
          </w:tcPr>
          <w:p w:rsidR="00E30CF7" w:rsidRDefault="00E30CF7" w:rsidP="00CC0537">
            <w:pPr>
              <w:widowControl/>
              <w:spacing w:line="240" w:lineRule="exact"/>
              <w:ind w:leftChars="-44" w:left="-92" w:rightChars="-36" w:right="-76"/>
              <w:jc w:val="center"/>
              <w:rPr>
                <w:rFonts w:ascii="宋体" w:hAnsi="宋体" w:cs="宋体"/>
                <w:kern w:val="0"/>
                <w:szCs w:val="21"/>
              </w:rPr>
            </w:pPr>
            <w:r>
              <w:rPr>
                <w:rFonts w:ascii="宋体" w:hAnsi="宋体" w:cs="宋体" w:hint="eastAsia"/>
                <w:kern w:val="0"/>
                <w:szCs w:val="21"/>
              </w:rPr>
              <w:t>市（盟）</w:t>
            </w:r>
          </w:p>
        </w:tc>
        <w:tc>
          <w:tcPr>
            <w:tcW w:w="754" w:type="dxa"/>
            <w:vAlign w:val="center"/>
          </w:tcPr>
          <w:p w:rsidR="00E30CF7" w:rsidRDefault="00E30CF7" w:rsidP="00CC0537">
            <w:pPr>
              <w:widowControl/>
              <w:spacing w:line="240" w:lineRule="exact"/>
              <w:ind w:leftChars="-44" w:left="-92" w:rightChars="-36" w:right="-76"/>
              <w:jc w:val="center"/>
              <w:rPr>
                <w:rFonts w:ascii="宋体" w:hAnsi="宋体" w:cs="宋体"/>
                <w:kern w:val="0"/>
                <w:szCs w:val="21"/>
              </w:rPr>
            </w:pPr>
            <w:r>
              <w:rPr>
                <w:rFonts w:ascii="宋体" w:hAnsi="宋体" w:cs="宋体" w:hint="eastAsia"/>
                <w:kern w:val="0"/>
                <w:szCs w:val="21"/>
              </w:rPr>
              <w:t>县（市、区、旗）</w:t>
            </w:r>
          </w:p>
        </w:tc>
        <w:tc>
          <w:tcPr>
            <w:tcW w:w="754" w:type="dxa"/>
            <w:vAlign w:val="center"/>
          </w:tcPr>
          <w:p w:rsidR="00E30CF7" w:rsidRDefault="00E30CF7" w:rsidP="00CC0537">
            <w:pPr>
              <w:widowControl/>
              <w:spacing w:line="240" w:lineRule="exact"/>
              <w:ind w:leftChars="-44" w:left="-92" w:rightChars="-36" w:right="-76"/>
              <w:jc w:val="center"/>
              <w:rPr>
                <w:rFonts w:ascii="宋体" w:hAnsi="宋体" w:cs="宋体"/>
                <w:kern w:val="0"/>
                <w:szCs w:val="21"/>
              </w:rPr>
            </w:pPr>
            <w:r>
              <w:rPr>
                <w:rFonts w:ascii="宋体" w:hAnsi="宋体" w:cs="宋体" w:hint="eastAsia"/>
                <w:kern w:val="0"/>
                <w:szCs w:val="21"/>
              </w:rPr>
              <w:t>乡（镇、苏木）</w:t>
            </w:r>
          </w:p>
        </w:tc>
        <w:tc>
          <w:tcPr>
            <w:tcW w:w="614" w:type="dxa"/>
            <w:vAlign w:val="center"/>
          </w:tcPr>
          <w:p w:rsidR="00E30CF7" w:rsidRDefault="00E30CF7" w:rsidP="00CC0537">
            <w:pPr>
              <w:widowControl/>
              <w:spacing w:line="240" w:lineRule="exact"/>
              <w:ind w:leftChars="-44" w:left="-92" w:rightChars="-36" w:right="-76"/>
              <w:jc w:val="center"/>
              <w:rPr>
                <w:rFonts w:ascii="宋体" w:hAnsi="宋体" w:cs="宋体"/>
                <w:kern w:val="0"/>
                <w:szCs w:val="21"/>
              </w:rPr>
            </w:pPr>
            <w:r>
              <w:rPr>
                <w:rFonts w:ascii="宋体" w:hAnsi="宋体" w:cs="宋体" w:hint="eastAsia"/>
                <w:kern w:val="0"/>
                <w:szCs w:val="21"/>
              </w:rPr>
              <w:t>企业名称</w:t>
            </w:r>
          </w:p>
        </w:tc>
        <w:tc>
          <w:tcPr>
            <w:tcW w:w="614" w:type="dxa"/>
            <w:vAlign w:val="center"/>
          </w:tcPr>
          <w:p w:rsidR="00E30CF7" w:rsidRDefault="00E30CF7" w:rsidP="00CC0537">
            <w:pPr>
              <w:widowControl/>
              <w:spacing w:line="240" w:lineRule="exact"/>
              <w:ind w:leftChars="-44" w:left="-92" w:rightChars="-36" w:right="-76"/>
              <w:jc w:val="center"/>
              <w:rPr>
                <w:rFonts w:ascii="宋体" w:hAnsi="宋体" w:cs="宋体"/>
                <w:kern w:val="0"/>
                <w:szCs w:val="21"/>
              </w:rPr>
            </w:pPr>
            <w:r>
              <w:rPr>
                <w:rFonts w:ascii="宋体" w:hAnsi="宋体" w:cs="宋体" w:hint="eastAsia"/>
                <w:kern w:val="0"/>
                <w:szCs w:val="21"/>
              </w:rPr>
              <w:t>统一社会信用代码</w:t>
            </w:r>
          </w:p>
        </w:tc>
        <w:tc>
          <w:tcPr>
            <w:tcW w:w="614" w:type="dxa"/>
            <w:vAlign w:val="center"/>
          </w:tcPr>
          <w:p w:rsidR="00E30CF7" w:rsidRDefault="00E30CF7" w:rsidP="00CC0537">
            <w:pPr>
              <w:widowControl/>
              <w:spacing w:line="240" w:lineRule="exact"/>
              <w:ind w:leftChars="-44" w:left="-92" w:rightChars="-36" w:right="-76"/>
              <w:jc w:val="center"/>
              <w:rPr>
                <w:rFonts w:ascii="宋体" w:hAnsi="宋体" w:cs="宋体"/>
                <w:kern w:val="0"/>
                <w:szCs w:val="21"/>
              </w:rPr>
            </w:pPr>
            <w:r>
              <w:rPr>
                <w:rFonts w:ascii="宋体" w:hAnsi="宋体" w:cs="宋体" w:hint="eastAsia"/>
                <w:kern w:val="0"/>
                <w:szCs w:val="21"/>
              </w:rPr>
              <w:t>单位地址</w:t>
            </w:r>
          </w:p>
        </w:tc>
        <w:tc>
          <w:tcPr>
            <w:tcW w:w="614" w:type="dxa"/>
            <w:vAlign w:val="center"/>
          </w:tcPr>
          <w:p w:rsidR="00E30CF7" w:rsidRDefault="00E30CF7" w:rsidP="00CC0537">
            <w:pPr>
              <w:widowControl/>
              <w:spacing w:line="240" w:lineRule="exact"/>
              <w:ind w:leftChars="-44" w:left="-92" w:rightChars="-36" w:right="-76"/>
              <w:jc w:val="center"/>
              <w:rPr>
                <w:rFonts w:ascii="宋体" w:hAnsi="宋体" w:cs="宋体"/>
                <w:kern w:val="0"/>
                <w:szCs w:val="21"/>
              </w:rPr>
            </w:pPr>
            <w:r>
              <w:rPr>
                <w:rFonts w:ascii="宋体" w:hAnsi="宋体" w:cs="宋体" w:hint="eastAsia"/>
                <w:kern w:val="0"/>
                <w:szCs w:val="21"/>
              </w:rPr>
              <w:t>行业类别</w:t>
            </w:r>
          </w:p>
        </w:tc>
        <w:tc>
          <w:tcPr>
            <w:tcW w:w="614" w:type="dxa"/>
            <w:vAlign w:val="center"/>
          </w:tcPr>
          <w:p w:rsidR="00E30CF7" w:rsidRDefault="00E30CF7" w:rsidP="00CC0537">
            <w:pPr>
              <w:widowControl/>
              <w:spacing w:line="240" w:lineRule="exact"/>
              <w:ind w:leftChars="-44" w:left="-92" w:rightChars="-36" w:right="-76"/>
              <w:jc w:val="center"/>
              <w:rPr>
                <w:rFonts w:ascii="宋体" w:hAnsi="宋体" w:cs="宋体"/>
                <w:kern w:val="0"/>
                <w:szCs w:val="21"/>
              </w:rPr>
            </w:pPr>
            <w:r>
              <w:rPr>
                <w:rFonts w:ascii="宋体" w:hAnsi="宋体" w:cs="宋体" w:hint="eastAsia"/>
                <w:kern w:val="0"/>
                <w:szCs w:val="21"/>
              </w:rPr>
              <w:t>产品类别</w:t>
            </w:r>
          </w:p>
        </w:tc>
        <w:tc>
          <w:tcPr>
            <w:tcW w:w="614" w:type="dxa"/>
            <w:vAlign w:val="center"/>
          </w:tcPr>
          <w:p w:rsidR="00E30CF7" w:rsidRDefault="00E30CF7" w:rsidP="00CC0537">
            <w:pPr>
              <w:widowControl/>
              <w:spacing w:line="240" w:lineRule="exact"/>
              <w:ind w:leftChars="-44" w:left="-92" w:rightChars="-36" w:right="-76"/>
              <w:jc w:val="center"/>
              <w:rPr>
                <w:rFonts w:ascii="宋体" w:hAnsi="宋体" w:cs="宋体"/>
                <w:kern w:val="0"/>
                <w:szCs w:val="21"/>
              </w:rPr>
            </w:pPr>
            <w:r>
              <w:rPr>
                <w:rFonts w:ascii="宋体" w:hAnsi="宋体" w:cs="宋体" w:hint="eastAsia"/>
                <w:kern w:val="0"/>
                <w:szCs w:val="21"/>
              </w:rPr>
              <w:t>炉窑类型</w:t>
            </w:r>
          </w:p>
        </w:tc>
        <w:tc>
          <w:tcPr>
            <w:tcW w:w="614" w:type="dxa"/>
            <w:vAlign w:val="center"/>
          </w:tcPr>
          <w:p w:rsidR="00E30CF7" w:rsidRDefault="00E30CF7" w:rsidP="00CC0537">
            <w:pPr>
              <w:widowControl/>
              <w:spacing w:line="240" w:lineRule="exact"/>
              <w:ind w:leftChars="-44" w:left="-92" w:rightChars="-36" w:right="-76"/>
              <w:jc w:val="center"/>
              <w:rPr>
                <w:rFonts w:ascii="宋体" w:hAnsi="宋体" w:cs="宋体"/>
                <w:kern w:val="0"/>
                <w:szCs w:val="21"/>
              </w:rPr>
            </w:pPr>
            <w:r>
              <w:rPr>
                <w:rFonts w:ascii="宋体" w:hAnsi="宋体" w:cs="宋体" w:hint="eastAsia"/>
                <w:kern w:val="0"/>
                <w:szCs w:val="21"/>
              </w:rPr>
              <w:t>炉窑子类</w:t>
            </w:r>
          </w:p>
        </w:tc>
        <w:tc>
          <w:tcPr>
            <w:tcW w:w="614" w:type="dxa"/>
            <w:vAlign w:val="center"/>
          </w:tcPr>
          <w:p w:rsidR="00E30CF7" w:rsidRDefault="00E30CF7" w:rsidP="00CC0537">
            <w:pPr>
              <w:widowControl/>
              <w:spacing w:line="240" w:lineRule="exact"/>
              <w:ind w:leftChars="-44" w:left="-92" w:rightChars="-36" w:right="-76"/>
              <w:jc w:val="center"/>
              <w:rPr>
                <w:rFonts w:ascii="宋体" w:hAnsi="宋体" w:cs="宋体"/>
                <w:kern w:val="0"/>
                <w:szCs w:val="21"/>
              </w:rPr>
            </w:pPr>
            <w:r>
              <w:rPr>
                <w:rFonts w:ascii="宋体" w:hAnsi="宋体" w:cs="宋体" w:hint="eastAsia"/>
                <w:kern w:val="0"/>
                <w:szCs w:val="21"/>
              </w:rPr>
              <w:t>该类炉窑个数</w:t>
            </w:r>
          </w:p>
        </w:tc>
        <w:tc>
          <w:tcPr>
            <w:tcW w:w="791" w:type="dxa"/>
            <w:vAlign w:val="center"/>
          </w:tcPr>
          <w:p w:rsidR="00E30CF7" w:rsidRDefault="00E30CF7" w:rsidP="00CC0537">
            <w:pPr>
              <w:widowControl/>
              <w:spacing w:line="240" w:lineRule="exact"/>
              <w:ind w:leftChars="-44" w:left="-92" w:rightChars="-36" w:right="-76"/>
              <w:jc w:val="center"/>
              <w:rPr>
                <w:rFonts w:ascii="宋体" w:hAnsi="宋体" w:cs="宋体"/>
                <w:kern w:val="0"/>
                <w:szCs w:val="21"/>
              </w:rPr>
            </w:pPr>
            <w:r>
              <w:rPr>
                <w:rFonts w:ascii="宋体" w:hAnsi="宋体" w:cs="宋体" w:hint="eastAsia"/>
                <w:kern w:val="0"/>
                <w:szCs w:val="21"/>
              </w:rPr>
              <w:t>该类炉窑总规模</w:t>
            </w:r>
          </w:p>
        </w:tc>
        <w:tc>
          <w:tcPr>
            <w:tcW w:w="614" w:type="dxa"/>
            <w:vAlign w:val="center"/>
          </w:tcPr>
          <w:p w:rsidR="00E30CF7" w:rsidRDefault="00E30CF7" w:rsidP="00CC0537">
            <w:pPr>
              <w:widowControl/>
              <w:spacing w:line="240" w:lineRule="exact"/>
              <w:ind w:leftChars="-44" w:left="-92" w:rightChars="-36" w:right="-76"/>
              <w:jc w:val="center"/>
              <w:rPr>
                <w:rFonts w:ascii="宋体" w:hAnsi="宋体" w:cs="宋体"/>
                <w:kern w:val="0"/>
                <w:szCs w:val="21"/>
              </w:rPr>
            </w:pPr>
            <w:r>
              <w:rPr>
                <w:rFonts w:ascii="宋体" w:hAnsi="宋体" w:cs="宋体" w:hint="eastAsia"/>
                <w:kern w:val="0"/>
                <w:szCs w:val="21"/>
              </w:rPr>
              <w:t>规模单位</w:t>
            </w:r>
          </w:p>
        </w:tc>
        <w:tc>
          <w:tcPr>
            <w:tcW w:w="614" w:type="dxa"/>
            <w:vAlign w:val="center"/>
          </w:tcPr>
          <w:p w:rsidR="00E30CF7" w:rsidRDefault="00E30CF7" w:rsidP="00CC0537">
            <w:pPr>
              <w:widowControl/>
              <w:spacing w:line="240" w:lineRule="exact"/>
              <w:ind w:leftChars="-44" w:left="-92" w:rightChars="-36" w:right="-76"/>
              <w:jc w:val="center"/>
              <w:rPr>
                <w:rFonts w:ascii="宋体" w:hAnsi="宋体" w:cs="宋体"/>
                <w:kern w:val="0"/>
                <w:szCs w:val="21"/>
              </w:rPr>
            </w:pPr>
            <w:r>
              <w:rPr>
                <w:rFonts w:ascii="宋体" w:hAnsi="宋体" w:cs="宋体" w:hint="eastAsia"/>
                <w:kern w:val="0"/>
                <w:szCs w:val="21"/>
              </w:rPr>
              <w:t>燃料类型</w:t>
            </w:r>
          </w:p>
        </w:tc>
        <w:tc>
          <w:tcPr>
            <w:tcW w:w="791" w:type="dxa"/>
            <w:vAlign w:val="center"/>
          </w:tcPr>
          <w:p w:rsidR="00E30CF7" w:rsidRDefault="00E30CF7" w:rsidP="00CC0537">
            <w:pPr>
              <w:widowControl/>
              <w:spacing w:line="240" w:lineRule="exact"/>
              <w:ind w:leftChars="-44" w:left="-92" w:rightChars="-36" w:right="-76"/>
              <w:jc w:val="center"/>
              <w:rPr>
                <w:rFonts w:ascii="宋体" w:hAnsi="宋体" w:cs="宋体"/>
                <w:kern w:val="0"/>
                <w:szCs w:val="21"/>
              </w:rPr>
            </w:pPr>
            <w:r>
              <w:rPr>
                <w:rFonts w:ascii="宋体" w:hAnsi="宋体" w:cs="宋体" w:hint="eastAsia"/>
                <w:kern w:val="0"/>
                <w:szCs w:val="21"/>
              </w:rPr>
              <w:t>主要燃料年消耗量</w:t>
            </w:r>
          </w:p>
        </w:tc>
        <w:tc>
          <w:tcPr>
            <w:tcW w:w="614" w:type="dxa"/>
            <w:vAlign w:val="center"/>
          </w:tcPr>
          <w:p w:rsidR="00E30CF7" w:rsidRDefault="00E30CF7" w:rsidP="00CC0537">
            <w:pPr>
              <w:widowControl/>
              <w:spacing w:line="240" w:lineRule="exact"/>
              <w:ind w:leftChars="-44" w:left="-92" w:rightChars="-36" w:right="-76"/>
              <w:jc w:val="center"/>
              <w:rPr>
                <w:rFonts w:ascii="宋体" w:hAnsi="宋体" w:cs="宋体"/>
                <w:kern w:val="0"/>
                <w:szCs w:val="21"/>
              </w:rPr>
            </w:pPr>
            <w:r>
              <w:rPr>
                <w:rFonts w:ascii="宋体" w:hAnsi="宋体" w:cs="宋体" w:hint="eastAsia"/>
                <w:kern w:val="0"/>
                <w:szCs w:val="21"/>
              </w:rPr>
              <w:t>燃料单位</w:t>
            </w:r>
          </w:p>
        </w:tc>
        <w:tc>
          <w:tcPr>
            <w:tcW w:w="614" w:type="dxa"/>
            <w:vAlign w:val="center"/>
          </w:tcPr>
          <w:p w:rsidR="00E30CF7" w:rsidRDefault="00E30CF7" w:rsidP="00CC0537">
            <w:pPr>
              <w:widowControl/>
              <w:spacing w:line="240" w:lineRule="exact"/>
              <w:ind w:leftChars="-44" w:left="-92" w:rightChars="-36" w:right="-76"/>
              <w:jc w:val="center"/>
              <w:rPr>
                <w:rFonts w:ascii="宋体" w:hAnsi="宋体" w:cs="宋体"/>
                <w:kern w:val="0"/>
                <w:szCs w:val="21"/>
              </w:rPr>
            </w:pPr>
            <w:r>
              <w:rPr>
                <w:rFonts w:ascii="宋体" w:hAnsi="宋体" w:cs="宋体" w:hint="eastAsia"/>
                <w:kern w:val="0"/>
                <w:szCs w:val="21"/>
              </w:rPr>
              <w:t>是否安装自动监控设施</w:t>
            </w:r>
          </w:p>
        </w:tc>
        <w:tc>
          <w:tcPr>
            <w:tcW w:w="592" w:type="dxa"/>
            <w:vAlign w:val="center"/>
          </w:tcPr>
          <w:p w:rsidR="00E30CF7" w:rsidRDefault="00E30CF7" w:rsidP="00CC0537">
            <w:pPr>
              <w:widowControl/>
              <w:spacing w:line="240" w:lineRule="exact"/>
              <w:ind w:leftChars="-44" w:left="-92" w:rightChars="-36" w:right="-76"/>
              <w:jc w:val="center"/>
              <w:rPr>
                <w:rFonts w:ascii="宋体" w:hAnsi="宋体" w:cs="宋体"/>
                <w:kern w:val="0"/>
                <w:szCs w:val="21"/>
              </w:rPr>
            </w:pPr>
            <w:r>
              <w:rPr>
                <w:rFonts w:ascii="宋体" w:hAnsi="宋体" w:cs="宋体" w:hint="eastAsia"/>
                <w:kern w:val="0"/>
                <w:szCs w:val="21"/>
              </w:rPr>
              <w:t>治理方式</w:t>
            </w:r>
          </w:p>
        </w:tc>
        <w:tc>
          <w:tcPr>
            <w:tcW w:w="813" w:type="dxa"/>
            <w:vAlign w:val="center"/>
          </w:tcPr>
          <w:p w:rsidR="00E30CF7" w:rsidRDefault="00E30CF7" w:rsidP="00CC0537">
            <w:pPr>
              <w:widowControl/>
              <w:spacing w:line="240" w:lineRule="exact"/>
              <w:ind w:leftChars="-44" w:left="-92" w:rightChars="-36" w:right="-76"/>
              <w:jc w:val="center"/>
              <w:rPr>
                <w:rFonts w:ascii="宋体" w:hAnsi="宋体" w:cs="宋体"/>
                <w:kern w:val="0"/>
                <w:szCs w:val="21"/>
              </w:rPr>
            </w:pPr>
            <w:r>
              <w:rPr>
                <w:rFonts w:ascii="宋体" w:hAnsi="宋体" w:cs="宋体" w:hint="eastAsia"/>
                <w:kern w:val="0"/>
                <w:szCs w:val="21"/>
              </w:rPr>
              <w:t>替代的清洁低碳能源类型</w:t>
            </w:r>
          </w:p>
        </w:tc>
        <w:tc>
          <w:tcPr>
            <w:tcW w:w="614" w:type="dxa"/>
            <w:vAlign w:val="center"/>
          </w:tcPr>
          <w:p w:rsidR="00E30CF7" w:rsidRDefault="00E30CF7" w:rsidP="00CC0537">
            <w:pPr>
              <w:widowControl/>
              <w:spacing w:line="240" w:lineRule="exact"/>
              <w:ind w:leftChars="-44" w:left="-92" w:rightChars="-36" w:right="-76"/>
              <w:jc w:val="center"/>
              <w:rPr>
                <w:rFonts w:ascii="宋体" w:hAnsi="宋体" w:cs="宋体"/>
                <w:kern w:val="0"/>
                <w:szCs w:val="21"/>
              </w:rPr>
            </w:pPr>
            <w:r>
              <w:rPr>
                <w:rFonts w:ascii="宋体" w:hAnsi="宋体" w:cs="宋体" w:hint="eastAsia"/>
                <w:kern w:val="0"/>
                <w:szCs w:val="21"/>
              </w:rPr>
              <w:t>深度治理措施</w:t>
            </w:r>
          </w:p>
        </w:tc>
        <w:tc>
          <w:tcPr>
            <w:tcW w:w="614" w:type="dxa"/>
            <w:vAlign w:val="center"/>
          </w:tcPr>
          <w:p w:rsidR="00E30CF7" w:rsidRDefault="00E30CF7" w:rsidP="00CC0537">
            <w:pPr>
              <w:widowControl/>
              <w:spacing w:line="240" w:lineRule="exact"/>
              <w:ind w:leftChars="-44" w:left="-92" w:rightChars="-36" w:right="-76"/>
              <w:jc w:val="center"/>
              <w:rPr>
                <w:rFonts w:ascii="宋体" w:hAnsi="宋体" w:cs="宋体"/>
                <w:kern w:val="0"/>
                <w:szCs w:val="21"/>
              </w:rPr>
            </w:pPr>
            <w:r>
              <w:rPr>
                <w:rFonts w:ascii="宋体" w:hAnsi="宋体" w:cs="宋体" w:hint="eastAsia"/>
                <w:kern w:val="0"/>
                <w:szCs w:val="21"/>
              </w:rPr>
              <w:t>计划完成时间</w:t>
            </w:r>
          </w:p>
        </w:tc>
      </w:tr>
      <w:tr w:rsidR="00E30CF7" w:rsidTr="00CC0537">
        <w:trPr>
          <w:trHeight w:val="319"/>
          <w:jc w:val="center"/>
        </w:trPr>
        <w:tc>
          <w:tcPr>
            <w:tcW w:w="705"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1</w:t>
            </w:r>
          </w:p>
        </w:tc>
        <w:tc>
          <w:tcPr>
            <w:tcW w:w="755"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75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75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791"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791"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592"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813"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r>
      <w:tr w:rsidR="00E30CF7" w:rsidTr="00CC0537">
        <w:trPr>
          <w:trHeight w:val="319"/>
          <w:jc w:val="center"/>
        </w:trPr>
        <w:tc>
          <w:tcPr>
            <w:tcW w:w="705"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2</w:t>
            </w:r>
          </w:p>
        </w:tc>
        <w:tc>
          <w:tcPr>
            <w:tcW w:w="755"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75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75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791"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791"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592"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813"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r>
      <w:tr w:rsidR="00E30CF7" w:rsidTr="00CC0537">
        <w:trPr>
          <w:trHeight w:val="319"/>
          <w:jc w:val="center"/>
        </w:trPr>
        <w:tc>
          <w:tcPr>
            <w:tcW w:w="705"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3</w:t>
            </w:r>
          </w:p>
        </w:tc>
        <w:tc>
          <w:tcPr>
            <w:tcW w:w="755"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75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75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791"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791"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592"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813"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r>
      <w:tr w:rsidR="00E30CF7" w:rsidTr="00CC0537">
        <w:trPr>
          <w:trHeight w:val="319"/>
          <w:jc w:val="center"/>
        </w:trPr>
        <w:tc>
          <w:tcPr>
            <w:tcW w:w="705"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w:t>
            </w:r>
          </w:p>
        </w:tc>
        <w:tc>
          <w:tcPr>
            <w:tcW w:w="755"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75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75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791"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791"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592"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813"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c>
          <w:tcPr>
            <w:tcW w:w="614" w:type="dxa"/>
            <w:vAlign w:val="center"/>
          </w:tcPr>
          <w:p w:rsidR="00E30CF7" w:rsidRDefault="00E30CF7" w:rsidP="00CC0537">
            <w:pPr>
              <w:widowControl/>
              <w:jc w:val="center"/>
              <w:rPr>
                <w:rFonts w:ascii="宋体" w:hAnsi="宋体" w:cs="宋体"/>
                <w:kern w:val="0"/>
                <w:sz w:val="22"/>
              </w:rPr>
            </w:pPr>
            <w:r>
              <w:rPr>
                <w:rFonts w:ascii="宋体" w:hAnsi="宋体" w:cs="宋体" w:hint="eastAsia"/>
                <w:kern w:val="0"/>
                <w:sz w:val="22"/>
              </w:rPr>
              <w:t xml:space="preserve">　</w:t>
            </w:r>
          </w:p>
        </w:tc>
      </w:tr>
      <w:tr w:rsidR="00E30CF7" w:rsidTr="00CC0537">
        <w:trPr>
          <w:trHeight w:val="1639"/>
          <w:jc w:val="center"/>
        </w:trPr>
        <w:tc>
          <w:tcPr>
            <w:tcW w:w="14551" w:type="dxa"/>
            <w:gridSpan w:val="22"/>
            <w:vAlign w:val="center"/>
          </w:tcPr>
          <w:p w:rsidR="00E30CF7" w:rsidRDefault="00E30CF7" w:rsidP="00CC0537">
            <w:pPr>
              <w:widowControl/>
              <w:jc w:val="left"/>
              <w:rPr>
                <w:rFonts w:ascii="宋体" w:hAnsi="宋体" w:cs="宋体"/>
                <w:kern w:val="0"/>
                <w:sz w:val="22"/>
              </w:rPr>
            </w:pPr>
            <w:r>
              <w:rPr>
                <w:rFonts w:ascii="宋体" w:hAnsi="宋体" w:cs="宋体" w:hint="eastAsia"/>
                <w:kern w:val="0"/>
                <w:sz w:val="22"/>
              </w:rPr>
              <w:t>注：</w:t>
            </w:r>
          </w:p>
          <w:p w:rsidR="00E30CF7" w:rsidRDefault="00E30CF7" w:rsidP="00CC0537">
            <w:pPr>
              <w:widowControl/>
              <w:jc w:val="left"/>
              <w:rPr>
                <w:rFonts w:ascii="宋体" w:hAnsi="宋体" w:cs="宋体"/>
                <w:kern w:val="0"/>
                <w:sz w:val="22"/>
              </w:rPr>
            </w:pPr>
            <w:r>
              <w:rPr>
                <w:rFonts w:ascii="宋体" w:hAnsi="宋体" w:cs="宋体" w:hint="eastAsia"/>
                <w:kern w:val="0"/>
                <w:sz w:val="22"/>
              </w:rPr>
              <w:t>1.行业类别、产品类别、炉窑类型和炉窑子类按照附表1填报</w:t>
            </w:r>
          </w:p>
          <w:p w:rsidR="00E30CF7" w:rsidRDefault="00E30CF7" w:rsidP="00CC0537">
            <w:pPr>
              <w:widowControl/>
              <w:jc w:val="left"/>
              <w:rPr>
                <w:rFonts w:ascii="宋体" w:hAnsi="宋体" w:cs="宋体"/>
                <w:kern w:val="0"/>
                <w:sz w:val="22"/>
              </w:rPr>
            </w:pPr>
            <w:r>
              <w:rPr>
                <w:rFonts w:ascii="宋体" w:hAnsi="宋体" w:cs="宋体" w:hint="eastAsia"/>
                <w:kern w:val="0"/>
                <w:sz w:val="22"/>
              </w:rPr>
              <w:t>2.企业有多个炉窑子类的，每种炉窑子类填写一行</w:t>
            </w:r>
          </w:p>
          <w:p w:rsidR="00E30CF7" w:rsidRDefault="00E30CF7" w:rsidP="00CC0537">
            <w:pPr>
              <w:widowControl/>
              <w:jc w:val="left"/>
              <w:rPr>
                <w:rFonts w:ascii="宋体" w:hAnsi="宋体" w:cs="宋体"/>
                <w:kern w:val="0"/>
                <w:sz w:val="22"/>
              </w:rPr>
            </w:pPr>
            <w:r>
              <w:rPr>
                <w:rFonts w:ascii="宋体" w:hAnsi="宋体" w:cs="宋体" w:hint="eastAsia"/>
                <w:kern w:val="0"/>
                <w:sz w:val="22"/>
              </w:rPr>
              <w:t>3.治理方式包括淘汰取缔、清洁替代、深度治理等</w:t>
            </w:r>
          </w:p>
          <w:p w:rsidR="00E30CF7" w:rsidRDefault="00E30CF7" w:rsidP="00CC0537">
            <w:pPr>
              <w:widowControl/>
              <w:jc w:val="left"/>
              <w:rPr>
                <w:rFonts w:ascii="宋体" w:hAnsi="宋体" w:cs="宋体"/>
                <w:kern w:val="0"/>
                <w:sz w:val="22"/>
              </w:rPr>
            </w:pPr>
            <w:r>
              <w:rPr>
                <w:rFonts w:ascii="宋体" w:hAnsi="宋体" w:cs="宋体" w:hint="eastAsia"/>
                <w:kern w:val="0"/>
                <w:sz w:val="22"/>
              </w:rPr>
              <w:t>4.替代的清洁能源类型包括天然气、电、集中供热等</w:t>
            </w:r>
          </w:p>
          <w:p w:rsidR="00E30CF7" w:rsidRDefault="00E30CF7" w:rsidP="00CC0537">
            <w:pPr>
              <w:widowControl/>
              <w:jc w:val="left"/>
              <w:rPr>
                <w:rFonts w:ascii="宋体" w:hAnsi="宋体" w:cs="宋体"/>
                <w:kern w:val="0"/>
                <w:sz w:val="22"/>
              </w:rPr>
            </w:pPr>
            <w:r>
              <w:rPr>
                <w:rFonts w:ascii="宋体" w:hAnsi="宋体" w:cs="宋体" w:hint="eastAsia"/>
                <w:kern w:val="0"/>
                <w:sz w:val="22"/>
              </w:rPr>
              <w:t>5.深度治理措施包括脱硫脱硝除尘改造、VOCs治理以及无组织排放控制等达标排放或深度治理措施</w:t>
            </w:r>
          </w:p>
          <w:p w:rsidR="00E30CF7" w:rsidRDefault="00E30CF7" w:rsidP="00CC0537">
            <w:pPr>
              <w:widowControl/>
              <w:jc w:val="left"/>
              <w:rPr>
                <w:rFonts w:ascii="宋体" w:hAnsi="宋体" w:cs="宋体"/>
                <w:kern w:val="0"/>
                <w:sz w:val="22"/>
              </w:rPr>
            </w:pPr>
          </w:p>
        </w:tc>
      </w:tr>
    </w:tbl>
    <w:p w:rsidR="00E30CF7" w:rsidRDefault="00E30CF7" w:rsidP="00E30CF7">
      <w:pPr>
        <w:widowControl/>
        <w:shd w:val="clear" w:color="auto" w:fill="FFFFFF"/>
        <w:spacing w:line="450" w:lineRule="atLeast"/>
        <w:jc w:val="left"/>
        <w:rPr>
          <w:rFonts w:ascii="楷体" w:eastAsia="楷体" w:hAnsi="楷体" w:cs="宋体"/>
          <w:kern w:val="0"/>
          <w:szCs w:val="21"/>
        </w:rPr>
      </w:pPr>
    </w:p>
    <w:p w:rsidR="00E30CF7" w:rsidRDefault="00E30CF7" w:rsidP="00E30CF7">
      <w:pPr>
        <w:widowControl/>
        <w:shd w:val="clear" w:color="auto" w:fill="FFFFFF"/>
        <w:spacing w:line="540" w:lineRule="atLeast"/>
        <w:jc w:val="center"/>
        <w:rPr>
          <w:rFonts w:ascii="微软雅黑" w:eastAsia="微软雅黑" w:hAnsi="微软雅黑" w:cs="宋体"/>
          <w:b/>
          <w:bCs/>
          <w:kern w:val="0"/>
          <w:sz w:val="24"/>
          <w:szCs w:val="24"/>
        </w:rPr>
      </w:pPr>
    </w:p>
    <w:p w:rsidR="00E30CF7" w:rsidRDefault="00E30CF7" w:rsidP="00E30CF7">
      <w:pPr>
        <w:widowControl/>
        <w:shd w:val="clear" w:color="auto" w:fill="FFFFFF"/>
        <w:spacing w:line="540" w:lineRule="atLeast"/>
        <w:jc w:val="center"/>
        <w:rPr>
          <w:rFonts w:ascii="微软雅黑" w:eastAsia="微软雅黑" w:hAnsi="微软雅黑" w:cs="宋体"/>
          <w:b/>
          <w:bCs/>
          <w:kern w:val="0"/>
          <w:sz w:val="24"/>
          <w:szCs w:val="24"/>
        </w:rPr>
      </w:pPr>
    </w:p>
    <w:p w:rsidR="00E30CF7" w:rsidRDefault="00E30CF7" w:rsidP="00E30CF7">
      <w:pPr>
        <w:widowControl/>
        <w:shd w:val="clear" w:color="auto" w:fill="FFFFFF"/>
        <w:spacing w:line="540" w:lineRule="atLeast"/>
        <w:jc w:val="center"/>
        <w:rPr>
          <w:rFonts w:ascii="微软雅黑" w:eastAsia="微软雅黑" w:hAnsi="微软雅黑" w:cs="宋体"/>
          <w:b/>
          <w:bCs/>
          <w:kern w:val="0"/>
          <w:sz w:val="24"/>
          <w:szCs w:val="24"/>
        </w:rPr>
        <w:sectPr w:rsidR="00E30CF7">
          <w:pgSz w:w="16838" w:h="11906" w:orient="landscape"/>
          <w:pgMar w:top="1800" w:right="1440" w:bottom="1800" w:left="1440" w:header="851" w:footer="992" w:gutter="0"/>
          <w:cols w:space="720"/>
          <w:docGrid w:type="lines" w:linePitch="312"/>
        </w:sectPr>
      </w:pPr>
    </w:p>
    <w:p w:rsidR="00E30CF7" w:rsidRDefault="00E30CF7" w:rsidP="00E30CF7">
      <w:pPr>
        <w:widowControl/>
        <w:shd w:val="clear" w:color="auto" w:fill="FFFFFF"/>
        <w:spacing w:line="540" w:lineRule="atLeast"/>
        <w:jc w:val="left"/>
        <w:rPr>
          <w:rFonts w:ascii="微软雅黑" w:eastAsia="微软雅黑" w:hAnsi="微软雅黑" w:cs="宋体"/>
          <w:bCs/>
          <w:kern w:val="0"/>
          <w:sz w:val="24"/>
          <w:szCs w:val="24"/>
        </w:rPr>
      </w:pPr>
      <w:r>
        <w:rPr>
          <w:rFonts w:ascii="微软雅黑" w:eastAsia="微软雅黑" w:hAnsi="微软雅黑" w:cs="宋体" w:hint="eastAsia"/>
          <w:bCs/>
          <w:kern w:val="0"/>
          <w:sz w:val="24"/>
          <w:szCs w:val="24"/>
        </w:rPr>
        <w:lastRenderedPageBreak/>
        <w:t>附表4</w:t>
      </w:r>
    </w:p>
    <w:p w:rsidR="00E30CF7" w:rsidRDefault="00E30CF7" w:rsidP="00E30CF7">
      <w:pPr>
        <w:widowControl/>
        <w:shd w:val="clear" w:color="auto" w:fill="FFFFFF"/>
        <w:spacing w:line="540" w:lineRule="atLeast"/>
        <w:jc w:val="center"/>
        <w:rPr>
          <w:rFonts w:ascii="微软雅黑" w:eastAsia="微软雅黑" w:hAnsi="微软雅黑" w:cs="宋体"/>
          <w:b/>
          <w:bCs/>
          <w:kern w:val="0"/>
          <w:sz w:val="24"/>
          <w:szCs w:val="24"/>
        </w:rPr>
      </w:pPr>
      <w:r>
        <w:rPr>
          <w:rFonts w:ascii="微软雅黑" w:eastAsia="微软雅黑" w:hAnsi="微软雅黑" w:cs="宋体" w:hint="eastAsia"/>
          <w:b/>
          <w:bCs/>
          <w:kern w:val="0"/>
          <w:sz w:val="24"/>
          <w:szCs w:val="24"/>
        </w:rPr>
        <w:t>现有涉工业炉窑行业大气污染物排放标准</w:t>
      </w:r>
    </w:p>
    <w:tbl>
      <w:tblPr>
        <w:tblW w:w="0" w:type="auto"/>
        <w:jc w:val="center"/>
        <w:tblLayout w:type="fixed"/>
        <w:tblCellMar>
          <w:left w:w="0" w:type="dxa"/>
          <w:right w:w="0" w:type="dxa"/>
        </w:tblCellMar>
        <w:tblLook w:val="04A0" w:firstRow="1" w:lastRow="0" w:firstColumn="1" w:lastColumn="0" w:noHBand="0" w:noVBand="1"/>
      </w:tblPr>
      <w:tblGrid>
        <w:gridCol w:w="873"/>
        <w:gridCol w:w="4857"/>
        <w:gridCol w:w="2524"/>
      </w:tblGrid>
      <w:tr w:rsidR="00E30CF7" w:rsidTr="00CC0537">
        <w:trPr>
          <w:trHeight w:val="369"/>
          <w:jc w:val="center"/>
        </w:trPr>
        <w:tc>
          <w:tcPr>
            <w:tcW w:w="8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b/>
                <w:bCs/>
                <w:kern w:val="0"/>
                <w:szCs w:val="21"/>
              </w:rPr>
              <w:t>行业</w:t>
            </w:r>
          </w:p>
        </w:tc>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b/>
                <w:bCs/>
                <w:kern w:val="0"/>
                <w:szCs w:val="21"/>
              </w:rPr>
              <w:t>标准名称</w:t>
            </w:r>
          </w:p>
        </w:tc>
        <w:tc>
          <w:tcPr>
            <w:tcW w:w="2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b/>
                <w:bCs/>
                <w:kern w:val="0"/>
                <w:szCs w:val="21"/>
              </w:rPr>
              <w:t>标准编号</w:t>
            </w:r>
          </w:p>
        </w:tc>
      </w:tr>
      <w:tr w:rsidR="00E30CF7" w:rsidTr="00CC0537">
        <w:trPr>
          <w:trHeight w:val="369"/>
          <w:jc w:val="center"/>
        </w:trPr>
        <w:tc>
          <w:tcPr>
            <w:tcW w:w="87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钢铁</w:t>
            </w:r>
          </w:p>
        </w:tc>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钢铁烧结、球团工业大气污染物排放标准</w:t>
            </w:r>
          </w:p>
        </w:tc>
        <w:tc>
          <w:tcPr>
            <w:tcW w:w="2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GB 28662-2012</w:t>
            </w:r>
          </w:p>
        </w:tc>
      </w:tr>
      <w:tr w:rsidR="00E30CF7" w:rsidTr="00CC0537">
        <w:trPr>
          <w:trHeight w:val="369"/>
          <w:jc w:val="center"/>
        </w:trPr>
        <w:tc>
          <w:tcPr>
            <w:tcW w:w="873"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炼铁工业大气污染物排放标准</w:t>
            </w:r>
          </w:p>
        </w:tc>
        <w:tc>
          <w:tcPr>
            <w:tcW w:w="2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GB 28663-2012</w:t>
            </w:r>
          </w:p>
        </w:tc>
      </w:tr>
      <w:tr w:rsidR="00E30CF7" w:rsidTr="00CC0537">
        <w:trPr>
          <w:trHeight w:val="369"/>
          <w:jc w:val="center"/>
        </w:trPr>
        <w:tc>
          <w:tcPr>
            <w:tcW w:w="873"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炼钢工业大气污染物排放标准</w:t>
            </w:r>
          </w:p>
        </w:tc>
        <w:tc>
          <w:tcPr>
            <w:tcW w:w="2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GB 28664-2012</w:t>
            </w:r>
          </w:p>
        </w:tc>
      </w:tr>
      <w:tr w:rsidR="00E30CF7" w:rsidTr="00CC0537">
        <w:trPr>
          <w:trHeight w:val="369"/>
          <w:jc w:val="center"/>
        </w:trPr>
        <w:tc>
          <w:tcPr>
            <w:tcW w:w="873"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轧钢工业大气污染物排放标准</w:t>
            </w:r>
          </w:p>
        </w:tc>
        <w:tc>
          <w:tcPr>
            <w:tcW w:w="2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GB 28665-2012</w:t>
            </w:r>
          </w:p>
        </w:tc>
      </w:tr>
      <w:tr w:rsidR="00E30CF7" w:rsidTr="00CC0537">
        <w:trPr>
          <w:trHeight w:val="369"/>
          <w:jc w:val="center"/>
        </w:trPr>
        <w:tc>
          <w:tcPr>
            <w:tcW w:w="873"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铁合金工业污染物排放标准</w:t>
            </w:r>
          </w:p>
        </w:tc>
        <w:tc>
          <w:tcPr>
            <w:tcW w:w="2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GB 28666-2012</w:t>
            </w:r>
          </w:p>
        </w:tc>
      </w:tr>
      <w:tr w:rsidR="00E30CF7" w:rsidTr="00CC0537">
        <w:trPr>
          <w:trHeight w:val="369"/>
          <w:jc w:val="center"/>
        </w:trPr>
        <w:tc>
          <w:tcPr>
            <w:tcW w:w="8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焦化</w:t>
            </w:r>
          </w:p>
        </w:tc>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炼焦化学工业污染物排放标准</w:t>
            </w:r>
          </w:p>
        </w:tc>
        <w:tc>
          <w:tcPr>
            <w:tcW w:w="2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GB 16171-2012</w:t>
            </w:r>
          </w:p>
        </w:tc>
      </w:tr>
      <w:tr w:rsidR="00E30CF7" w:rsidTr="00CC0537">
        <w:trPr>
          <w:trHeight w:val="369"/>
          <w:jc w:val="center"/>
        </w:trPr>
        <w:tc>
          <w:tcPr>
            <w:tcW w:w="87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有色</w:t>
            </w:r>
          </w:p>
        </w:tc>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铝工业污染物排放标准及修改单</w:t>
            </w:r>
          </w:p>
        </w:tc>
        <w:tc>
          <w:tcPr>
            <w:tcW w:w="2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GB 25465-2010</w:t>
            </w:r>
          </w:p>
        </w:tc>
      </w:tr>
      <w:tr w:rsidR="00E30CF7" w:rsidTr="00CC0537">
        <w:trPr>
          <w:trHeight w:val="369"/>
          <w:jc w:val="center"/>
        </w:trPr>
        <w:tc>
          <w:tcPr>
            <w:tcW w:w="873"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铅、锌工业污染物排放标准及修改单</w:t>
            </w:r>
          </w:p>
        </w:tc>
        <w:tc>
          <w:tcPr>
            <w:tcW w:w="2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GB 25466-2010</w:t>
            </w:r>
          </w:p>
        </w:tc>
      </w:tr>
      <w:tr w:rsidR="00E30CF7" w:rsidTr="00CC0537">
        <w:trPr>
          <w:trHeight w:val="369"/>
          <w:jc w:val="center"/>
        </w:trPr>
        <w:tc>
          <w:tcPr>
            <w:tcW w:w="873"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铜、镍、钴工业污染物排放标准及修改单</w:t>
            </w:r>
          </w:p>
        </w:tc>
        <w:tc>
          <w:tcPr>
            <w:tcW w:w="2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GB 25467-2010</w:t>
            </w:r>
          </w:p>
        </w:tc>
      </w:tr>
      <w:tr w:rsidR="00E30CF7" w:rsidTr="00CC0537">
        <w:trPr>
          <w:trHeight w:val="369"/>
          <w:jc w:val="center"/>
        </w:trPr>
        <w:tc>
          <w:tcPr>
            <w:tcW w:w="873"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镁、钛工业污染物排放标准及修改单</w:t>
            </w:r>
          </w:p>
        </w:tc>
        <w:tc>
          <w:tcPr>
            <w:tcW w:w="2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GB 25468-2010</w:t>
            </w:r>
          </w:p>
        </w:tc>
      </w:tr>
      <w:tr w:rsidR="00E30CF7" w:rsidTr="00CC0537">
        <w:trPr>
          <w:trHeight w:val="369"/>
          <w:jc w:val="center"/>
        </w:trPr>
        <w:tc>
          <w:tcPr>
            <w:tcW w:w="873"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稀土工业污染物排放标准及修改单</w:t>
            </w:r>
          </w:p>
        </w:tc>
        <w:tc>
          <w:tcPr>
            <w:tcW w:w="2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GB 26451-2011</w:t>
            </w:r>
          </w:p>
        </w:tc>
      </w:tr>
      <w:tr w:rsidR="00E30CF7" w:rsidTr="00CC0537">
        <w:trPr>
          <w:trHeight w:val="369"/>
          <w:jc w:val="center"/>
        </w:trPr>
        <w:tc>
          <w:tcPr>
            <w:tcW w:w="873"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钒工业污染物排放标准及修改单</w:t>
            </w:r>
          </w:p>
        </w:tc>
        <w:tc>
          <w:tcPr>
            <w:tcW w:w="2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GB 26452-2011</w:t>
            </w:r>
          </w:p>
        </w:tc>
      </w:tr>
      <w:tr w:rsidR="00E30CF7" w:rsidTr="00CC0537">
        <w:trPr>
          <w:trHeight w:val="369"/>
          <w:jc w:val="center"/>
        </w:trPr>
        <w:tc>
          <w:tcPr>
            <w:tcW w:w="873"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锡、锑、汞工业污染物排放标准</w:t>
            </w:r>
          </w:p>
        </w:tc>
        <w:tc>
          <w:tcPr>
            <w:tcW w:w="2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GB 30770-2014</w:t>
            </w:r>
          </w:p>
        </w:tc>
      </w:tr>
      <w:tr w:rsidR="00E30CF7" w:rsidTr="00CC0537">
        <w:trPr>
          <w:trHeight w:val="369"/>
          <w:jc w:val="center"/>
        </w:trPr>
        <w:tc>
          <w:tcPr>
            <w:tcW w:w="873"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再生铜、铝、铅、锌工业污染物排放标准</w:t>
            </w:r>
          </w:p>
        </w:tc>
        <w:tc>
          <w:tcPr>
            <w:tcW w:w="2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GB 31574-2015</w:t>
            </w:r>
          </w:p>
        </w:tc>
      </w:tr>
      <w:tr w:rsidR="00E30CF7" w:rsidTr="00CC0537">
        <w:trPr>
          <w:trHeight w:val="369"/>
          <w:jc w:val="center"/>
        </w:trPr>
        <w:tc>
          <w:tcPr>
            <w:tcW w:w="87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建材</w:t>
            </w:r>
          </w:p>
        </w:tc>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水泥工业大气污染物排放标准</w:t>
            </w:r>
          </w:p>
        </w:tc>
        <w:tc>
          <w:tcPr>
            <w:tcW w:w="2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GB 4915-2013</w:t>
            </w:r>
          </w:p>
        </w:tc>
      </w:tr>
      <w:tr w:rsidR="00E30CF7" w:rsidTr="00CC0537">
        <w:trPr>
          <w:trHeight w:val="369"/>
          <w:jc w:val="center"/>
        </w:trPr>
        <w:tc>
          <w:tcPr>
            <w:tcW w:w="873"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平板玻璃工业大气污染物排放标准</w:t>
            </w:r>
          </w:p>
        </w:tc>
        <w:tc>
          <w:tcPr>
            <w:tcW w:w="2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GB 26453-2011</w:t>
            </w:r>
          </w:p>
        </w:tc>
      </w:tr>
      <w:tr w:rsidR="00E30CF7" w:rsidTr="00CC0537">
        <w:trPr>
          <w:trHeight w:val="369"/>
          <w:jc w:val="center"/>
        </w:trPr>
        <w:tc>
          <w:tcPr>
            <w:tcW w:w="873"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电子玻璃工业大气污染物排放标准</w:t>
            </w:r>
          </w:p>
        </w:tc>
        <w:tc>
          <w:tcPr>
            <w:tcW w:w="2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GB 29495-2013</w:t>
            </w:r>
          </w:p>
        </w:tc>
      </w:tr>
      <w:tr w:rsidR="00E30CF7" w:rsidTr="00CC0537">
        <w:trPr>
          <w:trHeight w:val="369"/>
          <w:jc w:val="center"/>
        </w:trPr>
        <w:tc>
          <w:tcPr>
            <w:tcW w:w="873"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陶瓷工业污染物排放标准</w:t>
            </w:r>
          </w:p>
        </w:tc>
        <w:tc>
          <w:tcPr>
            <w:tcW w:w="2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GB 25464-2010</w:t>
            </w:r>
          </w:p>
        </w:tc>
      </w:tr>
      <w:tr w:rsidR="00E30CF7" w:rsidTr="00CC0537">
        <w:trPr>
          <w:trHeight w:val="369"/>
          <w:jc w:val="center"/>
        </w:trPr>
        <w:tc>
          <w:tcPr>
            <w:tcW w:w="873"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砖瓦工业大气污染物排放标准</w:t>
            </w:r>
          </w:p>
        </w:tc>
        <w:tc>
          <w:tcPr>
            <w:tcW w:w="2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GB 29620-2013</w:t>
            </w:r>
          </w:p>
        </w:tc>
      </w:tr>
      <w:tr w:rsidR="00E30CF7" w:rsidTr="00CC0537">
        <w:trPr>
          <w:trHeight w:val="369"/>
          <w:jc w:val="center"/>
        </w:trPr>
        <w:tc>
          <w:tcPr>
            <w:tcW w:w="87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石化</w:t>
            </w:r>
          </w:p>
        </w:tc>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石油炼制工业污染物排放标准</w:t>
            </w:r>
          </w:p>
        </w:tc>
        <w:tc>
          <w:tcPr>
            <w:tcW w:w="2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GB 31570-2015</w:t>
            </w:r>
          </w:p>
        </w:tc>
      </w:tr>
      <w:tr w:rsidR="00E30CF7" w:rsidTr="00CC0537">
        <w:trPr>
          <w:trHeight w:val="369"/>
          <w:jc w:val="center"/>
        </w:trPr>
        <w:tc>
          <w:tcPr>
            <w:tcW w:w="873"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石油化学工业污染物排放标准</w:t>
            </w:r>
          </w:p>
        </w:tc>
        <w:tc>
          <w:tcPr>
            <w:tcW w:w="2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GB 31571-2015</w:t>
            </w:r>
          </w:p>
        </w:tc>
      </w:tr>
      <w:tr w:rsidR="00E30CF7" w:rsidTr="00CC0537">
        <w:trPr>
          <w:trHeight w:val="369"/>
          <w:jc w:val="center"/>
        </w:trPr>
        <w:tc>
          <w:tcPr>
            <w:tcW w:w="873"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合成树脂工业污染物排放标准</w:t>
            </w:r>
          </w:p>
        </w:tc>
        <w:tc>
          <w:tcPr>
            <w:tcW w:w="2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GB 31572-2015</w:t>
            </w:r>
          </w:p>
        </w:tc>
      </w:tr>
      <w:tr w:rsidR="00E30CF7" w:rsidTr="00CC0537">
        <w:trPr>
          <w:trHeight w:val="369"/>
          <w:jc w:val="center"/>
        </w:trPr>
        <w:tc>
          <w:tcPr>
            <w:tcW w:w="873"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烧碱、聚氯乙烯工业污染物排放标准</w:t>
            </w:r>
          </w:p>
        </w:tc>
        <w:tc>
          <w:tcPr>
            <w:tcW w:w="2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GB 15581-2016</w:t>
            </w:r>
          </w:p>
        </w:tc>
      </w:tr>
      <w:tr w:rsidR="00E30CF7" w:rsidTr="00CC0537">
        <w:trPr>
          <w:trHeight w:val="369"/>
          <w:jc w:val="center"/>
        </w:trPr>
        <w:tc>
          <w:tcPr>
            <w:tcW w:w="8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化工</w:t>
            </w:r>
          </w:p>
        </w:tc>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无机化学工业污染物排放标准</w:t>
            </w:r>
          </w:p>
        </w:tc>
        <w:tc>
          <w:tcPr>
            <w:tcW w:w="2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GB 31573-2015</w:t>
            </w:r>
          </w:p>
        </w:tc>
      </w:tr>
      <w:tr w:rsidR="00E30CF7" w:rsidTr="00CC0537">
        <w:trPr>
          <w:trHeight w:val="369"/>
          <w:jc w:val="center"/>
        </w:trPr>
        <w:tc>
          <w:tcPr>
            <w:tcW w:w="8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其他</w:t>
            </w:r>
          </w:p>
        </w:tc>
        <w:tc>
          <w:tcPr>
            <w:tcW w:w="4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工业炉窑大气污染物排放标准</w:t>
            </w:r>
          </w:p>
        </w:tc>
        <w:tc>
          <w:tcPr>
            <w:tcW w:w="2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pacing w:line="240" w:lineRule="exact"/>
              <w:jc w:val="center"/>
              <w:rPr>
                <w:rFonts w:ascii="宋体" w:hAnsi="宋体" w:cs="宋体"/>
                <w:kern w:val="0"/>
                <w:sz w:val="24"/>
                <w:szCs w:val="24"/>
              </w:rPr>
            </w:pPr>
            <w:r>
              <w:rPr>
                <w:rFonts w:ascii="宋体" w:hAnsi="宋体" w:cs="宋体" w:hint="eastAsia"/>
                <w:kern w:val="0"/>
                <w:szCs w:val="21"/>
              </w:rPr>
              <w:t>GB 9078-1996</w:t>
            </w:r>
          </w:p>
        </w:tc>
      </w:tr>
    </w:tbl>
    <w:p w:rsidR="00E30CF7" w:rsidRDefault="00E30CF7" w:rsidP="00E30CF7">
      <w:pPr>
        <w:widowControl/>
        <w:shd w:val="clear" w:color="auto" w:fill="FFFFFF"/>
        <w:spacing w:line="540" w:lineRule="atLeast"/>
        <w:jc w:val="left"/>
        <w:rPr>
          <w:rFonts w:ascii="微软雅黑" w:eastAsia="微软雅黑" w:hAnsi="微软雅黑" w:cs="宋体"/>
          <w:b/>
          <w:bCs/>
          <w:kern w:val="0"/>
          <w:sz w:val="24"/>
          <w:szCs w:val="24"/>
        </w:rPr>
      </w:pPr>
      <w:r>
        <w:rPr>
          <w:rFonts w:ascii="微软雅黑" w:eastAsia="微软雅黑" w:hAnsi="微软雅黑" w:cs="宋体" w:hint="eastAsia"/>
          <w:b/>
          <w:bCs/>
          <w:kern w:val="0"/>
          <w:sz w:val="24"/>
          <w:szCs w:val="24"/>
        </w:rPr>
        <w:t xml:space="preserve">　　</w:t>
      </w:r>
    </w:p>
    <w:p w:rsidR="00E30CF7" w:rsidRDefault="00E30CF7" w:rsidP="00E30CF7">
      <w:pPr>
        <w:widowControl/>
        <w:shd w:val="clear" w:color="auto" w:fill="FFFFFF"/>
        <w:spacing w:line="540" w:lineRule="atLeast"/>
        <w:jc w:val="left"/>
        <w:rPr>
          <w:rFonts w:ascii="微软雅黑" w:eastAsia="微软雅黑" w:hAnsi="微软雅黑" w:cs="宋体"/>
          <w:b/>
          <w:bCs/>
          <w:kern w:val="0"/>
          <w:sz w:val="24"/>
          <w:szCs w:val="24"/>
        </w:rPr>
      </w:pPr>
    </w:p>
    <w:p w:rsidR="00E30CF7" w:rsidRDefault="00E30CF7" w:rsidP="00E30CF7">
      <w:pPr>
        <w:widowControl/>
        <w:shd w:val="clear" w:color="auto" w:fill="FFFFFF"/>
        <w:spacing w:line="540" w:lineRule="atLeast"/>
        <w:jc w:val="left"/>
        <w:rPr>
          <w:rFonts w:ascii="微软雅黑" w:eastAsia="微软雅黑" w:hAnsi="微软雅黑" w:cs="宋体"/>
          <w:b/>
          <w:bCs/>
          <w:kern w:val="0"/>
          <w:sz w:val="24"/>
          <w:szCs w:val="24"/>
        </w:rPr>
      </w:pPr>
    </w:p>
    <w:p w:rsidR="00E30CF7" w:rsidRDefault="00E30CF7" w:rsidP="00E30CF7">
      <w:pPr>
        <w:widowControl/>
        <w:shd w:val="clear" w:color="auto" w:fill="FFFFFF"/>
        <w:spacing w:line="540" w:lineRule="atLeast"/>
        <w:jc w:val="left"/>
        <w:rPr>
          <w:rFonts w:ascii="微软雅黑" w:eastAsia="微软雅黑" w:hAnsi="微软雅黑" w:cs="宋体"/>
          <w:b/>
          <w:bCs/>
          <w:kern w:val="0"/>
          <w:sz w:val="24"/>
          <w:szCs w:val="24"/>
        </w:rPr>
      </w:pPr>
    </w:p>
    <w:p w:rsidR="00E30CF7" w:rsidRDefault="00E30CF7" w:rsidP="00E30CF7">
      <w:pPr>
        <w:widowControl/>
        <w:shd w:val="clear" w:color="auto" w:fill="FFFFFF"/>
        <w:spacing w:line="540" w:lineRule="atLeast"/>
        <w:jc w:val="left"/>
        <w:rPr>
          <w:rFonts w:ascii="微软雅黑" w:eastAsia="微软雅黑" w:hAnsi="微软雅黑" w:cs="宋体"/>
          <w:bCs/>
          <w:kern w:val="0"/>
          <w:sz w:val="24"/>
          <w:szCs w:val="24"/>
        </w:rPr>
      </w:pPr>
      <w:r>
        <w:rPr>
          <w:rFonts w:ascii="微软雅黑" w:eastAsia="微软雅黑" w:hAnsi="微软雅黑" w:cs="宋体" w:hint="eastAsia"/>
          <w:bCs/>
          <w:kern w:val="0"/>
          <w:sz w:val="24"/>
          <w:szCs w:val="24"/>
        </w:rPr>
        <w:lastRenderedPageBreak/>
        <w:t>附表5</w:t>
      </w:r>
    </w:p>
    <w:p w:rsidR="00E30CF7" w:rsidRDefault="00E30CF7" w:rsidP="00E30CF7">
      <w:pPr>
        <w:widowControl/>
        <w:shd w:val="clear" w:color="auto" w:fill="FFFFFF"/>
        <w:spacing w:line="540" w:lineRule="atLeast"/>
        <w:jc w:val="center"/>
        <w:rPr>
          <w:rFonts w:ascii="微软雅黑" w:eastAsia="微软雅黑" w:hAnsi="微软雅黑" w:cs="宋体"/>
          <w:b/>
          <w:bCs/>
          <w:kern w:val="0"/>
          <w:sz w:val="24"/>
          <w:szCs w:val="24"/>
        </w:rPr>
      </w:pPr>
      <w:r>
        <w:rPr>
          <w:rFonts w:ascii="微软雅黑" w:eastAsia="微软雅黑" w:hAnsi="微软雅黑" w:cs="宋体" w:hint="eastAsia"/>
          <w:b/>
          <w:bCs/>
          <w:kern w:val="0"/>
          <w:sz w:val="24"/>
          <w:szCs w:val="24"/>
        </w:rPr>
        <w:t>重点行业工业炉窑大气污染治理要求</w:t>
      </w:r>
    </w:p>
    <w:tbl>
      <w:tblPr>
        <w:tblW w:w="0" w:type="auto"/>
        <w:jc w:val="center"/>
        <w:tblLayout w:type="fixed"/>
        <w:tblCellMar>
          <w:left w:w="0" w:type="dxa"/>
          <w:right w:w="0" w:type="dxa"/>
        </w:tblCellMar>
        <w:tblLook w:val="04A0" w:firstRow="1" w:lastRow="0" w:firstColumn="1" w:lastColumn="0" w:noHBand="0" w:noVBand="1"/>
      </w:tblPr>
      <w:tblGrid>
        <w:gridCol w:w="774"/>
        <w:gridCol w:w="1211"/>
        <w:gridCol w:w="7865"/>
      </w:tblGrid>
      <w:tr w:rsidR="00E30CF7" w:rsidTr="00CC0537">
        <w:trPr>
          <w:trHeight w:val="454"/>
          <w:jc w:val="center"/>
        </w:trPr>
        <w:tc>
          <w:tcPr>
            <w:tcW w:w="7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b/>
                <w:bCs/>
                <w:kern w:val="0"/>
                <w:szCs w:val="21"/>
              </w:rPr>
              <w:t>行业</w:t>
            </w: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b/>
                <w:bCs/>
                <w:kern w:val="0"/>
                <w:szCs w:val="21"/>
              </w:rPr>
              <w:t>子行业</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b/>
                <w:bCs/>
                <w:kern w:val="0"/>
                <w:szCs w:val="21"/>
              </w:rPr>
              <w:t>污染治理措施</w:t>
            </w:r>
          </w:p>
        </w:tc>
      </w:tr>
      <w:tr w:rsidR="00E30CF7" w:rsidTr="00CC0537">
        <w:trPr>
          <w:trHeight w:val="454"/>
          <w:jc w:val="center"/>
        </w:trPr>
        <w:tc>
          <w:tcPr>
            <w:tcW w:w="77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钢铁</w:t>
            </w:r>
          </w:p>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及焦化</w:t>
            </w: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钢铁</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按照《关于推进实施钢铁行业超低排放的意见》要求，对烧结、球团、炼铁、炼钢、轧钢、石灰窑等工业炉窑实施升级改造。</w:t>
            </w:r>
          </w:p>
        </w:tc>
      </w:tr>
      <w:tr w:rsidR="00E30CF7" w:rsidTr="00CC0537">
        <w:trPr>
          <w:trHeight w:val="372"/>
          <w:jc w:val="center"/>
        </w:trPr>
        <w:tc>
          <w:tcPr>
            <w:tcW w:w="774"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焦化</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参照《关于推进实施钢铁行业超低排放的意见》要求，对焦炉等实施升级改造。</w:t>
            </w:r>
          </w:p>
        </w:tc>
      </w:tr>
      <w:tr w:rsidR="00E30CF7" w:rsidTr="00CC0537">
        <w:trPr>
          <w:trHeight w:val="748"/>
          <w:jc w:val="center"/>
        </w:trPr>
        <w:tc>
          <w:tcPr>
            <w:tcW w:w="774"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铁合金</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hint="eastAsia"/>
                <w:kern w:val="0"/>
                <w:szCs w:val="21"/>
              </w:rPr>
              <w:t>回转窑、烧结机应配备覆膜袋式、滤筒等高效除尘设施，重点区域二氧化硫不达标的应配备脱硫设施；</w:t>
            </w:r>
          </w:p>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全封闭矿热炉、锰铁高炉及富锰渣高炉应设置煤气净化系统，对煤气进行回收利用；</w:t>
            </w:r>
          </w:p>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半封闭矿热炉、精炼炉、中频感应炉应配备袋式等高效除尘设施。</w:t>
            </w:r>
          </w:p>
        </w:tc>
      </w:tr>
      <w:tr w:rsidR="00E30CF7" w:rsidTr="00CC0537">
        <w:trPr>
          <w:trHeight w:val="931"/>
          <w:jc w:val="center"/>
        </w:trPr>
        <w:tc>
          <w:tcPr>
            <w:tcW w:w="7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机械</w:t>
            </w:r>
          </w:p>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制造</w:t>
            </w: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铸造</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铸造用生铁企业的烧结机、球团和高炉按照钢铁行业相关要求执行；</w:t>
            </w:r>
          </w:p>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冲天炉应配备袋式除尘、滤筒除尘等高效除尘设施；配备脱硫设施；</w:t>
            </w:r>
          </w:p>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中频感应电炉应配备袋式等高效除尘设施。</w:t>
            </w:r>
          </w:p>
        </w:tc>
      </w:tr>
      <w:tr w:rsidR="00E30CF7" w:rsidTr="00CC0537">
        <w:trPr>
          <w:trHeight w:val="987"/>
          <w:jc w:val="center"/>
        </w:trPr>
        <w:tc>
          <w:tcPr>
            <w:tcW w:w="77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建材</w:t>
            </w: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水泥</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水泥熟料窑应配备低氮燃烧器，采用分级燃烧等技术，窑尾配备选择性非催化还原（SNCR）、选择性催化还原（SCR）等脱硝设施；</w:t>
            </w:r>
          </w:p>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窑头、窑尾配备覆膜袋式等高效除尘设施；</w:t>
            </w:r>
          </w:p>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窑尾废气二氧化硫不能达标排放的应配备脱硫设施。</w:t>
            </w:r>
          </w:p>
        </w:tc>
      </w:tr>
      <w:tr w:rsidR="00E30CF7" w:rsidTr="00CC0537">
        <w:trPr>
          <w:trHeight w:val="454"/>
          <w:jc w:val="center"/>
        </w:trPr>
        <w:tc>
          <w:tcPr>
            <w:tcW w:w="774"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平板玻璃</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池窑应配备静电、袋式、电袋复合等高效除尘设施，配备石灰石石膏法等高效脱硫设施，配备SCR等脱硝设施；重点区域应取消脱硫、脱硝烟气旁路或设置备用脱硫、脱硝设施。</w:t>
            </w:r>
          </w:p>
        </w:tc>
      </w:tr>
      <w:tr w:rsidR="00E30CF7" w:rsidTr="00CC0537">
        <w:trPr>
          <w:trHeight w:val="454"/>
          <w:jc w:val="center"/>
        </w:trPr>
        <w:tc>
          <w:tcPr>
            <w:tcW w:w="774"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玻璃纤维</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池窑应配备静电、袋式、电袋复合等高效除尘设施，配备石灰石石膏法等高效脱硫设施，配备SCR等脱硝设施；鼓励采用富氧或全氧燃烧方式。</w:t>
            </w:r>
          </w:p>
        </w:tc>
      </w:tr>
      <w:tr w:rsidR="00E30CF7" w:rsidTr="00CC0537">
        <w:trPr>
          <w:trHeight w:val="679"/>
          <w:jc w:val="center"/>
        </w:trPr>
        <w:tc>
          <w:tcPr>
            <w:tcW w:w="77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建材</w:t>
            </w: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其他玻璃</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熔窑（全电熔窑和全氧燃烧熔窑除外）均应配备SCR等脱硝设施；以煤、石油焦、重油等为燃料的熔窑应配备袋式等除尘设施，配备石灰石石膏法等高效脱硫设施，以天然气为燃料的熔窑废气颗粒物、二氧化硫不能达标排放的应配备除尘、脱硫设施。</w:t>
            </w:r>
          </w:p>
        </w:tc>
      </w:tr>
      <w:tr w:rsidR="00E30CF7" w:rsidTr="00CC0537">
        <w:trPr>
          <w:trHeight w:val="945"/>
          <w:jc w:val="center"/>
        </w:trPr>
        <w:tc>
          <w:tcPr>
            <w:tcW w:w="774"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陶瓷</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以煤（含煤气）、石油焦、重油等为燃料的炉窑应配备除尘设施，配备石灰石石膏法等高效脱硫设施；以天然气为燃料的炉窑废气颗粒物不能达标排放的配备除尘设施。</w:t>
            </w:r>
          </w:p>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喷雾干燥塔应配备袋式等高效除尘设施，配备石灰石石膏法等高效脱硫设施，配备SNCR脱硝设施。</w:t>
            </w:r>
          </w:p>
        </w:tc>
      </w:tr>
      <w:tr w:rsidR="00E30CF7" w:rsidTr="00CC0537">
        <w:trPr>
          <w:trHeight w:val="454"/>
          <w:jc w:val="center"/>
        </w:trPr>
        <w:tc>
          <w:tcPr>
            <w:tcW w:w="774"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砖瓦</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以煤、煤矸石等为燃料的烧结砖瓦窑应配备高效除尘设施，配备石灰石石膏法等高效脱硫设施；以天然气为燃料的烧结砖瓦窑配备除尘设施。</w:t>
            </w:r>
          </w:p>
        </w:tc>
      </w:tr>
      <w:tr w:rsidR="00E30CF7" w:rsidTr="00CC0537">
        <w:trPr>
          <w:trHeight w:val="868"/>
          <w:jc w:val="center"/>
        </w:trPr>
        <w:tc>
          <w:tcPr>
            <w:tcW w:w="774"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耐火材料</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超高温竖窑、回转窑应配备覆膜袋式等高效除尘设施，其他耐火材料窑应配备袋式等除尘设施；以煤（含煤气）、重油等为燃料以及使用含硫粘结剂的，应配备石灰石石膏法等高效脱硫设施；超高温竖窑、回转窑、高温隧道窑应配备SCR、SNCR等脱硝设施。</w:t>
            </w:r>
          </w:p>
        </w:tc>
      </w:tr>
      <w:tr w:rsidR="00E30CF7" w:rsidTr="00CC0537">
        <w:trPr>
          <w:trHeight w:val="454"/>
          <w:jc w:val="center"/>
        </w:trPr>
        <w:tc>
          <w:tcPr>
            <w:tcW w:w="774"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石灰</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石灰窑应配备覆膜袋式等高效除尘设施；二氧化硫不能达标排放的应配备脱硫设施。</w:t>
            </w:r>
          </w:p>
        </w:tc>
      </w:tr>
      <w:tr w:rsidR="00E30CF7" w:rsidTr="00CC0537">
        <w:trPr>
          <w:trHeight w:val="1434"/>
          <w:jc w:val="center"/>
        </w:trPr>
        <w:tc>
          <w:tcPr>
            <w:tcW w:w="774"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矿物棉</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以煤（含煤气）、焦炭等为燃料的冲天炉、熔化炉、池窑，应配备覆膜袋式等高效除尘设施，配备石灰石石膏法等高效脱硫设施，配备SCR等脱硝设施；以天然气为燃料的熔化炉、池窑应配备袋式等除尘设施，配备SCR等脱硝设施，二氧化硫排放不达标的应配备脱硫设施；电熔炉废气颗粒物、二氧化硫排放不达标的应配备除尘脱硫设施。</w:t>
            </w:r>
          </w:p>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固化炉等应配备VOCs治理措施。</w:t>
            </w:r>
          </w:p>
        </w:tc>
      </w:tr>
      <w:tr w:rsidR="00E30CF7" w:rsidTr="00CC0537">
        <w:trPr>
          <w:trHeight w:val="707"/>
          <w:jc w:val="center"/>
        </w:trPr>
        <w:tc>
          <w:tcPr>
            <w:tcW w:w="77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有色</w:t>
            </w:r>
          </w:p>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冶炼</w:t>
            </w: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氧化铝</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熟料烧成窑、氢氧化铝焙烧炉、石灰炉（窑）等应配备高效静电或电袋复合除尘设施；以发生炉煤气为燃料的，应对煤气进行前脱硫，或焙烧炉烟气配备石灰石石膏法等高效脱硫设施。</w:t>
            </w:r>
          </w:p>
        </w:tc>
      </w:tr>
      <w:tr w:rsidR="00E30CF7" w:rsidTr="00CC0537">
        <w:trPr>
          <w:trHeight w:val="454"/>
          <w:jc w:val="center"/>
        </w:trPr>
        <w:tc>
          <w:tcPr>
            <w:tcW w:w="774"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电解铝（轻金属）</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电解槽应配备袋式等高效除尘设施，重点区域配备石灰石石膏法等高效脱硫设施。</w:t>
            </w:r>
          </w:p>
        </w:tc>
      </w:tr>
      <w:tr w:rsidR="00E30CF7" w:rsidTr="00CC0537">
        <w:trPr>
          <w:trHeight w:val="454"/>
          <w:jc w:val="center"/>
        </w:trPr>
        <w:tc>
          <w:tcPr>
            <w:tcW w:w="774"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镁、钛（轻金属）</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煅烧炉、回转窑等应配备袋式等高效除尘设施，配备石灰石石膏法等脱硫设施；重点区域配备SCR等高效脱硝设施。</w:t>
            </w:r>
          </w:p>
        </w:tc>
      </w:tr>
      <w:tr w:rsidR="00E30CF7" w:rsidTr="00CC0537">
        <w:trPr>
          <w:trHeight w:val="454"/>
          <w:jc w:val="center"/>
        </w:trPr>
        <w:tc>
          <w:tcPr>
            <w:tcW w:w="774"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铅、锌、铜、镍、钴、锡、锑、钒（重金属）</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熔炼炉应配备覆膜袋式等高效除尘设施；铅、锌、铜、镍、锡配备两转两吸制酸工艺，制酸尾气二氧化硫排放不达标的配备脱硫设施，钴、锑、钒熔炼炉尾气应配备脱硫设施；重点区域配备活性炭吸附、双氧水、金属氧化物吸收法等高效脱硫设施。环境烟气应全部收集，配备袋式等高效除尘设施，配备活性炭吸附、双氧水、金属氧化物吸收法等高效脱硫设施。重点区域应配备高效脱硝设施。</w:t>
            </w:r>
          </w:p>
        </w:tc>
      </w:tr>
      <w:tr w:rsidR="00E30CF7" w:rsidTr="00CC0537">
        <w:trPr>
          <w:trHeight w:val="454"/>
          <w:jc w:val="center"/>
        </w:trPr>
        <w:tc>
          <w:tcPr>
            <w:tcW w:w="774"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钼（稀有金属）</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hint="eastAsia"/>
                <w:kern w:val="0"/>
                <w:szCs w:val="21"/>
              </w:rPr>
              <w:t>焙烧炉等应配备袋式等高效除尘设施，配备制酸工艺。重点区域按照颗粒物、二氧化硫、氮氧化物排放分别不高于10、100、100毫克/立方米进行改造，配备高效脱硫脱硝除尘设施。</w:t>
            </w:r>
          </w:p>
        </w:tc>
      </w:tr>
      <w:tr w:rsidR="00E30CF7" w:rsidTr="00CC0537">
        <w:trPr>
          <w:trHeight w:val="554"/>
          <w:jc w:val="center"/>
        </w:trPr>
        <w:tc>
          <w:tcPr>
            <w:tcW w:w="774"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再生铜、铝、铅、锌</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hint="eastAsia"/>
                <w:kern w:val="0"/>
                <w:szCs w:val="21"/>
              </w:rPr>
              <w:t>熔炼炉、精炼炉等应配备覆膜袋式等高效除尘设施；再生铅应配备高效脱硫设施，再生铜、铝、锌达不到排放标准的，配备脱硫设施。</w:t>
            </w:r>
          </w:p>
        </w:tc>
      </w:tr>
      <w:tr w:rsidR="00E30CF7" w:rsidTr="00CC0537">
        <w:trPr>
          <w:trHeight w:val="874"/>
          <w:jc w:val="center"/>
        </w:trPr>
        <w:tc>
          <w:tcPr>
            <w:tcW w:w="774"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金属冶炼废渣（灰）二次提取</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hint="eastAsia"/>
                <w:kern w:val="0"/>
                <w:szCs w:val="21"/>
              </w:rPr>
              <w:t>重点区域应配备覆膜袋式等高效除尘设施，二氧化硫排放达不到200毫克/立方米的应配备脱硫设施。</w:t>
            </w:r>
          </w:p>
          <w:p w:rsidR="00E30CF7" w:rsidRDefault="00E30CF7" w:rsidP="00CC0537">
            <w:pPr>
              <w:widowControl/>
              <w:snapToGrid w:val="0"/>
              <w:spacing w:line="240" w:lineRule="exact"/>
              <w:jc w:val="left"/>
              <w:rPr>
                <w:rFonts w:ascii="宋体" w:hAnsi="宋体" w:cs="宋体"/>
                <w:kern w:val="0"/>
                <w:szCs w:val="21"/>
              </w:rPr>
            </w:pPr>
            <w:r>
              <w:rPr>
                <w:rFonts w:ascii="宋体" w:hAnsi="宋体" w:cs="宋体" w:hint="eastAsia"/>
                <w:kern w:val="0"/>
                <w:szCs w:val="21"/>
              </w:rPr>
              <w:t>生产无机化工产品的，执行无机化工排放控制要求。</w:t>
            </w:r>
          </w:p>
        </w:tc>
      </w:tr>
      <w:tr w:rsidR="00E30CF7" w:rsidTr="00CC0537">
        <w:trPr>
          <w:trHeight w:val="454"/>
          <w:jc w:val="center"/>
        </w:trPr>
        <w:tc>
          <w:tcPr>
            <w:tcW w:w="774"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稀土</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煅烧窑等应配备袋式等高效除尘设施；二氧化硫、氮氧化物排放不达标的，应配备脱硫脱硝设施。</w:t>
            </w:r>
          </w:p>
        </w:tc>
      </w:tr>
      <w:tr w:rsidR="00E30CF7" w:rsidTr="00CC0537">
        <w:trPr>
          <w:trHeight w:val="454"/>
          <w:jc w:val="center"/>
        </w:trPr>
        <w:tc>
          <w:tcPr>
            <w:tcW w:w="774"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工业硅</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矿热炉等应配备袋式等除尘设施；二氧化硫、氮氧化物排放不达标的，应配备脱硫脱硝设施。</w:t>
            </w:r>
          </w:p>
        </w:tc>
      </w:tr>
      <w:tr w:rsidR="00E30CF7" w:rsidTr="00CC0537">
        <w:trPr>
          <w:trHeight w:val="1755"/>
          <w:jc w:val="center"/>
        </w:trPr>
        <w:tc>
          <w:tcPr>
            <w:tcW w:w="77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化工</w:t>
            </w: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氮肥</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硫磺回收尾气应配备高效脱硫设施；</w:t>
            </w:r>
          </w:p>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固定床间歇式煤气化炉应配备高效吹风气余热回收或三废混燃系统，配备袋式等高效除尘设施，配备石灰石石膏法等高效脱硫设施，配备SCR等高效脱硝设施；</w:t>
            </w:r>
          </w:p>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以天然气为原料的一段转化炉应配备低氮燃烧、脱硝等设施；</w:t>
            </w:r>
          </w:p>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造粒塔应配套高效除尘设施；</w:t>
            </w:r>
          </w:p>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以煤为燃料的干燥窑应配备除尘、脱硫设施。</w:t>
            </w:r>
          </w:p>
        </w:tc>
      </w:tr>
      <w:tr w:rsidR="00E30CF7" w:rsidTr="00CC0537">
        <w:trPr>
          <w:trHeight w:val="454"/>
          <w:jc w:val="center"/>
        </w:trPr>
        <w:tc>
          <w:tcPr>
            <w:tcW w:w="774"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铬盐</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铬矿、氧化铬等焙烧窑及铬渣解毒窑应配备袋式等高效除尘设施；二氧化硫、氮氧化物排放不达标的，应配备脱硫脱硝设施。</w:t>
            </w:r>
          </w:p>
        </w:tc>
      </w:tr>
      <w:tr w:rsidR="00E30CF7" w:rsidTr="00CC0537">
        <w:trPr>
          <w:trHeight w:val="454"/>
          <w:jc w:val="center"/>
        </w:trPr>
        <w:tc>
          <w:tcPr>
            <w:tcW w:w="774"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炭素</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焙烧炉、煅烧炉（窑）应配备覆膜袋式等高效除尘设施，配备石灰石石膏法等高效脱硫设施，重点区域氮氧化物不能达标的焙烧炉、煅烧炉（窑）配备SCR、SNCR等高效脱硝设施。</w:t>
            </w:r>
          </w:p>
        </w:tc>
      </w:tr>
      <w:tr w:rsidR="00E30CF7" w:rsidTr="00CC0537">
        <w:trPr>
          <w:trHeight w:val="763"/>
          <w:jc w:val="center"/>
        </w:trPr>
        <w:tc>
          <w:tcPr>
            <w:tcW w:w="774"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电石</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密闭型电石炉应配备袋式等高效除尘设施；内燃型电石炉应配备布袋等高效除尘设施，配备高效脱硫设施。</w:t>
            </w:r>
          </w:p>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炭材干燥炉颗粒物、二氧化硫排放不达标的应配备除尘脱硫设施。</w:t>
            </w:r>
          </w:p>
        </w:tc>
      </w:tr>
      <w:tr w:rsidR="00E30CF7" w:rsidTr="00CC0537">
        <w:trPr>
          <w:trHeight w:val="454"/>
          <w:jc w:val="center"/>
        </w:trPr>
        <w:tc>
          <w:tcPr>
            <w:tcW w:w="774"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黄磷</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黄磷炉尾气应净化后回收利用，利用率不低于85%。</w:t>
            </w:r>
          </w:p>
        </w:tc>
      </w:tr>
      <w:tr w:rsidR="00E30CF7" w:rsidTr="00CC0537">
        <w:trPr>
          <w:trHeight w:val="454"/>
          <w:jc w:val="center"/>
        </w:trPr>
        <w:tc>
          <w:tcPr>
            <w:tcW w:w="774"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活性炭</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煤基活性炭炭化炉应配备除尘、脱硫设施，配备焚烧炉等去除VOCs；重点地区还应配备低氮燃烧、SNCR等脱硝设施。</w:t>
            </w:r>
          </w:p>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煤基活性炭活化炉应配备尾气焚烧炉，配备高效除尘设施；二氧化硫排放不达标的，应配备脱硫设施。</w:t>
            </w:r>
          </w:p>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活性炭干燥窑应配备除尘、脱硫设施。</w:t>
            </w:r>
          </w:p>
        </w:tc>
      </w:tr>
      <w:tr w:rsidR="00E30CF7" w:rsidTr="00CC0537">
        <w:trPr>
          <w:trHeight w:val="454"/>
          <w:jc w:val="center"/>
        </w:trPr>
        <w:tc>
          <w:tcPr>
            <w:tcW w:w="774"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泡花碱</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马蹄窑应配备袋式、静电等高效除尘设施，配备石灰石石膏法等高效脱硫设施，配备SCR、SNCR等脱硝设施。</w:t>
            </w:r>
          </w:p>
        </w:tc>
      </w:tr>
      <w:tr w:rsidR="00E30CF7" w:rsidTr="00CC0537">
        <w:trPr>
          <w:trHeight w:val="454"/>
          <w:jc w:val="center"/>
        </w:trPr>
        <w:tc>
          <w:tcPr>
            <w:tcW w:w="774" w:type="dxa"/>
            <w:vMerge/>
            <w:tcBorders>
              <w:top w:val="single" w:sz="8" w:space="0" w:color="auto"/>
              <w:left w:val="single" w:sz="8" w:space="0" w:color="auto"/>
              <w:bottom w:val="single" w:sz="8" w:space="0" w:color="auto"/>
              <w:right w:val="single" w:sz="8" w:space="0" w:color="auto"/>
            </w:tcBorders>
            <w:vAlign w:val="center"/>
          </w:tcPr>
          <w:p w:rsidR="00E30CF7" w:rsidRDefault="00E30CF7" w:rsidP="00CC0537">
            <w:pPr>
              <w:widowControl/>
              <w:spacing w:line="240" w:lineRule="exact"/>
              <w:jc w:val="left"/>
              <w:rPr>
                <w:rFonts w:ascii="宋体" w:hAnsi="宋体" w:cs="宋体"/>
                <w:kern w:val="0"/>
                <w:sz w:val="24"/>
                <w:szCs w:val="24"/>
              </w:rPr>
            </w:pP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其他无机</w:t>
            </w:r>
          </w:p>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化工</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煅烧窑、焙烧窑应配备袋式、静电等高效除尘设施；配备石灰石石膏法等高效脱硫设施；氮氧化物排放不达标的，应配备脱硝设施。</w:t>
            </w:r>
          </w:p>
        </w:tc>
      </w:tr>
      <w:tr w:rsidR="00E30CF7" w:rsidTr="00CC0537">
        <w:trPr>
          <w:trHeight w:val="454"/>
          <w:jc w:val="center"/>
        </w:trPr>
        <w:tc>
          <w:tcPr>
            <w:tcW w:w="7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轻工</w:t>
            </w: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日用玻璃</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 xml:space="preserve">熔窑（全电熔窑和全氧燃烧熔窑除外）均应配备SCR等脱硝设施；以煤、石油焦、重油等为燃料的熔窑应配备袋式等除尘设施，配备石灰石石膏法等高效脱硫设施，以天然气为燃料的熔窑废气颗粒物、二氧化硫不能达标排放的应配备除尘、脱硫设施。 </w:t>
            </w:r>
          </w:p>
        </w:tc>
      </w:tr>
      <w:tr w:rsidR="00E30CF7" w:rsidTr="00CC0537">
        <w:trPr>
          <w:trHeight w:val="454"/>
          <w:jc w:val="center"/>
        </w:trPr>
        <w:tc>
          <w:tcPr>
            <w:tcW w:w="7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石化</w:t>
            </w:r>
          </w:p>
        </w:tc>
        <w:tc>
          <w:tcPr>
            <w:tcW w:w="1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center"/>
              <w:rPr>
                <w:rFonts w:ascii="宋体" w:hAnsi="宋体" w:cs="宋体"/>
                <w:kern w:val="0"/>
                <w:sz w:val="24"/>
                <w:szCs w:val="24"/>
              </w:rPr>
            </w:pPr>
            <w:r>
              <w:rPr>
                <w:rFonts w:ascii="宋体" w:hAnsi="宋体" w:cs="宋体" w:hint="eastAsia"/>
                <w:kern w:val="0"/>
                <w:szCs w:val="21"/>
              </w:rPr>
              <w:t>—</w:t>
            </w:r>
          </w:p>
        </w:tc>
        <w:tc>
          <w:tcPr>
            <w:tcW w:w="7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 w:val="24"/>
                <w:szCs w:val="24"/>
              </w:rPr>
            </w:pPr>
            <w:r>
              <w:rPr>
                <w:rFonts w:ascii="宋体" w:hAnsi="宋体" w:cs="宋体" w:hint="eastAsia"/>
                <w:kern w:val="0"/>
                <w:szCs w:val="21"/>
              </w:rPr>
              <w:t>加热炉、裂解炉应以经过脱硫的燃料气为燃料，采用低氮燃烧技术。</w:t>
            </w:r>
          </w:p>
        </w:tc>
      </w:tr>
    </w:tbl>
    <w:p w:rsidR="00E30CF7" w:rsidRDefault="00E30CF7" w:rsidP="00E30CF7">
      <w:pPr>
        <w:widowControl/>
        <w:shd w:val="clear" w:color="auto" w:fill="FFFFFF"/>
        <w:jc w:val="left"/>
        <w:rPr>
          <w:rFonts w:ascii="楷体" w:eastAsia="楷体" w:hAnsi="楷体" w:cs="宋体"/>
          <w:kern w:val="0"/>
          <w:szCs w:val="21"/>
        </w:rPr>
      </w:pPr>
      <w:r>
        <w:rPr>
          <w:rFonts w:ascii="楷体" w:eastAsia="楷体" w:hAnsi="楷体" w:cs="宋体" w:hint="eastAsia"/>
          <w:kern w:val="0"/>
          <w:szCs w:val="21"/>
        </w:rPr>
        <w:t>注：工业炉窑生产工艺过程及相关物料储存、输送等无组织排放，按照“重点任务”中无组织管理措施进行管控</w:t>
      </w:r>
    </w:p>
    <w:p w:rsidR="00E30CF7" w:rsidRDefault="00E30CF7" w:rsidP="00E30CF7">
      <w:pPr>
        <w:widowControl/>
        <w:shd w:val="clear" w:color="auto" w:fill="FFFFFF"/>
        <w:jc w:val="left"/>
        <w:rPr>
          <w:rFonts w:ascii="楷体" w:eastAsia="楷体" w:hAnsi="楷体" w:cs="宋体"/>
          <w:kern w:val="0"/>
          <w:szCs w:val="21"/>
        </w:rPr>
      </w:pPr>
    </w:p>
    <w:p w:rsidR="00E30CF7" w:rsidRDefault="00E30CF7" w:rsidP="00E30CF7">
      <w:pPr>
        <w:widowControl/>
        <w:shd w:val="clear" w:color="auto" w:fill="FFFFFF"/>
        <w:spacing w:line="540" w:lineRule="atLeast"/>
        <w:jc w:val="left"/>
        <w:rPr>
          <w:rFonts w:ascii="微软雅黑" w:eastAsia="微软雅黑" w:hAnsi="微软雅黑" w:cs="宋体"/>
          <w:bCs/>
          <w:kern w:val="0"/>
          <w:sz w:val="24"/>
          <w:szCs w:val="24"/>
        </w:rPr>
      </w:pPr>
      <w:r>
        <w:rPr>
          <w:rFonts w:ascii="微软雅黑" w:eastAsia="微软雅黑" w:hAnsi="微软雅黑" w:cs="宋体" w:hint="eastAsia"/>
          <w:bCs/>
          <w:kern w:val="0"/>
          <w:sz w:val="24"/>
          <w:szCs w:val="24"/>
        </w:rPr>
        <w:lastRenderedPageBreak/>
        <w:t>附表6</w:t>
      </w:r>
    </w:p>
    <w:p w:rsidR="00E30CF7" w:rsidRDefault="00E30CF7" w:rsidP="00E30CF7">
      <w:pPr>
        <w:widowControl/>
        <w:shd w:val="clear" w:color="auto" w:fill="FFFFFF"/>
        <w:spacing w:line="540" w:lineRule="atLeast"/>
        <w:jc w:val="center"/>
        <w:rPr>
          <w:rFonts w:ascii="微软雅黑" w:eastAsia="微软雅黑" w:hAnsi="微软雅黑" w:cs="宋体"/>
          <w:b/>
          <w:bCs/>
          <w:kern w:val="0"/>
          <w:sz w:val="24"/>
          <w:szCs w:val="24"/>
        </w:rPr>
      </w:pPr>
      <w:r>
        <w:rPr>
          <w:rFonts w:ascii="微软雅黑" w:eastAsia="微软雅黑" w:hAnsi="微软雅黑" w:cs="宋体"/>
          <w:b/>
          <w:bCs/>
          <w:kern w:val="0"/>
          <w:sz w:val="24"/>
          <w:szCs w:val="24"/>
        </w:rPr>
        <w:t>无组织排放控制措施界定</w:t>
      </w:r>
    </w:p>
    <w:tbl>
      <w:tblPr>
        <w:tblW w:w="0" w:type="auto"/>
        <w:jc w:val="center"/>
        <w:tblLayout w:type="fixed"/>
        <w:tblLook w:val="04A0" w:firstRow="1" w:lastRow="0" w:firstColumn="1" w:lastColumn="0" w:noHBand="0" w:noVBand="1"/>
      </w:tblPr>
      <w:tblGrid>
        <w:gridCol w:w="705"/>
        <w:gridCol w:w="1190"/>
        <w:gridCol w:w="4414"/>
        <w:gridCol w:w="2337"/>
      </w:tblGrid>
      <w:tr w:rsidR="00E30CF7" w:rsidTr="00CC0537">
        <w:trPr>
          <w:trHeight w:val="567"/>
          <w:jc w:val="center"/>
        </w:trPr>
        <w:tc>
          <w:tcPr>
            <w:tcW w:w="705"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序号</w:t>
            </w:r>
          </w:p>
        </w:tc>
        <w:tc>
          <w:tcPr>
            <w:tcW w:w="119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作业类型</w:t>
            </w:r>
          </w:p>
        </w:tc>
        <w:tc>
          <w:tcPr>
            <w:tcW w:w="4414"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措施界定</w:t>
            </w:r>
          </w:p>
        </w:tc>
        <w:tc>
          <w:tcPr>
            <w:tcW w:w="2337"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示  例</w:t>
            </w:r>
          </w:p>
        </w:tc>
      </w:tr>
      <w:tr w:rsidR="00E30CF7" w:rsidTr="00CC0537">
        <w:trPr>
          <w:trHeight w:val="1037"/>
          <w:jc w:val="center"/>
        </w:trPr>
        <w:tc>
          <w:tcPr>
            <w:tcW w:w="705"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1</w:t>
            </w:r>
          </w:p>
        </w:tc>
        <w:tc>
          <w:tcPr>
            <w:tcW w:w="119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密闭</w:t>
            </w:r>
          </w:p>
        </w:tc>
        <w:tc>
          <w:tcPr>
            <w:tcW w:w="4414"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物料不与环境空气接触，或通过密封材料、密封设备与环境空气隔离的状态或作业方式。</w:t>
            </w:r>
          </w:p>
        </w:tc>
        <w:tc>
          <w:tcPr>
            <w:tcW w:w="2337"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w:t>
            </w:r>
          </w:p>
        </w:tc>
      </w:tr>
      <w:tr w:rsidR="00E30CF7" w:rsidTr="00CC0537">
        <w:trPr>
          <w:trHeight w:val="744"/>
          <w:jc w:val="center"/>
        </w:trPr>
        <w:tc>
          <w:tcPr>
            <w:tcW w:w="705"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2</w:t>
            </w:r>
          </w:p>
        </w:tc>
        <w:tc>
          <w:tcPr>
            <w:tcW w:w="119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密闭储存</w:t>
            </w:r>
          </w:p>
        </w:tc>
        <w:tc>
          <w:tcPr>
            <w:tcW w:w="4414"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将物料储存于与环境空气隔离的建（构）筑物、设施、器具内的作业方式。</w:t>
            </w:r>
          </w:p>
        </w:tc>
        <w:tc>
          <w:tcPr>
            <w:tcW w:w="2337"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料仓、储罐等</w:t>
            </w:r>
          </w:p>
        </w:tc>
      </w:tr>
      <w:tr w:rsidR="00E30CF7" w:rsidTr="00CC0537">
        <w:trPr>
          <w:trHeight w:val="1099"/>
          <w:jc w:val="center"/>
        </w:trPr>
        <w:tc>
          <w:tcPr>
            <w:tcW w:w="705"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3</w:t>
            </w:r>
          </w:p>
        </w:tc>
        <w:tc>
          <w:tcPr>
            <w:tcW w:w="119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密闭输送</w:t>
            </w:r>
          </w:p>
        </w:tc>
        <w:tc>
          <w:tcPr>
            <w:tcW w:w="4414"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物料输送过程与环境空气隔离的作业方式。</w:t>
            </w:r>
          </w:p>
        </w:tc>
        <w:tc>
          <w:tcPr>
            <w:tcW w:w="2337"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管道、管状带式输送机、气力输送设备、罐车等</w:t>
            </w:r>
          </w:p>
        </w:tc>
      </w:tr>
      <w:tr w:rsidR="00E30CF7" w:rsidTr="00CC0537">
        <w:trPr>
          <w:trHeight w:val="1317"/>
          <w:jc w:val="center"/>
        </w:trPr>
        <w:tc>
          <w:tcPr>
            <w:tcW w:w="705"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4</w:t>
            </w:r>
          </w:p>
        </w:tc>
        <w:tc>
          <w:tcPr>
            <w:tcW w:w="119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封闭</w:t>
            </w:r>
          </w:p>
        </w:tc>
        <w:tc>
          <w:tcPr>
            <w:tcW w:w="4414"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利用完整的围护结构将物料、作业场所等与周围空间阻隔的状态或作业方式，设置的门窗、盖板、检修口等配套设施在非必要时应关闭。</w:t>
            </w:r>
          </w:p>
        </w:tc>
        <w:tc>
          <w:tcPr>
            <w:tcW w:w="2337"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w:t>
            </w:r>
          </w:p>
        </w:tc>
      </w:tr>
      <w:tr w:rsidR="00E30CF7" w:rsidTr="00CC0537">
        <w:trPr>
          <w:trHeight w:val="972"/>
          <w:jc w:val="center"/>
        </w:trPr>
        <w:tc>
          <w:tcPr>
            <w:tcW w:w="705"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5</w:t>
            </w:r>
          </w:p>
        </w:tc>
        <w:tc>
          <w:tcPr>
            <w:tcW w:w="119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封闭储存</w:t>
            </w:r>
          </w:p>
        </w:tc>
        <w:tc>
          <w:tcPr>
            <w:tcW w:w="4414"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将物料储存于具有完整围墙（围挡）及屋顶结构的建筑物内的作业方式，建筑物的门窗在非必要时应关闭。</w:t>
            </w:r>
          </w:p>
        </w:tc>
        <w:tc>
          <w:tcPr>
            <w:tcW w:w="2337"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储库、仓库等</w:t>
            </w:r>
          </w:p>
        </w:tc>
      </w:tr>
      <w:tr w:rsidR="00E30CF7" w:rsidTr="00CC0537">
        <w:trPr>
          <w:trHeight w:val="1084"/>
          <w:jc w:val="center"/>
        </w:trPr>
        <w:tc>
          <w:tcPr>
            <w:tcW w:w="705"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6</w:t>
            </w:r>
          </w:p>
        </w:tc>
        <w:tc>
          <w:tcPr>
            <w:tcW w:w="119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封闭输送</w:t>
            </w:r>
          </w:p>
        </w:tc>
        <w:tc>
          <w:tcPr>
            <w:tcW w:w="4414"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在完整的围护结构内进行物料输送作业，围护结构的门窗、盖板、检修口等配套设施在非必要时应关闭。</w:t>
            </w:r>
          </w:p>
        </w:tc>
        <w:tc>
          <w:tcPr>
            <w:tcW w:w="2337"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皮带通廊、</w:t>
            </w:r>
          </w:p>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封闭车厢等</w:t>
            </w:r>
          </w:p>
        </w:tc>
      </w:tr>
      <w:tr w:rsidR="00E30CF7" w:rsidTr="00CC0537">
        <w:trPr>
          <w:trHeight w:val="772"/>
          <w:jc w:val="center"/>
        </w:trPr>
        <w:tc>
          <w:tcPr>
            <w:tcW w:w="705"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7</w:t>
            </w:r>
          </w:p>
        </w:tc>
        <w:tc>
          <w:tcPr>
            <w:tcW w:w="119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封闭车间</w:t>
            </w:r>
          </w:p>
        </w:tc>
        <w:tc>
          <w:tcPr>
            <w:tcW w:w="4414"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具有完整围墙（围挡）及屋顶结构的建筑物，建筑物的门窗在非必要时应关闭。</w:t>
            </w:r>
          </w:p>
        </w:tc>
        <w:tc>
          <w:tcPr>
            <w:tcW w:w="2337"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E30CF7" w:rsidRDefault="00E30CF7" w:rsidP="00CC0537">
            <w:pPr>
              <w:widowControl/>
              <w:snapToGrid w:val="0"/>
              <w:spacing w:line="240" w:lineRule="exact"/>
              <w:jc w:val="left"/>
              <w:rPr>
                <w:rFonts w:ascii="宋体" w:hAnsi="宋体" w:cs="宋体"/>
                <w:kern w:val="0"/>
                <w:szCs w:val="21"/>
              </w:rPr>
            </w:pPr>
            <w:r>
              <w:rPr>
                <w:rFonts w:ascii="宋体" w:hAnsi="宋体" w:cs="宋体"/>
                <w:kern w:val="0"/>
                <w:szCs w:val="21"/>
              </w:rPr>
              <w:t>—</w:t>
            </w:r>
          </w:p>
        </w:tc>
      </w:tr>
    </w:tbl>
    <w:p w:rsidR="00E30CF7" w:rsidRDefault="00E30CF7" w:rsidP="00E30CF7">
      <w:pPr>
        <w:widowControl/>
        <w:shd w:val="clear" w:color="auto" w:fill="FFFFFF"/>
        <w:spacing w:line="540" w:lineRule="atLeast"/>
        <w:jc w:val="center"/>
        <w:rPr>
          <w:rFonts w:ascii="微软雅黑" w:eastAsia="微软雅黑" w:hAnsi="微软雅黑" w:cs="宋体"/>
          <w:b/>
          <w:bCs/>
          <w:kern w:val="0"/>
          <w:sz w:val="24"/>
          <w:szCs w:val="24"/>
        </w:rPr>
      </w:pPr>
    </w:p>
    <w:p w:rsidR="00E30CF7" w:rsidRDefault="00E30CF7" w:rsidP="00E30CF7">
      <w:pPr>
        <w:widowControl/>
        <w:shd w:val="clear" w:color="auto" w:fill="FFFFFF"/>
        <w:spacing w:line="540" w:lineRule="atLeast"/>
        <w:jc w:val="left"/>
        <w:rPr>
          <w:rFonts w:ascii="微软雅黑" w:eastAsia="微软雅黑" w:hAnsi="微软雅黑" w:cs="宋体"/>
          <w:b/>
          <w:bCs/>
          <w:kern w:val="0"/>
          <w:sz w:val="24"/>
          <w:szCs w:val="24"/>
        </w:rPr>
      </w:pPr>
    </w:p>
    <w:p w:rsidR="00E30CF7" w:rsidRDefault="00E30CF7" w:rsidP="00E30CF7"/>
    <w:p w:rsidR="00E30CF7" w:rsidRDefault="00E30CF7">
      <w:pPr>
        <w:spacing w:line="480" w:lineRule="exact"/>
      </w:pPr>
    </w:p>
    <w:sectPr w:rsidR="00E30CF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E66" w:rsidRDefault="00544E66">
      <w:r>
        <w:separator/>
      </w:r>
    </w:p>
  </w:endnote>
  <w:endnote w:type="continuationSeparator" w:id="0">
    <w:p w:rsidR="00544E66" w:rsidRDefault="0054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黑体"/>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楷体_GB2312">
    <w:altName w:val="楷体_GB2312"/>
    <w:panose1 w:val="02010609030101010101"/>
    <w:charset w:val="86"/>
    <w:family w:val="modern"/>
    <w:pitch w:val="fixed"/>
    <w:sig w:usb0="00000001" w:usb1="080E0000" w:usb2="00000010" w:usb3="00000000" w:csb0="00040000" w:csb1="00000000"/>
  </w:font>
  <w:font w:name="仿宋_GB2312">
    <w:altName w:val="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CF7" w:rsidRDefault="00E30CF7">
    <w:pPr>
      <w:pStyle w:val="a7"/>
      <w:framePr w:wrap="around" w:vAnchor="text" w:hAnchor="margin" w:xAlign="center" w:yAlign="top"/>
      <w:pBdr>
        <w:between w:val="none" w:sz="50" w:space="0" w:color="auto"/>
      </w:pBdr>
    </w:pPr>
    <w:r>
      <w:fldChar w:fldCharType="begin"/>
    </w:r>
    <w:r>
      <w:rPr>
        <w:rStyle w:val="ae"/>
      </w:rPr>
      <w:instrText xml:space="preserve"> PAGE  </w:instrText>
    </w:r>
    <w:r>
      <w:fldChar w:fldCharType="separate"/>
    </w:r>
    <w:r w:rsidR="00916512">
      <w:rPr>
        <w:rStyle w:val="ae"/>
        <w:noProof/>
      </w:rPr>
      <w:t>1</w:t>
    </w:r>
    <w:r>
      <w:fldChar w:fldCharType="end"/>
    </w:r>
  </w:p>
  <w:p w:rsidR="00E30CF7" w:rsidRDefault="00E30CF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56E" w:rsidRDefault="008A156E">
    <w:pPr>
      <w:pStyle w:val="a7"/>
      <w:jc w:val="center"/>
    </w:pPr>
  </w:p>
  <w:p w:rsidR="008A156E" w:rsidRDefault="008A156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E66" w:rsidRDefault="00544E66">
      <w:r>
        <w:separator/>
      </w:r>
    </w:p>
  </w:footnote>
  <w:footnote w:type="continuationSeparator" w:id="0">
    <w:p w:rsidR="00544E66" w:rsidRDefault="00544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FBD"/>
    <w:rsid w:val="000121EA"/>
    <w:rsid w:val="0003502D"/>
    <w:rsid w:val="00035035"/>
    <w:rsid w:val="00042BBA"/>
    <w:rsid w:val="00053A47"/>
    <w:rsid w:val="0007457D"/>
    <w:rsid w:val="00084B01"/>
    <w:rsid w:val="00085381"/>
    <w:rsid w:val="00085419"/>
    <w:rsid w:val="000B66A9"/>
    <w:rsid w:val="000C06EB"/>
    <w:rsid w:val="000D1F37"/>
    <w:rsid w:val="000E2E0F"/>
    <w:rsid w:val="000F79A0"/>
    <w:rsid w:val="00106DCB"/>
    <w:rsid w:val="00135FBD"/>
    <w:rsid w:val="001430A7"/>
    <w:rsid w:val="0016273E"/>
    <w:rsid w:val="00166C73"/>
    <w:rsid w:val="001828DA"/>
    <w:rsid w:val="00192165"/>
    <w:rsid w:val="001B64A8"/>
    <w:rsid w:val="001B65E5"/>
    <w:rsid w:val="001B6DF2"/>
    <w:rsid w:val="001C0669"/>
    <w:rsid w:val="001C618C"/>
    <w:rsid w:val="001C7B00"/>
    <w:rsid w:val="001D7483"/>
    <w:rsid w:val="00215651"/>
    <w:rsid w:val="00223C25"/>
    <w:rsid w:val="00225EC6"/>
    <w:rsid w:val="002423CD"/>
    <w:rsid w:val="00242B84"/>
    <w:rsid w:val="002444B0"/>
    <w:rsid w:val="0026182E"/>
    <w:rsid w:val="00287E68"/>
    <w:rsid w:val="002B373C"/>
    <w:rsid w:val="002E1BFE"/>
    <w:rsid w:val="002F21EE"/>
    <w:rsid w:val="002F4F3F"/>
    <w:rsid w:val="003024D2"/>
    <w:rsid w:val="00324D42"/>
    <w:rsid w:val="00330E6B"/>
    <w:rsid w:val="00340392"/>
    <w:rsid w:val="00345796"/>
    <w:rsid w:val="00367DAB"/>
    <w:rsid w:val="003B142E"/>
    <w:rsid w:val="003B4B15"/>
    <w:rsid w:val="003C41CA"/>
    <w:rsid w:val="003C574E"/>
    <w:rsid w:val="00403AEA"/>
    <w:rsid w:val="004177D9"/>
    <w:rsid w:val="00421503"/>
    <w:rsid w:val="004465D8"/>
    <w:rsid w:val="00465708"/>
    <w:rsid w:val="004925FD"/>
    <w:rsid w:val="0049709A"/>
    <w:rsid w:val="004E17FF"/>
    <w:rsid w:val="004F1A0D"/>
    <w:rsid w:val="005320D4"/>
    <w:rsid w:val="00533072"/>
    <w:rsid w:val="00536BC9"/>
    <w:rsid w:val="00536CFB"/>
    <w:rsid w:val="00544E66"/>
    <w:rsid w:val="00580B8B"/>
    <w:rsid w:val="005A4B8A"/>
    <w:rsid w:val="005E775E"/>
    <w:rsid w:val="005F4E09"/>
    <w:rsid w:val="00604672"/>
    <w:rsid w:val="0061112B"/>
    <w:rsid w:val="00616A65"/>
    <w:rsid w:val="00620E4C"/>
    <w:rsid w:val="00622C80"/>
    <w:rsid w:val="0062611C"/>
    <w:rsid w:val="0063388E"/>
    <w:rsid w:val="00647698"/>
    <w:rsid w:val="006538B8"/>
    <w:rsid w:val="00655DB7"/>
    <w:rsid w:val="00667FE7"/>
    <w:rsid w:val="0069567D"/>
    <w:rsid w:val="006B4821"/>
    <w:rsid w:val="006C1A29"/>
    <w:rsid w:val="006C521E"/>
    <w:rsid w:val="006F2087"/>
    <w:rsid w:val="006F2DBF"/>
    <w:rsid w:val="006F38B5"/>
    <w:rsid w:val="006F4CAB"/>
    <w:rsid w:val="00746443"/>
    <w:rsid w:val="007552B5"/>
    <w:rsid w:val="00765758"/>
    <w:rsid w:val="007823DC"/>
    <w:rsid w:val="00790BDF"/>
    <w:rsid w:val="007A1BFF"/>
    <w:rsid w:val="007C2A3C"/>
    <w:rsid w:val="007C3689"/>
    <w:rsid w:val="007E521E"/>
    <w:rsid w:val="008306C7"/>
    <w:rsid w:val="008740AE"/>
    <w:rsid w:val="00895635"/>
    <w:rsid w:val="00897AAC"/>
    <w:rsid w:val="008A13D3"/>
    <w:rsid w:val="008A156E"/>
    <w:rsid w:val="008B44D8"/>
    <w:rsid w:val="008C7864"/>
    <w:rsid w:val="008C7A45"/>
    <w:rsid w:val="008D50CC"/>
    <w:rsid w:val="008D525D"/>
    <w:rsid w:val="008E2398"/>
    <w:rsid w:val="008E399D"/>
    <w:rsid w:val="008F518D"/>
    <w:rsid w:val="00916512"/>
    <w:rsid w:val="00931D7F"/>
    <w:rsid w:val="009415B3"/>
    <w:rsid w:val="00946670"/>
    <w:rsid w:val="009919C8"/>
    <w:rsid w:val="009A2E01"/>
    <w:rsid w:val="009B21DE"/>
    <w:rsid w:val="009E2AB0"/>
    <w:rsid w:val="009F37F7"/>
    <w:rsid w:val="009F651E"/>
    <w:rsid w:val="00A025F0"/>
    <w:rsid w:val="00A03080"/>
    <w:rsid w:val="00A04833"/>
    <w:rsid w:val="00A06986"/>
    <w:rsid w:val="00A12DC4"/>
    <w:rsid w:val="00A271F2"/>
    <w:rsid w:val="00A56845"/>
    <w:rsid w:val="00A873E8"/>
    <w:rsid w:val="00A935D8"/>
    <w:rsid w:val="00AA7F6C"/>
    <w:rsid w:val="00AC6812"/>
    <w:rsid w:val="00AE3142"/>
    <w:rsid w:val="00AE4AED"/>
    <w:rsid w:val="00B07712"/>
    <w:rsid w:val="00B52C11"/>
    <w:rsid w:val="00B6199B"/>
    <w:rsid w:val="00B62EFE"/>
    <w:rsid w:val="00B82533"/>
    <w:rsid w:val="00B863F8"/>
    <w:rsid w:val="00BA59A6"/>
    <w:rsid w:val="00BB08BA"/>
    <w:rsid w:val="00BB4434"/>
    <w:rsid w:val="00BD786E"/>
    <w:rsid w:val="00BF6CCB"/>
    <w:rsid w:val="00C1027B"/>
    <w:rsid w:val="00C153F7"/>
    <w:rsid w:val="00C3199D"/>
    <w:rsid w:val="00C54298"/>
    <w:rsid w:val="00C66DEC"/>
    <w:rsid w:val="00C705D6"/>
    <w:rsid w:val="00C84D1E"/>
    <w:rsid w:val="00C872A2"/>
    <w:rsid w:val="00CA04CD"/>
    <w:rsid w:val="00CC0C4D"/>
    <w:rsid w:val="00CC151B"/>
    <w:rsid w:val="00CC3119"/>
    <w:rsid w:val="00CD239E"/>
    <w:rsid w:val="00CE1C50"/>
    <w:rsid w:val="00CE59F5"/>
    <w:rsid w:val="00CE7059"/>
    <w:rsid w:val="00D01159"/>
    <w:rsid w:val="00D20466"/>
    <w:rsid w:val="00D2137D"/>
    <w:rsid w:val="00D4010B"/>
    <w:rsid w:val="00D66FBE"/>
    <w:rsid w:val="00D73A70"/>
    <w:rsid w:val="00D760CB"/>
    <w:rsid w:val="00D82DD0"/>
    <w:rsid w:val="00DB268B"/>
    <w:rsid w:val="00DB7294"/>
    <w:rsid w:val="00DC05C8"/>
    <w:rsid w:val="00DC6D65"/>
    <w:rsid w:val="00DF5ADC"/>
    <w:rsid w:val="00E004A7"/>
    <w:rsid w:val="00E03228"/>
    <w:rsid w:val="00E133B8"/>
    <w:rsid w:val="00E23F39"/>
    <w:rsid w:val="00E30290"/>
    <w:rsid w:val="00E30CF7"/>
    <w:rsid w:val="00E435AE"/>
    <w:rsid w:val="00E57E4E"/>
    <w:rsid w:val="00E6442D"/>
    <w:rsid w:val="00EB07FD"/>
    <w:rsid w:val="00EB3E24"/>
    <w:rsid w:val="00ED7D8E"/>
    <w:rsid w:val="00EE7DEA"/>
    <w:rsid w:val="00F04BF4"/>
    <w:rsid w:val="00F25C82"/>
    <w:rsid w:val="00F268F6"/>
    <w:rsid w:val="00F3574B"/>
    <w:rsid w:val="00F40184"/>
    <w:rsid w:val="00F46EE5"/>
    <w:rsid w:val="00F92D9D"/>
    <w:rsid w:val="00FA081E"/>
    <w:rsid w:val="00FB23BE"/>
    <w:rsid w:val="00FC4513"/>
    <w:rsid w:val="00FD06CB"/>
    <w:rsid w:val="00FE1F91"/>
    <w:rsid w:val="00FF11D4"/>
    <w:rsid w:val="00FF14AC"/>
    <w:rsid w:val="00FF1B39"/>
    <w:rsid w:val="00FF3C4F"/>
    <w:rsid w:val="06110918"/>
    <w:rsid w:val="0C8F60B3"/>
    <w:rsid w:val="114E386F"/>
    <w:rsid w:val="13BE7443"/>
    <w:rsid w:val="1D793CD6"/>
    <w:rsid w:val="1F4E3C26"/>
    <w:rsid w:val="27076267"/>
    <w:rsid w:val="30846048"/>
    <w:rsid w:val="319E190E"/>
    <w:rsid w:val="43C44005"/>
    <w:rsid w:val="4C516A91"/>
    <w:rsid w:val="5529363E"/>
    <w:rsid w:val="55EE6B8B"/>
    <w:rsid w:val="55F22EBF"/>
    <w:rsid w:val="64EA0851"/>
    <w:rsid w:val="66D16C13"/>
    <w:rsid w:val="6E8D422E"/>
    <w:rsid w:val="6F6B13F9"/>
    <w:rsid w:val="703D53BC"/>
    <w:rsid w:val="719A6503"/>
    <w:rsid w:val="7228772B"/>
    <w:rsid w:val="743758C8"/>
    <w:rsid w:val="744917B5"/>
    <w:rsid w:val="79EA7375"/>
    <w:rsid w:val="7BAB57E2"/>
    <w:rsid w:val="7EFF8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EF47BE1"/>
  <w15:docId w15:val="{50CA7263-DA4F-41DC-B9E2-F86B8AA4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qFormat/>
    <w:pPr>
      <w:keepNext/>
      <w:keepLines/>
      <w:spacing w:before="260" w:after="260" w:line="415" w:lineRule="auto"/>
      <w:outlineLvl w:val="1"/>
    </w:pPr>
    <w:rPr>
      <w:rFonts w:ascii="Cambria" w:hAnsi="Cambria"/>
      <w:b/>
      <w:bCs/>
      <w:kern w:val="0"/>
      <w:sz w:val="32"/>
      <w:szCs w:val="32"/>
    </w:rPr>
  </w:style>
  <w:style w:type="paragraph" w:styleId="6">
    <w:name w:val="heading 6"/>
    <w:basedOn w:val="a"/>
    <w:next w:val="a"/>
    <w:link w:val="60"/>
    <w:qFormat/>
    <w:pPr>
      <w:keepNext/>
      <w:keepLines/>
      <w:spacing w:before="240" w:after="64" w:line="320" w:lineRule="auto"/>
      <w:outlineLvl w:val="5"/>
    </w:pPr>
    <w:rPr>
      <w:rFonts w:ascii="Arial" w:eastAsia="黑体" w:hAnsi="Arial"/>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cs="黑体"/>
      <w:sz w:val="18"/>
      <w:szCs w:val="18"/>
    </w:rPr>
  </w:style>
  <w:style w:type="paragraph" w:styleId="a5">
    <w:name w:val="Balloon Text"/>
    <w:basedOn w:val="a"/>
    <w:link w:val="a6"/>
    <w:uiPriority w:val="99"/>
    <w:unhideWhenUsed/>
    <w:rPr>
      <w:sz w:val="18"/>
      <w:szCs w:val="18"/>
    </w:rPr>
  </w:style>
  <w:style w:type="paragraph" w:styleId="a7">
    <w:name w:val="footer"/>
    <w:basedOn w:val="a"/>
    <w:link w:val="a8"/>
    <w:unhideWhenUsed/>
    <w:pPr>
      <w:tabs>
        <w:tab w:val="center" w:pos="4153"/>
        <w:tab w:val="right" w:pos="8306"/>
      </w:tabs>
      <w:snapToGrid w:val="0"/>
      <w:jc w:val="left"/>
    </w:pPr>
    <w:rPr>
      <w:kern w:val="0"/>
      <w:sz w:val="18"/>
      <w:szCs w:val="18"/>
    </w:rPr>
  </w:style>
  <w:style w:type="paragraph" w:styleId="a9">
    <w:name w:val="header"/>
    <w:basedOn w:val="a"/>
    <w:link w:val="aa"/>
    <w:unhideWhenUsed/>
    <w:pPr>
      <w:pBdr>
        <w:bottom w:val="single" w:sz="6" w:space="1" w:color="auto"/>
      </w:pBdr>
      <w:tabs>
        <w:tab w:val="center" w:pos="4153"/>
        <w:tab w:val="right" w:pos="8306"/>
      </w:tabs>
      <w:snapToGrid w:val="0"/>
      <w:jc w:val="center"/>
    </w:pPr>
    <w:rPr>
      <w:kern w:val="0"/>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b">
    <w:name w:val="Normal (Web)"/>
    <w:basedOn w:val="a"/>
    <w:qFormat/>
    <w:pPr>
      <w:spacing w:before="100" w:beforeAutospacing="1" w:after="100" w:afterAutospacing="1"/>
      <w:jc w:val="left"/>
    </w:pPr>
    <w:rPr>
      <w:kern w:val="0"/>
      <w:sz w:val="24"/>
    </w:rPr>
  </w:style>
  <w:style w:type="table" w:styleId="ac">
    <w:name w:val="Table Grid"/>
    <w:basedOn w:val="a1"/>
    <w:uiPriority w:val="59"/>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Strong"/>
    <w:qFormat/>
    <w:rPr>
      <w:b/>
      <w:bCs/>
    </w:rPr>
  </w:style>
  <w:style w:type="character" w:styleId="ae">
    <w:name w:val="page number"/>
    <w:basedOn w:val="a0"/>
  </w:style>
  <w:style w:type="character" w:styleId="af">
    <w:name w:val="FollowedHyperlink"/>
    <w:basedOn w:val="a0"/>
    <w:unhideWhenUsed/>
    <w:rPr>
      <w:color w:val="800080"/>
      <w:u w:val="single"/>
    </w:rPr>
  </w:style>
  <w:style w:type="character" w:styleId="af0">
    <w:name w:val="Emphasis"/>
    <w:uiPriority w:val="20"/>
    <w:qFormat/>
    <w:rPr>
      <w:i/>
    </w:rPr>
  </w:style>
  <w:style w:type="character" w:styleId="af1">
    <w:name w:val="Hyperlink"/>
    <w:unhideWhenUsed/>
    <w:rPr>
      <w:color w:val="0000FF"/>
      <w:u w:val="single"/>
    </w:rPr>
  </w:style>
  <w:style w:type="character" w:customStyle="1" w:styleId="60">
    <w:name w:val="标题 6 字符"/>
    <w:link w:val="6"/>
    <w:rPr>
      <w:rFonts w:ascii="Arial" w:eastAsia="黑体" w:hAnsi="Arial" w:cs="Times New Roman"/>
      <w:b/>
      <w:bCs/>
      <w:sz w:val="24"/>
      <w:szCs w:val="24"/>
    </w:rPr>
  </w:style>
  <w:style w:type="character" w:customStyle="1" w:styleId="aa">
    <w:name w:val="页眉 字符"/>
    <w:link w:val="a9"/>
    <w:rPr>
      <w:sz w:val="18"/>
      <w:szCs w:val="18"/>
    </w:rPr>
  </w:style>
  <w:style w:type="character" w:customStyle="1" w:styleId="a6">
    <w:name w:val="批注框文本 字符"/>
    <w:link w:val="a5"/>
    <w:uiPriority w:val="99"/>
    <w:semiHidden/>
    <w:rPr>
      <w:kern w:val="2"/>
      <w:sz w:val="18"/>
      <w:szCs w:val="18"/>
    </w:rPr>
  </w:style>
  <w:style w:type="character" w:customStyle="1" w:styleId="a8">
    <w:name w:val="页脚 字符"/>
    <w:link w:val="a7"/>
    <w:rPr>
      <w:sz w:val="18"/>
      <w:szCs w:val="18"/>
    </w:rPr>
  </w:style>
  <w:style w:type="paragraph" w:customStyle="1" w:styleId="p0">
    <w:name w:val="p0"/>
    <w:basedOn w:val="a"/>
    <w:pPr>
      <w:widowControl/>
    </w:pPr>
    <w:rPr>
      <w:rFonts w:ascii="Times New Roman" w:hAnsi="Times New Roman" w:hint="eastAsia"/>
    </w:rPr>
  </w:style>
  <w:style w:type="character" w:customStyle="1" w:styleId="20">
    <w:name w:val="标题 2 字符"/>
    <w:basedOn w:val="a0"/>
    <w:link w:val="2"/>
    <w:rPr>
      <w:rFonts w:ascii="Cambria" w:hAnsi="Cambria"/>
      <w:b/>
      <w:bCs/>
      <w:sz w:val="32"/>
      <w:szCs w:val="32"/>
    </w:rPr>
  </w:style>
  <w:style w:type="paragraph" w:customStyle="1" w:styleId="Style30">
    <w:name w:val="_Style 30"/>
    <w:pPr>
      <w:widowControl w:val="0"/>
      <w:jc w:val="both"/>
    </w:pPr>
    <w:rPr>
      <w:rFonts w:cs="黑体"/>
      <w:kern w:val="2"/>
      <w:sz w:val="21"/>
      <w:szCs w:val="22"/>
    </w:rPr>
  </w:style>
  <w:style w:type="character" w:customStyle="1" w:styleId="Char">
    <w:name w:val="纯文本 Char"/>
    <w:link w:val="1"/>
    <w:rPr>
      <w:rFonts w:ascii="宋体" w:hAnsi="Courier New"/>
      <w:szCs w:val="21"/>
    </w:rPr>
  </w:style>
  <w:style w:type="paragraph" w:customStyle="1" w:styleId="1">
    <w:name w:val="纯文本1"/>
    <w:basedOn w:val="a"/>
    <w:link w:val="Char"/>
    <w:rPr>
      <w:rFonts w:ascii="宋体" w:hAnsi="Courier New"/>
      <w:kern w:val="0"/>
      <w:sz w:val="20"/>
      <w:szCs w:val="21"/>
    </w:rPr>
  </w:style>
  <w:style w:type="paragraph" w:customStyle="1" w:styleId="10">
    <w:name w:val="普通(网站)1"/>
    <w:basedOn w:val="a"/>
    <w:pPr>
      <w:widowControl/>
      <w:spacing w:before="100" w:beforeAutospacing="1" w:after="100" w:afterAutospacing="1"/>
      <w:jc w:val="left"/>
    </w:pPr>
    <w:rPr>
      <w:rFonts w:ascii="宋体" w:hAnsi="宋体" w:cs="宋体"/>
      <w:kern w:val="0"/>
      <w:sz w:val="24"/>
      <w:szCs w:val="24"/>
    </w:rPr>
  </w:style>
  <w:style w:type="character" w:customStyle="1" w:styleId="a4">
    <w:name w:val="文档结构图 字符"/>
    <w:basedOn w:val="a0"/>
    <w:link w:val="a3"/>
    <w:uiPriority w:val="99"/>
    <w:semiHidden/>
    <w:rPr>
      <w:rFonts w:ascii="宋体" w:cs="黑体"/>
      <w:kern w:val="2"/>
      <w:sz w:val="18"/>
      <w:szCs w:val="18"/>
    </w:rPr>
  </w:style>
  <w:style w:type="paragraph" w:customStyle="1" w:styleId="xl66">
    <w:name w:val="xl66"/>
    <w:basedOn w:val="a"/>
    <w:rsid w:val="00E30C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7">
    <w:name w:val="xl67"/>
    <w:basedOn w:val="a"/>
    <w:rsid w:val="00E30C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8">
    <w:name w:val="xl68"/>
    <w:basedOn w:val="a"/>
    <w:rsid w:val="00E30C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69">
    <w:name w:val="xl69"/>
    <w:basedOn w:val="a"/>
    <w:rsid w:val="00E30CF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szCs w:val="24"/>
    </w:rPr>
  </w:style>
  <w:style w:type="paragraph" w:customStyle="1" w:styleId="xl70">
    <w:name w:val="xl70"/>
    <w:basedOn w:val="a"/>
    <w:rsid w:val="00E30CF7"/>
    <w:pPr>
      <w:widowControl/>
      <w:pBdr>
        <w:top w:val="single" w:sz="4" w:space="0" w:color="auto"/>
        <w:bottom w:val="single" w:sz="4" w:space="0" w:color="auto"/>
      </w:pBdr>
      <w:spacing w:before="100" w:beforeAutospacing="1" w:after="100" w:afterAutospacing="1"/>
      <w:jc w:val="left"/>
    </w:pPr>
    <w:rPr>
      <w:rFonts w:ascii="宋体" w:hAnsi="宋体" w:cs="宋体"/>
      <w:kern w:val="0"/>
      <w:sz w:val="24"/>
      <w:szCs w:val="24"/>
    </w:rPr>
  </w:style>
  <w:style w:type="paragraph" w:customStyle="1" w:styleId="xl71">
    <w:name w:val="xl71"/>
    <w:basedOn w:val="a"/>
    <w:rsid w:val="00E30CF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2">
    <w:name w:val="xl72"/>
    <w:basedOn w:val="a"/>
    <w:rsid w:val="00E30CF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5">
    <w:name w:val="xl65"/>
    <w:basedOn w:val="a"/>
    <w:rsid w:val="00E30CF7"/>
    <w:pPr>
      <w:widowControl/>
      <w:spacing w:before="100" w:beforeAutospacing="1" w:after="100" w:afterAutospacing="1"/>
      <w:jc w:val="center"/>
    </w:pPr>
    <w:rPr>
      <w:rFonts w:ascii="宋体" w:hAnsi="宋体" w:cs="宋体"/>
      <w:kern w:val="0"/>
      <w:sz w:val="24"/>
      <w:szCs w:val="24"/>
    </w:rPr>
  </w:style>
  <w:style w:type="paragraph" w:customStyle="1" w:styleId="xl73">
    <w:name w:val="xl73"/>
    <w:basedOn w:val="a"/>
    <w:rsid w:val="00E30CF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1837</Words>
  <Characters>10477</Characters>
  <Application>Microsoft Office Word</Application>
  <DocSecurity>0</DocSecurity>
  <Lines>87</Lines>
  <Paragraphs>24</Paragraphs>
  <ScaleCrop>false</ScaleCrop>
  <Company>admin</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内蒙古自治区生态环境厅</dc:title>
  <dc:creator>康烁</dc:creator>
  <cp:lastModifiedBy>wyf</cp:lastModifiedBy>
  <cp:revision>2</cp:revision>
  <cp:lastPrinted>2019-07-08T12:02:00Z</cp:lastPrinted>
  <dcterms:created xsi:type="dcterms:W3CDTF">2024-01-29T07:13:00Z</dcterms:created>
  <dcterms:modified xsi:type="dcterms:W3CDTF">2024-01-29T07:13:00Z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