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32"/>
        </w:rPr>
      </w:pPr>
      <w:r>
        <w:rPr>
          <w:rFonts w:hint="eastAsia" w:ascii="黑体" w:hAnsi="黑体" w:eastAsia="黑体"/>
          <w:sz w:val="32"/>
          <w:szCs w:val="32"/>
        </w:rPr>
        <w:t>附件1</w:t>
      </w:r>
      <w:bookmarkStart w:id="0" w:name="_GoBack"/>
      <w:bookmarkEnd w:id="0"/>
    </w:p>
    <w:p>
      <w:pPr>
        <w:jc w:val="center"/>
        <w:rPr>
          <w:rFonts w:ascii="宋体" w:hAnsi="宋体" w:eastAsia="宋体"/>
          <w:b/>
          <w:sz w:val="44"/>
          <w:szCs w:val="44"/>
        </w:rPr>
      </w:pPr>
    </w:p>
    <w:p>
      <w:pPr>
        <w:jc w:val="center"/>
        <w:rPr>
          <w:rFonts w:ascii="宋体" w:hAnsi="宋体" w:eastAsia="宋体"/>
          <w:b/>
          <w:sz w:val="44"/>
          <w:szCs w:val="44"/>
        </w:rPr>
      </w:pPr>
      <w:r>
        <w:rPr>
          <w:rFonts w:hint="eastAsia" w:ascii="宋体" w:hAnsi="宋体" w:eastAsia="宋体"/>
          <w:b/>
          <w:sz w:val="44"/>
          <w:szCs w:val="44"/>
        </w:rPr>
        <w:t>2019年生态环境厅继续有效规范性文件目录</w:t>
      </w:r>
    </w:p>
    <w:p>
      <w:pPr>
        <w:jc w:val="center"/>
        <w:rPr>
          <w:rFonts w:ascii="宋体" w:hAnsi="宋体" w:eastAsia="宋体"/>
          <w:b/>
          <w:sz w:val="44"/>
          <w:szCs w:val="44"/>
        </w:rPr>
      </w:pPr>
    </w:p>
    <w:tbl>
      <w:tblPr>
        <w:tblStyle w:val="5"/>
        <w:tblW w:w="5043" w:type="pct"/>
        <w:jc w:val="center"/>
        <w:tblLayout w:type="autofit"/>
        <w:tblCellMar>
          <w:top w:w="0" w:type="dxa"/>
          <w:left w:w="0" w:type="dxa"/>
          <w:bottom w:w="0" w:type="dxa"/>
          <w:right w:w="0" w:type="dxa"/>
        </w:tblCellMar>
      </w:tblPr>
      <w:tblGrid>
        <w:gridCol w:w="574"/>
        <w:gridCol w:w="2835"/>
        <w:gridCol w:w="5912"/>
      </w:tblGrid>
      <w:tr>
        <w:tblPrEx>
          <w:tblCellMar>
            <w:top w:w="0" w:type="dxa"/>
            <w:left w:w="0" w:type="dxa"/>
            <w:bottom w:w="0" w:type="dxa"/>
            <w:right w:w="0" w:type="dxa"/>
          </w:tblCellMar>
        </w:tblPrEx>
        <w:trPr>
          <w:jc w:val="center"/>
        </w:trPr>
        <w:tc>
          <w:tcPr>
            <w:tcW w:w="30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center"/>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序号</w:t>
            </w:r>
          </w:p>
        </w:tc>
        <w:tc>
          <w:tcPr>
            <w:tcW w:w="152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center"/>
              <w:rPr>
                <w:rFonts w:ascii="仿宋_GB2312" w:hAnsi="Times New Roman" w:eastAsia="仿宋_GB2312" w:cs="Times New Roman"/>
                <w:b/>
                <w:kern w:val="0"/>
                <w:sz w:val="28"/>
                <w:szCs w:val="28"/>
              </w:rPr>
            </w:pPr>
            <w:r>
              <w:rPr>
                <w:rFonts w:hint="eastAsia" w:ascii="仿宋_GB2312" w:hAnsi="宋体" w:eastAsia="仿宋_GB2312" w:cs="Times New Roman"/>
                <w:b/>
                <w:kern w:val="0"/>
                <w:sz w:val="28"/>
                <w:szCs w:val="28"/>
              </w:rPr>
              <w:t>文号</w:t>
            </w:r>
          </w:p>
        </w:tc>
        <w:tc>
          <w:tcPr>
            <w:tcW w:w="317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center"/>
              <w:rPr>
                <w:rFonts w:ascii="仿宋_GB2312" w:hAnsi="Times New Roman" w:eastAsia="仿宋_GB2312" w:cs="Times New Roman"/>
                <w:b/>
                <w:kern w:val="0"/>
                <w:sz w:val="28"/>
                <w:szCs w:val="28"/>
              </w:rPr>
            </w:pPr>
            <w:r>
              <w:rPr>
                <w:rFonts w:hint="eastAsia" w:ascii="仿宋_GB2312" w:hAnsi="宋体" w:eastAsia="仿宋_GB2312" w:cs="Times New Roman"/>
                <w:b/>
                <w:kern w:val="0"/>
                <w:sz w:val="28"/>
                <w:szCs w:val="28"/>
              </w:rPr>
              <w:t>文件名称</w:t>
            </w:r>
          </w:p>
        </w:tc>
      </w:tr>
      <w:tr>
        <w:tblPrEx>
          <w:tblCellMar>
            <w:top w:w="0" w:type="dxa"/>
            <w:left w:w="0" w:type="dxa"/>
            <w:bottom w:w="0" w:type="dxa"/>
            <w:right w:w="0" w:type="dxa"/>
          </w:tblCellMar>
        </w:tblPrEx>
        <w:trPr>
          <w:jc w:val="center"/>
        </w:trPr>
        <w:tc>
          <w:tcPr>
            <w:tcW w:w="30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1</w:t>
            </w:r>
          </w:p>
        </w:tc>
        <w:tc>
          <w:tcPr>
            <w:tcW w:w="152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内环〔2001〕6号</w:t>
            </w:r>
          </w:p>
        </w:tc>
        <w:tc>
          <w:tcPr>
            <w:tcW w:w="317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关于印发生态功能区划方案的通知</w:t>
            </w:r>
          </w:p>
        </w:tc>
      </w:tr>
      <w:tr>
        <w:tblPrEx>
          <w:tblCellMar>
            <w:top w:w="0" w:type="dxa"/>
            <w:left w:w="0" w:type="dxa"/>
            <w:bottom w:w="0" w:type="dxa"/>
            <w:right w:w="0" w:type="dxa"/>
          </w:tblCellMar>
        </w:tblPrEx>
        <w:trPr>
          <w:jc w:val="center"/>
        </w:trPr>
        <w:tc>
          <w:tcPr>
            <w:tcW w:w="30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2</w:t>
            </w:r>
          </w:p>
        </w:tc>
        <w:tc>
          <w:tcPr>
            <w:tcW w:w="152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内环〔2002〕5号</w:t>
            </w:r>
          </w:p>
        </w:tc>
        <w:tc>
          <w:tcPr>
            <w:tcW w:w="317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关于印发废止部分文件的通知</w:t>
            </w:r>
          </w:p>
        </w:tc>
      </w:tr>
      <w:tr>
        <w:tblPrEx>
          <w:tblCellMar>
            <w:top w:w="0" w:type="dxa"/>
            <w:left w:w="0" w:type="dxa"/>
            <w:bottom w:w="0" w:type="dxa"/>
            <w:right w:w="0" w:type="dxa"/>
          </w:tblCellMar>
        </w:tblPrEx>
        <w:trPr>
          <w:jc w:val="center"/>
        </w:trPr>
        <w:tc>
          <w:tcPr>
            <w:tcW w:w="30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3</w:t>
            </w:r>
          </w:p>
        </w:tc>
        <w:tc>
          <w:tcPr>
            <w:tcW w:w="152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内环〔2002〕6号</w:t>
            </w:r>
          </w:p>
        </w:tc>
        <w:tc>
          <w:tcPr>
            <w:tcW w:w="317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关于废止有关文件的通知</w:t>
            </w:r>
          </w:p>
        </w:tc>
      </w:tr>
      <w:tr>
        <w:tblPrEx>
          <w:tblCellMar>
            <w:top w:w="0" w:type="dxa"/>
            <w:left w:w="0" w:type="dxa"/>
            <w:bottom w:w="0" w:type="dxa"/>
            <w:right w:w="0" w:type="dxa"/>
          </w:tblCellMar>
        </w:tblPrEx>
        <w:trPr>
          <w:jc w:val="center"/>
        </w:trPr>
        <w:tc>
          <w:tcPr>
            <w:tcW w:w="30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4</w:t>
            </w:r>
          </w:p>
        </w:tc>
        <w:tc>
          <w:tcPr>
            <w:tcW w:w="152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spacing w:val="-20"/>
                <w:kern w:val="0"/>
                <w:sz w:val="28"/>
                <w:szCs w:val="28"/>
              </w:rPr>
              <w:t>内环办〔2009〕174号</w:t>
            </w:r>
          </w:p>
        </w:tc>
        <w:tc>
          <w:tcPr>
            <w:tcW w:w="317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关于印发《内蒙古自治区污染源自动监控管理实施办法》的通知</w:t>
            </w:r>
          </w:p>
        </w:tc>
      </w:tr>
      <w:tr>
        <w:tblPrEx>
          <w:tblCellMar>
            <w:top w:w="0" w:type="dxa"/>
            <w:left w:w="0" w:type="dxa"/>
            <w:bottom w:w="0" w:type="dxa"/>
            <w:right w:w="0" w:type="dxa"/>
          </w:tblCellMar>
        </w:tblPrEx>
        <w:trPr>
          <w:jc w:val="center"/>
        </w:trPr>
        <w:tc>
          <w:tcPr>
            <w:tcW w:w="30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5</w:t>
            </w:r>
          </w:p>
        </w:tc>
        <w:tc>
          <w:tcPr>
            <w:tcW w:w="152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内环发〔2010〕99号</w:t>
            </w:r>
          </w:p>
        </w:tc>
        <w:tc>
          <w:tcPr>
            <w:tcW w:w="317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关于深入推进重点行业清洁生产的通知</w:t>
            </w:r>
          </w:p>
        </w:tc>
      </w:tr>
      <w:tr>
        <w:tblPrEx>
          <w:tblCellMar>
            <w:top w:w="0" w:type="dxa"/>
            <w:left w:w="0" w:type="dxa"/>
            <w:bottom w:w="0" w:type="dxa"/>
            <w:right w:w="0" w:type="dxa"/>
          </w:tblCellMar>
        </w:tblPrEx>
        <w:trPr>
          <w:jc w:val="center"/>
        </w:trPr>
        <w:tc>
          <w:tcPr>
            <w:tcW w:w="30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6</w:t>
            </w:r>
          </w:p>
        </w:tc>
        <w:tc>
          <w:tcPr>
            <w:tcW w:w="152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内环办〔2009〕90号</w:t>
            </w:r>
          </w:p>
        </w:tc>
        <w:tc>
          <w:tcPr>
            <w:tcW w:w="317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关于印发《内蒙古自治区环境违法案件挂牌督办管理办法》的通知</w:t>
            </w:r>
          </w:p>
        </w:tc>
      </w:tr>
      <w:tr>
        <w:tblPrEx>
          <w:tblCellMar>
            <w:top w:w="0" w:type="dxa"/>
            <w:left w:w="0" w:type="dxa"/>
            <w:bottom w:w="0" w:type="dxa"/>
            <w:right w:w="0" w:type="dxa"/>
          </w:tblCellMar>
        </w:tblPrEx>
        <w:trPr>
          <w:jc w:val="center"/>
        </w:trPr>
        <w:tc>
          <w:tcPr>
            <w:tcW w:w="30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7</w:t>
            </w:r>
          </w:p>
        </w:tc>
        <w:tc>
          <w:tcPr>
            <w:tcW w:w="152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spacing w:val="-20"/>
                <w:kern w:val="0"/>
                <w:sz w:val="28"/>
                <w:szCs w:val="28"/>
              </w:rPr>
            </w:pPr>
            <w:r>
              <w:rPr>
                <w:rFonts w:hint="eastAsia" w:ascii="仿宋_GB2312" w:hAnsi="宋体" w:eastAsia="仿宋_GB2312" w:cs="Times New Roman"/>
                <w:spacing w:val="-20"/>
                <w:kern w:val="0"/>
                <w:sz w:val="28"/>
                <w:szCs w:val="28"/>
              </w:rPr>
              <w:t>内环办〔2013〕164号</w:t>
            </w:r>
          </w:p>
        </w:tc>
        <w:tc>
          <w:tcPr>
            <w:tcW w:w="317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内蒙古自治区环境保护厅关于印发《内蒙古自治区主要污染物排污权交易管理规则》、《内蒙古自治区主要污染物排污权电子竞价交易规则》和《内蒙古自治区主要污染物排污权储备管理规则》的通知</w:t>
            </w:r>
          </w:p>
        </w:tc>
      </w:tr>
      <w:tr>
        <w:tblPrEx>
          <w:tblCellMar>
            <w:top w:w="0" w:type="dxa"/>
            <w:left w:w="0" w:type="dxa"/>
            <w:bottom w:w="0" w:type="dxa"/>
            <w:right w:w="0" w:type="dxa"/>
          </w:tblCellMar>
        </w:tblPrEx>
        <w:trPr>
          <w:jc w:val="center"/>
        </w:trPr>
        <w:tc>
          <w:tcPr>
            <w:tcW w:w="30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8</w:t>
            </w:r>
          </w:p>
        </w:tc>
        <w:tc>
          <w:tcPr>
            <w:tcW w:w="152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spacing w:val="-20"/>
                <w:kern w:val="0"/>
                <w:sz w:val="28"/>
                <w:szCs w:val="28"/>
              </w:rPr>
            </w:pPr>
            <w:r>
              <w:rPr>
                <w:rFonts w:hint="eastAsia" w:ascii="仿宋_GB2312" w:hAnsi="宋体" w:eastAsia="仿宋_GB2312" w:cs="Times New Roman"/>
                <w:spacing w:val="-20"/>
                <w:kern w:val="0"/>
                <w:sz w:val="28"/>
                <w:szCs w:val="28"/>
              </w:rPr>
              <w:t>内环办〔2015〕109号</w:t>
            </w:r>
          </w:p>
        </w:tc>
        <w:tc>
          <w:tcPr>
            <w:tcW w:w="317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内蒙古自治区环境保护厅关于印发《内蒙古自治区建设项目主要污染物总量指标审核及管理实施细则》的通知</w:t>
            </w:r>
          </w:p>
        </w:tc>
      </w:tr>
      <w:tr>
        <w:tblPrEx>
          <w:tblCellMar>
            <w:top w:w="0" w:type="dxa"/>
            <w:left w:w="0" w:type="dxa"/>
            <w:bottom w:w="0" w:type="dxa"/>
            <w:right w:w="0" w:type="dxa"/>
          </w:tblCellMar>
        </w:tblPrEx>
        <w:trPr>
          <w:jc w:val="center"/>
        </w:trPr>
        <w:tc>
          <w:tcPr>
            <w:tcW w:w="30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9</w:t>
            </w:r>
          </w:p>
        </w:tc>
        <w:tc>
          <w:tcPr>
            <w:tcW w:w="152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spacing w:val="-20"/>
                <w:kern w:val="0"/>
                <w:sz w:val="28"/>
                <w:szCs w:val="28"/>
              </w:rPr>
            </w:pPr>
            <w:r>
              <w:rPr>
                <w:rFonts w:hint="eastAsia" w:ascii="仿宋_GB2312" w:hAnsi="宋体" w:eastAsia="仿宋_GB2312" w:cs="Times New Roman"/>
                <w:spacing w:val="-20"/>
                <w:kern w:val="0"/>
                <w:sz w:val="28"/>
                <w:szCs w:val="28"/>
              </w:rPr>
              <w:t>内环办〔2016〕375号</w:t>
            </w:r>
          </w:p>
        </w:tc>
        <w:tc>
          <w:tcPr>
            <w:tcW w:w="317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内蒙古自治区环境保护厅关于加强消耗臭氧层物质生产、使用、销售、回收、再生利用、销毁等经营活动备案管理的通知</w:t>
            </w:r>
          </w:p>
        </w:tc>
      </w:tr>
      <w:tr>
        <w:tblPrEx>
          <w:tblCellMar>
            <w:top w:w="0" w:type="dxa"/>
            <w:left w:w="0" w:type="dxa"/>
            <w:bottom w:w="0" w:type="dxa"/>
            <w:right w:w="0" w:type="dxa"/>
          </w:tblCellMar>
        </w:tblPrEx>
        <w:trPr>
          <w:jc w:val="center"/>
        </w:trPr>
        <w:tc>
          <w:tcPr>
            <w:tcW w:w="30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10</w:t>
            </w:r>
          </w:p>
        </w:tc>
        <w:tc>
          <w:tcPr>
            <w:tcW w:w="152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内环办〔2017〕124号</w:t>
            </w:r>
          </w:p>
        </w:tc>
        <w:tc>
          <w:tcPr>
            <w:tcW w:w="317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fldChar w:fldCharType="begin"/>
            </w:r>
            <w:r>
              <w:instrText xml:space="preserve">HYPERLINK "javascript:openwin_new(%22/nbsgd/form/464831598734.xform?maintain=1&amp;v=1&amp;Info_ID=997432749819560&amp;moduleId=118288%22)"</w:instrText>
            </w:r>
            <w:r>
              <w:fldChar w:fldCharType="separate"/>
            </w:r>
            <w:r>
              <w:rPr>
                <w:rFonts w:hint="eastAsia" w:ascii="仿宋_GB2312" w:hAnsi="宋体" w:eastAsia="仿宋_GB2312" w:cs="Times New Roman"/>
                <w:kern w:val="0"/>
                <w:sz w:val="28"/>
                <w:szCs w:val="28"/>
              </w:rPr>
              <w:t>内蒙古自治区环境保护厅关于限制黄标车异地排气检测事宜的通知</w:t>
            </w:r>
            <w:r>
              <w:fldChar w:fldCharType="end"/>
            </w:r>
          </w:p>
        </w:tc>
      </w:tr>
      <w:tr>
        <w:tblPrEx>
          <w:tblCellMar>
            <w:top w:w="0" w:type="dxa"/>
            <w:left w:w="0" w:type="dxa"/>
            <w:bottom w:w="0" w:type="dxa"/>
            <w:right w:w="0" w:type="dxa"/>
          </w:tblCellMar>
        </w:tblPrEx>
        <w:trPr>
          <w:jc w:val="center"/>
        </w:trPr>
        <w:tc>
          <w:tcPr>
            <w:tcW w:w="30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11</w:t>
            </w:r>
          </w:p>
        </w:tc>
        <w:tc>
          <w:tcPr>
            <w:tcW w:w="152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spacing w:val="-20"/>
                <w:kern w:val="0"/>
                <w:sz w:val="28"/>
                <w:szCs w:val="28"/>
              </w:rPr>
              <w:t>内环办〔2017〕427号</w:t>
            </w:r>
          </w:p>
        </w:tc>
        <w:tc>
          <w:tcPr>
            <w:tcW w:w="317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rPr>
                <w:rFonts w:ascii="仿宋_GB2312" w:hAnsi="宋体" w:eastAsia="仿宋_GB2312" w:cs="Times New Roman"/>
                <w:kern w:val="0"/>
                <w:sz w:val="28"/>
                <w:szCs w:val="28"/>
              </w:rPr>
            </w:pPr>
            <w:r>
              <w:fldChar w:fldCharType="begin"/>
            </w:r>
            <w:r>
              <w:instrText xml:space="preserve">HYPERLINK "javascript:openwin_new(%22/nbsgd/form/464831598734.xform?maintain=1&amp;v=1&amp;Info_ID=1912043551235602&amp;moduleId=118288%22)"</w:instrText>
            </w:r>
            <w:r>
              <w:fldChar w:fldCharType="separate"/>
            </w:r>
            <w:r>
              <w:rPr>
                <w:rFonts w:hint="eastAsia" w:ascii="仿宋_GB2312" w:hAnsi="宋体" w:eastAsia="仿宋_GB2312" w:cs="Times New Roman"/>
                <w:kern w:val="0"/>
                <w:sz w:val="28"/>
                <w:szCs w:val="28"/>
              </w:rPr>
              <w:t>内蒙古自治区环境保护厅 财政厅关于印发《内蒙古自治区环保专项资金项目库管理办法》的通知</w:t>
            </w:r>
            <w:r>
              <w:fldChar w:fldCharType="end"/>
            </w:r>
          </w:p>
        </w:tc>
      </w:tr>
      <w:tr>
        <w:tblPrEx>
          <w:tblCellMar>
            <w:top w:w="0" w:type="dxa"/>
            <w:left w:w="0" w:type="dxa"/>
            <w:bottom w:w="0" w:type="dxa"/>
            <w:right w:w="0" w:type="dxa"/>
          </w:tblCellMar>
        </w:tblPrEx>
        <w:trPr>
          <w:jc w:val="center"/>
        </w:trPr>
        <w:tc>
          <w:tcPr>
            <w:tcW w:w="30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12</w:t>
            </w:r>
          </w:p>
        </w:tc>
        <w:tc>
          <w:tcPr>
            <w:tcW w:w="152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内环办〔2018〕42号</w:t>
            </w:r>
          </w:p>
        </w:tc>
        <w:tc>
          <w:tcPr>
            <w:tcW w:w="317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内蒙古自治区生态环境厅关于印发《内蒙古自治区生态环境科技创新引导奖励资金监督管理暂行办法》的通知</w:t>
            </w:r>
          </w:p>
        </w:tc>
      </w:tr>
      <w:tr>
        <w:tblPrEx>
          <w:tblCellMar>
            <w:top w:w="0" w:type="dxa"/>
            <w:left w:w="0" w:type="dxa"/>
            <w:bottom w:w="0" w:type="dxa"/>
            <w:right w:w="0" w:type="dxa"/>
          </w:tblCellMar>
        </w:tblPrEx>
        <w:trPr>
          <w:jc w:val="center"/>
        </w:trPr>
        <w:tc>
          <w:tcPr>
            <w:tcW w:w="308"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13</w:t>
            </w:r>
          </w:p>
        </w:tc>
        <w:tc>
          <w:tcPr>
            <w:tcW w:w="152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内环办〔2018〕67号</w:t>
            </w:r>
          </w:p>
        </w:tc>
        <w:tc>
          <w:tcPr>
            <w:tcW w:w="3171"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内蒙古自治区生态环境厅关于印发《内蒙古自治区环境空气质量自动监测站运行管理细则（试行）》的通知</w:t>
            </w:r>
          </w:p>
        </w:tc>
      </w:tr>
    </w:tbl>
    <w:p/>
    <w:p/>
    <w:p/>
    <w:p/>
    <w:p/>
    <w:p/>
    <w:p/>
    <w:p/>
    <w:p/>
    <w:p/>
    <w:p/>
    <w:p/>
    <w:p/>
    <w:p/>
    <w:p/>
    <w:p/>
    <w:p/>
    <w:p>
      <w:pPr>
        <w:jc w:val="left"/>
        <w:rPr>
          <w:rFonts w:ascii="黑体" w:hAnsi="黑体" w:eastAsia="黑体"/>
          <w:sz w:val="32"/>
          <w:szCs w:val="32"/>
        </w:rPr>
      </w:pPr>
      <w:r>
        <w:rPr>
          <w:rFonts w:hint="eastAsia" w:ascii="黑体" w:hAnsi="黑体" w:eastAsia="黑体"/>
          <w:sz w:val="32"/>
          <w:szCs w:val="32"/>
        </w:rPr>
        <w:t>附件2</w:t>
      </w:r>
    </w:p>
    <w:p>
      <w:pPr>
        <w:jc w:val="left"/>
        <w:rPr>
          <w:rFonts w:ascii="黑体" w:hAnsi="黑体" w:eastAsia="黑体"/>
        </w:rPr>
      </w:pP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2019年生态环境厅废止和失效规范性文件目录</w:t>
      </w:r>
    </w:p>
    <w:p>
      <w:pPr>
        <w:jc w:val="center"/>
        <w:rPr>
          <w:sz w:val="32"/>
          <w:szCs w:val="32"/>
        </w:rPr>
      </w:pPr>
    </w:p>
    <w:tbl>
      <w:tblPr>
        <w:tblStyle w:val="5"/>
        <w:tblW w:w="5487" w:type="pct"/>
        <w:jc w:val="center"/>
        <w:tblLayout w:type="autofit"/>
        <w:tblCellMar>
          <w:top w:w="0" w:type="dxa"/>
          <w:left w:w="0" w:type="dxa"/>
          <w:bottom w:w="0" w:type="dxa"/>
          <w:right w:w="0" w:type="dxa"/>
        </w:tblCellMar>
      </w:tblPr>
      <w:tblGrid>
        <w:gridCol w:w="533"/>
        <w:gridCol w:w="2947"/>
        <w:gridCol w:w="6662"/>
      </w:tblGrid>
      <w:tr>
        <w:tblPrEx>
          <w:tblCellMar>
            <w:top w:w="0" w:type="dxa"/>
            <w:left w:w="0" w:type="dxa"/>
            <w:bottom w:w="0" w:type="dxa"/>
            <w:right w:w="0" w:type="dxa"/>
          </w:tblCellMar>
        </w:tblPrEx>
        <w:trPr>
          <w:jc w:val="center"/>
        </w:trPr>
        <w:tc>
          <w:tcPr>
            <w:tcW w:w="263" w:type="pc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center"/>
              <w:rPr>
                <w:rFonts w:ascii="仿宋_GB2312" w:hAnsi="Times New Roman" w:eastAsia="仿宋_GB2312" w:cs="Times New Roman"/>
                <w:b/>
                <w:kern w:val="0"/>
                <w:sz w:val="28"/>
                <w:szCs w:val="28"/>
              </w:rPr>
            </w:pPr>
            <w:r>
              <w:rPr>
                <w:rFonts w:hint="eastAsia" w:ascii="仿宋_GB2312" w:hAnsi="Times New Roman" w:eastAsia="仿宋_GB2312" w:cs="Times New Roman"/>
                <w:b/>
                <w:kern w:val="0"/>
                <w:sz w:val="28"/>
                <w:szCs w:val="28"/>
              </w:rPr>
              <w:t>序号</w:t>
            </w:r>
          </w:p>
        </w:tc>
        <w:tc>
          <w:tcPr>
            <w:tcW w:w="1453"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center"/>
              <w:rPr>
                <w:rFonts w:ascii="仿宋_GB2312" w:hAnsi="Times New Roman" w:eastAsia="仿宋_GB2312" w:cs="Times New Roman"/>
                <w:b/>
                <w:kern w:val="0"/>
                <w:sz w:val="28"/>
                <w:szCs w:val="28"/>
              </w:rPr>
            </w:pPr>
            <w:r>
              <w:rPr>
                <w:rFonts w:hint="eastAsia" w:ascii="仿宋_GB2312" w:hAnsi="宋体" w:eastAsia="仿宋_GB2312" w:cs="Times New Roman"/>
                <w:b/>
                <w:kern w:val="0"/>
                <w:sz w:val="28"/>
                <w:szCs w:val="28"/>
              </w:rPr>
              <w:t>文号</w:t>
            </w:r>
          </w:p>
        </w:tc>
        <w:tc>
          <w:tcPr>
            <w:tcW w:w="3285" w:type="pc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276" w:lineRule="auto"/>
              <w:jc w:val="center"/>
              <w:rPr>
                <w:rFonts w:ascii="仿宋_GB2312" w:hAnsi="Times New Roman" w:eastAsia="仿宋_GB2312" w:cs="Times New Roman"/>
                <w:b/>
                <w:kern w:val="0"/>
                <w:sz w:val="28"/>
                <w:szCs w:val="28"/>
              </w:rPr>
            </w:pPr>
            <w:r>
              <w:rPr>
                <w:rFonts w:hint="eastAsia" w:ascii="仿宋_GB2312" w:hAnsi="宋体" w:eastAsia="仿宋_GB2312" w:cs="Times New Roman"/>
                <w:b/>
                <w:kern w:val="0"/>
                <w:sz w:val="28"/>
                <w:szCs w:val="28"/>
              </w:rPr>
              <w:t>文件名称</w:t>
            </w:r>
          </w:p>
        </w:tc>
      </w:tr>
      <w:tr>
        <w:tblPrEx>
          <w:tblCellMar>
            <w:top w:w="0" w:type="dxa"/>
            <w:left w:w="0" w:type="dxa"/>
            <w:bottom w:w="0" w:type="dxa"/>
            <w:right w:w="0" w:type="dxa"/>
          </w:tblCellMar>
        </w:tblPrEx>
        <w:trPr>
          <w:jc w:val="center"/>
        </w:trPr>
        <w:tc>
          <w:tcPr>
            <w:tcW w:w="26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1</w:t>
            </w:r>
          </w:p>
        </w:tc>
        <w:tc>
          <w:tcPr>
            <w:tcW w:w="145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内环〔1999〕6号</w:t>
            </w:r>
          </w:p>
        </w:tc>
        <w:tc>
          <w:tcPr>
            <w:tcW w:w="3285"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关于印发《内蒙古自治区环境保护行业专业技术人员继续教育实施办法》的通知</w:t>
            </w:r>
          </w:p>
        </w:tc>
      </w:tr>
      <w:tr>
        <w:tblPrEx>
          <w:tblCellMar>
            <w:top w:w="0" w:type="dxa"/>
            <w:left w:w="0" w:type="dxa"/>
            <w:bottom w:w="0" w:type="dxa"/>
            <w:right w:w="0" w:type="dxa"/>
          </w:tblCellMar>
        </w:tblPrEx>
        <w:trPr>
          <w:jc w:val="center"/>
        </w:trPr>
        <w:tc>
          <w:tcPr>
            <w:tcW w:w="26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2</w:t>
            </w:r>
          </w:p>
        </w:tc>
        <w:tc>
          <w:tcPr>
            <w:tcW w:w="145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内环办发〔2006〕49号</w:t>
            </w:r>
          </w:p>
        </w:tc>
        <w:tc>
          <w:tcPr>
            <w:tcW w:w="3285"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内蒙古自治区环境保护局关于涉及自然保护区开发建设项目环境管理工作有关问题的通知</w:t>
            </w:r>
          </w:p>
        </w:tc>
      </w:tr>
      <w:tr>
        <w:tblPrEx>
          <w:tblCellMar>
            <w:top w:w="0" w:type="dxa"/>
            <w:left w:w="0" w:type="dxa"/>
            <w:bottom w:w="0" w:type="dxa"/>
            <w:right w:w="0" w:type="dxa"/>
          </w:tblCellMar>
        </w:tblPrEx>
        <w:trPr>
          <w:jc w:val="center"/>
        </w:trPr>
        <w:tc>
          <w:tcPr>
            <w:tcW w:w="26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3</w:t>
            </w:r>
          </w:p>
        </w:tc>
        <w:tc>
          <w:tcPr>
            <w:tcW w:w="145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内环办〔2016〕341号</w:t>
            </w:r>
          </w:p>
        </w:tc>
        <w:tc>
          <w:tcPr>
            <w:tcW w:w="3285"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内蒙古自治区环境保护厅关于涉及自然保护区开发建设活动生态影响审查有关事宜的通知</w:t>
            </w:r>
          </w:p>
        </w:tc>
      </w:tr>
      <w:tr>
        <w:tblPrEx>
          <w:tblCellMar>
            <w:top w:w="0" w:type="dxa"/>
            <w:left w:w="0" w:type="dxa"/>
            <w:bottom w:w="0" w:type="dxa"/>
            <w:right w:w="0" w:type="dxa"/>
          </w:tblCellMar>
        </w:tblPrEx>
        <w:trPr>
          <w:jc w:val="center"/>
        </w:trPr>
        <w:tc>
          <w:tcPr>
            <w:tcW w:w="26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4</w:t>
            </w:r>
          </w:p>
        </w:tc>
        <w:tc>
          <w:tcPr>
            <w:tcW w:w="145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内环办发〔2010〕291号</w:t>
            </w:r>
          </w:p>
        </w:tc>
        <w:tc>
          <w:tcPr>
            <w:tcW w:w="3285"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关于加强淘汰落后产能企业放射源管理的通知</w:t>
            </w:r>
          </w:p>
        </w:tc>
      </w:tr>
      <w:tr>
        <w:tblPrEx>
          <w:tblCellMar>
            <w:top w:w="0" w:type="dxa"/>
            <w:left w:w="0" w:type="dxa"/>
            <w:bottom w:w="0" w:type="dxa"/>
            <w:right w:w="0" w:type="dxa"/>
          </w:tblCellMar>
        </w:tblPrEx>
        <w:trPr>
          <w:jc w:val="center"/>
        </w:trPr>
        <w:tc>
          <w:tcPr>
            <w:tcW w:w="26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5</w:t>
            </w:r>
          </w:p>
        </w:tc>
        <w:tc>
          <w:tcPr>
            <w:tcW w:w="145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内环办发〔2010〕155号</w:t>
            </w:r>
          </w:p>
        </w:tc>
        <w:tc>
          <w:tcPr>
            <w:tcW w:w="3285"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关于运用污染源自动监控数据加大对违法排污企业行政处罚力度的通知</w:t>
            </w:r>
          </w:p>
        </w:tc>
      </w:tr>
      <w:tr>
        <w:tblPrEx>
          <w:tblCellMar>
            <w:top w:w="0" w:type="dxa"/>
            <w:left w:w="0" w:type="dxa"/>
            <w:bottom w:w="0" w:type="dxa"/>
            <w:right w:w="0" w:type="dxa"/>
          </w:tblCellMar>
        </w:tblPrEx>
        <w:trPr>
          <w:jc w:val="center"/>
        </w:trPr>
        <w:tc>
          <w:tcPr>
            <w:tcW w:w="26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6</w:t>
            </w:r>
          </w:p>
        </w:tc>
        <w:tc>
          <w:tcPr>
            <w:tcW w:w="145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内环办〔2014〕283号</w:t>
            </w:r>
          </w:p>
        </w:tc>
        <w:tc>
          <w:tcPr>
            <w:tcW w:w="3285"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关于实行全区重大环境问题台账式管理的通知</w:t>
            </w:r>
          </w:p>
        </w:tc>
      </w:tr>
      <w:tr>
        <w:tblPrEx>
          <w:tblCellMar>
            <w:top w:w="0" w:type="dxa"/>
            <w:left w:w="0" w:type="dxa"/>
            <w:bottom w:w="0" w:type="dxa"/>
            <w:right w:w="0" w:type="dxa"/>
          </w:tblCellMar>
        </w:tblPrEx>
        <w:trPr>
          <w:jc w:val="center"/>
        </w:trPr>
        <w:tc>
          <w:tcPr>
            <w:tcW w:w="26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7</w:t>
            </w:r>
          </w:p>
        </w:tc>
        <w:tc>
          <w:tcPr>
            <w:tcW w:w="145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内环办〔2014〕124号</w:t>
            </w:r>
          </w:p>
        </w:tc>
        <w:tc>
          <w:tcPr>
            <w:tcW w:w="3285"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关于燃煤发电机组脱硫脱硝及除尘设施验收有关工作的通知</w:t>
            </w:r>
          </w:p>
        </w:tc>
      </w:tr>
      <w:tr>
        <w:tblPrEx>
          <w:tblCellMar>
            <w:top w:w="0" w:type="dxa"/>
            <w:left w:w="0" w:type="dxa"/>
            <w:bottom w:w="0" w:type="dxa"/>
            <w:right w:w="0" w:type="dxa"/>
          </w:tblCellMar>
        </w:tblPrEx>
        <w:trPr>
          <w:jc w:val="center"/>
        </w:trPr>
        <w:tc>
          <w:tcPr>
            <w:tcW w:w="26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8</w:t>
            </w:r>
          </w:p>
        </w:tc>
        <w:tc>
          <w:tcPr>
            <w:tcW w:w="145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内环办〔2016〕59号</w:t>
            </w:r>
          </w:p>
        </w:tc>
        <w:tc>
          <w:tcPr>
            <w:tcW w:w="3285"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内蒙古自治区环境保护厅关于燃煤电厂超低排放改造验收有关问题的通知</w:t>
            </w:r>
          </w:p>
        </w:tc>
      </w:tr>
      <w:tr>
        <w:tblPrEx>
          <w:tblCellMar>
            <w:top w:w="0" w:type="dxa"/>
            <w:left w:w="0" w:type="dxa"/>
            <w:bottom w:w="0" w:type="dxa"/>
            <w:right w:w="0" w:type="dxa"/>
          </w:tblCellMar>
        </w:tblPrEx>
        <w:trPr>
          <w:jc w:val="center"/>
        </w:trPr>
        <w:tc>
          <w:tcPr>
            <w:tcW w:w="26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9</w:t>
            </w:r>
          </w:p>
        </w:tc>
        <w:tc>
          <w:tcPr>
            <w:tcW w:w="145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内环办〔2017〕100号</w:t>
            </w:r>
          </w:p>
        </w:tc>
        <w:tc>
          <w:tcPr>
            <w:tcW w:w="3285"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fldChar w:fldCharType="begin"/>
            </w:r>
            <w:r>
              <w:instrText xml:space="preserve">HYPERLINK "javascript:openwin_new(%22/nbsgd/form/464831598734.xform?maintain=1&amp;v=1&amp;Info_ID=996724643131080&amp;moduleId=118288%22)"</w:instrText>
            </w:r>
            <w:r>
              <w:fldChar w:fldCharType="separate"/>
            </w:r>
            <w:r>
              <w:rPr>
                <w:rFonts w:hint="eastAsia" w:ascii="仿宋_GB2312" w:hAnsi="宋体" w:eastAsia="仿宋_GB2312" w:cs="Times New Roman"/>
                <w:kern w:val="0"/>
                <w:sz w:val="28"/>
                <w:szCs w:val="28"/>
              </w:rPr>
              <w:t>内蒙古自治区环境保护厅关于印发《内蒙古自治区2017年度工业污染源全面达标排放工作方案》的通知</w:t>
            </w:r>
            <w:r>
              <w:fldChar w:fldCharType="end"/>
            </w:r>
          </w:p>
        </w:tc>
      </w:tr>
      <w:tr>
        <w:tblPrEx>
          <w:tblCellMar>
            <w:top w:w="0" w:type="dxa"/>
            <w:left w:w="0" w:type="dxa"/>
            <w:bottom w:w="0" w:type="dxa"/>
            <w:right w:w="0" w:type="dxa"/>
          </w:tblCellMar>
        </w:tblPrEx>
        <w:trPr>
          <w:jc w:val="center"/>
        </w:trPr>
        <w:tc>
          <w:tcPr>
            <w:tcW w:w="26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10</w:t>
            </w:r>
          </w:p>
        </w:tc>
        <w:tc>
          <w:tcPr>
            <w:tcW w:w="145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内环办〔2017〕65号</w:t>
            </w:r>
          </w:p>
        </w:tc>
        <w:tc>
          <w:tcPr>
            <w:tcW w:w="3285"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fldChar w:fldCharType="begin"/>
            </w:r>
            <w:r>
              <w:instrText xml:space="preserve">HYPERLINK "javascript:openwin_new(%22/nbsgd/form/464831598734.xform?maintain=1&amp;v=1&amp;Info_ID=982040847978699&amp;moduleId=118288%22)"</w:instrText>
            </w:r>
            <w:r>
              <w:fldChar w:fldCharType="separate"/>
            </w:r>
            <w:r>
              <w:rPr>
                <w:rFonts w:hint="eastAsia" w:ascii="仿宋_GB2312" w:hAnsi="宋体" w:eastAsia="仿宋_GB2312" w:cs="Times New Roman"/>
                <w:kern w:val="0"/>
                <w:sz w:val="28"/>
                <w:szCs w:val="28"/>
              </w:rPr>
              <w:t>内蒙古自治区环境保护厅关于印发《2017年环境风险隐患排查整治工作方案》的通知</w:t>
            </w:r>
            <w:r>
              <w:fldChar w:fldCharType="end"/>
            </w:r>
          </w:p>
        </w:tc>
      </w:tr>
      <w:tr>
        <w:tblPrEx>
          <w:tblCellMar>
            <w:top w:w="0" w:type="dxa"/>
            <w:left w:w="0" w:type="dxa"/>
            <w:bottom w:w="0" w:type="dxa"/>
            <w:right w:w="0" w:type="dxa"/>
          </w:tblCellMar>
        </w:tblPrEx>
        <w:trPr>
          <w:jc w:val="center"/>
        </w:trPr>
        <w:tc>
          <w:tcPr>
            <w:tcW w:w="26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11</w:t>
            </w:r>
          </w:p>
        </w:tc>
        <w:tc>
          <w:tcPr>
            <w:tcW w:w="145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内环办〔2017〕75号</w:t>
            </w:r>
          </w:p>
        </w:tc>
        <w:tc>
          <w:tcPr>
            <w:tcW w:w="3285"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fldChar w:fldCharType="begin"/>
            </w:r>
            <w:r>
              <w:instrText xml:space="preserve">HYPERLINK "javascript:openwin_new(%22/nbsgd/form/464831598734.xform?maintain=1&amp;v=1&amp;Info_ID=975825846722313&amp;moduleId=118288%22)"</w:instrText>
            </w:r>
            <w:r>
              <w:fldChar w:fldCharType="separate"/>
            </w:r>
            <w:r>
              <w:rPr>
                <w:rFonts w:hint="eastAsia" w:ascii="仿宋_GB2312" w:hAnsi="宋体" w:eastAsia="仿宋_GB2312" w:cs="Times New Roman"/>
                <w:kern w:val="0"/>
                <w:sz w:val="28"/>
                <w:szCs w:val="28"/>
              </w:rPr>
              <w:t>内蒙古自治区环境保护厅关于开展全区辐射安全检查的通知</w:t>
            </w:r>
            <w:r>
              <w:fldChar w:fldCharType="end"/>
            </w:r>
          </w:p>
        </w:tc>
      </w:tr>
      <w:tr>
        <w:tblPrEx>
          <w:tblCellMar>
            <w:top w:w="0" w:type="dxa"/>
            <w:left w:w="0" w:type="dxa"/>
            <w:bottom w:w="0" w:type="dxa"/>
            <w:right w:w="0" w:type="dxa"/>
          </w:tblCellMar>
        </w:tblPrEx>
        <w:trPr>
          <w:jc w:val="center"/>
        </w:trPr>
        <w:tc>
          <w:tcPr>
            <w:tcW w:w="263"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center"/>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12</w:t>
            </w:r>
          </w:p>
        </w:tc>
        <w:tc>
          <w:tcPr>
            <w:tcW w:w="1453"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rPr>
                <w:rFonts w:hint="eastAsia" w:ascii="仿宋_GB2312" w:hAnsi="宋体" w:eastAsia="仿宋_GB2312" w:cs="Times New Roman"/>
                <w:kern w:val="0"/>
                <w:sz w:val="28"/>
                <w:szCs w:val="28"/>
              </w:rPr>
              <w:t>内环办〔2017〕69号</w:t>
            </w:r>
          </w:p>
        </w:tc>
        <w:tc>
          <w:tcPr>
            <w:tcW w:w="3285"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pPr>
              <w:widowControl/>
              <w:spacing w:line="276" w:lineRule="auto"/>
              <w:jc w:val="left"/>
              <w:rPr>
                <w:rFonts w:ascii="仿宋_GB2312" w:hAnsi="宋体" w:eastAsia="仿宋_GB2312" w:cs="Times New Roman"/>
                <w:kern w:val="0"/>
                <w:sz w:val="28"/>
                <w:szCs w:val="28"/>
              </w:rPr>
            </w:pPr>
            <w:r>
              <w:fldChar w:fldCharType="begin"/>
            </w:r>
            <w:r>
              <w:instrText xml:space="preserve">HYPERLINK "javascript:openwin_new(%22/nbsgd/form/464831598734.xform?maintain=1&amp;v=1&amp;Info_ID=971747515475313&amp;moduleId=118288%22)"</w:instrText>
            </w:r>
            <w:r>
              <w:fldChar w:fldCharType="separate"/>
            </w:r>
            <w:r>
              <w:rPr>
                <w:rFonts w:hint="eastAsia" w:ascii="仿宋_GB2312" w:hAnsi="宋体" w:eastAsia="仿宋_GB2312" w:cs="Times New Roman"/>
                <w:kern w:val="0"/>
                <w:sz w:val="28"/>
                <w:szCs w:val="28"/>
              </w:rPr>
              <w:t>内蒙古自治区环境保护厅关于依法查处主要污染物严重超标的国家重点监控企业的通知</w:t>
            </w:r>
            <w:r>
              <w:fldChar w:fldCharType="end"/>
            </w:r>
          </w:p>
        </w:tc>
      </w:tr>
    </w:tbl>
    <w:p/>
    <w:sectPr>
      <w:footerReference r:id="rId3" w:type="default"/>
      <w:pgSz w:w="11906" w:h="16838"/>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golian Baiti">
    <w:panose1 w:val="03000500000000000000"/>
    <w:charset w:val="00"/>
    <w:family w:val="script"/>
    <w:pitch w:val="default"/>
    <w:sig w:usb0="80000023" w:usb1="00000000" w:usb2="00020000" w:usb3="00000000" w:csb0="00000001"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0423373"/>
      <w:docPartObj>
        <w:docPartGallery w:val="AutoText"/>
      </w:docPartObj>
    </w:sdtPr>
    <w:sdtContent>
      <w:p>
        <w:pPr>
          <w:pStyle w:val="3"/>
          <w:jc w:val="center"/>
        </w:pPr>
        <w:r>
          <w:fldChar w:fldCharType="begin"/>
        </w:r>
        <w:r>
          <w:instrText xml:space="preserve">PAGE   \* MERGEFORMAT</w:instrText>
        </w:r>
        <w:r>
          <w:fldChar w:fldCharType="separate"/>
        </w:r>
        <w:r>
          <w:rPr>
            <w:lang w:val="zh-CN"/>
          </w:rPr>
          <w:t>4</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61"/>
    <w:rsid w:val="00006F3A"/>
    <w:rsid w:val="0010388C"/>
    <w:rsid w:val="0015581B"/>
    <w:rsid w:val="001C7C06"/>
    <w:rsid w:val="00207773"/>
    <w:rsid w:val="00221670"/>
    <w:rsid w:val="002A26DF"/>
    <w:rsid w:val="00321796"/>
    <w:rsid w:val="00332FB4"/>
    <w:rsid w:val="003B0CDD"/>
    <w:rsid w:val="003D201B"/>
    <w:rsid w:val="0041608E"/>
    <w:rsid w:val="00460AAD"/>
    <w:rsid w:val="004B44CC"/>
    <w:rsid w:val="0050457A"/>
    <w:rsid w:val="005F08AD"/>
    <w:rsid w:val="00697534"/>
    <w:rsid w:val="006C1C0B"/>
    <w:rsid w:val="006E28D5"/>
    <w:rsid w:val="007116E7"/>
    <w:rsid w:val="00762F98"/>
    <w:rsid w:val="00774E65"/>
    <w:rsid w:val="007C58BC"/>
    <w:rsid w:val="00894D6E"/>
    <w:rsid w:val="00975DB8"/>
    <w:rsid w:val="009C5013"/>
    <w:rsid w:val="009E690F"/>
    <w:rsid w:val="00A31AA2"/>
    <w:rsid w:val="00A53728"/>
    <w:rsid w:val="00A873B3"/>
    <w:rsid w:val="00A9336F"/>
    <w:rsid w:val="00B17571"/>
    <w:rsid w:val="00B34607"/>
    <w:rsid w:val="00B93461"/>
    <w:rsid w:val="00BA3BF9"/>
    <w:rsid w:val="00C47E49"/>
    <w:rsid w:val="00C52A69"/>
    <w:rsid w:val="00CB3E32"/>
    <w:rsid w:val="00CC774F"/>
    <w:rsid w:val="00D35EE3"/>
    <w:rsid w:val="00D408A6"/>
    <w:rsid w:val="00E02E97"/>
    <w:rsid w:val="00F17B67"/>
    <w:rsid w:val="00F65E07"/>
    <w:rsid w:val="00F95FCB"/>
    <w:rsid w:val="00FF481F"/>
    <w:rsid w:val="2DF136E8"/>
    <w:rsid w:val="51B6471F"/>
  </w:rsids>
  <m:mathPr>
    <m:mathFont m:val="Cambria Math"/>
    <m:brkBin m:val="before"/>
    <m:brkBinSub m:val="--"/>
    <m:smallFrac m:val="1"/>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FF"/>
      <w:u w:val="single"/>
    </w:rPr>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326</Words>
  <Characters>1860</Characters>
  <Lines>15</Lines>
  <Paragraphs>4</Paragraphs>
  <TotalTime>1</TotalTime>
  <ScaleCrop>false</ScaleCrop>
  <LinksUpToDate>false</LinksUpToDate>
  <CharactersWithSpaces>2182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2020-11-27T01:48:00Z</dcterms:created>
  <dc:creator>郭萍(拟稿)</dc:creator>
  <cp:lastModifiedBy>(๑･㉨･๑)</cp:lastModifiedBy>
  <cp:lastPrinted>2019-07-23T06:43:00Z</cp:lastPrinted>
  <dcterms:modified xsi:type="dcterms:W3CDTF">2020-11-27T09:09:43Z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